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59"/>
        <w:jc w:val="center"/>
        <w:rPr>
          <w:rFonts w:ascii="Times New Roman;serif" w:hAnsi="Times New Roman;serif"/>
          <w:b/>
          <w:i w:val="false"/>
          <w:caps w:val="false"/>
          <w:smallCaps w:val="false"/>
          <w:sz w:val="20"/>
        </w:rPr>
      </w:pPr>
      <w:bookmarkStart w:id="0" w:name="wtrg-20241231x10k.htm"/>
      <w:bookmarkStart w:id="1" w:name="kswtrg20241231x10k"/>
      <w:bookmarkEnd w:id="0"/>
      <w:bookmarkEnd w:id="1"/>
      <w:r>
        <w:rPr>
          <w:rFonts w:ascii="Times New Roman;serif" w:hAnsi="Times New Roman;serif"/>
          <w:b/>
          <w:i w:val="false"/>
          <w:caps w:val="false"/>
          <w:smallCaps w:val="false"/>
          <w:sz w:val="20"/>
        </w:rPr>
        <w:t xml:space="preserve">UNITED STATES </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SECURITIES AND EXCHANGE COMMISSION</w:t>
      </w:r>
    </w:p>
    <w:p>
      <w:pPr>
        <w:pStyle w:val="TextBody"/>
        <w:bidi w:val="0"/>
        <w:spacing w:lineRule="auto" w:line="259" w:before="0" w:after="100"/>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WASHINGTON, D.C. 20549</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FORM 10-K</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(Mark One)</w:t>
      </w:r>
    </w:p>
    <w:p>
      <w:pPr>
        <w:pStyle w:val="TextBody"/>
        <w:bidi w:val="0"/>
        <w:spacing w:lineRule="auto" w:line="259"/>
        <w:rPr/>
      </w:pPr>
      <w:r>
        <w:rPr>
          <w:caps w:val="false"/>
          <w:smallCaps w:val="false"/>
        </w:rPr>
        <w:t xml:space="preserve">☑ </w:t>
      </w:r>
      <w:r>
        <w:rPr>
          <w:rFonts w:ascii="Times New Roman;serif" w:hAnsi="Times New Roman;serif"/>
          <w:b w:val="false"/>
          <w:i w:val="false"/>
          <w:caps w:val="false"/>
          <w:smallCaps w:val="false"/>
          <w:sz w:val="20"/>
        </w:rPr>
        <w:t xml:space="preserve">ANNUAL REPORT PURSUANT TO SECTION 13 or 15(D) OF THE SECURITIES EXCHANGE ACT OF 1934 </w:t>
      </w:r>
    </w:p>
    <w:p>
      <w:pPr>
        <w:pStyle w:val="TextBody"/>
        <w:bidi w:val="0"/>
        <w:spacing w:lineRule="auto" w:line="259"/>
        <w:jc w:val="center"/>
        <w:rPr>
          <w:rFonts w:ascii="Times New Roman;serif" w:hAnsi="Times New Roman;serif"/>
          <w:sz w:val="20"/>
        </w:rPr>
      </w:pPr>
      <w:r>
        <w:rPr>
          <w:rFonts w:ascii="Times New Roman;serif" w:hAnsi="Times New Roman;serif"/>
          <w:b w:val="false"/>
          <w:i w:val="false"/>
          <w:caps w:val="false"/>
          <w:smallCaps w:val="false"/>
          <w:sz w:val="20"/>
        </w:rPr>
        <w:t>For the fiscal year ended December 31, 2024</w:t>
      </w:r>
      <w:r>
        <w:rPr>
          <w:rFonts w:ascii="Times New Roman;serif" w:hAnsi="Times New Roman;serif"/>
          <w:caps w:val="false"/>
          <w:smallCaps w:val="false"/>
          <w:sz w:val="20"/>
        </w:rPr>
        <w:t xml:space="preserve">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Or</w:t>
      </w:r>
    </w:p>
    <w:p>
      <w:pPr>
        <w:pStyle w:val="TextBody"/>
        <w:bidi w:val="0"/>
        <w:spacing w:lineRule="auto" w:line="259"/>
        <w:rPr/>
      </w:pPr>
      <w:r>
        <w:rPr>
          <w:caps w:val="false"/>
          <w:smallCaps w:val="false"/>
        </w:rPr>
        <w:t xml:space="preserve">☐ </w:t>
      </w:r>
      <w:r>
        <w:rPr>
          <w:rFonts w:ascii="Times New Roman;serif" w:hAnsi="Times New Roman;serif"/>
          <w:b w:val="false"/>
          <w:i w:val="false"/>
          <w:caps w:val="false"/>
          <w:smallCaps w:val="false"/>
          <w:sz w:val="20"/>
        </w:rPr>
        <w:t>TRANSITION REPORT PURSUANT TO SECTION 13 OR 15(d) OF THE SECURITIES EXCHANGE ACT OF 1934</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For the transition period from __________ to __________</w:t>
      </w:r>
    </w:p>
    <w:p>
      <w:pPr>
        <w:pStyle w:val="TextBody"/>
        <w:bidi w:val="0"/>
        <w:spacing w:lineRule="auto" w:line="259"/>
        <w:ind w:left="360" w:right="0" w:hanging="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Commission File number 1-6659</w:t>
      </w:r>
    </w:p>
    <w:p>
      <w:pPr>
        <w:pStyle w:val="TextBody"/>
        <w:bidi w:val="0"/>
        <w:spacing w:lineRule="auto" w:line="259"/>
        <w:jc w:val="center"/>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 xml:space="preserve">ESSENTIAL UTILITIES, INC.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(Exact name of registrant as specified in its charter)</w:t>
      </w:r>
    </w:p>
    <w:tbl>
      <w:tblPr>
        <w:tblW w:w="7997" w:type="dxa"/>
        <w:jc w:val="left"/>
        <w:tblInd w:w="0" w:type="dxa"/>
        <w:tblLayout w:type="fixed"/>
        <w:tblCellMar>
          <w:top w:w="0" w:type="dxa"/>
          <w:left w:w="0" w:type="dxa"/>
          <w:bottom w:w="0" w:type="dxa"/>
          <w:right w:w="0" w:type="dxa"/>
        </w:tblCellMar>
      </w:tblPr>
      <w:tblGrid>
        <w:gridCol w:w="4966"/>
        <w:gridCol w:w="3031"/>
      </w:tblGrid>
      <w:tr>
        <w:trPr/>
        <w:tc>
          <w:tcPr>
            <w:tcW w:w="496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496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Pennsylvania</w:t>
            </w:r>
          </w:p>
        </w:tc>
        <w:tc>
          <w:tcPr>
            <w:tcW w:w="303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23-1702594</w:t>
            </w:r>
          </w:p>
        </w:tc>
      </w:tr>
      <w:tr>
        <w:trPr/>
        <w:tc>
          <w:tcPr>
            <w:tcW w:w="496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 or other jurisdiction of incorporation or organization)</w:t>
            </w:r>
          </w:p>
        </w:tc>
        <w:tc>
          <w:tcPr>
            <w:tcW w:w="303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(I.R.S. Employer Identification No.)</w:t>
            </w:r>
          </w:p>
        </w:tc>
      </w:tr>
      <w:tr>
        <w:trPr/>
        <w:tc>
          <w:tcPr>
            <w:tcW w:w="4966"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496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762 W Lancaster Avenue, Bryn Mawr, Pennsylvania</w:t>
            </w:r>
          </w:p>
        </w:tc>
        <w:tc>
          <w:tcPr>
            <w:tcW w:w="303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19010-3489</w:t>
            </w:r>
          </w:p>
        </w:tc>
      </w:tr>
      <w:tr>
        <w:trPr/>
        <w:tc>
          <w:tcPr>
            <w:tcW w:w="496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(Address of principal executive offices)</w:t>
            </w:r>
          </w:p>
        </w:tc>
        <w:tc>
          <w:tcPr>
            <w:tcW w:w="303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(Zip Code)</w:t>
            </w:r>
          </w:p>
        </w:tc>
      </w:tr>
    </w:tbl>
    <w:p>
      <w:pPr>
        <w:pStyle w:val="TextBody"/>
        <w:bidi w:val="0"/>
        <w:spacing w:lineRule="auto" w:line="259"/>
        <w:jc w:val="center"/>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(610) 527-8000</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(Registrant’s telephone number, including area code)</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12(b) of the Act:</w:t>
      </w:r>
    </w:p>
    <w:tbl>
      <w:tblPr>
        <w:tblW w:w="9011" w:type="dxa"/>
        <w:jc w:val="center"/>
        <w:tblInd w:w="0" w:type="dxa"/>
        <w:tblLayout w:type="fixed"/>
        <w:tblCellMar>
          <w:top w:w="0" w:type="dxa"/>
          <w:left w:w="0" w:type="dxa"/>
          <w:bottom w:w="0" w:type="dxa"/>
          <w:right w:w="0" w:type="dxa"/>
        </w:tblCellMar>
      </w:tblPr>
      <w:tblGrid>
        <w:gridCol w:w="3466"/>
        <w:gridCol w:w="109"/>
        <w:gridCol w:w="1621"/>
        <w:gridCol w:w="109"/>
        <w:gridCol w:w="3706"/>
      </w:tblGrid>
      <w:tr>
        <w:trPr/>
        <w:tc>
          <w:tcPr>
            <w:tcW w:w="3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46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Title of each class</w:t>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Trading Symbol(s)</w:t>
            </w:r>
          </w:p>
        </w:tc>
        <w:tc>
          <w:tcPr>
            <w:tcW w:w="109" w:type="dxa"/>
            <w:tcBorders/>
            <w:vAlign w:val="center"/>
          </w:tcPr>
          <w:p>
            <w:pPr>
              <w:pStyle w:val="TableContents"/>
              <w:bidi w:val="0"/>
              <w:spacing w:before="0" w:after="283"/>
              <w:jc w:val="left"/>
              <w:rPr>
                <w:sz w:val="4"/>
                <w:szCs w:val="4"/>
              </w:rPr>
            </w:pPr>
            <w:r>
              <w:rPr>
                <w:sz w:val="4"/>
                <w:szCs w:val="4"/>
              </w:rPr>
            </w:r>
          </w:p>
        </w:tc>
        <w:tc>
          <w:tcPr>
            <w:tcW w:w="3706"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Name of each exchange on which registered</w:t>
            </w:r>
          </w:p>
        </w:tc>
      </w:tr>
      <w:tr>
        <w:trPr/>
        <w:tc>
          <w:tcPr>
            <w:tcW w:w="3466" w:type="dxa"/>
            <w:tcBorders>
              <w:top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Common stock, par value $0.50 per share</w:t>
            </w:r>
          </w:p>
        </w:tc>
        <w:tc>
          <w:tcPr>
            <w:tcW w:w="109" w:type="dxa"/>
            <w:tcBorders/>
            <w:vAlign w:val="center"/>
          </w:tcPr>
          <w:p>
            <w:pPr>
              <w:pStyle w:val="TableContents"/>
              <w:bidi w:val="0"/>
              <w:spacing w:before="0" w:after="283"/>
              <w:jc w:val="left"/>
              <w:rPr>
                <w:sz w:val="4"/>
                <w:szCs w:val="4"/>
              </w:rPr>
            </w:pPr>
            <w:r>
              <w:rPr>
                <w:sz w:val="4"/>
                <w:szCs w:val="4"/>
              </w:rPr>
            </w:r>
          </w:p>
        </w:tc>
        <w:tc>
          <w:tcPr>
            <w:tcW w:w="1621" w:type="dxa"/>
            <w:tcBorders>
              <w:top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WTRG</w:t>
            </w:r>
          </w:p>
        </w:tc>
        <w:tc>
          <w:tcPr>
            <w:tcW w:w="109" w:type="dxa"/>
            <w:tcBorders/>
            <w:vAlign w:val="center"/>
          </w:tcPr>
          <w:p>
            <w:pPr>
              <w:pStyle w:val="TableContents"/>
              <w:bidi w:val="0"/>
              <w:spacing w:before="0" w:after="283"/>
              <w:jc w:val="left"/>
              <w:rPr>
                <w:sz w:val="4"/>
                <w:szCs w:val="4"/>
              </w:rPr>
            </w:pPr>
            <w:r>
              <w:rPr>
                <w:sz w:val="4"/>
                <w:szCs w:val="4"/>
              </w:rPr>
            </w:r>
          </w:p>
        </w:tc>
        <w:tc>
          <w:tcPr>
            <w:tcW w:w="3706" w:type="dxa"/>
            <w:tcBorders>
              <w:top w:val="single" w:sz="8" w:space="0" w:color="000000"/>
            </w:tcBorders>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York Stock Exchange</w:t>
            </w:r>
          </w:p>
        </w:tc>
      </w:tr>
    </w:tbl>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Securities registered pursuant to Section 12(g) of the Act: None.</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if the registrant is a well-known seasoned issuer, as defined in Rule 405 of the Securities Act.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if the registrant is not required to file reports pursuant to Section 13 or Section 15(d) of the Act.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Yes  </w:t>
      </w:r>
      <w:r>
        <w:rPr>
          <w:rFonts w:ascii="Times New Roman;serif" w:hAnsi="Times New Roman;serif"/>
          <w:caps w:val="false"/>
          <w:smallCaps w:val="false"/>
          <w:sz w:val="20"/>
        </w:rPr>
        <w:t>☐ </w:t>
      </w:r>
      <w:r>
        <w:rPr>
          <w:rFonts w:ascii="Times New Roman;serif" w:hAnsi="Times New Roman;serif"/>
          <w:b w:val="false"/>
          <w:i w:val="false"/>
          <w:caps w:val="false"/>
          <w:smallCaps w:val="false"/>
          <w:sz w:val="20"/>
        </w:rPr>
        <w:t>No</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Indicate by check mark whether the registrant is a large accelerated filer, an accelerated filer, a non-accelerated filer, a smaller reporting company or emerging growth company. See the definitions of “large accelerated filer,” “accelerated filer,” “small reporting company,” and “emerging growth company” in Rule 12(b)-2 of the Exchange Act.: </w:t>
      </w:r>
    </w:p>
    <w:tbl>
      <w:tblPr>
        <w:tblW w:w="4982" w:type="dxa"/>
        <w:jc w:val="left"/>
        <w:tblInd w:w="0" w:type="dxa"/>
        <w:tblLayout w:type="fixed"/>
        <w:tblCellMar>
          <w:top w:w="0" w:type="dxa"/>
          <w:left w:w="0" w:type="dxa"/>
          <w:bottom w:w="0" w:type="dxa"/>
          <w:right w:w="0" w:type="dxa"/>
        </w:tblCellMar>
      </w:tblPr>
      <w:tblGrid>
        <w:gridCol w:w="2551"/>
        <w:gridCol w:w="2431"/>
      </w:tblGrid>
      <w:tr>
        <w:trPr/>
        <w:tc>
          <w:tcPr>
            <w:tcW w:w="255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r>
      <w:tr>
        <w:trPr/>
        <w:tc>
          <w:tcPr>
            <w:tcW w:w="2551" w:type="dxa"/>
            <w:tcBorders/>
            <w:vAlign w:val="center"/>
          </w:tcPr>
          <w:p>
            <w:pPr>
              <w:pStyle w:val="TableContents"/>
              <w:bidi w:val="0"/>
              <w:spacing w:lineRule="auto" w:line="259" w:before="0" w:after="283"/>
              <w:jc w:val="both"/>
              <w:rPr>
                <w:rFonts w:ascii="Times New Roman;serif" w:hAnsi="Times New Roman;serif"/>
                <w:sz w:val="20"/>
              </w:rPr>
            </w:pPr>
            <w:r>
              <w:rPr>
                <w:rFonts w:ascii="Times New Roman;serif" w:hAnsi="Times New Roman;serif"/>
                <w:b w:val="false"/>
                <w:i w:val="false"/>
                <w:caps w:val="false"/>
                <w:smallCaps w:val="false"/>
                <w:sz w:val="20"/>
              </w:rPr>
              <w:t>Large accelerated filer</w:t>
            </w:r>
            <w:r>
              <w:rPr>
                <w:rFonts w:ascii="Times New Roman;serif" w:hAnsi="Times New Roman;serif"/>
                <w:caps w:val="false"/>
                <w:smallCaps w:val="false"/>
                <w:sz w:val="20"/>
              </w:rPr>
              <w:t xml:space="preserve"> ☑</w:t>
            </w:r>
          </w:p>
        </w:tc>
        <w:tc>
          <w:tcPr>
            <w:tcW w:w="2431" w:type="dxa"/>
            <w:tcBorders/>
            <w:vAlign w:val="center"/>
          </w:tcPr>
          <w:p>
            <w:pPr>
              <w:pStyle w:val="TableContents"/>
              <w:bidi w:val="0"/>
              <w:spacing w:lineRule="auto" w:line="259" w:before="0" w:after="283"/>
              <w:jc w:val="both"/>
              <w:rPr>
                <w:rFonts w:ascii="Times New Roman;serif" w:hAnsi="Times New Roman;serif"/>
                <w:sz w:val="20"/>
              </w:rPr>
            </w:pPr>
            <w:r>
              <w:rPr>
                <w:rFonts w:ascii="Times New Roman;serif" w:hAnsi="Times New Roman;serif"/>
                <w:b w:val="false"/>
                <w:i w:val="false"/>
                <w:caps w:val="false"/>
                <w:smallCaps w:val="false"/>
                <w:sz w:val="20"/>
              </w:rPr>
              <w:t xml:space="preserve">Accelerated filer </w:t>
            </w:r>
            <w:r>
              <w:rPr>
                <w:rFonts w:ascii="Times New Roman;serif" w:hAnsi="Times New Roman;serif"/>
                <w:caps w:val="false"/>
                <w:smallCaps w:val="false"/>
                <w:sz w:val="20"/>
              </w:rPr>
              <w:t>☐</w:t>
            </w:r>
          </w:p>
        </w:tc>
      </w:tr>
      <w:tr>
        <w:trPr/>
        <w:tc>
          <w:tcPr>
            <w:tcW w:w="2551" w:type="dxa"/>
            <w:tcBorders/>
            <w:vAlign w:val="center"/>
          </w:tcPr>
          <w:p>
            <w:pPr>
              <w:pStyle w:val="TableContents"/>
              <w:bidi w:val="0"/>
              <w:spacing w:lineRule="auto" w:line="259" w:before="0" w:after="283"/>
              <w:jc w:val="both"/>
              <w:rPr>
                <w:rFonts w:ascii="Times New Roman;serif" w:hAnsi="Times New Roman;serif"/>
                <w:sz w:val="20"/>
              </w:rPr>
            </w:pPr>
            <w:r>
              <w:rPr>
                <w:rFonts w:ascii="Times New Roman;serif" w:hAnsi="Times New Roman;serif"/>
                <w:b w:val="false"/>
                <w:i w:val="false"/>
                <w:caps w:val="false"/>
                <w:smallCaps w:val="false"/>
                <w:sz w:val="20"/>
              </w:rPr>
              <w:t xml:space="preserve">Non-accelerated filer </w:t>
            </w:r>
            <w:r>
              <w:rPr>
                <w:rFonts w:ascii="Times New Roman;serif" w:hAnsi="Times New Roman;serif"/>
                <w:caps w:val="false"/>
                <w:smallCaps w:val="false"/>
                <w:sz w:val="20"/>
              </w:rPr>
              <w:t xml:space="preserve">☐ </w:t>
            </w:r>
          </w:p>
        </w:tc>
        <w:tc>
          <w:tcPr>
            <w:tcW w:w="2431" w:type="dxa"/>
            <w:tcBorders/>
            <w:vAlign w:val="center"/>
          </w:tcPr>
          <w:p>
            <w:pPr>
              <w:pStyle w:val="TableContents"/>
              <w:bidi w:val="0"/>
              <w:spacing w:lineRule="auto" w:line="259" w:before="0" w:after="283"/>
              <w:jc w:val="both"/>
              <w:rPr>
                <w:rFonts w:ascii="Times New Roman;serif" w:hAnsi="Times New Roman;serif"/>
                <w:sz w:val="20"/>
              </w:rPr>
            </w:pPr>
            <w:r>
              <w:rPr>
                <w:rFonts w:ascii="Times New Roman;serif" w:hAnsi="Times New Roman;serif"/>
                <w:b w:val="false"/>
                <w:i w:val="false"/>
                <w:caps w:val="false"/>
                <w:smallCaps w:val="false"/>
                <w:sz w:val="20"/>
              </w:rPr>
              <w:t xml:space="preserve">Small reporting company </w:t>
            </w:r>
            <w:r>
              <w:rPr>
                <w:rFonts w:ascii="Times New Roman;serif" w:hAnsi="Times New Roman;serif"/>
                <w:caps w:val="false"/>
                <w:smallCaps w:val="false"/>
                <w:sz w:val="20"/>
              </w:rPr>
              <w:t>☐</w:t>
            </w:r>
          </w:p>
        </w:tc>
      </w:tr>
      <w:tr>
        <w:trPr/>
        <w:tc>
          <w:tcPr>
            <w:tcW w:w="2551" w:type="dxa"/>
            <w:tcBorders/>
            <w:vAlign w:val="center"/>
          </w:tcPr>
          <w:p>
            <w:pPr>
              <w:pStyle w:val="TableContents"/>
              <w:bidi w:val="0"/>
              <w:spacing w:lineRule="auto" w:line="259" w:before="0" w:after="283"/>
              <w:jc w:val="both"/>
              <w:rPr>
                <w:rFonts w:ascii="Times New Roman;serif" w:hAnsi="Times New Roman;serif"/>
                <w:sz w:val="20"/>
              </w:rPr>
            </w:pPr>
            <w:r>
              <w:rPr>
                <w:rFonts w:ascii="Times New Roman;serif" w:hAnsi="Times New Roman;serif"/>
                <w:b w:val="false"/>
                <w:i w:val="false"/>
                <w:caps w:val="false"/>
                <w:smallCaps w:val="false"/>
                <w:sz w:val="20"/>
              </w:rPr>
              <w:t xml:space="preserve">Emerging growth company </w:t>
            </w:r>
            <w:r>
              <w:rPr>
                <w:rFonts w:ascii="Times New Roman;serif" w:hAnsi="Times New Roman;serif"/>
                <w:caps w:val="false"/>
                <w:smallCaps w:val="false"/>
                <w:sz w:val="20"/>
              </w:rPr>
              <w:t>☐</w:t>
            </w:r>
          </w:p>
        </w:tc>
        <w:tc>
          <w:tcPr>
            <w:tcW w:w="2431"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before="60" w:after="283"/>
        <w:jc w:val="both"/>
        <w:rPr>
          <w:rFonts w:ascii="Times New Roman;serif" w:hAnsi="Times New Roman;serif"/>
          <w:sz w:val="20"/>
        </w:rPr>
      </w:pPr>
      <w:r>
        <w:rPr>
          <w:rFonts w:ascii="Times New Roman;serif" w:hAnsi="Times New Roman;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serif" w:hAnsi="Times New Roman;serif"/>
          <w:caps w:val="false"/>
          <w:smallCaps w:val="false"/>
          <w:sz w:val="20"/>
        </w:rPr>
        <w:t>☐</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serif" w:hAnsi="Times New Roman;serif"/>
          <w:caps w:val="false"/>
          <w:smallCaps w:val="false"/>
          <w:color w:val="000000"/>
          <w:sz w:val="20"/>
        </w:rPr>
        <w:t>☑</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serif" w:hAnsi="Times New Roman;serif"/>
          <w:caps w:val="false"/>
          <w:smallCaps w:val="false"/>
          <w:sz w:val="20"/>
        </w:rPr>
        <w:t xml:space="preserve"> ☐</w:t>
      </w:r>
      <w:r>
        <w:rPr>
          <w:rFonts w:ascii="Times New Roman;serif" w:hAnsi="Times New Roman;serif"/>
          <w:caps w:val="false"/>
          <w:smallCaps w:val="false"/>
          <w:color w:val="000000"/>
          <w:sz w:val="20"/>
        </w:rPr>
        <w:t xml:space="preserve"> </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color w:val="000000"/>
          <w:sz w:val="20"/>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serif" w:hAnsi="Times New Roman;serif"/>
          <w:b w:val="false"/>
          <w:i w:val="false"/>
          <w:caps w:val="false"/>
          <w:smallCaps w:val="false"/>
          <w:color w:val="333333"/>
          <w:sz w:val="20"/>
          <w:shd w:fill="FFFFFF" w:val="clear"/>
        </w:rPr>
        <w:t>§</w:t>
      </w:r>
      <w:r>
        <w:rPr>
          <w:rFonts w:ascii="Times New Roman;serif" w:hAnsi="Times New Roman;serif"/>
          <w:b w:val="false"/>
          <w:i w:val="false"/>
          <w:caps w:val="false"/>
          <w:smallCaps w:val="false"/>
          <w:color w:val="000000"/>
          <w:sz w:val="20"/>
        </w:rPr>
        <w:t>240.10D.1(b)</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 </w:t>
      </w:r>
      <w:r>
        <w:rPr>
          <w:rFonts w:ascii="Times New Roman;serif" w:hAnsi="Times New Roman;serif"/>
          <w:caps w:val="false"/>
          <w:smallCaps w:val="false"/>
          <w:sz w:val="20"/>
        </w:rPr>
        <w:t>☐</w:t>
      </w:r>
    </w:p>
    <w:p>
      <w:pPr>
        <w:pStyle w:val="TextBody"/>
        <w:bidi w:val="0"/>
        <w:spacing w:lineRule="auto" w:line="259"/>
        <w:jc w:val="both"/>
        <w:rPr>
          <w:rFonts w:ascii="Times New Roman;serif" w:hAnsi="Times New Roman;serif"/>
          <w:sz w:val="20"/>
        </w:rPr>
      </w:pPr>
      <w:r>
        <w:rPr>
          <w:rFonts w:ascii="Times New Roman;serif" w:hAnsi="Times New Roman;serif"/>
          <w:b w:val="false"/>
          <w:i w:val="false"/>
          <w:caps w:val="false"/>
          <w:smallCaps w:val="false"/>
          <w:sz w:val="20"/>
        </w:rPr>
        <w:t xml:space="preserve">Indicate by check mark whether the registrant is a shell company (as defined in Rule 12b-2 of the Act).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Yes </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No</w:t>
      </w:r>
    </w:p>
    <w:p>
      <w:pPr>
        <w:pStyle w:val="TextBody"/>
        <w:bidi w:val="0"/>
        <w:spacing w:lineRule="auto" w:line="259"/>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aggregate market value of the voting and non-voting common equity held by non-affiliates of the registrant as of June 30, 2024: $10,196,364,496</w:t>
      </w:r>
    </w:p>
    <w:p>
      <w:pPr>
        <w:pStyle w:val="TextBody"/>
        <w:bidi w:val="0"/>
        <w:spacing w:lineRule="auto" w:line="259"/>
        <w:jc w:val="both"/>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The number of shares outstanding of the registrant’s common stock as of February 24, 2025: 274,922,770</w:t>
      </w:r>
    </w:p>
    <w:p>
      <w:pPr>
        <w:pStyle w:val="TextBody"/>
        <w:bidi w:val="0"/>
        <w:spacing w:lineRule="auto" w:line="259"/>
        <w:jc w:val="center"/>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DOCUMENTS INCORPORATED BY REFERENCE</w:t>
      </w:r>
    </w:p>
    <w:p>
      <w:pPr>
        <w:pStyle w:val="TextBody"/>
        <w:bidi w:val="0"/>
        <w:spacing w:lineRule="auto" w:line="259"/>
        <w:ind w:left="274" w:right="0" w:hanging="274"/>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 Portions of the definitive Proxy Statement, relating to the 2025 annual meeting of shareholders of registrant, to be filed within 120 days after the end of the fiscal year covered by this Form 10-K, have been incorporated by reference into Part III of this Form 10-K</w:t>
      </w:r>
    </w:p>
    <w:p>
      <w:pPr>
        <w:pStyle w:val="HorizontalLine"/>
        <w:pBdr>
          <w:bottom w:val="double" w:sz="2" w:space="0" w:color="808080"/>
        </w:pBdr>
        <w:bidi w:val="0"/>
        <w:spacing w:before="0" w:after="283"/>
        <w:jc w:val="left"/>
        <w:rPr/>
      </w:pPr>
      <w:r>
        <w:rPr/>
      </w:r>
    </w:p>
    <w:p>
      <w:pPr>
        <w:pStyle w:val="TextBody"/>
        <w:bidi w:val="0"/>
        <w:spacing w:lineRule="auto" w:line="259" w:before="0" w:after="100"/>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TABLE OF CONTENTS</w:t>
      </w:r>
      <w:bookmarkStart w:id="2" w:name="Table_of_Contents"/>
      <w:bookmarkEnd w:id="2"/>
    </w:p>
    <w:tbl>
      <w:tblPr>
        <w:tblW w:w="10205" w:type="dxa"/>
        <w:jc w:val="left"/>
        <w:tblInd w:w="0" w:type="dxa"/>
        <w:tblLayout w:type="fixed"/>
        <w:tblCellMar>
          <w:top w:w="0" w:type="dxa"/>
          <w:left w:w="0" w:type="dxa"/>
          <w:bottom w:w="0" w:type="dxa"/>
          <w:right w:w="0" w:type="dxa"/>
        </w:tblCellMar>
      </w:tblPr>
      <w:tblGrid>
        <w:gridCol w:w="894"/>
        <w:gridCol w:w="7285"/>
        <w:gridCol w:w="1513"/>
        <w:gridCol w:w="513"/>
      </w:tblGrid>
      <w:tr>
        <w:trPr/>
        <w:tc>
          <w:tcPr>
            <w:tcW w:w="894" w:type="dxa"/>
            <w:tcBorders/>
            <w:shd w:fill="FFFFFF" w:val="clear"/>
            <w:vAlign w:val="center"/>
          </w:tcPr>
          <w:p>
            <w:pPr>
              <w:pStyle w:val="TableContents"/>
              <w:bidi w:val="0"/>
              <w:spacing w:before="0" w:after="283"/>
              <w:jc w:val="left"/>
              <w:rPr>
                <w:sz w:val="4"/>
                <w:szCs w:val="4"/>
              </w:rPr>
            </w:pPr>
            <w:r>
              <w:rPr>
                <w:sz w:val="4"/>
                <w:szCs w:val="4"/>
              </w:rPr>
            </w:r>
          </w:p>
        </w:tc>
        <w:tc>
          <w:tcPr>
            <w:tcW w:w="7285" w:type="dxa"/>
            <w:tcBorders/>
            <w:shd w:fill="FFFFFF" w:val="clear"/>
            <w:vAlign w:val="center"/>
          </w:tcPr>
          <w:p>
            <w:pPr>
              <w:pStyle w:val="TableContents"/>
              <w:bidi w:val="0"/>
              <w:spacing w:before="0" w:after="283"/>
              <w:jc w:val="left"/>
              <w:rPr>
                <w:sz w:val="4"/>
                <w:szCs w:val="4"/>
              </w:rPr>
            </w:pPr>
            <w:r>
              <w:rPr>
                <w:sz w:val="4"/>
                <w:szCs w:val="4"/>
              </w:rPr>
            </w:r>
          </w:p>
        </w:tc>
        <w:tc>
          <w:tcPr>
            <w:tcW w:w="2026"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10205" w:type="dxa"/>
            <w:gridSpan w:val="4"/>
            <w:tcBorders/>
            <w:shd w:fill="FFFFFF" w:val="clear"/>
            <w:vAlign w:val="center"/>
          </w:tcPr>
          <w:p>
            <w:pPr>
              <w:pStyle w:val="TableContents"/>
              <w:bidi w:val="0"/>
              <w:spacing w:lineRule="auto" w:line="259"/>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Part I</w:t>
            </w:r>
          </w:p>
          <w:p>
            <w:pPr>
              <w:pStyle w:val="TableContents"/>
              <w:bidi w:val="0"/>
              <w:spacing w:lineRule="auto" w:line="259" w:before="0" w:after="283"/>
              <w:jc w:val="center"/>
              <w:rPr>
                <w:caps w:val="false"/>
                <w:smallCaps w:val="false"/>
              </w:rPr>
            </w:pPr>
            <w:r>
              <w:rPr>
                <w:caps w:val="false"/>
                <w:smallCaps w:val="false"/>
              </w:rPr>
              <w:t> </w:t>
            </w:r>
          </w:p>
        </w:tc>
      </w:tr>
      <w:tr>
        <w:trPr/>
        <w:tc>
          <w:tcPr>
            <w:tcW w:w="10205" w:type="dxa"/>
            <w:gridSpan w:val="4"/>
            <w:tcBorders/>
            <w:shd w:fill="FFFF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u w:val="single"/>
              </w:rPr>
            </w:pPr>
            <w:r>
              <w:rPr>
                <w:rFonts w:ascii="Times New Roman;serif" w:hAnsi="Times New Roman;serif"/>
                <w:b w:val="false"/>
                <w:i w:val="false"/>
                <w:caps w:val="false"/>
                <w:smallCaps w:val="false"/>
                <w:sz w:val="22"/>
                <w:u w:val="single"/>
              </w:rPr>
              <w:t>Page</w:t>
            </w:r>
          </w:p>
        </w:tc>
      </w:tr>
      <w:tr>
        <w:trPr/>
        <w:tc>
          <w:tcPr>
            <w:tcW w:w="8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1.</w:t>
            </w:r>
          </w:p>
        </w:tc>
        <w:tc>
          <w:tcPr>
            <w:tcW w:w="8798" w:type="dxa"/>
            <w:gridSpan w:val="2"/>
            <w:tcBorders/>
            <w:shd w:fill="CCEEFF" w:val="clear"/>
            <w:vAlign w:val="center"/>
          </w:tcPr>
          <w:p>
            <w:pPr>
              <w:pStyle w:val="TableContents"/>
              <w:bidi w:val="0"/>
              <w:spacing w:lineRule="auto" w:line="259" w:before="0" w:after="283"/>
              <w:jc w:val="left"/>
              <w:rPr/>
            </w:pPr>
            <w:hyperlink w:anchor="Business">
              <w:r>
                <w:rPr>
                  <w:rStyle w:val="InternetLink"/>
                  <w:rFonts w:ascii="Times New Roman;serif" w:hAnsi="Times New Roman;serif"/>
                  <w:b w:val="false"/>
                  <w:i w:val="false"/>
                  <w:caps w:val="false"/>
                  <w:smallCaps w:val="false"/>
                  <w:strike w:val="false"/>
                  <w:dstrike w:val="false"/>
                  <w:color w:val="0000FF"/>
                  <w:sz w:val="22"/>
                  <w:u w:val="single"/>
                  <w:effect w:val="none"/>
                </w:rPr>
                <w:t>Business</w:t>
              </w:r>
            </w:hyperlink>
          </w:p>
        </w:tc>
        <w:tc>
          <w:tcPr>
            <w:tcW w:w="51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w:t>
            </w:r>
          </w:p>
        </w:tc>
      </w:tr>
      <w:tr>
        <w:trPr/>
        <w:tc>
          <w:tcPr>
            <w:tcW w:w="89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1A.</w:t>
            </w:r>
          </w:p>
        </w:tc>
        <w:tc>
          <w:tcPr>
            <w:tcW w:w="8798" w:type="dxa"/>
            <w:gridSpan w:val="2"/>
            <w:tcBorders/>
            <w:shd w:fill="FFFFFF" w:val="clear"/>
            <w:vAlign w:val="center"/>
          </w:tcPr>
          <w:p>
            <w:pPr>
              <w:pStyle w:val="TableContents"/>
              <w:bidi w:val="0"/>
              <w:spacing w:lineRule="auto" w:line="259" w:before="0" w:after="283"/>
              <w:jc w:val="left"/>
              <w:rPr/>
            </w:pPr>
            <w:hyperlink w:anchor="RiskFactors">
              <w:r>
                <w:rPr>
                  <w:rStyle w:val="InternetLink"/>
                  <w:rFonts w:ascii="Times New Roman;serif" w:hAnsi="Times New Roman;serif"/>
                  <w:b w:val="false"/>
                  <w:i w:val="false"/>
                  <w:caps w:val="false"/>
                  <w:smallCaps w:val="false"/>
                  <w:strike w:val="false"/>
                  <w:dstrike w:val="false"/>
                  <w:color w:val="0000FF"/>
                  <w:sz w:val="22"/>
                  <w:u w:val="single"/>
                  <w:effect w:val="none"/>
                </w:rPr>
                <w:t>Risk Factors</w:t>
              </w:r>
            </w:hyperlink>
          </w:p>
        </w:tc>
        <w:tc>
          <w:tcPr>
            <w:tcW w:w="513" w:type="dxa"/>
            <w:tcBorders/>
            <w:shd w:fill="FFFF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17</w:t>
            </w:r>
          </w:p>
        </w:tc>
      </w:tr>
      <w:tr>
        <w:trPr/>
        <w:tc>
          <w:tcPr>
            <w:tcW w:w="8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1B.</w:t>
            </w:r>
          </w:p>
        </w:tc>
        <w:tc>
          <w:tcPr>
            <w:tcW w:w="8798" w:type="dxa"/>
            <w:gridSpan w:val="2"/>
            <w:tcBorders/>
            <w:shd w:fill="CCEEFF" w:val="clear"/>
            <w:vAlign w:val="center"/>
          </w:tcPr>
          <w:p>
            <w:pPr>
              <w:pStyle w:val="TableContents"/>
              <w:bidi w:val="0"/>
              <w:spacing w:lineRule="auto" w:line="259" w:before="0" w:after="283"/>
              <w:jc w:val="left"/>
              <w:rPr/>
            </w:pPr>
            <w:hyperlink w:anchor="Unresolved_Staff_Comments">
              <w:r>
                <w:rPr>
                  <w:rStyle w:val="InternetLink"/>
                  <w:rFonts w:ascii="Times New Roman;serif" w:hAnsi="Times New Roman;serif"/>
                  <w:b w:val="false"/>
                  <w:i w:val="false"/>
                  <w:caps w:val="false"/>
                  <w:smallCaps w:val="false"/>
                  <w:strike w:val="false"/>
                  <w:dstrike w:val="false"/>
                  <w:color w:val="0000FF"/>
                  <w:sz w:val="22"/>
                  <w:u w:val="single"/>
                  <w:effect w:val="none"/>
                </w:rPr>
                <w:t>Unresolved Staff Comments</w:t>
              </w:r>
            </w:hyperlink>
          </w:p>
        </w:tc>
        <w:tc>
          <w:tcPr>
            <w:tcW w:w="51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34</w:t>
            </w:r>
          </w:p>
        </w:tc>
      </w:tr>
      <w:tr>
        <w:trPr/>
        <w:tc>
          <w:tcPr>
            <w:tcW w:w="89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Item 1C. </w:t>
            </w:r>
          </w:p>
        </w:tc>
        <w:tc>
          <w:tcPr>
            <w:tcW w:w="8798" w:type="dxa"/>
            <w:gridSpan w:val="2"/>
            <w:tcBorders/>
            <w:shd w:fill="FFFFFF" w:val="clear"/>
            <w:vAlign w:val="center"/>
          </w:tcPr>
          <w:p>
            <w:pPr>
              <w:pStyle w:val="TableContents"/>
              <w:bidi w:val="0"/>
              <w:spacing w:lineRule="auto" w:line="259" w:before="0" w:after="283"/>
              <w:jc w:val="left"/>
              <w:rPr/>
            </w:pPr>
            <w:hyperlink w:anchor="Cybersecurity">
              <w:r>
                <w:rPr>
                  <w:rStyle w:val="InternetLink"/>
                  <w:rFonts w:ascii="Times New Roman;serif" w:hAnsi="Times New Roman;serif"/>
                  <w:b w:val="false"/>
                  <w:i w:val="false"/>
                  <w:caps w:val="false"/>
                  <w:smallCaps w:val="false"/>
                  <w:strike w:val="false"/>
                  <w:dstrike w:val="false"/>
                  <w:color w:val="0000FF"/>
                  <w:sz w:val="22"/>
                  <w:u w:val="single"/>
                  <w:effect w:val="none"/>
                </w:rPr>
                <w:t>Cybersecurity</w:t>
              </w:r>
            </w:hyperlink>
          </w:p>
        </w:tc>
        <w:tc>
          <w:tcPr>
            <w:tcW w:w="513" w:type="dxa"/>
            <w:tcBorders/>
            <w:shd w:fill="FFFF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34</w:t>
            </w:r>
          </w:p>
        </w:tc>
      </w:tr>
      <w:tr>
        <w:trPr/>
        <w:tc>
          <w:tcPr>
            <w:tcW w:w="8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2.</w:t>
            </w:r>
          </w:p>
        </w:tc>
        <w:tc>
          <w:tcPr>
            <w:tcW w:w="8798" w:type="dxa"/>
            <w:gridSpan w:val="2"/>
            <w:tcBorders/>
            <w:shd w:fill="CCEEFF" w:val="clear"/>
            <w:vAlign w:val="center"/>
          </w:tcPr>
          <w:p>
            <w:pPr>
              <w:pStyle w:val="TableContents"/>
              <w:bidi w:val="0"/>
              <w:spacing w:lineRule="auto" w:line="259" w:before="0" w:after="283"/>
              <w:jc w:val="left"/>
              <w:rPr/>
            </w:pPr>
            <w:hyperlink w:anchor="Properties">
              <w:r>
                <w:rPr>
                  <w:rStyle w:val="InternetLink"/>
                  <w:rFonts w:ascii="Times New Roman;serif" w:hAnsi="Times New Roman;serif"/>
                  <w:b w:val="false"/>
                  <w:i w:val="false"/>
                  <w:caps w:val="false"/>
                  <w:smallCaps w:val="false"/>
                  <w:strike w:val="false"/>
                  <w:dstrike w:val="false"/>
                  <w:color w:val="0000FF"/>
                  <w:sz w:val="22"/>
                  <w:u w:val="single"/>
                  <w:effect w:val="none"/>
                </w:rPr>
                <w:t>Properties</w:t>
              </w:r>
            </w:hyperlink>
          </w:p>
        </w:tc>
        <w:tc>
          <w:tcPr>
            <w:tcW w:w="51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35</w:t>
            </w:r>
          </w:p>
        </w:tc>
      </w:tr>
      <w:tr>
        <w:trPr/>
        <w:tc>
          <w:tcPr>
            <w:tcW w:w="89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3.</w:t>
            </w:r>
          </w:p>
        </w:tc>
        <w:tc>
          <w:tcPr>
            <w:tcW w:w="8798" w:type="dxa"/>
            <w:gridSpan w:val="2"/>
            <w:tcBorders/>
            <w:shd w:fill="FFFFFF" w:val="clear"/>
            <w:vAlign w:val="center"/>
          </w:tcPr>
          <w:p>
            <w:pPr>
              <w:pStyle w:val="TableContents"/>
              <w:bidi w:val="0"/>
              <w:spacing w:lineRule="auto" w:line="259" w:before="0" w:after="283"/>
              <w:jc w:val="left"/>
              <w:rPr/>
            </w:pPr>
            <w:hyperlink w:anchor="LegalProceedings">
              <w:r>
                <w:rPr>
                  <w:rStyle w:val="InternetLink"/>
                  <w:rFonts w:ascii="Times New Roman;serif" w:hAnsi="Times New Roman;serif"/>
                  <w:b w:val="false"/>
                  <w:i w:val="false"/>
                  <w:caps w:val="false"/>
                  <w:smallCaps w:val="false"/>
                  <w:strike w:val="false"/>
                  <w:dstrike w:val="false"/>
                  <w:color w:val="0000FF"/>
                  <w:sz w:val="22"/>
                  <w:u w:val="single"/>
                  <w:effect w:val="none"/>
                </w:rPr>
                <w:t>Legal Proceedings</w:t>
              </w:r>
            </w:hyperlink>
          </w:p>
        </w:tc>
        <w:tc>
          <w:tcPr>
            <w:tcW w:w="513" w:type="dxa"/>
            <w:tcBorders/>
            <w:shd w:fill="FFFF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35</w:t>
            </w:r>
          </w:p>
        </w:tc>
      </w:tr>
      <w:tr>
        <w:trPr/>
        <w:tc>
          <w:tcPr>
            <w:tcW w:w="8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4.</w:t>
            </w:r>
          </w:p>
        </w:tc>
        <w:tc>
          <w:tcPr>
            <w:tcW w:w="8798" w:type="dxa"/>
            <w:gridSpan w:val="2"/>
            <w:tcBorders/>
            <w:shd w:fill="CCEEFF" w:val="clear"/>
            <w:vAlign w:val="center"/>
          </w:tcPr>
          <w:p>
            <w:pPr>
              <w:pStyle w:val="TableContents"/>
              <w:bidi w:val="0"/>
              <w:spacing w:lineRule="auto" w:line="259" w:before="0" w:after="283"/>
              <w:jc w:val="left"/>
              <w:rPr/>
            </w:pPr>
            <w:hyperlink w:anchor="MineSafetyDisclosures">
              <w:r>
                <w:rPr>
                  <w:rStyle w:val="InternetLink"/>
                  <w:rFonts w:ascii="Times New Roman;serif" w:hAnsi="Times New Roman;serif"/>
                  <w:b w:val="false"/>
                  <w:i w:val="false"/>
                  <w:caps w:val="false"/>
                  <w:smallCaps w:val="false"/>
                  <w:strike w:val="false"/>
                  <w:dstrike w:val="false"/>
                  <w:color w:val="0000FF"/>
                  <w:sz w:val="22"/>
                  <w:u w:val="single"/>
                  <w:effect w:val="none"/>
                </w:rPr>
                <w:t>Mine Safety Disclosures</w:t>
              </w:r>
            </w:hyperlink>
          </w:p>
        </w:tc>
        <w:tc>
          <w:tcPr>
            <w:tcW w:w="51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35</w:t>
            </w:r>
          </w:p>
        </w:tc>
      </w:tr>
      <w:tr>
        <w:trPr/>
        <w:tc>
          <w:tcPr>
            <w:tcW w:w="10205" w:type="dxa"/>
            <w:gridSpan w:val="4"/>
            <w:tcBorders/>
            <w:shd w:fill="FFFFFF" w:val="clear"/>
            <w:vAlign w:val="center"/>
          </w:tcPr>
          <w:p>
            <w:pPr>
              <w:pStyle w:val="TableContents"/>
              <w:bidi w:val="0"/>
              <w:spacing w:lineRule="auto" w:line="259"/>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Part II</w:t>
            </w:r>
          </w:p>
          <w:p>
            <w:pPr>
              <w:pStyle w:val="TableContents"/>
              <w:bidi w:val="0"/>
              <w:spacing w:lineRule="auto" w:line="259" w:before="0" w:after="283"/>
              <w:jc w:val="center"/>
              <w:rPr>
                <w:caps w:val="false"/>
                <w:smallCaps w:val="false"/>
              </w:rPr>
            </w:pPr>
            <w:r>
              <w:rPr>
                <w:caps w:val="false"/>
                <w:smallCaps w:val="false"/>
              </w:rPr>
              <w:t> </w:t>
            </w:r>
          </w:p>
        </w:tc>
      </w:tr>
      <w:tr>
        <w:trPr/>
        <w:tc>
          <w:tcPr>
            <w:tcW w:w="8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5.</w:t>
            </w:r>
          </w:p>
        </w:tc>
        <w:tc>
          <w:tcPr>
            <w:tcW w:w="8798" w:type="dxa"/>
            <w:gridSpan w:val="2"/>
            <w:tcBorders/>
            <w:shd w:fill="CCEEFF" w:val="clear"/>
            <w:vAlign w:val="center"/>
          </w:tcPr>
          <w:p>
            <w:pPr>
              <w:pStyle w:val="TableContents"/>
              <w:bidi w:val="0"/>
              <w:spacing w:lineRule="auto" w:line="259" w:before="0" w:after="283"/>
              <w:jc w:val="left"/>
              <w:rPr/>
            </w:pPr>
            <w:hyperlink w:anchor="MarketforRegistrantsCommonStock">
              <w:r>
                <w:rPr>
                  <w:rStyle w:val="InternetLink"/>
                  <w:rFonts w:ascii="Times New Roman;serif" w:hAnsi="Times New Roman;serif"/>
                  <w:b w:val="false"/>
                  <w:i w:val="false"/>
                  <w:caps w:val="false"/>
                  <w:smallCaps w:val="false"/>
                  <w:strike w:val="false"/>
                  <w:dstrike w:val="false"/>
                  <w:color w:val="0000FF"/>
                  <w:sz w:val="22"/>
                  <w:u w:val="single"/>
                  <w:effect w:val="none"/>
                </w:rPr>
                <w:t>Market for the Registrant’s Common Stock, Related Stockholder Matters and Issuer Purchases of Equity Securities</w:t>
              </w:r>
            </w:hyperlink>
          </w:p>
        </w:tc>
        <w:tc>
          <w:tcPr>
            <w:tcW w:w="51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36</w:t>
            </w:r>
          </w:p>
        </w:tc>
      </w:tr>
      <w:tr>
        <w:trPr/>
        <w:tc>
          <w:tcPr>
            <w:tcW w:w="89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6.</w:t>
            </w:r>
          </w:p>
        </w:tc>
        <w:tc>
          <w:tcPr>
            <w:tcW w:w="8798" w:type="dxa"/>
            <w:gridSpan w:val="2"/>
            <w:tcBorders/>
            <w:shd w:fill="FFFFFF" w:val="clear"/>
            <w:vAlign w:val="center"/>
          </w:tcPr>
          <w:p>
            <w:pPr>
              <w:pStyle w:val="TableContents"/>
              <w:bidi w:val="0"/>
              <w:spacing w:lineRule="auto" w:line="259" w:before="0" w:after="283"/>
              <w:jc w:val="left"/>
              <w:rPr/>
            </w:pPr>
            <w:hyperlink w:anchor="Reserved">
              <w:r>
                <w:rPr>
                  <w:rStyle w:val="InternetLink"/>
                  <w:rFonts w:ascii="Times New Roman;serif" w:hAnsi="Times New Roman;serif"/>
                  <w:b w:val="false"/>
                  <w:i w:val="false"/>
                  <w:caps w:val="false"/>
                  <w:smallCaps w:val="false"/>
                  <w:strike w:val="false"/>
                  <w:dstrike w:val="false"/>
                  <w:color w:val="0000FF"/>
                  <w:sz w:val="22"/>
                  <w:u w:val="single"/>
                  <w:effect w:val="none"/>
                </w:rPr>
                <w:t>Reserved</w:t>
              </w:r>
            </w:hyperlink>
          </w:p>
        </w:tc>
        <w:tc>
          <w:tcPr>
            <w:tcW w:w="513" w:type="dxa"/>
            <w:tcBorders/>
            <w:shd w:fill="FFFF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36</w:t>
            </w:r>
          </w:p>
        </w:tc>
      </w:tr>
      <w:tr>
        <w:trPr/>
        <w:tc>
          <w:tcPr>
            <w:tcW w:w="8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7.</w:t>
            </w:r>
          </w:p>
        </w:tc>
        <w:tc>
          <w:tcPr>
            <w:tcW w:w="8798" w:type="dxa"/>
            <w:gridSpan w:val="2"/>
            <w:tcBorders/>
            <w:shd w:fill="CCEEFF" w:val="clear"/>
            <w:vAlign w:val="center"/>
          </w:tcPr>
          <w:p>
            <w:pPr>
              <w:pStyle w:val="TableContents"/>
              <w:bidi w:val="0"/>
              <w:spacing w:lineRule="auto" w:line="259" w:before="0" w:after="283"/>
              <w:jc w:val="left"/>
              <w:rPr/>
            </w:pPr>
            <w:hyperlink w:anchor="MDA">
              <w:r>
                <w:rPr>
                  <w:rStyle w:val="InternetLink"/>
                  <w:rFonts w:ascii="Times New Roman;serif" w:hAnsi="Times New Roman;serif"/>
                  <w:b w:val="false"/>
                  <w:i w:val="false"/>
                  <w:caps w:val="false"/>
                  <w:smallCaps w:val="false"/>
                  <w:strike w:val="false"/>
                  <w:dstrike w:val="false"/>
                  <w:color w:val="0000FF"/>
                  <w:sz w:val="22"/>
                  <w:u w:val="single"/>
                  <w:effect w:val="none"/>
                </w:rPr>
                <w:t>Management’s Discussion and Analysis of Financial Condition and Results of Operations</w:t>
              </w:r>
            </w:hyperlink>
          </w:p>
        </w:tc>
        <w:tc>
          <w:tcPr>
            <w:tcW w:w="51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37</w:t>
            </w:r>
          </w:p>
        </w:tc>
      </w:tr>
      <w:tr>
        <w:trPr/>
        <w:tc>
          <w:tcPr>
            <w:tcW w:w="89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7A</w:t>
            </w:r>
          </w:p>
        </w:tc>
        <w:tc>
          <w:tcPr>
            <w:tcW w:w="8798" w:type="dxa"/>
            <w:gridSpan w:val="2"/>
            <w:tcBorders/>
            <w:shd w:fill="FFFFFF" w:val="clear"/>
            <w:vAlign w:val="center"/>
          </w:tcPr>
          <w:p>
            <w:pPr>
              <w:pStyle w:val="TableContents"/>
              <w:bidi w:val="0"/>
              <w:spacing w:lineRule="auto" w:line="259" w:before="0" w:after="283"/>
              <w:jc w:val="left"/>
              <w:rPr/>
            </w:pPr>
            <w:hyperlink w:anchor="MarketRisk">
              <w:r>
                <w:rPr>
                  <w:rStyle w:val="InternetLink"/>
                  <w:rFonts w:ascii="Times New Roman;serif" w:hAnsi="Times New Roman;serif"/>
                  <w:b w:val="false"/>
                  <w:i w:val="false"/>
                  <w:caps w:val="false"/>
                  <w:smallCaps w:val="false"/>
                  <w:strike w:val="false"/>
                  <w:dstrike w:val="false"/>
                  <w:color w:val="0000FF"/>
                  <w:sz w:val="22"/>
                  <w:u w:val="single"/>
                  <w:effect w:val="none"/>
                </w:rPr>
                <w:t>Quantitative and Qualitative Disclosures About Market Risk</w:t>
              </w:r>
            </w:hyperlink>
          </w:p>
        </w:tc>
        <w:tc>
          <w:tcPr>
            <w:tcW w:w="513" w:type="dxa"/>
            <w:tcBorders/>
            <w:shd w:fill="FFFF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59</w:t>
            </w:r>
          </w:p>
        </w:tc>
      </w:tr>
      <w:tr>
        <w:trPr/>
        <w:tc>
          <w:tcPr>
            <w:tcW w:w="8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8.</w:t>
            </w:r>
          </w:p>
        </w:tc>
        <w:tc>
          <w:tcPr>
            <w:tcW w:w="8798" w:type="dxa"/>
            <w:gridSpan w:val="2"/>
            <w:tcBorders/>
            <w:shd w:fill="CCEEFF" w:val="clear"/>
            <w:vAlign w:val="center"/>
          </w:tcPr>
          <w:p>
            <w:pPr>
              <w:pStyle w:val="TableContents"/>
              <w:bidi w:val="0"/>
              <w:spacing w:lineRule="auto" w:line="259" w:before="0" w:after="283"/>
              <w:jc w:val="left"/>
              <w:rPr/>
            </w:pPr>
            <w:hyperlink w:anchor="FSandSupplementaryData">
              <w:r>
                <w:rPr>
                  <w:rStyle w:val="InternetLink"/>
                  <w:rFonts w:ascii="Times New Roman;serif" w:hAnsi="Times New Roman;serif"/>
                  <w:b w:val="false"/>
                  <w:i w:val="false"/>
                  <w:caps w:val="false"/>
                  <w:smallCaps w:val="false"/>
                  <w:strike w:val="false"/>
                  <w:dstrike w:val="false"/>
                  <w:color w:val="0000FF"/>
                  <w:sz w:val="22"/>
                  <w:u w:val="single"/>
                  <w:effect w:val="none"/>
                </w:rPr>
                <w:t>Financial Statements and Supplementary Data</w:t>
              </w:r>
            </w:hyperlink>
          </w:p>
        </w:tc>
        <w:tc>
          <w:tcPr>
            <w:tcW w:w="51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60</w:t>
            </w:r>
          </w:p>
        </w:tc>
      </w:tr>
      <w:tr>
        <w:trPr/>
        <w:tc>
          <w:tcPr>
            <w:tcW w:w="89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9.</w:t>
            </w:r>
          </w:p>
        </w:tc>
        <w:tc>
          <w:tcPr>
            <w:tcW w:w="8798" w:type="dxa"/>
            <w:gridSpan w:val="2"/>
            <w:tcBorders/>
            <w:shd w:fill="FFFFFF" w:val="clear"/>
            <w:vAlign w:val="center"/>
          </w:tcPr>
          <w:p>
            <w:pPr>
              <w:pStyle w:val="TableContents"/>
              <w:bidi w:val="0"/>
              <w:spacing w:lineRule="auto" w:line="259" w:before="0" w:after="283"/>
              <w:jc w:val="left"/>
              <w:rPr/>
            </w:pPr>
            <w:hyperlink w:anchor="ChangesinAccountants">
              <w:r>
                <w:rPr>
                  <w:rStyle w:val="InternetLink"/>
                  <w:rFonts w:ascii="Times New Roman;serif" w:hAnsi="Times New Roman;serif"/>
                  <w:b w:val="false"/>
                  <w:i w:val="false"/>
                  <w:caps w:val="false"/>
                  <w:smallCaps w:val="false"/>
                  <w:strike w:val="false"/>
                  <w:dstrike w:val="false"/>
                  <w:color w:val="0000FF"/>
                  <w:sz w:val="22"/>
                  <w:u w:val="single"/>
                  <w:effect w:val="none"/>
                </w:rPr>
                <w:t>Changes in and Disagreements with Accountants on Accounting and Financial Disclosure</w:t>
              </w:r>
            </w:hyperlink>
          </w:p>
        </w:tc>
        <w:tc>
          <w:tcPr>
            <w:tcW w:w="513" w:type="dxa"/>
            <w:tcBorders/>
            <w:shd w:fill="FFFF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112</w:t>
            </w:r>
          </w:p>
        </w:tc>
      </w:tr>
      <w:tr>
        <w:trPr/>
        <w:tc>
          <w:tcPr>
            <w:tcW w:w="8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9A.</w:t>
            </w:r>
          </w:p>
        </w:tc>
        <w:tc>
          <w:tcPr>
            <w:tcW w:w="8798" w:type="dxa"/>
            <w:gridSpan w:val="2"/>
            <w:tcBorders/>
            <w:shd w:fill="CCEEFF" w:val="clear"/>
            <w:vAlign w:val="center"/>
          </w:tcPr>
          <w:p>
            <w:pPr>
              <w:pStyle w:val="TableContents"/>
              <w:bidi w:val="0"/>
              <w:spacing w:lineRule="auto" w:line="259" w:before="0" w:after="283"/>
              <w:jc w:val="left"/>
              <w:rPr/>
            </w:pPr>
            <w:hyperlink w:anchor="ControlsandProcedures">
              <w:r>
                <w:rPr>
                  <w:rStyle w:val="InternetLink"/>
                  <w:rFonts w:ascii="Times New Roman;serif" w:hAnsi="Times New Roman;serif"/>
                  <w:b w:val="false"/>
                  <w:i w:val="false"/>
                  <w:caps w:val="false"/>
                  <w:smallCaps w:val="false"/>
                  <w:strike w:val="false"/>
                  <w:dstrike w:val="false"/>
                  <w:color w:val="0000FF"/>
                  <w:sz w:val="22"/>
                  <w:u w:val="single"/>
                  <w:effect w:val="none"/>
                </w:rPr>
                <w:t>Controls and Procedures</w:t>
              </w:r>
            </w:hyperlink>
          </w:p>
        </w:tc>
        <w:tc>
          <w:tcPr>
            <w:tcW w:w="51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112</w:t>
            </w:r>
          </w:p>
        </w:tc>
      </w:tr>
      <w:tr>
        <w:trPr/>
        <w:tc>
          <w:tcPr>
            <w:tcW w:w="89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9B.</w:t>
            </w:r>
          </w:p>
        </w:tc>
        <w:tc>
          <w:tcPr>
            <w:tcW w:w="8798" w:type="dxa"/>
            <w:gridSpan w:val="2"/>
            <w:tcBorders/>
            <w:shd w:fill="FFFFFF" w:val="clear"/>
            <w:vAlign w:val="center"/>
          </w:tcPr>
          <w:p>
            <w:pPr>
              <w:pStyle w:val="TableContents"/>
              <w:bidi w:val="0"/>
              <w:spacing w:lineRule="auto" w:line="259" w:before="0" w:after="283"/>
              <w:jc w:val="left"/>
              <w:rPr/>
            </w:pPr>
            <w:hyperlink w:anchor="OtherInformation">
              <w:r>
                <w:rPr>
                  <w:rStyle w:val="InternetLink"/>
                  <w:rFonts w:ascii="Times New Roman;serif" w:hAnsi="Times New Roman;serif"/>
                  <w:b w:val="false"/>
                  <w:i w:val="false"/>
                  <w:caps w:val="false"/>
                  <w:smallCaps w:val="false"/>
                  <w:strike w:val="false"/>
                  <w:dstrike w:val="false"/>
                  <w:color w:val="0000FF"/>
                  <w:sz w:val="22"/>
                  <w:u w:val="single"/>
                  <w:effect w:val="none"/>
                </w:rPr>
                <w:t>Other Information</w:t>
              </w:r>
            </w:hyperlink>
          </w:p>
        </w:tc>
        <w:tc>
          <w:tcPr>
            <w:tcW w:w="513" w:type="dxa"/>
            <w:tcBorders/>
            <w:shd w:fill="FFFF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113</w:t>
            </w:r>
          </w:p>
        </w:tc>
      </w:tr>
      <w:tr>
        <w:trPr/>
        <w:tc>
          <w:tcPr>
            <w:tcW w:w="8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9C.</w:t>
            </w:r>
          </w:p>
        </w:tc>
        <w:tc>
          <w:tcPr>
            <w:tcW w:w="8798" w:type="dxa"/>
            <w:gridSpan w:val="2"/>
            <w:tcBorders/>
            <w:shd w:fill="CCEEFF" w:val="clear"/>
            <w:vAlign w:val="center"/>
          </w:tcPr>
          <w:p>
            <w:pPr>
              <w:pStyle w:val="TableContents"/>
              <w:bidi w:val="0"/>
              <w:spacing w:lineRule="auto" w:line="259" w:before="0" w:after="283"/>
              <w:jc w:val="left"/>
              <w:rPr/>
            </w:pPr>
            <w:hyperlink w:anchor="ForeignJurisdictions">
              <w:r>
                <w:rPr>
                  <w:rStyle w:val="InternetLink"/>
                  <w:rFonts w:ascii="Times New Roman;serif" w:hAnsi="Times New Roman;serif"/>
                  <w:b w:val="false"/>
                  <w:i w:val="false"/>
                  <w:caps w:val="false"/>
                  <w:smallCaps w:val="false"/>
                  <w:strike w:val="false"/>
                  <w:dstrike w:val="false"/>
                  <w:color w:val="0000FF"/>
                  <w:sz w:val="22"/>
                  <w:u w:val="single"/>
                  <w:effect w:val="none"/>
                </w:rPr>
                <w:t>Disclosure Regarding Foreign Jurisdictions that Prevent Inspections</w:t>
              </w:r>
            </w:hyperlink>
          </w:p>
        </w:tc>
        <w:tc>
          <w:tcPr>
            <w:tcW w:w="51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113</w:t>
            </w:r>
          </w:p>
        </w:tc>
      </w:tr>
      <w:tr>
        <w:trPr/>
        <w:tc>
          <w:tcPr>
            <w:tcW w:w="10205" w:type="dxa"/>
            <w:gridSpan w:val="4"/>
            <w:tcBorders/>
            <w:shd w:fill="FFFFFF" w:val="clear"/>
            <w:vAlign w:val="center"/>
          </w:tcPr>
          <w:p>
            <w:pPr>
              <w:pStyle w:val="TableContents"/>
              <w:bidi w:val="0"/>
              <w:spacing w:lineRule="auto" w:line="259"/>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Part III</w:t>
            </w:r>
          </w:p>
          <w:p>
            <w:pPr>
              <w:pStyle w:val="TableContents"/>
              <w:bidi w:val="0"/>
              <w:spacing w:lineRule="auto" w:line="259" w:before="0" w:after="283"/>
              <w:jc w:val="center"/>
              <w:rPr>
                <w:caps w:val="false"/>
                <w:smallCaps w:val="false"/>
              </w:rPr>
            </w:pPr>
            <w:r>
              <w:rPr>
                <w:caps w:val="false"/>
                <w:smallCaps w:val="false"/>
              </w:rPr>
              <w:t> </w:t>
            </w:r>
          </w:p>
        </w:tc>
      </w:tr>
      <w:tr>
        <w:trPr/>
        <w:tc>
          <w:tcPr>
            <w:tcW w:w="8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10.</w:t>
            </w:r>
          </w:p>
        </w:tc>
        <w:tc>
          <w:tcPr>
            <w:tcW w:w="8798" w:type="dxa"/>
            <w:gridSpan w:val="2"/>
            <w:tcBorders/>
            <w:shd w:fill="CCEEFF" w:val="clear"/>
            <w:vAlign w:val="center"/>
          </w:tcPr>
          <w:p>
            <w:pPr>
              <w:pStyle w:val="TableContents"/>
              <w:bidi w:val="0"/>
              <w:spacing w:lineRule="auto" w:line="259" w:before="0" w:after="283"/>
              <w:jc w:val="left"/>
              <w:rPr/>
            </w:pPr>
            <w:hyperlink w:anchor="DirectorsExecutiveOfficers">
              <w:r>
                <w:rPr>
                  <w:rStyle w:val="InternetLink"/>
                  <w:rFonts w:ascii="Times New Roman;serif" w:hAnsi="Times New Roman;serif"/>
                  <w:b w:val="false"/>
                  <w:i w:val="false"/>
                  <w:caps w:val="false"/>
                  <w:smallCaps w:val="false"/>
                  <w:strike w:val="false"/>
                  <w:dstrike w:val="false"/>
                  <w:color w:val="0000FF"/>
                  <w:sz w:val="22"/>
                  <w:u w:val="single"/>
                  <w:effect w:val="none"/>
                </w:rPr>
                <w:t>Directors, Executive Officers and Corporate Governance</w:t>
              </w:r>
            </w:hyperlink>
          </w:p>
        </w:tc>
        <w:tc>
          <w:tcPr>
            <w:tcW w:w="51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113</w:t>
            </w:r>
          </w:p>
        </w:tc>
      </w:tr>
      <w:tr>
        <w:trPr/>
        <w:tc>
          <w:tcPr>
            <w:tcW w:w="89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11.</w:t>
            </w:r>
          </w:p>
        </w:tc>
        <w:tc>
          <w:tcPr>
            <w:tcW w:w="8798" w:type="dxa"/>
            <w:gridSpan w:val="2"/>
            <w:tcBorders/>
            <w:shd w:fill="FFFFFF" w:val="clear"/>
            <w:vAlign w:val="center"/>
          </w:tcPr>
          <w:p>
            <w:pPr>
              <w:pStyle w:val="TableContents"/>
              <w:bidi w:val="0"/>
              <w:spacing w:lineRule="auto" w:line="259" w:before="0" w:after="283"/>
              <w:jc w:val="left"/>
              <w:rPr/>
            </w:pPr>
            <w:hyperlink w:anchor="ExecutiveCompensation">
              <w:r>
                <w:rPr>
                  <w:rStyle w:val="InternetLink"/>
                  <w:rFonts w:ascii="Times New Roman;serif" w:hAnsi="Times New Roman;serif"/>
                  <w:b w:val="false"/>
                  <w:i w:val="false"/>
                  <w:caps w:val="false"/>
                  <w:smallCaps w:val="false"/>
                  <w:strike w:val="false"/>
                  <w:dstrike w:val="false"/>
                  <w:color w:val="0000FF"/>
                  <w:sz w:val="22"/>
                  <w:u w:val="single"/>
                  <w:effect w:val="none"/>
                </w:rPr>
                <w:t>Executive Compensation</w:t>
              </w:r>
            </w:hyperlink>
          </w:p>
        </w:tc>
        <w:tc>
          <w:tcPr>
            <w:tcW w:w="513" w:type="dxa"/>
            <w:tcBorders/>
            <w:shd w:fill="FFFF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114</w:t>
            </w:r>
          </w:p>
        </w:tc>
      </w:tr>
      <w:tr>
        <w:trPr/>
        <w:tc>
          <w:tcPr>
            <w:tcW w:w="8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12.</w:t>
            </w:r>
          </w:p>
        </w:tc>
        <w:tc>
          <w:tcPr>
            <w:tcW w:w="8798" w:type="dxa"/>
            <w:gridSpan w:val="2"/>
            <w:tcBorders/>
            <w:shd w:fill="CCEEFF" w:val="clear"/>
            <w:vAlign w:val="center"/>
          </w:tcPr>
          <w:p>
            <w:pPr>
              <w:pStyle w:val="TableContents"/>
              <w:bidi w:val="0"/>
              <w:spacing w:lineRule="auto" w:line="259" w:before="0" w:after="283"/>
              <w:jc w:val="left"/>
              <w:rPr/>
            </w:pPr>
            <w:hyperlink w:anchor="SecurityOwnershipofBeneficialOwners">
              <w:r>
                <w:rPr>
                  <w:rStyle w:val="InternetLink"/>
                  <w:rFonts w:ascii="Times New Roman;serif" w:hAnsi="Times New Roman;serif"/>
                  <w:b w:val="false"/>
                  <w:i w:val="false"/>
                  <w:caps w:val="false"/>
                  <w:smallCaps w:val="false"/>
                  <w:strike w:val="false"/>
                  <w:dstrike w:val="false"/>
                  <w:color w:val="0000FF"/>
                  <w:sz w:val="22"/>
                  <w:u w:val="single"/>
                  <w:effect w:val="none"/>
                </w:rPr>
                <w:t>Security Ownership of Certain Beneficial Owners and Management and Related Stockholder Matters</w:t>
              </w:r>
            </w:hyperlink>
          </w:p>
        </w:tc>
        <w:tc>
          <w:tcPr>
            <w:tcW w:w="51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114</w:t>
            </w:r>
          </w:p>
        </w:tc>
      </w:tr>
      <w:tr>
        <w:trPr/>
        <w:tc>
          <w:tcPr>
            <w:tcW w:w="89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13</w:t>
            </w:r>
          </w:p>
        </w:tc>
        <w:tc>
          <w:tcPr>
            <w:tcW w:w="8798" w:type="dxa"/>
            <w:gridSpan w:val="2"/>
            <w:tcBorders/>
            <w:shd w:fill="FFFFFF" w:val="clear"/>
            <w:vAlign w:val="center"/>
          </w:tcPr>
          <w:p>
            <w:pPr>
              <w:pStyle w:val="TableContents"/>
              <w:bidi w:val="0"/>
              <w:spacing w:lineRule="auto" w:line="259" w:before="0" w:after="283"/>
              <w:jc w:val="left"/>
              <w:rPr/>
            </w:pPr>
            <w:hyperlink w:anchor="CertainRelationshipsandRTs">
              <w:r>
                <w:rPr>
                  <w:rStyle w:val="InternetLink"/>
                  <w:rFonts w:ascii="Times New Roman;serif" w:hAnsi="Times New Roman;serif"/>
                  <w:b w:val="false"/>
                  <w:i w:val="false"/>
                  <w:caps w:val="false"/>
                  <w:smallCaps w:val="false"/>
                  <w:strike w:val="false"/>
                  <w:dstrike w:val="false"/>
                  <w:color w:val="0000FF"/>
                  <w:sz w:val="22"/>
                  <w:u w:val="single"/>
                  <w:effect w:val="none"/>
                </w:rPr>
                <w:t>Certain Relationships and Related Transactions, and Director Independence</w:t>
              </w:r>
            </w:hyperlink>
          </w:p>
        </w:tc>
        <w:tc>
          <w:tcPr>
            <w:tcW w:w="513" w:type="dxa"/>
            <w:tcBorders/>
            <w:shd w:fill="FFFF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115</w:t>
            </w:r>
          </w:p>
        </w:tc>
      </w:tr>
      <w:tr>
        <w:trPr/>
        <w:tc>
          <w:tcPr>
            <w:tcW w:w="8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14.</w:t>
            </w:r>
          </w:p>
        </w:tc>
        <w:tc>
          <w:tcPr>
            <w:tcW w:w="8798" w:type="dxa"/>
            <w:gridSpan w:val="2"/>
            <w:tcBorders/>
            <w:shd w:fill="CCEEFF" w:val="clear"/>
            <w:vAlign w:val="center"/>
          </w:tcPr>
          <w:p>
            <w:pPr>
              <w:pStyle w:val="TableContents"/>
              <w:bidi w:val="0"/>
              <w:spacing w:lineRule="auto" w:line="259" w:before="0" w:after="283"/>
              <w:jc w:val="left"/>
              <w:rPr/>
            </w:pPr>
            <w:hyperlink w:anchor="PrinciplaAccountantFees">
              <w:r>
                <w:rPr>
                  <w:rStyle w:val="InternetLink"/>
                  <w:rFonts w:ascii="Times New Roman;serif" w:hAnsi="Times New Roman;serif"/>
                  <w:b w:val="false"/>
                  <w:i w:val="false"/>
                  <w:caps w:val="false"/>
                  <w:smallCaps w:val="false"/>
                  <w:strike w:val="false"/>
                  <w:dstrike w:val="false"/>
                  <w:color w:val="0000FF"/>
                  <w:sz w:val="22"/>
                  <w:u w:val="single"/>
                  <w:effect w:val="none"/>
                </w:rPr>
                <w:t>Principal Accountant Fees and Services</w:t>
              </w:r>
            </w:hyperlink>
          </w:p>
        </w:tc>
        <w:tc>
          <w:tcPr>
            <w:tcW w:w="51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115</w:t>
            </w:r>
          </w:p>
        </w:tc>
      </w:tr>
      <w:tr>
        <w:trPr/>
        <w:tc>
          <w:tcPr>
            <w:tcW w:w="10205" w:type="dxa"/>
            <w:gridSpan w:val="4"/>
            <w:tcBorders/>
            <w:shd w:fill="FFFFFF" w:val="clear"/>
            <w:vAlign w:val="center"/>
          </w:tcPr>
          <w:p>
            <w:pPr>
              <w:pStyle w:val="TableContents"/>
              <w:bidi w:val="0"/>
              <w:spacing w:lineRule="auto" w:line="259"/>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Part IV</w:t>
            </w:r>
          </w:p>
          <w:p>
            <w:pPr>
              <w:pStyle w:val="TableContents"/>
              <w:bidi w:val="0"/>
              <w:spacing w:lineRule="auto" w:line="259" w:before="0" w:after="283"/>
              <w:jc w:val="center"/>
              <w:rPr>
                <w:caps w:val="false"/>
                <w:smallCaps w:val="false"/>
              </w:rPr>
            </w:pPr>
            <w:r>
              <w:rPr>
                <w:caps w:val="false"/>
                <w:smallCaps w:val="false"/>
              </w:rPr>
              <w:t> </w:t>
            </w:r>
          </w:p>
        </w:tc>
      </w:tr>
      <w:tr>
        <w:trPr/>
        <w:tc>
          <w:tcPr>
            <w:tcW w:w="89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Item 15. </w:t>
            </w:r>
          </w:p>
        </w:tc>
        <w:tc>
          <w:tcPr>
            <w:tcW w:w="8798" w:type="dxa"/>
            <w:gridSpan w:val="2"/>
            <w:tcBorders/>
            <w:shd w:fill="CCEEFF" w:val="clear"/>
            <w:vAlign w:val="center"/>
          </w:tcPr>
          <w:p>
            <w:pPr>
              <w:pStyle w:val="TableContents"/>
              <w:bidi w:val="0"/>
              <w:spacing w:lineRule="auto" w:line="259" w:before="0" w:after="283"/>
              <w:jc w:val="left"/>
              <w:rPr/>
            </w:pPr>
            <w:hyperlink w:anchor="ExhibitsandFSs">
              <w:r>
                <w:rPr>
                  <w:rStyle w:val="InternetLink"/>
                  <w:rFonts w:ascii="Times New Roman;serif" w:hAnsi="Times New Roman;serif"/>
                  <w:b w:val="false"/>
                  <w:i w:val="false"/>
                  <w:caps w:val="false"/>
                  <w:smallCaps w:val="false"/>
                  <w:strike w:val="false"/>
                  <w:dstrike w:val="false"/>
                  <w:color w:val="0000FF"/>
                  <w:sz w:val="22"/>
                  <w:u w:val="single"/>
                  <w:effect w:val="none"/>
                </w:rPr>
                <w:t>Exhibits and Financial Statement Schedules</w:t>
              </w:r>
            </w:hyperlink>
          </w:p>
        </w:tc>
        <w:tc>
          <w:tcPr>
            <w:tcW w:w="51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116</w:t>
            </w:r>
          </w:p>
        </w:tc>
      </w:tr>
      <w:tr>
        <w:trPr/>
        <w:tc>
          <w:tcPr>
            <w:tcW w:w="89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16.</w:t>
            </w:r>
          </w:p>
        </w:tc>
        <w:tc>
          <w:tcPr>
            <w:tcW w:w="8798" w:type="dxa"/>
            <w:gridSpan w:val="2"/>
            <w:tcBorders/>
            <w:shd w:fill="FFFFFF" w:val="clear"/>
            <w:vAlign w:val="center"/>
          </w:tcPr>
          <w:p>
            <w:pPr>
              <w:pStyle w:val="TableContents"/>
              <w:bidi w:val="0"/>
              <w:spacing w:lineRule="auto" w:line="259" w:before="0" w:after="283"/>
              <w:jc w:val="left"/>
              <w:rPr/>
            </w:pPr>
            <w:hyperlink w:anchor="Form_10K_Summary">
              <w:r>
                <w:rPr>
                  <w:rStyle w:val="InternetLink"/>
                  <w:rFonts w:ascii="Times New Roman;serif" w:hAnsi="Times New Roman;serif"/>
                  <w:b w:val="false"/>
                  <w:i w:val="false"/>
                  <w:caps w:val="false"/>
                  <w:smallCaps w:val="false"/>
                  <w:strike w:val="false"/>
                  <w:dstrike w:val="false"/>
                  <w:color w:val="0000FF"/>
                  <w:sz w:val="24"/>
                  <w:u w:val="single"/>
                  <w:effect w:val="none"/>
                </w:rPr>
                <w:t>Form 10-K</w:t>
              </w:r>
            </w:hyperlink>
            <w:hyperlink w:anchor="Form_10K_Summary">
              <w:r>
                <w:rPr>
                  <w:rStyle w:val="InternetLink"/>
                  <w:rFonts w:ascii="Times New Roman;serif" w:hAnsi="Times New Roman;serif"/>
                  <w:b w:val="false"/>
                  <w:i w:val="false"/>
                  <w:caps w:val="false"/>
                  <w:smallCaps w:val="false"/>
                  <w:strike w:val="false"/>
                  <w:dstrike w:val="false"/>
                  <w:color w:val="0000FF"/>
                  <w:sz w:val="22"/>
                  <w:u w:val="single"/>
                  <w:effect w:val="none"/>
                </w:rPr>
                <w:t>Summary</w:t>
              </w:r>
            </w:hyperlink>
          </w:p>
        </w:tc>
        <w:tc>
          <w:tcPr>
            <w:tcW w:w="513" w:type="dxa"/>
            <w:tcBorders/>
            <w:shd w:fill="FFFF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116</w:t>
            </w:r>
          </w:p>
        </w:tc>
      </w:tr>
      <w:tr>
        <w:trPr/>
        <w:tc>
          <w:tcPr>
            <w:tcW w:w="894" w:type="dxa"/>
            <w:tcBorders/>
            <w:shd w:fill="CCEEFF" w:val="clear"/>
            <w:vAlign w:val="center"/>
          </w:tcPr>
          <w:p>
            <w:pPr>
              <w:pStyle w:val="TableContents"/>
              <w:bidi w:val="0"/>
              <w:spacing w:before="0" w:after="283"/>
              <w:jc w:val="left"/>
              <w:rPr>
                <w:sz w:val="4"/>
                <w:szCs w:val="4"/>
              </w:rPr>
            </w:pPr>
            <w:r>
              <w:rPr>
                <w:sz w:val="4"/>
                <w:szCs w:val="4"/>
              </w:rPr>
            </w:r>
          </w:p>
        </w:tc>
        <w:tc>
          <w:tcPr>
            <w:tcW w:w="8798" w:type="dxa"/>
            <w:gridSpan w:val="2"/>
            <w:tcBorders/>
            <w:shd w:fill="CCEEFF" w:val="clear"/>
            <w:vAlign w:val="center"/>
          </w:tcPr>
          <w:p>
            <w:pPr>
              <w:pStyle w:val="TableContents"/>
              <w:bidi w:val="0"/>
              <w:spacing w:before="0" w:after="283"/>
              <w:jc w:val="left"/>
              <w:rPr>
                <w:sz w:val="4"/>
                <w:szCs w:val="4"/>
              </w:rPr>
            </w:pPr>
            <w:r>
              <w:rPr>
                <w:sz w:val="4"/>
                <w:szCs w:val="4"/>
              </w:rPr>
            </w:r>
          </w:p>
        </w:tc>
        <w:tc>
          <w:tcPr>
            <w:tcW w:w="513" w:type="dxa"/>
            <w:tcBorders/>
            <w:shd w:fill="CCEEFF" w:val="clear"/>
            <w:vAlign w:val="center"/>
          </w:tcPr>
          <w:p>
            <w:pPr>
              <w:pStyle w:val="TableContents"/>
              <w:bidi w:val="0"/>
              <w:spacing w:before="0" w:after="283"/>
              <w:jc w:val="left"/>
              <w:rPr>
                <w:sz w:val="4"/>
                <w:szCs w:val="4"/>
              </w:rPr>
            </w:pPr>
            <w:r>
              <w:rPr>
                <w:sz w:val="4"/>
                <w:szCs w:val="4"/>
              </w:rPr>
            </w:r>
          </w:p>
        </w:tc>
      </w:tr>
      <w:tr>
        <w:trPr/>
        <w:tc>
          <w:tcPr>
            <w:tcW w:w="894" w:type="dxa"/>
            <w:tcBorders/>
            <w:shd w:fill="FFFFFF" w:val="clear"/>
            <w:vAlign w:val="center"/>
          </w:tcPr>
          <w:p>
            <w:pPr>
              <w:pStyle w:val="TableContents"/>
              <w:bidi w:val="0"/>
              <w:spacing w:before="0" w:after="283"/>
              <w:ind w:left="1339" w:right="0" w:hanging="0"/>
              <w:jc w:val="left"/>
              <w:rPr>
                <w:sz w:val="4"/>
                <w:szCs w:val="4"/>
              </w:rPr>
            </w:pPr>
            <w:r>
              <w:rPr>
                <w:sz w:val="4"/>
                <w:szCs w:val="4"/>
              </w:rPr>
            </w:r>
          </w:p>
        </w:tc>
        <w:tc>
          <w:tcPr>
            <w:tcW w:w="8798" w:type="dxa"/>
            <w:gridSpan w:val="2"/>
            <w:tcBorders/>
            <w:shd w:fill="FFFFFF" w:val="clear"/>
            <w:vAlign w:val="center"/>
          </w:tcPr>
          <w:p>
            <w:pPr>
              <w:pStyle w:val="TableContents"/>
              <w:bidi w:val="0"/>
              <w:spacing w:lineRule="auto" w:line="259" w:before="0" w:after="283"/>
              <w:jc w:val="left"/>
              <w:rPr/>
            </w:pPr>
            <w:hyperlink w:anchor="ExhibitIndex">
              <w:r>
                <w:rPr>
                  <w:rStyle w:val="InternetLink"/>
                  <w:rFonts w:ascii="Times New Roman;serif" w:hAnsi="Times New Roman;serif"/>
                  <w:b w:val="false"/>
                  <w:i w:val="false"/>
                  <w:caps w:val="false"/>
                  <w:smallCaps w:val="false"/>
                  <w:strike w:val="false"/>
                  <w:dstrike w:val="false"/>
                  <w:color w:val="0000FF"/>
                  <w:sz w:val="22"/>
                  <w:u w:val="single"/>
                  <w:effect w:val="none"/>
                </w:rPr>
                <w:t>Exhibit Index</w:t>
              </w:r>
            </w:hyperlink>
          </w:p>
        </w:tc>
        <w:tc>
          <w:tcPr>
            <w:tcW w:w="513" w:type="dxa"/>
            <w:tcBorders/>
            <w:shd w:fill="FFFF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117</w:t>
            </w:r>
          </w:p>
        </w:tc>
      </w:tr>
      <w:tr>
        <w:trPr/>
        <w:tc>
          <w:tcPr>
            <w:tcW w:w="894" w:type="dxa"/>
            <w:tcBorders/>
            <w:shd w:fill="CCEEFF" w:val="clear"/>
            <w:vAlign w:val="center"/>
          </w:tcPr>
          <w:p>
            <w:pPr>
              <w:pStyle w:val="TableContents"/>
              <w:bidi w:val="0"/>
              <w:spacing w:before="0" w:after="283"/>
              <w:ind w:left="1339" w:right="0" w:hanging="0"/>
              <w:jc w:val="left"/>
              <w:rPr>
                <w:sz w:val="4"/>
                <w:szCs w:val="4"/>
              </w:rPr>
            </w:pPr>
            <w:r>
              <w:rPr>
                <w:sz w:val="4"/>
                <w:szCs w:val="4"/>
              </w:rPr>
            </w:r>
          </w:p>
        </w:tc>
        <w:tc>
          <w:tcPr>
            <w:tcW w:w="8798" w:type="dxa"/>
            <w:gridSpan w:val="2"/>
            <w:tcBorders/>
            <w:shd w:fill="CCEEFF" w:val="clear"/>
            <w:vAlign w:val="center"/>
          </w:tcPr>
          <w:p>
            <w:pPr>
              <w:pStyle w:val="TableContents"/>
              <w:bidi w:val="0"/>
              <w:spacing w:lineRule="auto" w:line="259" w:before="0" w:after="283"/>
              <w:jc w:val="left"/>
              <w:rPr/>
            </w:pPr>
            <w:hyperlink w:anchor="Signatures">
              <w:r>
                <w:rPr>
                  <w:rStyle w:val="InternetLink"/>
                  <w:rFonts w:ascii="Times New Roman;serif" w:hAnsi="Times New Roman;serif"/>
                  <w:b w:val="false"/>
                  <w:i w:val="false"/>
                  <w:caps w:val="false"/>
                  <w:smallCaps w:val="false"/>
                  <w:strike w:val="false"/>
                  <w:dstrike w:val="false"/>
                  <w:color w:val="0000FF"/>
                  <w:sz w:val="22"/>
                  <w:u w:val="single"/>
                  <w:effect w:val="none"/>
                </w:rPr>
                <w:t>Signatures</w:t>
              </w:r>
            </w:hyperlink>
          </w:p>
        </w:tc>
        <w:tc>
          <w:tcPr>
            <w:tcW w:w="51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124</w:t>
            </w:r>
          </w:p>
        </w:tc>
      </w:tr>
      <w:tr>
        <w:trPr/>
        <w:tc>
          <w:tcPr>
            <w:tcW w:w="894" w:type="dxa"/>
            <w:tcBorders/>
            <w:shd w:fill="FFFFFF" w:val="clear"/>
            <w:vAlign w:val="center"/>
          </w:tcPr>
          <w:p>
            <w:pPr>
              <w:pStyle w:val="TableContents"/>
              <w:bidi w:val="0"/>
              <w:spacing w:before="0" w:after="283"/>
              <w:ind w:left="1339" w:right="0" w:hanging="0"/>
              <w:jc w:val="left"/>
              <w:rPr>
                <w:sz w:val="4"/>
                <w:szCs w:val="4"/>
              </w:rPr>
            </w:pPr>
            <w:r>
              <w:rPr>
                <w:sz w:val="4"/>
                <w:szCs w:val="4"/>
              </w:rPr>
            </w:r>
          </w:p>
        </w:tc>
        <w:tc>
          <w:tcPr>
            <w:tcW w:w="8798" w:type="dxa"/>
            <w:gridSpan w:val="2"/>
            <w:tcBorders/>
            <w:shd w:fill="FFFFFF" w:val="clear"/>
            <w:vAlign w:val="center"/>
          </w:tcPr>
          <w:p>
            <w:pPr>
              <w:pStyle w:val="TableContents"/>
              <w:bidi w:val="0"/>
              <w:spacing w:lineRule="auto" w:line="259" w:before="0" w:after="283"/>
              <w:jc w:val="left"/>
              <w:rPr/>
            </w:pPr>
            <w:hyperlink w:anchor="Parent_Company_FNC_STMNT">
              <w:r>
                <w:rPr>
                  <w:rStyle w:val="InternetLink"/>
                  <w:rFonts w:ascii="Times New Roman;serif" w:hAnsi="Times New Roman;serif"/>
                  <w:b w:val="false"/>
                  <w:i w:val="false"/>
                  <w:caps w:val="false"/>
                  <w:smallCaps w:val="false"/>
                  <w:strike w:val="false"/>
                  <w:dstrike w:val="false"/>
                  <w:color w:val="0000FF"/>
                  <w:sz w:val="22"/>
                  <w:u w:val="single"/>
                  <w:effect w:val="none"/>
                </w:rPr>
                <w:t>Schedule 1 – Condensed Parent Company Financial Statements</w:t>
              </w:r>
            </w:hyperlink>
          </w:p>
        </w:tc>
        <w:tc>
          <w:tcPr>
            <w:tcW w:w="513" w:type="dxa"/>
            <w:tcBorders/>
            <w:shd w:fill="FFFF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126</w:t>
            </w:r>
          </w:p>
        </w:tc>
      </w:tr>
    </w:tbl>
    <w:p>
      <w:pPr>
        <w:pStyle w:val="TextBody"/>
        <w:bidi w:val="0"/>
        <w:spacing w:lineRule="auto" w:line="259" w:before="0" w:after="100"/>
        <w:rPr>
          <w:caps w:val="false"/>
          <w:smallCaps w:val="false"/>
        </w:rPr>
      </w:pPr>
      <w:r>
        <w:rPr>
          <w:caps w:val="false"/>
          <w:smallCaps w:val="false"/>
        </w:rPr>
        <w:t>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Heading2"/>
        <w:bidi w:val="0"/>
        <w:spacing w:lineRule="auto" w:line="259"/>
        <w:jc w:val="center"/>
        <w:rPr>
          <w:rFonts w:ascii="Times New Roman;serif" w:hAnsi="Times New Roman;serif"/>
          <w:b w:val="false"/>
          <w:i w:val="false"/>
          <w:caps w:val="false"/>
          <w:smallCaps w:val="false"/>
          <w:sz w:val="22"/>
          <w:u w:val="single"/>
        </w:rPr>
      </w:pPr>
      <w:r>
        <w:rPr>
          <w:rFonts w:ascii="Times New Roman;serif" w:hAnsi="Times New Roman;serif"/>
          <w:b w:val="false"/>
          <w:i w:val="false"/>
          <w:caps w:val="false"/>
          <w:smallCaps w:val="false"/>
          <w:sz w:val="22"/>
          <w:u w:val="single"/>
        </w:rPr>
        <w:t>SPECIAL NOTE REGARDING FORWARD-LOOKING STATEMENTS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Certain statements in this Annual Report on Form 10-K, or this Annual Report, are forward-looking statements within the meaning of Section 27A of the Securities Act of 1933 and Section 21E of the Securities Exchange Act of 1934 that are made based upon, among other things, our current assumptions, expectations, plans, and beliefs concerning future events and their potential effect on us. These forward-looking statements involve risks, uncertainties and other factors, many of which are outside our control that may cause our actual results, performance or achievements to be materially different from any future results, performance or achievements expressed or implied by these forward-looking statements. In some cases you can identify forward-looking statements where statements are preceded by, followed by or include the words “believes,” “expects,” “estimates”, “anticipates,” “plans,” “future,” “potential,” “probably,” “predictions,” “intends,” “will,” “continue,” “in the event” or the negative of such terms or similar expressions. Please refer to the Summary in Item 1A – Risk Factors in this Annual Report for a description of the types of forward-looking statements in this Annual Report. These factors are not necessarily all of the important factors that could cause actual results to differ materially from those expressed in any of our forward-looking statements. Other unknown or unpredictable factors could also have material adverse effects on future results.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Given these risks and uncertainties, you should not place undue reliance on any forward-looking statements. You should read this Annual Report completely and with the understanding that our actual future results, performance and achievements may be materially different from what we expect. These forward-looking statements represent assumptions, expectations, plans, and beliefs only as of the date of this Annual Report. Except for our ongoing obligations to disclose certain information under the federal securities laws, we are not obligated, and assume no obligation, to update these forward-looking statements, even though our situation may change in the future. For further information or other factors which could affect our financial results and such forward-looking statements, see Item 1A – Risk Factors. We qualify all of our forward-looking statements by these cautionary statements. </w:t>
      </w:r>
    </w:p>
    <w:p>
      <w:pPr>
        <w:pStyle w:val="Heading2"/>
        <w:bidi w:val="0"/>
        <w:spacing w:lineRule="auto" w:line="259"/>
        <w:jc w:val="center"/>
        <w:rPr>
          <w:rFonts w:ascii="Times New Roman;serif" w:hAnsi="Times New Roman;serif"/>
          <w:b/>
          <w:i w:val="false"/>
          <w:caps w:val="false"/>
          <w:smallCaps w:val="false"/>
          <w:sz w:val="22"/>
          <w:u w:val="single"/>
        </w:rPr>
      </w:pPr>
      <w:r>
        <w:rPr>
          <w:rFonts w:ascii="Times New Roman;serif" w:hAnsi="Times New Roman;serif"/>
          <w:b/>
          <w:i w:val="false"/>
          <w:caps w:val="false"/>
          <w:smallCaps w:val="false"/>
          <w:sz w:val="22"/>
          <w:u w:val="single"/>
        </w:rPr>
        <w:t>PART I</w:t>
      </w:r>
    </w:p>
    <w:tbl>
      <w:tblPr>
        <w:tblW w:w="1787" w:type="dxa"/>
        <w:jc w:val="left"/>
        <w:tblInd w:w="0" w:type="dxa"/>
        <w:tblLayout w:type="fixed"/>
        <w:tblCellMar>
          <w:top w:w="0" w:type="dxa"/>
          <w:left w:w="0" w:type="dxa"/>
          <w:bottom w:w="0" w:type="dxa"/>
          <w:right w:w="0" w:type="dxa"/>
        </w:tblCellMar>
      </w:tblPr>
      <w:tblGrid>
        <w:gridCol w:w="811"/>
        <w:gridCol w:w="976"/>
      </w:tblGrid>
      <w:tr>
        <w:trPr/>
        <w:tc>
          <w:tcPr>
            <w:tcW w:w="8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uto" w:line="192" w:before="0" w:after="283"/>
              <w:jc w:val="both"/>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Item 1.</w:t>
            </w:r>
          </w:p>
        </w:tc>
        <w:tc>
          <w:tcPr>
            <w:tcW w:w="976" w:type="dxa"/>
            <w:tcBorders/>
            <w:vAlign w:val="center"/>
          </w:tcPr>
          <w:p>
            <w:pPr>
              <w:pStyle w:val="TableContents"/>
              <w:bidi w:val="0"/>
              <w:spacing w:lineRule="auto" w:line="192" w:before="0" w:after="283"/>
              <w:jc w:val="both"/>
              <w:rPr>
                <w:rFonts w:ascii="Times New Roman;serif" w:hAnsi="Times New Roman;serif"/>
                <w:b/>
                <w:i/>
                <w:sz w:val="22"/>
              </w:rPr>
            </w:pPr>
            <w:r>
              <w:rPr>
                <w:rFonts w:ascii="Times New Roman;serif" w:hAnsi="Times New Roman;serif"/>
                <w:b/>
                <w:i/>
                <w:sz w:val="22"/>
              </w:rPr>
              <w:t>Business</w:t>
            </w:r>
            <w:bookmarkStart w:id="3" w:name="Business"/>
            <w:bookmarkEnd w:id="3"/>
          </w:p>
        </w:tc>
      </w:tr>
    </w:tbl>
    <w:p>
      <w:pPr>
        <w:pStyle w:val="TextBody"/>
        <w:bidi w:val="0"/>
        <w:spacing w:lineRule="auto" w:line="259"/>
        <w:rPr>
          <w:rFonts w:ascii="Times New Roman;serif" w:hAnsi="Times New Roman;serif"/>
          <w:b/>
          <w:i/>
          <w:sz w:val="22"/>
        </w:rPr>
      </w:pPr>
      <w:r>
        <w:rPr>
          <w:rFonts w:ascii="Times New Roman;serif" w:hAnsi="Times New Roman;serif"/>
          <w:b/>
          <w:i/>
          <w:sz w:val="22"/>
        </w:rPr>
        <w:t>The Company</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Essential Utilities, Inc., referred to as “Essential Utilities”, “Essential”, the “Company”, “we”, “us”, or “our”, a Pennsylvania corporation, is the holding company for regulated utilities providing water, wastewater, or natural gas services to an estimated 5.5 million people in Pennsylvania, Ohio, Texas, Illinois, North Carolina, New Jersey, Indiana, Virginia, and Kentucky under the Aqua and Peoples brands. One of our largest operating subsidiaries, Aqua Pennsylvania, Inc., or Aqua Pennsylvania, accounted for approximately 55% of operating revenues and approximately 67% of income for our Regulated Water segment in 2024. As of December 31, 2024, Aqua Pennsylvania provided water or wastewater services to approximately one-half of the total number of water and wastewater customers we serve. Aqua Pennsylvania’s service territory is located in the suburban areas in counties north and west of the City of Philadelphia and in 27 other counties in Pennsylvania. Our other regulated water or wastewater utility subsidiaries provide similar services in seven additional states. Our Peoples subsidiaries provide natural gas service to approximately 745,000 customers in western Pennsylvania and Kentucky. Approximately 95% of the total number of natural gas utility customers we serve are in western Pennsylvania. The Company also operates market-based activities, conducted through its non-regulated subsidiaries, that provide utility service line protection solutions and repair services to households and gas marketing and production activities. Currently, the Company seeks to acquire businesses in the U.S. regulated sector, focusing on water and wastewater utilities and to opportunistically pursue growth ventures in select market-based activities, such as infrastructure opportunities that are supplementary and complementary to our regulated water utility businesses.</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In October 2023, the Company completed the sale of its regulated natural gas utility assets in West Virginia, which represented approximately two percent of the Company’s regulated natural gas customers. The Company initially received net cash proceeds of $39,965,000, subject to working capital and other adjustments. In March 2024, the Company received an additional $1,213,000 from the buyer. In January 2024, the Company completed the sale of its interest in three non-utility local microgrid and distributed energy projects for $165,000,000. These transactions are consistent with the Company’s long-term strategy of focusing on its core business and will allow the Company to prioritize the growth of its utilities in states where it has scale. The Company used the proceeds from these transactions to finance its capital expenditures and water and wastewater acquisitions, in place of external funding from equity and debt issuances. See Note 3 – </w:t>
      </w:r>
      <w:r>
        <w:rPr>
          <w:rFonts w:ascii="Times New Roman;serif" w:hAnsi="Times New Roman;serif"/>
          <w:b w:val="false"/>
          <w:i/>
          <w:sz w:val="22"/>
        </w:rPr>
        <w:t>Dispositions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in the </w:t>
      </w:r>
      <w:r>
        <w:rPr>
          <w:rFonts w:ascii="Times New Roman;serif" w:hAnsi="Times New Roman;serif"/>
          <w:b w:val="false"/>
          <w:i/>
          <w:sz w:val="22"/>
        </w:rPr>
        <w:t>Notes to Consolidated Financial Statements</w:t>
      </w:r>
      <w:r>
        <w:rPr>
          <w:rFonts w:ascii="Times New Roman;serif" w:hAnsi="Times New Roman;serif"/>
          <w:b w:val="false"/>
          <w:i w:val="false"/>
          <w:caps w:val="false"/>
          <w:smallCaps w:val="false"/>
          <w:sz w:val="22"/>
        </w:rPr>
        <w:t xml:space="preserve">, which is contained in Item 8 of this Annual Report for additional information.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reports our operating revenues, by principal state, for our Regulated Water segment, which includes both water and wastewater utility services, Regulated Natural Gas segment, and Other and eliminations for the year ended December 31, 2024:</w:t>
      </w:r>
    </w:p>
    <w:tbl>
      <w:tblPr>
        <w:tblW w:w="8811" w:type="dxa"/>
        <w:jc w:val="left"/>
        <w:tblInd w:w="0" w:type="dxa"/>
        <w:tblLayout w:type="fixed"/>
        <w:tblCellMar>
          <w:top w:w="0" w:type="dxa"/>
          <w:left w:w="0" w:type="dxa"/>
          <w:bottom w:w="0" w:type="dxa"/>
          <w:right w:w="0" w:type="dxa"/>
        </w:tblCellMar>
      </w:tblPr>
      <w:tblGrid>
        <w:gridCol w:w="3541"/>
        <w:gridCol w:w="475"/>
        <w:gridCol w:w="2240"/>
        <w:gridCol w:w="109"/>
        <w:gridCol w:w="2446"/>
      </w:tblGrid>
      <w:tr>
        <w:trPr/>
        <w:tc>
          <w:tcPr>
            <w:tcW w:w="3541" w:type="dxa"/>
            <w:tcBorders/>
            <w:shd w:fill="FFFFFF" w:val="clear"/>
            <w:vAlign w:val="center"/>
          </w:tcPr>
          <w:p>
            <w:pPr>
              <w:pStyle w:val="TableContents"/>
              <w:bidi w:val="0"/>
              <w:spacing w:before="0" w:after="283"/>
              <w:jc w:val="left"/>
              <w:rPr>
                <w:sz w:val="4"/>
                <w:szCs w:val="4"/>
              </w:rPr>
            </w:pPr>
            <w:r>
              <w:rPr>
                <w:sz w:val="4"/>
                <w:szCs w:val="4"/>
              </w:rPr>
            </w:r>
          </w:p>
        </w:tc>
        <w:tc>
          <w:tcPr>
            <w:tcW w:w="475" w:type="dxa"/>
            <w:tcBorders/>
            <w:shd w:fill="FFFFFF" w:val="clear"/>
            <w:vAlign w:val="center"/>
          </w:tcPr>
          <w:p>
            <w:pPr>
              <w:pStyle w:val="TableContents"/>
              <w:bidi w:val="0"/>
              <w:spacing w:before="0" w:after="283"/>
              <w:jc w:val="left"/>
              <w:rPr>
                <w:sz w:val="4"/>
                <w:szCs w:val="4"/>
              </w:rPr>
            </w:pPr>
            <w:r>
              <w:rPr>
                <w:sz w:val="4"/>
                <w:szCs w:val="4"/>
              </w:rPr>
            </w:r>
          </w:p>
        </w:tc>
        <w:tc>
          <w:tcPr>
            <w:tcW w:w="224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46" w:type="dxa"/>
            <w:tcBorders/>
            <w:shd w:fill="FFFFFF" w:val="clear"/>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left"/>
              <w:rPr>
                <w:sz w:val="4"/>
                <w:szCs w:val="4"/>
              </w:rPr>
            </w:pPr>
            <w:r>
              <w:rPr>
                <w:sz w:val="4"/>
                <w:szCs w:val="4"/>
              </w:rPr>
            </w:r>
          </w:p>
        </w:tc>
        <w:tc>
          <w:tcPr>
            <w:tcW w:w="2715"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Revenues (000's)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46"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Revenues (%)</w:t>
            </w:r>
          </w:p>
        </w:tc>
      </w:tr>
      <w:tr>
        <w:trPr/>
        <w:tc>
          <w:tcPr>
            <w:tcW w:w="35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Pennsylvania</w:t>
            </w:r>
          </w:p>
        </w:tc>
        <w:tc>
          <w:tcPr>
            <w:tcW w:w="475"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40"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674,051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32.3%</w:t>
            </w:r>
          </w:p>
        </w:tc>
      </w:tr>
      <w:tr>
        <w:trPr/>
        <w:tc>
          <w:tcPr>
            <w:tcW w:w="35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Ohio</w:t>
            </w:r>
          </w:p>
        </w:tc>
        <w:tc>
          <w:tcPr>
            <w:tcW w:w="475"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136,600</w:t>
            </w:r>
          </w:p>
        </w:tc>
        <w:tc>
          <w:tcPr>
            <w:tcW w:w="109"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6.5%</w:t>
            </w:r>
          </w:p>
        </w:tc>
      </w:tr>
      <w:tr>
        <w:trPr/>
        <w:tc>
          <w:tcPr>
            <w:tcW w:w="35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Texas</w:t>
            </w:r>
          </w:p>
        </w:tc>
        <w:tc>
          <w:tcPr>
            <w:tcW w:w="475" w:type="dxa"/>
            <w:tcBorders/>
            <w:shd w:fill="CCEEFF" w:val="clear"/>
            <w:vAlign w:val="center"/>
          </w:tcPr>
          <w:p>
            <w:pPr>
              <w:pStyle w:val="TableContents"/>
              <w:bidi w:val="0"/>
              <w:spacing w:before="0" w:after="283"/>
              <w:jc w:val="left"/>
              <w:rPr>
                <w:sz w:val="4"/>
                <w:szCs w:val="4"/>
              </w:rPr>
            </w:pPr>
            <w:r>
              <w:rPr>
                <w:sz w:val="4"/>
                <w:szCs w:val="4"/>
              </w:rPr>
            </w:r>
          </w:p>
        </w:tc>
        <w:tc>
          <w:tcPr>
            <w:tcW w:w="224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107,519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5.2%</w:t>
            </w:r>
          </w:p>
        </w:tc>
      </w:tr>
      <w:tr>
        <w:trPr/>
        <w:tc>
          <w:tcPr>
            <w:tcW w:w="35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Illinois</w:t>
            </w:r>
          </w:p>
        </w:tc>
        <w:tc>
          <w:tcPr>
            <w:tcW w:w="475"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101,194</w:t>
            </w:r>
          </w:p>
        </w:tc>
        <w:tc>
          <w:tcPr>
            <w:tcW w:w="109"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4.9%</w:t>
            </w:r>
          </w:p>
        </w:tc>
      </w:tr>
      <w:tr>
        <w:trPr/>
        <w:tc>
          <w:tcPr>
            <w:tcW w:w="35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North Carolina</w:t>
            </w:r>
          </w:p>
        </w:tc>
        <w:tc>
          <w:tcPr>
            <w:tcW w:w="475" w:type="dxa"/>
            <w:tcBorders/>
            <w:shd w:fill="CCEEFF" w:val="clear"/>
            <w:vAlign w:val="center"/>
          </w:tcPr>
          <w:p>
            <w:pPr>
              <w:pStyle w:val="TableContents"/>
              <w:bidi w:val="0"/>
              <w:spacing w:before="0" w:after="283"/>
              <w:jc w:val="left"/>
              <w:rPr>
                <w:sz w:val="4"/>
                <w:szCs w:val="4"/>
              </w:rPr>
            </w:pPr>
            <w:r>
              <w:rPr>
                <w:sz w:val="4"/>
                <w:szCs w:val="4"/>
              </w:rPr>
            </w:r>
          </w:p>
        </w:tc>
        <w:tc>
          <w:tcPr>
            <w:tcW w:w="224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88,604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4.2%</w:t>
            </w:r>
          </w:p>
        </w:tc>
      </w:tr>
      <w:tr>
        <w:trPr/>
        <w:tc>
          <w:tcPr>
            <w:tcW w:w="35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states (1)</w:t>
            </w:r>
          </w:p>
        </w:tc>
        <w:tc>
          <w:tcPr>
            <w:tcW w:w="4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40"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113,912</w:t>
            </w:r>
          </w:p>
        </w:tc>
        <w:tc>
          <w:tcPr>
            <w:tcW w:w="109" w:type="dxa"/>
            <w:tcBorders/>
            <w:vAlign w:val="center"/>
          </w:tcPr>
          <w:p>
            <w:pPr>
              <w:pStyle w:val="TableContents"/>
              <w:bidi w:val="0"/>
              <w:spacing w:before="0" w:after="283"/>
              <w:jc w:val="left"/>
              <w:rPr>
                <w:sz w:val="4"/>
                <w:szCs w:val="4"/>
              </w:rPr>
            </w:pPr>
            <w:r>
              <w:rPr>
                <w:sz w:val="4"/>
                <w:szCs w:val="4"/>
              </w:rPr>
            </w:r>
          </w:p>
        </w:tc>
        <w:tc>
          <w:tcPr>
            <w:tcW w:w="244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5.5%</w:t>
            </w:r>
          </w:p>
        </w:tc>
      </w:tr>
      <w:tr>
        <w:trPr/>
        <w:tc>
          <w:tcPr>
            <w:tcW w:w="35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Regulated Water segment total</w:t>
            </w:r>
          </w:p>
        </w:tc>
        <w:tc>
          <w:tcPr>
            <w:tcW w:w="47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40"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1,221,880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58.6%</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Pennsylvania</w:t>
            </w:r>
          </w:p>
        </w:tc>
        <w:tc>
          <w:tcPr>
            <w:tcW w:w="475" w:type="dxa"/>
            <w:tcBorders/>
            <w:shd w:fill="CCEEFF" w:val="clear"/>
            <w:vAlign w:val="center"/>
          </w:tcPr>
          <w:p>
            <w:pPr>
              <w:pStyle w:val="TableContents"/>
              <w:bidi w:val="0"/>
              <w:spacing w:before="0" w:after="283"/>
              <w:jc w:val="left"/>
              <w:rPr>
                <w:sz w:val="4"/>
                <w:szCs w:val="4"/>
              </w:rPr>
            </w:pPr>
            <w:r>
              <w:rPr>
                <w:sz w:val="4"/>
                <w:szCs w:val="4"/>
              </w:rPr>
            </w:r>
          </w:p>
        </w:tc>
        <w:tc>
          <w:tcPr>
            <w:tcW w:w="224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786,722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37.7%</w:t>
            </w:r>
          </w:p>
        </w:tc>
      </w:tr>
      <w:tr>
        <w:trPr/>
        <w:tc>
          <w:tcPr>
            <w:tcW w:w="35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Kentucky</w:t>
            </w:r>
          </w:p>
        </w:tc>
        <w:tc>
          <w:tcPr>
            <w:tcW w:w="4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40"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56,269</w:t>
            </w:r>
          </w:p>
        </w:tc>
        <w:tc>
          <w:tcPr>
            <w:tcW w:w="109" w:type="dxa"/>
            <w:tcBorders/>
            <w:vAlign w:val="center"/>
          </w:tcPr>
          <w:p>
            <w:pPr>
              <w:pStyle w:val="TableContents"/>
              <w:bidi w:val="0"/>
              <w:spacing w:before="0" w:after="283"/>
              <w:jc w:val="left"/>
              <w:rPr>
                <w:sz w:val="4"/>
                <w:szCs w:val="4"/>
              </w:rPr>
            </w:pPr>
            <w:r>
              <w:rPr>
                <w:sz w:val="4"/>
                <w:szCs w:val="4"/>
              </w:rPr>
            </w:r>
          </w:p>
        </w:tc>
        <w:tc>
          <w:tcPr>
            <w:tcW w:w="244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2.7%</w:t>
            </w:r>
          </w:p>
        </w:tc>
      </w:tr>
      <w:tr>
        <w:trPr/>
        <w:tc>
          <w:tcPr>
            <w:tcW w:w="35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Regulated Natural Gas segment total</w:t>
            </w:r>
          </w:p>
        </w:tc>
        <w:tc>
          <w:tcPr>
            <w:tcW w:w="47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40"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842,991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40.4%</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and eliminations</w:t>
            </w:r>
          </w:p>
        </w:tc>
        <w:tc>
          <w:tcPr>
            <w:tcW w:w="47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240"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21,242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6"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w:t>
            </w:r>
          </w:p>
        </w:tc>
      </w:tr>
      <w:tr>
        <w:trPr/>
        <w:tc>
          <w:tcPr>
            <w:tcW w:w="35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Consolidated</w:t>
            </w:r>
          </w:p>
        </w:tc>
        <w:tc>
          <w:tcPr>
            <w:tcW w:w="47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4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2,086,113</w:t>
            </w:r>
          </w:p>
        </w:tc>
        <w:tc>
          <w:tcPr>
            <w:tcW w:w="109" w:type="dxa"/>
            <w:tcBorders/>
            <w:vAlign w:val="center"/>
          </w:tcPr>
          <w:p>
            <w:pPr>
              <w:pStyle w:val="TableContents"/>
              <w:bidi w:val="0"/>
              <w:spacing w:before="0" w:after="283"/>
              <w:jc w:val="left"/>
              <w:rPr>
                <w:sz w:val="4"/>
                <w:szCs w:val="4"/>
              </w:rPr>
            </w:pPr>
            <w:r>
              <w:rPr>
                <w:sz w:val="4"/>
                <w:szCs w:val="4"/>
              </w:rPr>
            </w:r>
          </w:p>
        </w:tc>
        <w:tc>
          <w:tcPr>
            <w:tcW w:w="244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100.0%</w:t>
            </w:r>
          </w:p>
        </w:tc>
      </w:tr>
    </w:tbl>
    <w:p>
      <w:pPr>
        <w:pStyle w:val="TextBody"/>
        <w:bidi w:val="0"/>
        <w:spacing w:lineRule="auto" w:line="259"/>
        <w:ind w:left="360" w:right="0" w:hanging="36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(1)Includes our water operating subsidiaries in the following states: New Jersey, Indiana, and Virginia. </w:t>
      </w:r>
    </w:p>
    <w:p>
      <w:pPr>
        <w:pStyle w:val="TextBody"/>
        <w:bidi w:val="0"/>
        <w:spacing w:lineRule="auto" w:line="259"/>
        <w:ind w:left="360" w:right="0" w:hanging="0"/>
        <w:rPr>
          <w:rFonts w:ascii="Times New Roman;serif" w:hAnsi="Times New Roman;serif"/>
          <w:sz w:val="22"/>
        </w:rPr>
      </w:pPr>
      <w:r>
        <w:rPr>
          <w:rFonts w:ascii="Times New Roman;serif" w:hAnsi="Times New Roman;serif"/>
          <w:b w:val="false"/>
          <w:i w:val="false"/>
          <w:caps w:val="false"/>
          <w:smallCaps w:val="false"/>
          <w:sz w:val="22"/>
        </w:rPr>
        <w:t xml:space="preserve">The Company has identified eleven operating segments and has two reportable segments, the Regulated Water segment and the Regulated Natural Gas segment. The Regulated Water segment is comprised of eight operating segments for the Company’s water and wastewater regulated utility companies, aligned with the states where we provide these services. These operating segments are aggregated into one reportable segment since each of the Company’s operating segments has the following similarities: economic characteristics, nature of services, production processes, customers, water distribution or wastewater collection methods, and the nature of the regulatory environment. The Regulated Natural Gas segment is comprised of one operating segment representing natural gas utility companies, for which the Company provides natural gas distribution services. In addition to the Company’s two reportable segments, the Company includes two of its operating segments in “Other”. These businesses represent its non-regulated water, wastewater, and natural gas operations, which are not quantitatively significant to be reportable and therefore are included as a component of “Other”. In addition, “Other” and eliminations include corporate costs that have not been allocated to the Regulated Water and Regulated Natural Gas segments, because they would not be recoverable as a cost of utility service, and intersegment eliminations. Information concerning revenues, net income, significant segment expenses and related financial information for the Regulated Water and Regulated Natural Gas segments and Other and eliminations for 2024, 2023, and 2022, is set forth in </w:t>
      </w:r>
      <w:r>
        <w:rPr>
          <w:rFonts w:ascii="Times New Roman;serif" w:hAnsi="Times New Roman;serif"/>
          <w:b w:val="false"/>
          <w:i/>
          <w:sz w:val="22"/>
        </w:rPr>
        <w:t>Management’s Discussion and Analysis of Financial Condition and Results of Operations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in Note 18</w:t>
      </w:r>
      <w:r>
        <w:rPr>
          <w:rFonts w:ascii="Times New Roman;serif" w:hAnsi="Times New Roman;serif"/>
          <w:sz w:val="22"/>
        </w:rPr>
        <w:t xml:space="preserve"> – </w:t>
      </w:r>
      <w:r>
        <w:rPr>
          <w:rFonts w:ascii="Times New Roman;serif" w:hAnsi="Times New Roman;serif"/>
          <w:b w:val="false"/>
          <w:i/>
          <w:sz w:val="22"/>
        </w:rPr>
        <w:t>Segment Information</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in the </w:t>
      </w:r>
      <w:r>
        <w:rPr>
          <w:rFonts w:ascii="Times New Roman;serif" w:hAnsi="Times New Roman;serif"/>
          <w:b w:val="false"/>
          <w:i/>
          <w:sz w:val="22"/>
        </w:rPr>
        <w:t>Notes to Consolidated Financial Statements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which is contained in Item 8 of this Annual Report.</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summarizes our operating revenues, by utility customer class, for the Regulated Water and Regulated Natural Gas segments and Other and eliminations for the year ended December 31, 2024:</w:t>
      </w:r>
    </w:p>
    <w:tbl>
      <w:tblPr>
        <w:tblW w:w="8811" w:type="dxa"/>
        <w:jc w:val="left"/>
        <w:tblInd w:w="0" w:type="dxa"/>
        <w:tblLayout w:type="fixed"/>
        <w:tblCellMar>
          <w:top w:w="0" w:type="dxa"/>
          <w:left w:w="0" w:type="dxa"/>
          <w:bottom w:w="0" w:type="dxa"/>
          <w:right w:w="0" w:type="dxa"/>
        </w:tblCellMar>
      </w:tblPr>
      <w:tblGrid>
        <w:gridCol w:w="3541"/>
        <w:gridCol w:w="475"/>
        <w:gridCol w:w="2240"/>
        <w:gridCol w:w="109"/>
        <w:gridCol w:w="2446"/>
      </w:tblGrid>
      <w:tr>
        <w:trPr/>
        <w:tc>
          <w:tcPr>
            <w:tcW w:w="3541" w:type="dxa"/>
            <w:tcBorders/>
            <w:shd w:fill="FFFFFF" w:val="clear"/>
            <w:vAlign w:val="center"/>
          </w:tcPr>
          <w:p>
            <w:pPr>
              <w:pStyle w:val="TableContents"/>
              <w:bidi w:val="0"/>
              <w:spacing w:before="0" w:after="283"/>
              <w:jc w:val="left"/>
              <w:rPr>
                <w:sz w:val="4"/>
                <w:szCs w:val="4"/>
              </w:rPr>
            </w:pPr>
            <w:r>
              <w:rPr>
                <w:sz w:val="4"/>
                <w:szCs w:val="4"/>
              </w:rPr>
            </w:r>
          </w:p>
        </w:tc>
        <w:tc>
          <w:tcPr>
            <w:tcW w:w="475" w:type="dxa"/>
            <w:tcBorders/>
            <w:shd w:fill="FFFFFF" w:val="clear"/>
            <w:vAlign w:val="center"/>
          </w:tcPr>
          <w:p>
            <w:pPr>
              <w:pStyle w:val="TableContents"/>
              <w:bidi w:val="0"/>
              <w:spacing w:before="0" w:after="283"/>
              <w:jc w:val="left"/>
              <w:rPr>
                <w:sz w:val="4"/>
                <w:szCs w:val="4"/>
              </w:rPr>
            </w:pPr>
            <w:r>
              <w:rPr>
                <w:sz w:val="4"/>
                <w:szCs w:val="4"/>
              </w:rPr>
            </w:r>
          </w:p>
        </w:tc>
        <w:tc>
          <w:tcPr>
            <w:tcW w:w="224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46" w:type="dxa"/>
            <w:tcBorders/>
            <w:shd w:fill="FFFFFF" w:val="clear"/>
            <w:vAlign w:val="center"/>
          </w:tcPr>
          <w:p>
            <w:pPr>
              <w:pStyle w:val="TableContents"/>
              <w:bidi w:val="0"/>
              <w:spacing w:before="0" w:after="283"/>
              <w:jc w:val="left"/>
              <w:rPr>
                <w:sz w:val="4"/>
                <w:szCs w:val="4"/>
              </w:rPr>
            </w:pPr>
            <w:r>
              <w:rPr>
                <w:sz w:val="4"/>
                <w:szCs w:val="4"/>
              </w:rPr>
            </w:r>
          </w:p>
        </w:tc>
      </w:tr>
      <w:tr>
        <w:trPr/>
        <w:tc>
          <w:tcPr>
            <w:tcW w:w="3541" w:type="dxa"/>
            <w:tcBorders/>
            <w:shd w:fill="FFFFFF" w:val="clear"/>
            <w:vAlign w:val="center"/>
          </w:tcPr>
          <w:p>
            <w:pPr>
              <w:pStyle w:val="TableContents"/>
              <w:bidi w:val="0"/>
              <w:spacing w:before="0" w:after="283"/>
              <w:jc w:val="left"/>
              <w:rPr>
                <w:sz w:val="4"/>
                <w:szCs w:val="4"/>
              </w:rPr>
            </w:pPr>
            <w:r>
              <w:rPr>
                <w:sz w:val="4"/>
                <w:szCs w:val="4"/>
              </w:rPr>
            </w:r>
          </w:p>
        </w:tc>
        <w:tc>
          <w:tcPr>
            <w:tcW w:w="2715"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Revenues (000's)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446"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Revenues (%)</w:t>
            </w:r>
          </w:p>
        </w:tc>
      </w:tr>
      <w:tr>
        <w:trPr/>
        <w:tc>
          <w:tcPr>
            <w:tcW w:w="35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Residential water</w:t>
            </w:r>
          </w:p>
        </w:tc>
        <w:tc>
          <w:tcPr>
            <w:tcW w:w="475"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40"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662,909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31.8%</w:t>
            </w:r>
          </w:p>
        </w:tc>
      </w:tr>
      <w:tr>
        <w:trPr/>
        <w:tc>
          <w:tcPr>
            <w:tcW w:w="35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Commercial water</w:t>
            </w:r>
          </w:p>
        </w:tc>
        <w:tc>
          <w:tcPr>
            <w:tcW w:w="475"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186,534</w:t>
            </w:r>
          </w:p>
        </w:tc>
        <w:tc>
          <w:tcPr>
            <w:tcW w:w="109"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8.9%</w:t>
            </w:r>
          </w:p>
        </w:tc>
      </w:tr>
      <w:tr>
        <w:trPr/>
        <w:tc>
          <w:tcPr>
            <w:tcW w:w="35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Fire protection</w:t>
            </w:r>
          </w:p>
        </w:tc>
        <w:tc>
          <w:tcPr>
            <w:tcW w:w="475" w:type="dxa"/>
            <w:tcBorders/>
            <w:shd w:fill="CCEEFF" w:val="clear"/>
            <w:vAlign w:val="center"/>
          </w:tcPr>
          <w:p>
            <w:pPr>
              <w:pStyle w:val="TableContents"/>
              <w:bidi w:val="0"/>
              <w:spacing w:before="0" w:after="283"/>
              <w:jc w:val="left"/>
              <w:rPr>
                <w:sz w:val="4"/>
                <w:szCs w:val="4"/>
              </w:rPr>
            </w:pPr>
            <w:r>
              <w:rPr>
                <w:sz w:val="4"/>
                <w:szCs w:val="4"/>
              </w:rPr>
            </w:r>
          </w:p>
        </w:tc>
        <w:tc>
          <w:tcPr>
            <w:tcW w:w="224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42,409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w:t>
            </w:r>
          </w:p>
        </w:tc>
      </w:tr>
      <w:tr>
        <w:trPr/>
        <w:tc>
          <w:tcPr>
            <w:tcW w:w="35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Industrial water</w:t>
            </w:r>
          </w:p>
        </w:tc>
        <w:tc>
          <w:tcPr>
            <w:tcW w:w="475"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34,831</w:t>
            </w:r>
          </w:p>
        </w:tc>
        <w:tc>
          <w:tcPr>
            <w:tcW w:w="109"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w:t>
            </w:r>
          </w:p>
        </w:tc>
      </w:tr>
      <w:tr>
        <w:trPr/>
        <w:tc>
          <w:tcPr>
            <w:tcW w:w="35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water</w:t>
            </w:r>
          </w:p>
        </w:tc>
        <w:tc>
          <w:tcPr>
            <w:tcW w:w="47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240"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80,964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6"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3.9%</w:t>
            </w:r>
          </w:p>
        </w:tc>
      </w:tr>
      <w:tr>
        <w:trPr/>
        <w:tc>
          <w:tcPr>
            <w:tcW w:w="35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water</w:t>
            </w:r>
          </w:p>
        </w:tc>
        <w:tc>
          <w:tcPr>
            <w:tcW w:w="47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240"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1,007,647</w:t>
            </w:r>
          </w:p>
        </w:tc>
        <w:tc>
          <w:tcPr>
            <w:tcW w:w="109" w:type="dxa"/>
            <w:tcBorders/>
            <w:vAlign w:val="center"/>
          </w:tcPr>
          <w:p>
            <w:pPr>
              <w:pStyle w:val="TableContents"/>
              <w:bidi w:val="0"/>
              <w:spacing w:before="0" w:after="283"/>
              <w:jc w:val="left"/>
              <w:rPr>
                <w:sz w:val="4"/>
                <w:szCs w:val="4"/>
              </w:rPr>
            </w:pPr>
            <w:r>
              <w:rPr>
                <w:sz w:val="4"/>
                <w:szCs w:val="4"/>
              </w:rPr>
            </w:r>
          </w:p>
        </w:tc>
        <w:tc>
          <w:tcPr>
            <w:tcW w:w="2446"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48.3%</w:t>
            </w:r>
          </w:p>
        </w:tc>
      </w:tr>
      <w:tr>
        <w:trPr/>
        <w:tc>
          <w:tcPr>
            <w:tcW w:w="35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Wastewater</w:t>
            </w:r>
          </w:p>
        </w:tc>
        <w:tc>
          <w:tcPr>
            <w:tcW w:w="475" w:type="dxa"/>
            <w:tcBorders/>
            <w:shd w:fill="CCEEFF" w:val="clear"/>
            <w:vAlign w:val="center"/>
          </w:tcPr>
          <w:p>
            <w:pPr>
              <w:pStyle w:val="TableContents"/>
              <w:bidi w:val="0"/>
              <w:spacing w:before="0" w:after="283"/>
              <w:jc w:val="left"/>
              <w:rPr>
                <w:sz w:val="4"/>
                <w:szCs w:val="4"/>
              </w:rPr>
            </w:pPr>
            <w:r>
              <w:rPr>
                <w:sz w:val="4"/>
                <w:szCs w:val="4"/>
              </w:rPr>
            </w:r>
          </w:p>
        </w:tc>
        <w:tc>
          <w:tcPr>
            <w:tcW w:w="224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199,422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9.6%</w:t>
            </w:r>
          </w:p>
        </w:tc>
      </w:tr>
      <w:tr>
        <w:trPr/>
        <w:tc>
          <w:tcPr>
            <w:tcW w:w="35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utility</w:t>
            </w:r>
          </w:p>
        </w:tc>
        <w:tc>
          <w:tcPr>
            <w:tcW w:w="4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40"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14,811</w:t>
            </w:r>
          </w:p>
        </w:tc>
        <w:tc>
          <w:tcPr>
            <w:tcW w:w="109" w:type="dxa"/>
            <w:tcBorders/>
            <w:vAlign w:val="center"/>
          </w:tcPr>
          <w:p>
            <w:pPr>
              <w:pStyle w:val="TableContents"/>
              <w:bidi w:val="0"/>
              <w:spacing w:before="0" w:after="283"/>
              <w:jc w:val="left"/>
              <w:rPr>
                <w:sz w:val="4"/>
                <w:szCs w:val="4"/>
              </w:rPr>
            </w:pPr>
            <w:r>
              <w:rPr>
                <w:sz w:val="4"/>
                <w:szCs w:val="4"/>
              </w:rPr>
            </w:r>
          </w:p>
        </w:tc>
        <w:tc>
          <w:tcPr>
            <w:tcW w:w="244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0.7%</w:t>
            </w:r>
          </w:p>
        </w:tc>
      </w:tr>
      <w:tr>
        <w:trPr/>
        <w:tc>
          <w:tcPr>
            <w:tcW w:w="35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Regulated Water segment total</w:t>
            </w:r>
          </w:p>
        </w:tc>
        <w:tc>
          <w:tcPr>
            <w:tcW w:w="47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40"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1,221,880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58.6%</w:t>
            </w:r>
          </w:p>
        </w:tc>
      </w:tr>
      <w:tr>
        <w:trPr/>
        <w:tc>
          <w:tcPr>
            <w:tcW w:w="354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Residential gas</w:t>
            </w:r>
          </w:p>
        </w:tc>
        <w:tc>
          <w:tcPr>
            <w:tcW w:w="475" w:type="dxa"/>
            <w:tcBorders/>
            <w:shd w:fill="CCEEFF" w:val="clear"/>
            <w:vAlign w:val="center"/>
          </w:tcPr>
          <w:p>
            <w:pPr>
              <w:pStyle w:val="TableContents"/>
              <w:bidi w:val="0"/>
              <w:spacing w:before="0" w:after="283"/>
              <w:jc w:val="left"/>
              <w:rPr>
                <w:sz w:val="4"/>
                <w:szCs w:val="4"/>
              </w:rPr>
            </w:pPr>
            <w:r>
              <w:rPr>
                <w:sz w:val="4"/>
                <w:szCs w:val="4"/>
              </w:rPr>
            </w:r>
          </w:p>
        </w:tc>
        <w:tc>
          <w:tcPr>
            <w:tcW w:w="224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504,426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24.2%</w:t>
            </w:r>
          </w:p>
        </w:tc>
      </w:tr>
      <w:tr>
        <w:trPr/>
        <w:tc>
          <w:tcPr>
            <w:tcW w:w="35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Commercial gas</w:t>
            </w:r>
          </w:p>
        </w:tc>
        <w:tc>
          <w:tcPr>
            <w:tcW w:w="475"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100,662</w:t>
            </w:r>
          </w:p>
        </w:tc>
        <w:tc>
          <w:tcPr>
            <w:tcW w:w="109"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4.8%</w:t>
            </w:r>
          </w:p>
        </w:tc>
      </w:tr>
      <w:tr>
        <w:trPr/>
        <w:tc>
          <w:tcPr>
            <w:tcW w:w="35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Industrial gas</w:t>
            </w:r>
          </w:p>
        </w:tc>
        <w:tc>
          <w:tcPr>
            <w:tcW w:w="475" w:type="dxa"/>
            <w:tcBorders/>
            <w:shd w:fill="CCEEFF" w:val="clear"/>
            <w:vAlign w:val="center"/>
          </w:tcPr>
          <w:p>
            <w:pPr>
              <w:pStyle w:val="TableContents"/>
              <w:bidi w:val="0"/>
              <w:spacing w:before="0" w:after="283"/>
              <w:jc w:val="left"/>
              <w:rPr>
                <w:sz w:val="4"/>
                <w:szCs w:val="4"/>
              </w:rPr>
            </w:pPr>
            <w:r>
              <w:rPr>
                <w:sz w:val="4"/>
                <w:szCs w:val="4"/>
              </w:rPr>
            </w:r>
          </w:p>
        </w:tc>
        <w:tc>
          <w:tcPr>
            <w:tcW w:w="224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2,279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0.1%</w:t>
            </w:r>
          </w:p>
        </w:tc>
      </w:tr>
      <w:tr>
        <w:trPr/>
        <w:tc>
          <w:tcPr>
            <w:tcW w:w="35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Gas transportation</w:t>
            </w:r>
          </w:p>
        </w:tc>
        <w:tc>
          <w:tcPr>
            <w:tcW w:w="475"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194,413</w:t>
            </w:r>
          </w:p>
        </w:tc>
        <w:tc>
          <w:tcPr>
            <w:tcW w:w="109" w:type="dxa"/>
            <w:tcBorders/>
            <w:vAlign w:val="center"/>
          </w:tcPr>
          <w:p>
            <w:pPr>
              <w:pStyle w:val="TableContents"/>
              <w:bidi w:val="0"/>
              <w:spacing w:before="0" w:after="283"/>
              <w:jc w:val="left"/>
              <w:rPr>
                <w:sz w:val="4"/>
                <w:szCs w:val="4"/>
              </w:rPr>
            </w:pPr>
            <w:r>
              <w:rPr>
                <w:sz w:val="4"/>
                <w:szCs w:val="4"/>
              </w:rPr>
            </w:r>
          </w:p>
        </w:tc>
        <w:tc>
          <w:tcPr>
            <w:tcW w:w="24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9.3%</w:t>
            </w:r>
          </w:p>
        </w:tc>
      </w:tr>
      <w:tr>
        <w:trPr/>
        <w:tc>
          <w:tcPr>
            <w:tcW w:w="35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utility</w:t>
            </w:r>
          </w:p>
        </w:tc>
        <w:tc>
          <w:tcPr>
            <w:tcW w:w="47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240"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41,211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6"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w:t>
            </w:r>
          </w:p>
        </w:tc>
      </w:tr>
      <w:tr>
        <w:trPr/>
        <w:tc>
          <w:tcPr>
            <w:tcW w:w="35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Regulated Natural Gas segment total</w:t>
            </w:r>
          </w:p>
        </w:tc>
        <w:tc>
          <w:tcPr>
            <w:tcW w:w="47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240"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842,991</w:t>
            </w:r>
          </w:p>
        </w:tc>
        <w:tc>
          <w:tcPr>
            <w:tcW w:w="109" w:type="dxa"/>
            <w:tcBorders/>
            <w:vAlign w:val="center"/>
          </w:tcPr>
          <w:p>
            <w:pPr>
              <w:pStyle w:val="TableContents"/>
              <w:bidi w:val="0"/>
              <w:spacing w:before="0" w:after="283"/>
              <w:jc w:val="left"/>
              <w:rPr>
                <w:sz w:val="4"/>
                <w:szCs w:val="4"/>
              </w:rPr>
            </w:pPr>
            <w:r>
              <w:rPr>
                <w:sz w:val="4"/>
                <w:szCs w:val="4"/>
              </w:rPr>
            </w:r>
          </w:p>
        </w:tc>
        <w:tc>
          <w:tcPr>
            <w:tcW w:w="2446"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40.4%</w:t>
            </w:r>
          </w:p>
        </w:tc>
      </w:tr>
      <w:tr>
        <w:trPr/>
        <w:tc>
          <w:tcPr>
            <w:tcW w:w="3541" w:type="dxa"/>
            <w:tcBorders/>
            <w:shd w:fill="CCEEFF" w:val="clear"/>
            <w:vAlign w:val="center"/>
          </w:tcPr>
          <w:p>
            <w:pPr>
              <w:pStyle w:val="TableContents"/>
              <w:bidi w:val="0"/>
              <w:spacing w:before="0" w:after="283"/>
              <w:jc w:val="left"/>
              <w:rPr>
                <w:sz w:val="4"/>
                <w:szCs w:val="4"/>
              </w:rPr>
            </w:pPr>
            <w:r>
              <w:rPr>
                <w:sz w:val="4"/>
                <w:szCs w:val="4"/>
              </w:rPr>
            </w:r>
          </w:p>
        </w:tc>
        <w:tc>
          <w:tcPr>
            <w:tcW w:w="475" w:type="dxa"/>
            <w:tcBorders/>
            <w:shd w:fill="CCEEFF" w:val="clear"/>
            <w:vAlign w:val="center"/>
          </w:tcPr>
          <w:p>
            <w:pPr>
              <w:pStyle w:val="TableContents"/>
              <w:bidi w:val="0"/>
              <w:spacing w:before="0" w:after="283"/>
              <w:jc w:val="left"/>
              <w:rPr>
                <w:sz w:val="4"/>
                <w:szCs w:val="4"/>
              </w:rPr>
            </w:pPr>
            <w:r>
              <w:rPr>
                <w:sz w:val="4"/>
                <w:szCs w:val="4"/>
              </w:rPr>
            </w:r>
          </w:p>
        </w:tc>
        <w:tc>
          <w:tcPr>
            <w:tcW w:w="2240"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6" w:type="dxa"/>
            <w:tcBorders/>
            <w:shd w:fill="CCEEFF" w:val="clear"/>
            <w:vAlign w:val="center"/>
          </w:tcPr>
          <w:p>
            <w:pPr>
              <w:pStyle w:val="TableContents"/>
              <w:bidi w:val="0"/>
              <w:spacing w:before="0" w:after="283"/>
              <w:jc w:val="left"/>
              <w:rPr>
                <w:sz w:val="4"/>
                <w:szCs w:val="4"/>
              </w:rPr>
            </w:pPr>
            <w:r>
              <w:rPr>
                <w:sz w:val="4"/>
                <w:szCs w:val="4"/>
              </w:rPr>
            </w:r>
          </w:p>
        </w:tc>
      </w:tr>
      <w:tr>
        <w:trPr/>
        <w:tc>
          <w:tcPr>
            <w:tcW w:w="35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and eliminations</w:t>
            </w:r>
          </w:p>
        </w:tc>
        <w:tc>
          <w:tcPr>
            <w:tcW w:w="4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40"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21,242</w:t>
            </w:r>
          </w:p>
        </w:tc>
        <w:tc>
          <w:tcPr>
            <w:tcW w:w="109" w:type="dxa"/>
            <w:tcBorders/>
            <w:vAlign w:val="center"/>
          </w:tcPr>
          <w:p>
            <w:pPr>
              <w:pStyle w:val="TableContents"/>
              <w:bidi w:val="0"/>
              <w:spacing w:before="0" w:after="283"/>
              <w:jc w:val="left"/>
              <w:rPr>
                <w:sz w:val="4"/>
                <w:szCs w:val="4"/>
              </w:rPr>
            </w:pPr>
            <w:r>
              <w:rPr>
                <w:sz w:val="4"/>
                <w:szCs w:val="4"/>
              </w:rPr>
            </w:r>
          </w:p>
        </w:tc>
        <w:tc>
          <w:tcPr>
            <w:tcW w:w="244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w:t>
            </w:r>
          </w:p>
        </w:tc>
      </w:tr>
      <w:tr>
        <w:trPr/>
        <w:tc>
          <w:tcPr>
            <w:tcW w:w="35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Consolidated</w:t>
            </w:r>
          </w:p>
        </w:tc>
        <w:tc>
          <w:tcPr>
            <w:tcW w:w="47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4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2,086,113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4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100.0%</w:t>
            </w:r>
          </w:p>
        </w:tc>
      </w:tr>
    </w:tbl>
    <w:p>
      <w:pPr>
        <w:pStyle w:val="TextBody"/>
        <w:bidi w:val="0"/>
        <w:spacing w:lineRule="auto" w:line="259"/>
        <w:rPr>
          <w:rFonts w:ascii="Times New Roman;serif" w:hAnsi="Times New Roman;serif"/>
          <w:b/>
          <w:i/>
          <w:sz w:val="22"/>
        </w:rPr>
      </w:pPr>
      <w:r>
        <w:rPr>
          <w:rFonts w:ascii="Times New Roman;serif" w:hAnsi="Times New Roman;serif"/>
          <w:b/>
          <w:i/>
          <w:sz w:val="22"/>
        </w:rPr>
        <w:t>Customers and Seasonality of Business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water utility customer base is diversified among residential water, commercial water, fire protection, industrial water, other water, wastewater customers, and other utility customers (consisting of contracted services that are associated with the utility operations). Residential water and wastewater customers make up the largest component of our water utility customer base, with these customers representing approximately 67%, 69%, and 68%, of our water and wastewater revenues for 2024, 2023, and 2022, respectively. Substantially all of our water utility customers are metered, which allows us to measure and bill for our customers’ water consumption. Water consumption per customer is affected by local weather conditions during the year, especially during late spring, summer, and early fall when discretionary and recreational use of water is at its highest. Consequently a higher proportion of annual Regulated Water segment operating revenues are realized in the second and third quarters. In general, during these seasons, an extended period of dry weather increases consumption, while above-average rainfall decreases consumption. Also, an increase in the average temperature generally causes an increase in water consumption. On occasion, abnormally dry weather in our service areas can result in governmental authorities declaring drought warnings and imposing water use restrictions in the affected areas, which could reduce water consumption. See “Business – Water Utility Supplies, and Facilities and Wastewater Utility Facilities” for a discussion of water use restrictions that may impact water consumption during abnormally dry weather. The geographic diversity of our water utility customer base reduces the effect of our exposure to extreme or unusual weather conditions in any one area of our service territories. During the year ended December 31, 2024, our operating revenues for our Regulated Water segment were derived principally from the following states: approximately 55% in Pennsylvania, 11% in Ohio, 9% in Texas, 8% in Illinois, and 7% in North Carolina. Water usage is also affected by changing consumption patterns by our customers, resulting from such causes as increased water conservation and the installation of water saving devices and appliances that can result in decreased water usage. It is estimated that, in the event we experience a 0.50% decrease in residential water consumption, it would result in a decrease in annual residential water revenue of approximately $3,000,000, which would likely be partially offset by a reduction in incremental water production expenses such as chemicals and power.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natural gas utility customer base is diversified among residential gas, commercial gas, industrial gas, gas transportation, and other utility. Substantially all of our natural gas utility customers are metered, which allows us to measure and bill for our customers’ natural gas usage. Natural gas usage per customer is affected by local weather conditions during the year, especially during the fall, winter, and early spring. These patterns reflect the higher demand for natural gas for heating purposes during the colder months. The impact on our natural gas sales resulting from weather temperatures that are above or below normal is offset partially through our weather normalization adjustment mechanisms in place in Kentucky and in Pennsylvania (effective beginning October 2024).  During the year ended December 31, 2024, we experienced 4,288 actual heating degree days (HDDs), which was warmer by 18.2% than the average or normal HDDs for Pittsburgh, Pennsylvania, which we use as a proxy for our western Pennsylvania service territory. HDDs are used in the natural gas industry to measure the relative coldness of weather and to estimate the demand for natural gas. Our regulated natural gas revenues and expenses are also affected by the cost of gas. We are generally able to pass the cost of gas through to our customers using a purchased gas adjustment clause; therefore, fluctuations in the cost of purchased gas impact revenues on a dollar-for-dollar basis. Since regulated natural gas revenues are affected by the cost of gas, higher gas costs, as well as general economic conditions, may cause customers to conserve usage, or seek alternative energy sources. In addition, higher gas costs result in an increase to our purchased gas inventory, which requires additional borrowings under credit facilities, resulting in higher interest expense.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The Company’s growth in revenues over the past five years is primarily a result of increases in water and wastewater rates, increase in the cost of natural gas in 2021 and 2022, customer growth, and its acquisition in 2020 of Peoples Natural Gas Company LLC and its affiliated companies, or the Peoples Gas Acquisition. See </w:t>
      </w:r>
      <w:r>
        <w:rPr>
          <w:rFonts w:ascii="Times New Roman;serif" w:hAnsi="Times New Roman;serif"/>
          <w:b w:val="false"/>
          <w:i/>
          <w:sz w:val="22"/>
        </w:rPr>
        <w:t>Economic Regulation</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for a discussion of water, wastewater, and natural gas rates. The increase in our utility customer base has been due to customers added through acquisitions, partnerships with developers, and organic growth (excluding dispositions) as shown below: </w:t>
      </w:r>
    </w:p>
    <w:tbl>
      <w:tblPr>
        <w:tblW w:w="3651" w:type="dxa"/>
        <w:jc w:val="left"/>
        <w:tblInd w:w="0" w:type="dxa"/>
        <w:tblLayout w:type="fixed"/>
        <w:tblCellMar>
          <w:top w:w="0" w:type="dxa"/>
          <w:left w:w="0" w:type="dxa"/>
          <w:bottom w:w="0" w:type="dxa"/>
          <w:right w:w="0" w:type="dxa"/>
        </w:tblCellMar>
      </w:tblPr>
      <w:tblGrid>
        <w:gridCol w:w="601"/>
        <w:gridCol w:w="109"/>
        <w:gridCol w:w="2941"/>
      </w:tblGrid>
      <w:tr>
        <w:trPr/>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41" w:type="dxa"/>
            <w:tcBorders/>
            <w:shd w:fill="FFFFFF" w:val="clear"/>
            <w:vAlign w:val="center"/>
          </w:tcPr>
          <w:p>
            <w:pPr>
              <w:pStyle w:val="TableContents"/>
              <w:bidi w:val="0"/>
              <w:spacing w:before="0" w:after="283"/>
              <w:jc w:val="left"/>
              <w:rPr>
                <w:sz w:val="4"/>
                <w:szCs w:val="4"/>
              </w:rPr>
            </w:pPr>
            <w:r>
              <w:rPr>
                <w:sz w:val="4"/>
                <w:szCs w:val="4"/>
              </w:rPr>
            </w:r>
          </w:p>
        </w:tc>
      </w:tr>
      <w:tr>
        <w:trPr/>
        <w:tc>
          <w:tcPr>
            <w:tcW w:w="601"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41"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Utility Customer Growth Rate</w:t>
            </w:r>
          </w:p>
        </w:tc>
      </w:tr>
      <w:tr>
        <w:trPr/>
        <w:tc>
          <w:tcPr>
            <w:tcW w:w="601" w:type="dxa"/>
            <w:tcBorders>
              <w:top w:val="single" w:sz="8" w:space="0" w:color="000000"/>
            </w:tcBorders>
            <w:shd w:fill="CCEEFF" w:val="clear"/>
            <w:tcMar>
              <w:top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41" w:type="dxa"/>
            <w:tcBorders>
              <w:top w:val="single" w:sz="8" w:space="0" w:color="000000"/>
            </w:tcBorders>
            <w:shd w:fill="CCEEFF" w:val="clear"/>
            <w:tcMar>
              <w:top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0.6%</w:t>
            </w:r>
          </w:p>
        </w:tc>
      </w:tr>
      <w:tr>
        <w:trPr/>
        <w:tc>
          <w:tcPr>
            <w:tcW w:w="601"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109"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w:t>
            </w:r>
          </w:p>
        </w:tc>
      </w:tr>
      <w:tr>
        <w:trPr/>
        <w:tc>
          <w:tcPr>
            <w:tcW w:w="601" w:type="dxa"/>
            <w:tcBorders/>
            <w:shd w:fill="CCEE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41" w:type="dxa"/>
            <w:tcBorders/>
            <w:shd w:fill="CCEE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w:t>
            </w:r>
          </w:p>
        </w:tc>
      </w:tr>
      <w:tr>
        <w:trPr/>
        <w:tc>
          <w:tcPr>
            <w:tcW w:w="601"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2021</w:t>
            </w:r>
          </w:p>
        </w:tc>
        <w:tc>
          <w:tcPr>
            <w:tcW w:w="109"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w:t>
            </w:r>
          </w:p>
        </w:tc>
      </w:tr>
      <w:tr>
        <w:trPr/>
        <w:tc>
          <w:tcPr>
            <w:tcW w:w="601" w:type="dxa"/>
            <w:tcBorders/>
            <w:shd w:fill="CCEE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941" w:type="dxa"/>
            <w:tcBorders/>
            <w:shd w:fill="CCEE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42.9%</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2024, 2023, 2022, 2021, and 2020, our customer count increased by 11,845, 5,875, 31,537, 21,246, and 772,099 customers, respectively, primarily due to the water and wastewater utility systems that we acquired, organic growth, and in 2020, due to the Peoples Gas Acquisition that resulted to the addition of approximately 750,000 natural gas utility customers. Overall, for the five year period of 2020 through 2024, our utility customer base, adjusted to exclude customers associated with utility system dispositions, increased at an annual compound rate of 12.9%. During the five year period ended December 31, 2024, our utility customer base including customers associated with utility system acquisitions and dispositions increased from 1,026,704 at January 1, 2020 to 1,869,306 at December 31, 2024. </w:t>
      </w:r>
    </w:p>
    <w:p>
      <w:pPr>
        <w:pStyle w:val="TextBody"/>
        <w:bidi w:val="0"/>
        <w:spacing w:lineRule="auto" w:line="259"/>
        <w:rPr>
          <w:rFonts w:ascii="Times New Roman;serif" w:hAnsi="Times New Roman;serif"/>
          <w:b/>
          <w:i/>
          <w:sz w:val="22"/>
        </w:rPr>
      </w:pPr>
      <w:r>
        <w:rPr>
          <w:rFonts w:ascii="Times New Roman;serif" w:hAnsi="Times New Roman;serif"/>
          <w:b/>
          <w:i/>
          <w:sz w:val="22"/>
        </w:rPr>
        <w:t>Acquisitions and Other Growth Ventures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We believe that acquisitions will continue to be an important source of customer growth for us. We intend to continue to pursue acquisitions of government-owned and regulated water and wastewater systems that provide services in areas near our existing service territories or in new service areas. We engage in continuing activities with respect to potential acquisitions, including calling on prospective sellers, performing analyses of and due diligence on acquisition candidates, making preliminary acquisition proposals, and negotiating the terms of potential acquisitions. Further, we are also seeking other potential business opportunities, including but not limited to, partnering with public and regulated utilities to invest in infrastructure projects, growing our market-based activities by acquiring businesses that provide water and wastewater or other utility-related services, and investing in infrastructure projects.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Based on the 2023 U.S. Census American Housing Survey, approximately 89% of the U.S. population obtain their water from public or private water utility systems, and 11% of the U.S. population obtain their water from individual wells. With approximately 50,000 community water systems in the U.S. (approximately 81% of which serve less than 3,300 customers), the water industry is the most fragmented of the major utility industries (telephone, natural gas, electric, water and wastewater). The majority of these community water systems are government-owned. The nation’s water systems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range in size from large government-owned systems, such as the New York City water system, which serves approximately 8.5 million people, to small systems, where a few customers share a common well. In the states where we operate regulated water utilities, we believe there are over 14,000 community water systems of widely-varying size, with the majority of the population being served by government-owned water systems.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Although not as fragmented as the water industry, the wastewater industry in the U.S. also presents opportunities for consolidation. Based on the 2023 U.S. Census American Housing Survey, approximately 81% of the U.S. population relies on public or private sewer systems, and 19% of the U.S. population relies on septic tank, cesspool, or other sewer options. A majority of wastewater facilities are government-owned rather than regulated utilities. In the states where we operate regulated water utilities, we believe there are approximately 5,000 wastewater facilities in operation, with the majority of the population being served by government-owned wastewater systems.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Because of the fragmented nature of the water and wastewater utility industries, we believe there are many potential water and wastewater system acquisition candidates throughout the U.S. We believe the factors driving consolidation of these systems are:</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the benefits of economies of scale;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the increasing cost and complexity of environmental regulations;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the need for substantial capital investment;</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the need for technical and managerial expertise;</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the desire to improve water quality and service;</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limited access to cost-effective financing;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the monetizing of public assets to support, in some cases, the declining financial condition of municipalities; and</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the use of system sale proceeds by a municipality to accomplish other public purposes. </w:t>
      </w:r>
    </w:p>
    <w:p>
      <w:pPr>
        <w:pStyle w:val="TextBody"/>
        <w:bidi w:val="0"/>
        <w:spacing w:lineRule="auto" w:line="259"/>
        <w:ind w:left="0" w:right="0" w:hanging="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are actively exploring opportunities to expand our water and wastewater utility operations through acquisitions or other growth ventures. During the three-year period ended December 31, 2024, we expanded our utility operations by completing 12 acquisitions of water or wastewater utilities or other similar assets. </w:t>
      </w:r>
    </w:p>
    <w:p>
      <w:pPr>
        <w:pStyle w:val="Heading6"/>
        <w:bidi w:val="0"/>
        <w:spacing w:lineRule="auto" w:line="259"/>
        <w:rPr>
          <w:rFonts w:ascii="Times New Roman;serif" w:hAnsi="Times New Roman;serif"/>
          <w:b/>
          <w:i/>
          <w:spacing w:val="0"/>
          <w:sz w:val="22"/>
        </w:rPr>
      </w:pPr>
      <w:r>
        <w:rPr>
          <w:rFonts w:ascii="Times New Roman;serif" w:hAnsi="Times New Roman;serif"/>
          <w:b/>
          <w:i/>
          <w:spacing w:val="0"/>
          <w:sz w:val="22"/>
        </w:rPr>
        <w:t>Capital Investment</w:t>
      </w:r>
    </w:p>
    <w:p>
      <w:pPr>
        <w:pStyle w:val="Heading6"/>
        <w:bidi w:val="0"/>
        <w:spacing w:lineRule="auto" w:line="259"/>
        <w:rPr>
          <w:rFonts w:ascii="Garamond;serif" w:hAnsi="Garamond;serif"/>
          <w:sz w:val="22"/>
        </w:rPr>
      </w:pPr>
      <w:r>
        <w:rPr>
          <w:rFonts w:ascii="Times New Roman;serif" w:hAnsi="Times New Roman;serif"/>
          <w:b w:val="false"/>
          <w:i w:val="false"/>
          <w:caps w:val="false"/>
          <w:smallCaps w:val="false"/>
          <w:spacing w:val="0"/>
          <w:sz w:val="22"/>
        </w:rPr>
        <w:t>One of the greatest challenges facing the United States is the rehabilitation of our nation’s aging infrastructure. The Company expects to invest approximately</w:t>
      </w:r>
      <w:r>
        <w:rPr>
          <w:rFonts w:ascii="Garamond;serif" w:hAnsi="Garamond;serif"/>
          <w:caps w:val="false"/>
          <w:smallCaps w:val="false"/>
          <w:spacing w:val="0"/>
          <w:sz w:val="22"/>
        </w:rPr>
        <w:t> </w:t>
      </w:r>
      <w:r>
        <w:rPr>
          <w:rFonts w:ascii="Times New Roman;serif" w:hAnsi="Times New Roman;serif"/>
          <w:b w:val="false"/>
          <w:i w:val="false"/>
          <w:caps w:val="false"/>
          <w:smallCaps w:val="false"/>
          <w:spacing w:val="0"/>
          <w:sz w:val="22"/>
        </w:rPr>
        <w:t>$7.8 billion</w:t>
      </w:r>
      <w:r>
        <w:rPr>
          <w:rFonts w:ascii="Garamond;serif" w:hAnsi="Garamond;serif"/>
          <w:caps w:val="false"/>
          <w:smallCaps w:val="false"/>
          <w:spacing w:val="0"/>
          <w:sz w:val="22"/>
        </w:rPr>
        <w:t> </w:t>
      </w:r>
      <w:r>
        <w:rPr>
          <w:rFonts w:ascii="Times New Roman;serif" w:hAnsi="Times New Roman;serif"/>
          <w:b w:val="false"/>
          <w:i w:val="false"/>
          <w:caps w:val="false"/>
          <w:smallCaps w:val="false"/>
          <w:spacing w:val="0"/>
          <w:sz w:val="22"/>
        </w:rPr>
        <w:t>from 2025 through 2029 to meet compliance requirements, improve water and natural gas systems, and better serve customers through improved information technology. These investments include replacing and expanding its water and wastewater utility infrastructure, construction of additional treatment facilities to comply with the latest water quality standards, and replacing and upgrading its natural gas utility infrastructure, with the latter leading to significant reductions in methane emissions that occur in aged gas pipes. These figures could change as plans for construction execution are refined. The capital investments made to rehabilitate and expand the infrastructure of the communities we serve is critical to our mission of safely and reliably delivering Earth</w:t>
      </w:r>
      <w:r>
        <w:rPr>
          <w:rFonts w:ascii="Garamond;serif" w:hAnsi="Garamond;serif"/>
          <w:caps w:val="false"/>
          <w:smallCaps w:val="false"/>
          <w:spacing w:val="0"/>
          <w:sz w:val="22"/>
        </w:rPr>
        <w:t>’</w:t>
      </w:r>
      <w:r>
        <w:rPr>
          <w:rFonts w:ascii="Times New Roman;serif" w:hAnsi="Times New Roman;serif"/>
          <w:b w:val="false"/>
          <w:i w:val="false"/>
          <w:caps w:val="false"/>
          <w:smallCaps w:val="false"/>
          <w:spacing w:val="0"/>
          <w:sz w:val="22"/>
        </w:rPr>
        <w:t>s most essential resources.</w:t>
      </w:r>
    </w:p>
    <w:p>
      <w:pPr>
        <w:pStyle w:val="Heading6"/>
        <w:bidi w:val="0"/>
        <w:spacing w:lineRule="auto" w:line="259"/>
        <w:rPr>
          <w:rFonts w:ascii="Times New Roman;serif" w:hAnsi="Times New Roman;serif"/>
          <w:b/>
          <w:i/>
          <w:spacing w:val="0"/>
          <w:sz w:val="22"/>
        </w:rPr>
      </w:pPr>
      <w:r>
        <w:rPr>
          <w:rFonts w:ascii="Times New Roman;serif" w:hAnsi="Times New Roman;serif"/>
          <w:b/>
          <w:i/>
          <w:spacing w:val="0"/>
          <w:sz w:val="22"/>
        </w:rPr>
        <w:t>Supply and Facilities</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pacing w:val="0"/>
          <w:sz w:val="22"/>
          <w:u w:val="single"/>
        </w:rPr>
        <w:t>Water Utility Supplies and Facilities and Wastewater Utility Facilities</w:t>
      </w:r>
      <w:r>
        <w:rPr>
          <w:rFonts w:ascii="Times New Roman;serif" w:hAnsi="Times New Roman;serif"/>
          <w:caps w:val="false"/>
          <w:smallCaps w:val="false"/>
          <w:spacing w:val="0"/>
          <w:sz w:val="22"/>
        </w:rPr>
        <w:t xml:space="preserve"> </w:t>
      </w:r>
      <w:r>
        <w:rPr>
          <w:rFonts w:ascii="Times New Roman;serif" w:hAnsi="Times New Roman;serif"/>
          <w:b w:val="false"/>
          <w:i w:val="false"/>
          <w:caps w:val="false"/>
          <w:smallCaps w:val="false"/>
          <w:sz w:val="20"/>
        </w:rPr>
        <w:t xml:space="preserve">- </w:t>
      </w:r>
      <w:r>
        <w:rPr>
          <w:rFonts w:ascii="Times New Roman;serif" w:hAnsi="Times New Roman;serif"/>
          <w:b w:val="false"/>
          <w:i w:val="false"/>
          <w:caps w:val="false"/>
          <w:smallCaps w:val="false"/>
          <w:sz w:val="22"/>
        </w:rPr>
        <w:t xml:space="preserve">Our water utility operations obtain their water supplies from surface water sources, underground aquifers, and water purchased from other water suppliers. Our water supplies are primarily self-supplied and processed at twenty-four surface water treatment plants located in five states, and numerous well stations located in the states in which we conduct business. Approximately 6.6% of our water supplies are provided through water purchased from other water suppliers. It is our policy to obtain and maintain the permits necessary to obtain and treat the water we distribute.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believe that the capacities of our sources of supply, and our water treatment, pumping and distribution facilities, are generally sufficient to meet the present requirements of our customers under normal conditions. We plan system improvements and additions to capacity in response to normal replacement and renewal needs, changing regulatory standards, changing patterns of consumption, and increased demand from customer growth. We also have long-term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planning processes and maintain contingency plans to minimize the potential impact on service caused by climate variability. The various state utility commissions have generally recognized the operating and capital costs associated with these improvements in setting water rates.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On occasion, drought warnings and water use restrictions are issued by governmental authorities for portions of our service territories in response to extended periods of dry weather conditions. The timing and duration of the warnings and restrictions can have an impact on our water revenues and net income. In general, water consumption in the summer months is more affected by drought warnings and restrictions because discretionary and recreational use of water is at its highest during the summer months. At other times of the year, warnings and restrictions generally have less of an effect on water consumption. Drought warnings and watches result in the public being asked to voluntarily reduce water consumption.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believe that our wastewater treatment facilities are generally adequate to meet the present requirements of our customers under normal conditions. Additionally, we own several wastewater collection systems that convey the wastewater to municipally-owned facilities for treatment. Changes in regulatory requirements can be reflected in revised permit limits and conditions when permits are renewed, typically on a five year cycle, or when treatment capacity is expanded. Capital improvements are planned and budgeted to meet normal replacement and renewal needs, anticipated changes in regulations, needs for increased capacity related to projected growth, and to reduce inflow and infiltration to collection systems. The various state utility commissions have generally recognized the operating and capital costs associated with these improvements in setting wastewater rates for current and new customers. It is our policy to obtain and maintain the permits necessary for the treatment of the wastewater that we return to the environment.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pacing w:val="0"/>
          <w:sz w:val="22"/>
          <w:u w:val="single"/>
        </w:rPr>
        <w:t>Natural Gas Supply and Transportation Facilities</w:t>
      </w:r>
      <w:r>
        <w:rPr>
          <w:rFonts w:ascii="Times New Roman;serif" w:hAnsi="Times New Roman;serif"/>
          <w:caps w:val="false"/>
          <w:smallCaps w:val="false"/>
          <w:color w:val="000000"/>
          <w:spacing w:val="0"/>
          <w:sz w:val="22"/>
        </w:rPr>
        <w:t xml:space="preserve"> </w:t>
      </w:r>
      <w:r>
        <w:rPr>
          <w:rFonts w:ascii="Garamond;serif" w:hAnsi="Garamond;serif"/>
          <w:b w:val="false"/>
          <w:i w:val="false"/>
          <w:caps w:val="false"/>
          <w:smallCaps w:val="false"/>
          <w:color w:val="000000"/>
          <w:spacing w:val="0"/>
          <w:sz w:val="22"/>
        </w:rPr>
        <w:t>-</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Our natural gas supply strategy is to ensure a dependable gas supply that is economically priced and which is available for delivery when needed. We purchase natural gas from intrastate, interstate, and local sources, and transport natural gas supplies through various intrastate and interstate pipelines under contracts with remaining terms, including extensions, varying from one month to 10 years. We anticipate that these gas supply and transportation contracts will be renewed or replaced prior to their expiration.</w:t>
      </w:r>
    </w:p>
    <w:p>
      <w:pPr>
        <w:pStyle w:val="TextBody"/>
        <w:bidi w:val="0"/>
        <w:spacing w:lineRule="auto" w:line="259"/>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The regulations of the states in which we operate natural gas utilities allow us to pass through changes in the cost of natural gas to our customers under purchased gas adjustment provisions in our tariffs. Depending upon the jurisdiction, the purchased gas adjustment factors are updated periodically, ranging from quarterly to annually. The changes in the cost of gas billed to customers are subject to review by the applicable regulatory bodies.</w:t>
      </w:r>
    </w:p>
    <w:p>
      <w:pPr>
        <w:pStyle w:val="TextBody"/>
        <w:bidi w:val="0"/>
        <w:spacing w:lineRule="auto" w:line="259"/>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We use various third-party storage services or owned natural gas storage facilities to meet peak-day requirements and to manage the daily changes in demand due to changes in weather.</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color w:val="000000"/>
          <w:sz w:val="22"/>
        </w:rPr>
        <w:t xml:space="preserve">We own and operate underground natural gas storage facilities with capacity of 10.5 billion cubic feet (Bcf). Total working capacity is 5.3 Bcf for use during the heating season with a maximum daily withdrawal rate of 115.5 million cubic feet (MMcf). Additionally, we have contracted for off-system storage from interstate pipelines. The total amount of off-system storage under contract is 34.9 Bcf with a maximum daily withdrawal rate of 588.9 MMcf. </w:t>
      </w:r>
      <w:r>
        <w:rPr>
          <w:rFonts w:ascii="Times New Roman;serif" w:hAnsi="Times New Roman;serif"/>
          <w:b w:val="false"/>
          <w:i w:val="false"/>
          <w:caps w:val="false"/>
          <w:smallCaps w:val="false"/>
          <w:sz w:val="22"/>
        </w:rPr>
        <w:t xml:space="preserve">We perform studies of our underground natural gas storage facilities to identify capital improvements. </w:t>
      </w:r>
      <w:r>
        <w:rPr>
          <w:rFonts w:ascii="Times New Roman;serif" w:hAnsi="Times New Roman;serif"/>
          <w:b w:val="false"/>
          <w:i w:val="false"/>
          <w:caps w:val="false"/>
          <w:smallCaps w:val="false"/>
          <w:color w:val="000000"/>
          <w:sz w:val="22"/>
        </w:rPr>
        <w:t>It is possible that disruptions to the storage facilities could occur, including failure of the facilities.</w:t>
      </w:r>
    </w:p>
    <w:p>
      <w:pPr>
        <w:pStyle w:val="TextBody"/>
        <w:bidi w:val="0"/>
        <w:spacing w:lineRule="auto" w:line="259"/>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On an ongoing basis, we enter into contracts to provide sufficient supplies and pipeline capacity to meet our customers’ natural gas requirements. However, it is possible for limited service disruptions to occur from time to time due to weather conditions, transportation constraints, and other events. As a result of these factors, supplies of natural gas may become unavailable from time to time, or prices may increase rapidly in response to temporary supply constraints or other factors. We enter into firm agreements with suppliers, including major producers and marketers, intended to provide flexibility to meet the temperature-sensitive needs of its customers. In Pennsylvania, our distribution system is connected to six interstate pipelines, where we maintain capacity we believe is sufficient to meet our customers’ gas requirements. In Kentucky, our distribution system is connected to four interstate pipelines, where we maintain capacity we believe is sufficient to meet our customers’ gas requirements. </w:t>
      </w:r>
    </w:p>
    <w:p>
      <w:pPr>
        <w:pStyle w:val="TextBody"/>
        <w:bidi w:val="0"/>
        <w:spacing w:lineRule="auto" w:line="259" w:before="0" w:after="100"/>
        <w:rPr>
          <w:rFonts w:ascii="Times New Roman;serif" w:hAnsi="Times New Roman;serif"/>
          <w:sz w:val="22"/>
        </w:rPr>
      </w:pPr>
      <w:r>
        <w:rPr>
          <w:rFonts w:ascii="Times New Roman;serif" w:hAnsi="Times New Roman;serif"/>
          <w:b w:val="false"/>
          <w:i w:val="false"/>
          <w:caps w:val="false"/>
          <w:smallCaps w:val="false"/>
          <w:color w:val="000000"/>
          <w:sz w:val="22"/>
        </w:rPr>
        <w:br/>
        <w:t>‎</w:t>
      </w:r>
      <w:r>
        <w:rPr>
          <w:rFonts w:ascii="Times New Roman;serif" w:hAnsi="Times New Roman;serif"/>
          <w:caps w:val="false"/>
          <w:smallCaps w:val="false"/>
          <w:color w:val="000000"/>
          <w:sz w:val="22"/>
        </w:rPr>
        <w:t xml:space="preser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Natural Gas Gathering</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 </w:t>
      </w:r>
      <w:r>
        <w:rPr>
          <w:rFonts w:ascii="Times New Roman;serif" w:hAnsi="Times New Roman;serif"/>
          <w:b w:val="false"/>
          <w:i w:val="false"/>
          <w:caps w:val="false"/>
          <w:smallCaps w:val="false"/>
          <w:color w:val="000000"/>
          <w:sz w:val="22"/>
        </w:rPr>
        <w:t>Our Pennsylvania Regulated Natural Gas service territory is situated in the Marcellus Shale production region. Approximately 27% of the natural gas supply on the system is from locally produced gas, which we gather and transport into our distribution system. Our gathering system is regulated by the Pennsylvania Public Utility Commission which includes various safety, environmental and, in some circumstances, anti-discrimination requirements, and in some instances complaint-based rate regulation. Our gathering operations may be subject to ratable take and common purchaser statutes in the states in which we operate.</w:t>
      </w:r>
    </w:p>
    <w:p>
      <w:pPr>
        <w:pStyle w:val="Heading4"/>
        <w:bidi w:val="0"/>
        <w:spacing w:lineRule="auto" w:line="259"/>
        <w:ind w:left="0" w:right="878" w:hanging="0"/>
        <w:jc w:val="left"/>
        <w:rPr>
          <w:rFonts w:ascii="Times New Roman;serif" w:hAnsi="Times New Roman;serif"/>
          <w:sz w:val="22"/>
        </w:rPr>
      </w:pPr>
      <w:r>
        <w:rPr>
          <w:rFonts w:ascii="Times New Roman;serif" w:hAnsi="Times New Roman;serif"/>
          <w:b w:val="false"/>
          <w:i w:val="false"/>
          <w:caps w:val="false"/>
          <w:smallCaps w:val="false"/>
          <w:color w:val="000000"/>
          <w:sz w:val="22"/>
        </w:rPr>
        <w:t xml:space="preserve">Our Regulated Natural Gas gathering operations could be adversely affected should they be subject in the future to the application of state or federal regulation of rates and services. Our gathering operations could also be subject to additional safety and operational regulations relating to the design, construction, testing, operation, replacement, and maintenance of gathering facilities. We cannot predict what effect, if any, such changes might have on our operations, but our Regulated Natural Gas segment could be required to incur additional capital expenditures and increased costs depending on future legislative and regulatory changes. Refer to further discussion below in the </w:t>
      </w:r>
      <w:r>
        <w:rPr>
          <w:rFonts w:ascii="Times New Roman;serif" w:hAnsi="Times New Roman;serif"/>
          <w:b w:val="false"/>
          <w:i/>
          <w:color w:val="000000"/>
          <w:sz w:val="22"/>
        </w:rPr>
        <w:t>Environmental, Health and Safety Regulation and Compliance</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section.</w:t>
      </w:r>
    </w:p>
    <w:p>
      <w:pPr>
        <w:pStyle w:val="Heading6"/>
        <w:bidi w:val="0"/>
        <w:spacing w:lineRule="auto" w:line="259"/>
        <w:rPr>
          <w:rFonts w:ascii="Times New Roman;serif" w:hAnsi="Times New Roman;serif"/>
          <w:b/>
          <w:i/>
          <w:spacing w:val="0"/>
          <w:sz w:val="22"/>
        </w:rPr>
      </w:pPr>
      <w:r>
        <w:rPr>
          <w:rFonts w:ascii="Times New Roman;serif" w:hAnsi="Times New Roman;serif"/>
          <w:b/>
          <w:i/>
          <w:spacing w:val="0"/>
          <w:sz w:val="22"/>
        </w:rPr>
        <w:t>Economic Regulation</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Most of our utility operations are subject to regulation by their respective state utility commissions, which have broad administrative power and authority to regulate billing rates, determine franchise areas and conditions of service, approve acquisitions, and authorize the issuance of securities. The utility commissions also establish uniform systems of accounts and approve the terms of contracts with affiliates and customers, business combinations with other utility systems, and loans and other financings. The policies of the utility commissions often differ from state to state and may change over time. A small number of our water and wastewater utility operations are subject to rate regulation by county or city governments. The profitability of our utility operations is influenced to a great extent by the timeliness and adequacy of rate allowances we are granted by the respective utility commissions or authorities in the various states in which we operate.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Rate Case Management Capability</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We maintain a rate case management capability, the objective of which is to provide that the tariffs of our utility operations reflect, to the extent practicable, the timely recovery of increases in costs of operations, capital expenditures, interest expense, taxes, energy, materials, and compliance with environmental regulations as well as a return on equity. We file rate increase requests to recover and earn a fair return on the infrastructure investments that we make in improving or replacing our facilities and to recover expense increases. In the states in which we operate, we are primarily subject to economic regulation by the following state utility commissions:</w:t>
      </w:r>
    </w:p>
    <w:tbl>
      <w:tblPr>
        <w:tblW w:w="5462" w:type="dxa"/>
        <w:jc w:val="left"/>
        <w:tblInd w:w="0" w:type="dxa"/>
        <w:tblLayout w:type="fixed"/>
        <w:tblCellMar>
          <w:top w:w="0" w:type="dxa"/>
          <w:left w:w="0" w:type="dxa"/>
          <w:bottom w:w="0" w:type="dxa"/>
          <w:right w:w="0" w:type="dxa"/>
        </w:tblCellMar>
      </w:tblPr>
      <w:tblGrid>
        <w:gridCol w:w="1516"/>
        <w:gridCol w:w="3946"/>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3946"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u w:val="single"/>
              </w:rPr>
            </w:pPr>
            <w:r>
              <w:rPr>
                <w:rFonts w:ascii="Times New Roman;serif" w:hAnsi="Times New Roman;serif"/>
                <w:b w:val="false"/>
                <w:i w:val="false"/>
                <w:caps w:val="false"/>
                <w:smallCaps w:val="false"/>
                <w:color w:val="000000"/>
                <w:sz w:val="22"/>
                <w:u w:val="single"/>
              </w:rPr>
              <w:t>State</w:t>
            </w:r>
          </w:p>
        </w:tc>
        <w:tc>
          <w:tcPr>
            <w:tcW w:w="394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u w:val="single"/>
              </w:rPr>
            </w:pPr>
            <w:r>
              <w:rPr>
                <w:rFonts w:ascii="Times New Roman;serif" w:hAnsi="Times New Roman;serif"/>
                <w:b w:val="false"/>
                <w:i w:val="false"/>
                <w:caps w:val="false"/>
                <w:smallCaps w:val="false"/>
                <w:color w:val="000000"/>
                <w:sz w:val="22"/>
                <w:u w:val="single"/>
              </w:rPr>
              <w:t>Utility Commission</w:t>
            </w:r>
          </w:p>
        </w:tc>
      </w:tr>
      <w:tr>
        <w:trPr/>
        <w:tc>
          <w:tcPr>
            <w:tcW w:w="15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Pennsylvania</w:t>
            </w:r>
          </w:p>
        </w:tc>
        <w:tc>
          <w:tcPr>
            <w:tcW w:w="39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Pennsylvania Public Utility Commission</w:t>
            </w:r>
          </w:p>
        </w:tc>
      </w:tr>
      <w:tr>
        <w:trPr/>
        <w:tc>
          <w:tcPr>
            <w:tcW w:w="15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Ohio</w:t>
            </w:r>
          </w:p>
        </w:tc>
        <w:tc>
          <w:tcPr>
            <w:tcW w:w="39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Public Utilities Commission of Ohio</w:t>
            </w:r>
          </w:p>
        </w:tc>
      </w:tr>
      <w:tr>
        <w:trPr/>
        <w:tc>
          <w:tcPr>
            <w:tcW w:w="15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North Carolina</w:t>
            </w:r>
          </w:p>
        </w:tc>
        <w:tc>
          <w:tcPr>
            <w:tcW w:w="39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North Carolina Utilities Commission</w:t>
            </w:r>
          </w:p>
        </w:tc>
      </w:tr>
      <w:tr>
        <w:trPr/>
        <w:tc>
          <w:tcPr>
            <w:tcW w:w="15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Texas</w:t>
            </w:r>
          </w:p>
        </w:tc>
        <w:tc>
          <w:tcPr>
            <w:tcW w:w="39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Public Utility Commission of Texas</w:t>
            </w:r>
          </w:p>
        </w:tc>
      </w:tr>
      <w:tr>
        <w:trPr/>
        <w:tc>
          <w:tcPr>
            <w:tcW w:w="15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Illinois</w:t>
            </w:r>
          </w:p>
        </w:tc>
        <w:tc>
          <w:tcPr>
            <w:tcW w:w="39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Illinois Commerce Commission</w:t>
            </w:r>
          </w:p>
        </w:tc>
      </w:tr>
      <w:tr>
        <w:trPr/>
        <w:tc>
          <w:tcPr>
            <w:tcW w:w="15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New Jersey</w:t>
            </w:r>
          </w:p>
        </w:tc>
        <w:tc>
          <w:tcPr>
            <w:tcW w:w="39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New Jersey Board of Public Utilities</w:t>
            </w:r>
          </w:p>
        </w:tc>
      </w:tr>
      <w:tr>
        <w:trPr/>
        <w:tc>
          <w:tcPr>
            <w:tcW w:w="15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Kentucky</w:t>
            </w:r>
          </w:p>
        </w:tc>
        <w:tc>
          <w:tcPr>
            <w:tcW w:w="39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Public Service Commission of Kentucky</w:t>
            </w:r>
          </w:p>
        </w:tc>
      </w:tr>
      <w:tr>
        <w:trPr/>
        <w:tc>
          <w:tcPr>
            <w:tcW w:w="15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Virginia</w:t>
            </w:r>
          </w:p>
        </w:tc>
        <w:tc>
          <w:tcPr>
            <w:tcW w:w="39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Virginia State Corporation Commission</w:t>
            </w:r>
          </w:p>
        </w:tc>
      </w:tr>
      <w:tr>
        <w:trPr/>
        <w:tc>
          <w:tcPr>
            <w:tcW w:w="15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Indiana</w:t>
            </w:r>
          </w:p>
        </w:tc>
        <w:tc>
          <w:tcPr>
            <w:tcW w:w="39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Indiana Utility Regulatory Commission</w:t>
            </w:r>
          </w:p>
        </w:tc>
      </w:tr>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3946"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Our water and wastewater operations are comprised of 38 rate divisions, and our natural gas operations are comprised of two rate divisions. Each of our utility rate divisions requires a separate rate filing for the evaluation of the cost of service, including the recovery of investments, in connection with the establishment of rates for that rate division. When feasible and beneficial to our utility customers, we will seek approval from the applicable state regulatory commission to consolidate rate divisions to achieve a more even distribution of costs over a larger customer base. All eight states in which we operate permit us to file a revenue requirement for some form of consolidated rates for all, or some, of the rate divisions in that state.</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 Ohio, Virginia, North Carolina, Texas, and Kentucky, we may bill our utility customers, in certain circumstances, in accordance with a base rate filing that is pending before the respective regulatory commission, which would allow for interim rates. As of December 31, 2024, we have no billings under interim rate arrangements for base rate case filings in progress. Furthermore, some utility commissions authorize the use of expense deferrals and amortization to provide for an impact on our operating income by an amount that approximates the requested amount in a rate request. In these states, the additional revenue billed and collected prior to the final regulatory commission ruling is subject to refund to customers based on the outcome of the ruling. The revenue recognized and the expenses deferred by us reflect an estimate as to the final outcome of the ruling. If the request is denied completely or in part, we could be required to refund to customers some or all of the revenue billed to date and write-off some or all of the deferred expenses.</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Revenue Surcharges</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Eight states in which we operate water and wastewater utilities, and two states in which we operate natural gas utilities, permit us to add an infrastructure rehabilitation surcharge to their respective bills to offset the additional depreciation and capital costs associated with capital expenditures related to replacing and rehabilitating infrastructure systems. Without this surcharge, a utility absorbs all of the depreciation and capital costs of these projects between base rate increases. The gap between the time that a capital project is completed and the recovery of its costs in rates is known as regulatory lag. This surcharge is intended to substantially reduce regulatory lag, which could act as a disincentive for utilities to rehabilitate their infrastructure. In addition, our subsidiaries in some states use a surcharge or credit on their bills to reflect changes in costs, such as changes in state tax rates, other taxes and purchased water costs, until such time as the new cost levels are incorporated into base rates.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infrastructure rehabilitation surcharge typically adjusts periodically based on additional qualified capital expenditures completed or anticipated in a future period, and is capped at a percentage of base rates, generally at 5% to 12.75%, and is reset to zero when new base rates that reflect the costs of those additions become effective or when a utility’s earnings exceed a regulatory benchmark. These surcharges provided revenues of $45,749,987 in 2024, $20,260,881 in 2023, and $26,902,294 in 2022. </w:t>
      </w:r>
    </w:p>
    <w:p>
      <w:pPr>
        <w:pStyle w:val="TextBody"/>
        <w:bidi w:val="0"/>
        <w:spacing w:lineRule="auto" w:line="259"/>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 the majority of our natural gas service territories, the public utility commissions have authorized bare steel and cast-iron replacement programs. In Pennsylvania, we filed a Long-Term Infrastructure Replacement program with the Pennsylvania Public Utility Commission where we have committed to the replacement of bare steel and cast-iron pipe. In Kentucky, we have a pipe replacement program tariff, which allows adjustment of regulated rates annually to earn a return on capital expenditures incurred subsequent to our last rate case which were associated with the replacement of bare steel and vintage plastic pipe.</w:t>
      </w:r>
    </w:p>
    <w:p>
      <w:pPr>
        <w:pStyle w:val="TextBody"/>
        <w:bidi w:val="0"/>
        <w:spacing w:lineRule="auto" w:line="259"/>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Gas costs incurred to serve our natural gas customers represent a significant operating expense. Our regulated natural gas rates, in all jurisdictions, contain a Purchased Gas Adjustment (PGA), which is reflected in our tariffs. The PGA allows us to timely charge for changes in the cost of purchased gas, inclusive of unaccounted for gas expense based on actual experience. PGA procedures involve periodic filings and hearings before the state regulatory commissions to establish price adjustments for a designated future period. The procedures also provide for inclusion in later periods of any variances between actual recoveries representing the estimated costs and actual costs incurred. The PGA is subject to periodic review and audit by the state regulatory commissions who also have the authority to disallow previously incurred costs.</w:t>
      </w:r>
    </w:p>
    <w:p>
      <w:pPr>
        <w:pStyle w:val="TextBody"/>
        <w:bidi w:val="0"/>
        <w:spacing w:lineRule="auto" w:line="259"/>
        <w:ind w:left="0" w:right="0" w:firstLine="547"/>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 Pennsylvania, the gas cost component of uncollectible accounts expense, gas procurement costs, and certain costs to maintain a supplier choice program, where customers can elect their natural gas supplier, are recovered by mechanisms outside of typical base rate recovery. Additionally, in Pennsylvania, we recover the costs related to universal service programs, whereby customers who meet certain income guidelines receive assistance toward paying their monthly bill, weatherization services, and other programs. In Kentucky, the gas cost component of uncollectible accounts expense is recovered by a recovery mechanism outside of base rate recovery.</w:t>
      </w:r>
    </w:p>
    <w:p>
      <w:pPr>
        <w:pStyle w:val="Heading1"/>
        <w:bidi w:val="0"/>
        <w:spacing w:lineRule="auto" w:line="259"/>
        <w:jc w:val="left"/>
        <w:rPr>
          <w:rFonts w:ascii="Times New Roman;serif" w:hAnsi="Times New Roman;serif"/>
          <w:sz w:val="22"/>
        </w:rPr>
      </w:pPr>
      <w:r>
        <w:rPr>
          <w:rFonts w:ascii="Times New Roman;serif" w:hAnsi="Times New Roman;serif"/>
          <w:b w:val="false"/>
          <w:i w:val="false"/>
          <w:caps w:val="false"/>
          <w:smallCaps w:val="false"/>
          <w:color w:val="000000"/>
          <w:spacing w:val="0"/>
          <w:sz w:val="22"/>
          <w:u w:val="single"/>
        </w:rPr>
        <w:t>Income Tax Accounting Method Change</w:t>
      </w:r>
      <w:r>
        <w:rPr>
          <w:rFonts w:ascii="Times New Roman;serif" w:hAnsi="Times New Roman;serif"/>
          <w:caps w:val="false"/>
          <w:smallCaps w:val="false"/>
          <w:color w:val="000000"/>
          <w:spacing w:val="0"/>
          <w:sz w:val="22"/>
        </w:rPr>
        <w:t xml:space="preserve"> – </w:t>
      </w:r>
      <w:r>
        <w:rPr>
          <w:rFonts w:ascii="Times New Roman;serif" w:hAnsi="Times New Roman;serif"/>
          <w:b w:val="false"/>
          <w:i w:val="false"/>
          <w:caps w:val="false"/>
          <w:smallCaps w:val="false"/>
          <w:color w:val="000000"/>
          <w:spacing w:val="0"/>
          <w:sz w:val="22"/>
        </w:rPr>
        <w:t xml:space="preserve">The Company uses the flow-through method to account for the repairs tax deduction for qualifying utility infrastructure at its regulated Pennsylvania and New Jersey subsidiaries. The flow-through method of recording income tax benefits results in a reduction to current income tax expense and is included in utility customers’ rates, which generally is subject to a collar mechanism. </w:t>
      </w:r>
    </w:p>
    <w:p>
      <w:pPr>
        <w:pStyle w:val="TextBody"/>
        <w:bidi w:val="0"/>
        <w:spacing w:lineRule="auto" w:line="259"/>
        <w:jc w:val="center"/>
        <w:rPr>
          <w:caps w:val="false"/>
          <w:smallCaps w:val="false"/>
        </w:rPr>
      </w:pPr>
      <w:bookmarkStart w:id="4" w:name="_Hlk185335430"/>
      <w:bookmarkEnd w:id="4"/>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color w:val="000000"/>
          <w:sz w:val="22"/>
        </w:rPr>
        <w:t xml:space="preserve">In April 2023, the Internal Revenue Service issued Revenue Procedure 2023-15 which provides a safe harbor method of accounting that taxpayers may use to determine whether expenses to repair, maintain, replace, or improve natural gas transmission and distribution property must be capitalized for tax purposes. The Company adopted the methodology on its 2023 tax return. In the second quarter of 2023, based on the tax legislative guidance that was issued, the Company reevaluated the uncertain tax positions related to the Regulated Water Segment and ultimately released a portion of its historical income tax reserves. Concurrently, the Company deferred this tax benefit from the reserve release as a regulatory liability. The accounting treatment has been determined in the rate order issued on February 7, 2025, by the Pennsylvania Public Utility Commission. Please refer to Note 7 – </w:t>
      </w:r>
      <w:r>
        <w:rPr>
          <w:rFonts w:ascii="Times New Roman;serif" w:hAnsi="Times New Roman;serif"/>
          <w:b w:val="false"/>
          <w:i/>
          <w:color w:val="000000"/>
          <w:sz w:val="22"/>
        </w:rPr>
        <w:t>Income Taxes</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for more detail.</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Fair Market Value Legislation</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 xml:space="preserve">In April 2016, Pennsylvania enacted legislation allowing the public utility commission to utilize fair market value to set ratemaking rate base instead of the depreciated original cost of water or wastewater assets for certain qualifying municipal acquisitions. The legislation includes a process for engaging two independent utility valuation experts to perform appraisals that are filed with the public utility commission and then averaged and compared to the purchase price. The ratemaking rate base is the lower of the average of the appraisals or the purchase price and is subject to regulatory approval. Illinois, Indiana, New Jersey, North Carolina, Ohio, Virginia, and Texas also have legislation that allows the use of fair market value under varying rules and circumstances. We believe that this legislation encourages consolidation in the water and wastewater industry, providing municipalities with an option for exiting the business if they are dealing with challenges associated with their aging, deteriorating water and wastewater assets, do not have the expertise or technical capabilities to continue to comply with ever-increasing environmental regulations, or simply want to focus on other community priorities.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 June 2024, the Pennsylvania public utility commission updated existing procedures and guidelines designed to increase public involvement and ensure greater consistency in the process for reviewing and evaluating the acquisition and valuation of municipal-owned or authority-owned water and wastewater systems in Pennsylvania. This includes requirements for public notice and meetings, requires a rate impact notice, and provides other measures to improve the fair market value process when investor-owned utilities acquire water and wastewater utilities in Pennsylvania.</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Revenue Stability Mechanisms</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Revenue stability mechanisms separate the volume of water sold from our ability to meet our cost of service and infrastructure costs. These mechanisms allow us to recognize revenue based on a target amount established in the last rate case, and then record either a regulatory asset or liability based on the cumulative difference over time, which results in either a refund due to customers or a payment from customers. In Illinois, our operating subsidiary utilizes a revenue stability mechanism. Additionally, a weather-normalization adjustment (WNA) mechanism is in place for our natural gas customers served in Kentucky, and effective October 2024, to our natural gas customers in Pennsylvania. The WNA serves to minimize the effects of weather on the Company’s results for its residential and small commercial natural gas customers. This regulatory mechanism adjusts revenues earned for the variance between actual and normal weather and can have either positive (warmer than normal) or negative (colder than normal) effects on revenues. Customer bills are adjusted during the December through April heating season for our natural gas customers in Kentucky, and the October to May heating season for our natural gas customers in Pennsylvania, with rates adjusted for the difference between actual revenues and revenues calculated under this mechanism billed to the customers.</w:t>
      </w:r>
    </w:p>
    <w:p>
      <w:pPr>
        <w:pStyle w:val="TextBody"/>
        <w:bidi w:val="0"/>
        <w:spacing w:lineRule="auto" w:line="259"/>
        <w:rPr>
          <w:rFonts w:ascii="Times New Roman;serif" w:hAnsi="Times New Roman;serif"/>
          <w:b/>
          <w:i/>
          <w:sz w:val="22"/>
        </w:rPr>
      </w:pPr>
      <w:r>
        <w:rPr>
          <w:rFonts w:ascii="Times New Roman;serif" w:hAnsi="Times New Roman;serif"/>
          <w:b/>
          <w:i/>
          <w:sz w:val="22"/>
        </w:rPr>
        <w:t>Competition</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general, we believe that Essential Utilities and its water, wastewater, and natural gas subsidiaries have valid authority, free from unduly burdensome restrictions, to enable us to carry on our business as presently conducted in the franchised or contracted areas we now serve. The rights to provide water, wastewater, or natural gas service to customers in a particular franchised service territory are generally non-exclusive, although the applicable utility commissions usually allow only one regulated utility to provide service to customers in a given area. In some instances, another water utility provides service to a separate area within the same political subdivision served by one of our subsidiaries. Additionally, our larger natural gas customers may bypass gas distribution services by gaining distribution directly from interstate pipelines, other gas distributors, or other energy sources. As a regulated utility, we believe there is little competition for the daily water, wastewater, and natural gas service we provide to our customers. </w:t>
      </w:r>
    </w:p>
    <w:p>
      <w:pPr>
        <w:pStyle w:val="TextBody"/>
        <w:bidi w:val="0"/>
        <w:spacing w:lineRule="auto" w:line="259" w:before="0" w:after="100"/>
        <w:rPr>
          <w:rFonts w:ascii="Times New Roman;serif" w:hAnsi="Times New Roman;serif"/>
          <w:sz w:val="22"/>
        </w:rPr>
      </w:pPr>
      <w:r>
        <w:rPr>
          <w:rFonts w:ascii="Times New Roman;serif" w:hAnsi="Times New Roman;serif"/>
          <w:b w:val="false"/>
          <w:i w:val="false"/>
          <w:caps w:val="false"/>
          <w:smallCaps w:val="false"/>
          <w:sz w:val="22"/>
        </w:rPr>
        <w:br/>
        <w:t>‎</w:t>
      </w:r>
      <w:r>
        <w:rPr>
          <w:rFonts w:ascii="Times New Roman;serif" w:hAnsi="Times New Roman;serif"/>
          <w:caps w:val="false"/>
          <w:smallCaps w:val="false"/>
          <w:sz w:val="22"/>
        </w:rPr>
        <w:t xml:space="preser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Although our natural gas subsidiaries are not currently in significant direct competition with any other distributors of natural gas in its service areas, we do compete with suppliers of other forms of energy such as fuel oil, electricity, propane, coal, wind, and solar. Competition can be intense among the energy sources with price being the primary consideration. This is particularly true for industrial customers who have the ability to switch to alternative fuels. Natural gas generally benefits from a competitive price advantage over oil, electricity, and propane. Competition from renewable energy sources such as solar and wind is likely to increase as the political environment currently favors these energy sources through incentives or by placing restrictions on emissions from the burning of fossil fuels.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Water and wastewater utilities may compete for the acquisition of other water and wastewater utilities or for acquiring new customers in new service territories. Competition for these acquisitions generally comes from nearby utilities, either other regulated utilities or municipal-owned utilities, and sometimes from strategic or financial purchasers seeking to enter or expand in the water and wastewater industry. We compete for new service territories and the acquisition of other utilities on the following bases: </w:t>
      </w:r>
    </w:p>
    <w:p>
      <w:pPr>
        <w:pStyle w:val="TextBody"/>
        <w:bidi w:val="0"/>
        <w:spacing w:lineRule="auto" w:line="259"/>
        <w:ind w:left="720" w:right="0" w:hanging="0"/>
        <w:rPr>
          <w:caps w:val="false"/>
          <w:smallCaps w:val="false"/>
        </w:rPr>
      </w:pPr>
      <w:r>
        <w:rPr>
          <w:caps w:val="false"/>
          <w:smallCaps w:val="false"/>
        </w:rPr>
        <w:t>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economic value;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economies of scale;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our ability to provide quality water, wastewater, and natural gas service;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our existing infrastructure network;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our ability to perform infrastructure improvements;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our ability to comply with environmental, health, and safety regulations;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our technical, regulatory, and operational expertise;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our ability to access capital markets; and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our cost of capital.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addition of new service territories and the acquisition of other utilities by regulated utilities such as the Company are generally subject to review and approval by the applicable state utility commissions.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 a very small number of instances in one of our southern states, where there are municipally-owned water or wastewater systems near our operating divisions, the municipally-owned system may either have water distribution or wastewater collection mains that are located adjacent to our division's mains or may construct new mains that parallel our mains.  In these rare circumstances, the municipally-owned system may attempt to voluntarily offer service to customers who are connected to our mains, resulting in our mains becoming surplus or underutilized without compensation.</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the states where our water subsidiaries operate, it is possible that portions of our subsidiaries’ operations could be acquired by municipal governments by one or more of the following methods: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eminent domain;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the right of purchase given to or reserved by a municipality or political subdivision when the original franchise was granted; and,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the right of purchase given or reserved under the law of the state in which the subsidiary was incorporated or from which it received its permit.</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price to be paid upon such an acquisition by the municipal government is usually determined in accordance with applicable law under eminent domain. In other instances, the price may be negotiated, fixed by appraisers selected by the parties, or computed in accordance with a formula prescribed in the law of the state or in the particular franchise or charter. We believe that our operating subsidiaries would be entitled to fair market value for any assets that are condemned, and we believe the fair market value would be in excess of the book value for such assets.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Despite maintaining a program to monitor condemnation interests and activities that may affect us over time, one of our primary strategies continues to be to acquire additional water and wastewater systems, to maintain our existing systems where there is a business or a strategic benefit, and to actively oppose unilateral efforts by municipal governments to acquire any of our operations, particularly for less than the fair market value of our operations or where the municipal government seeks to acquire more than it is entitled to under the applicable law or agreement. On occasion, we may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voluntarily agree to sell systems or portions of systems in order to help focus our efforts in areas where we have more critical mass and economies of scale or for other strategic reasons. </w:t>
      </w:r>
    </w:p>
    <w:p>
      <w:pPr>
        <w:pStyle w:val="Heading4"/>
        <w:bidi w:val="0"/>
        <w:spacing w:lineRule="auto" w:line="259"/>
        <w:ind w:left="0" w:right="878" w:hanging="0"/>
        <w:jc w:val="both"/>
        <w:rPr>
          <w:rFonts w:ascii="Times New Roman;serif" w:hAnsi="Times New Roman;serif"/>
          <w:b/>
          <w:i/>
          <w:sz w:val="22"/>
        </w:rPr>
      </w:pPr>
      <w:r>
        <w:rPr>
          <w:rFonts w:ascii="Times New Roman;serif" w:hAnsi="Times New Roman;serif"/>
          <w:b/>
          <w:i/>
          <w:sz w:val="22"/>
        </w:rPr>
        <w:t>Environmental, Health and Safety Regulation and Compliance</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Company’s mission is “to sustain life and improve economic prosperity by safely and reliably delivering Earth’s most essential resources to customers and communities”. We are committed to protecting the environment and the health and safety of our employees, customers, and the public and continue to adhere to applicable regulatory standards. We integrate environmental, health, and safety requirements into planning, decision-making, construction, operations, and maintenance activities that we perform.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Provision of water and wastewater services is subject to regulation under the federal Safe Drinking Water Act, the Clean Water Act, and related state laws, and under federal and state regulations issued under these laws. These laws and regulations establish criteria and standards for drinking water and for wastewater discharges. In addition, we are subject to federal and state laws and other regulations relating to solid waste disposal, dam safety, and other aspects of our operations.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From time to time, Essential Utilities has acquired, and may acquire, systems that have environmental compliance issues. Environmental compliance issues also arise in the course of normal operations or as a result of regulatory changes. Essential Utilities attempts to align capital budgeting and expenditures to address these issues in due course. We estimate the capital expenditures required to address outstanding environmental compliance issues in our water and wastewater systems and budgeted in our capital program to be approximately $104,000,000, or less than 3% of our expected total water and wastewater capital expenditures over the next five years (2025</w:t>
      </w:r>
      <w:r>
        <w:rPr>
          <w:rFonts w:ascii="Times New Roman;serif" w:hAnsi="Times New Roman;serif"/>
          <w:b w:val="false"/>
          <w:i w:val="false"/>
          <w:caps w:val="false"/>
          <w:smallCaps w:val="false"/>
          <w:color w:val="000000"/>
          <w:sz w:val="22"/>
        </w:rPr>
        <w:t xml:space="preserve">-2029). These capital expenditures do not include the amounts related to compliance with the final National Primary Drinking Water Regulation (NPDWR) and Lead and Copper Rule Improvements (LCRI), discussed below, which are budgeted separately. We </w:t>
      </w:r>
      <w:r>
        <w:rPr>
          <w:rFonts w:ascii="Times New Roman;serif" w:hAnsi="Times New Roman;serif"/>
          <w:b w:val="false"/>
          <w:i w:val="false"/>
          <w:caps w:val="false"/>
          <w:smallCaps w:val="false"/>
          <w:sz w:val="22"/>
        </w:rPr>
        <w:t>are also parties to agreements with regulatory agencies in Pennsylvania, Texas, and Illinois under which we have committed to make improvements for environmental compliance. These agreements are intended to provide the regulators with assurance that problems covered by these agreements will be addressed, and the agreements generally provide protection from fines, penalties, and other actions while corrective measures are being implemented. We are working with state environmental officials in Pennsylvania, Texas, and Illinois to implement or amend regulatory agreements as necessary.</w:t>
      </w:r>
    </w:p>
    <w:p>
      <w:pPr>
        <w:pStyle w:val="TextBody"/>
        <w:bidi w:val="0"/>
        <w:spacing w:lineRule="auto" w:line="259"/>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Our Regulated Natural Gas utility operations are subject to stringent and complex laws and regulations pertaining to the environment. Legislative and regulatory actions to address climate change are in various phases of review or implementation in the United States. These measures could include emissions limits, reporting requirements, carbon taxes, and incentives or mandates to conserve energy or use renewable energy sources. As an owner or operator of natural gas pipelines, distribution systems and storage, and the facilities that support these systems, we must comply with these laws and regulations at the federal, state, and local levels. Failure to comply with these laws and regulations may trigger a variety of administrative, civil, and criminal enforcement measures, including the assessment of monetary penalties, the imposition of remedial actions, and the issuance of orders enjoining future operations. Certain environmental statutes impose strict, joint and several liability for costs required to assess, clean up, and restore sites where hazardous substances have been stored, disposed or released.</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Safe Drinking Water Act</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 The Safe Drinking Water Act establishes criteria and procedures for the U.S. Environmental Protection Agency (EPA) to develop national quality standards for drinking water. Regulations issued pursuant to the Safe Drinking Water Act set standards regarding the amount of microbial and chemical contaminants and radionuclides in drinking water.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On April 10, 2024, the EPA announced the final NPDWR for the treatment of six per- and polyfluoroalkyl substances or compounds (PFAS). The NPDWR established the maximum contaminant levels (MCLs) in drinking water and allows for a five-year window to comply. The Company performed its analysis of the NPDWR and estimated an investment of at least $450,000,000 of capital expenditures to install additional treatment facilities over the Compliance Period in order to comply (i.e., 2029 pending no delays due to lawsuits). This figure could increase as plans for construction execution are refined or if additional sites require treatment in the future. Additionally, the Company estimates annual operating expenses of approximately five percent of the installed capital expenditures, in today’s dollars, related to testing,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treatment, and disposal. These are preliminary estimates and actual capital expenditures and expenses may differ based upon a variety of factors, including supply chain issues and site-by-site requirements.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On April 19, 2024, the EPA announced a final rule that designated two PFAS chemicals, perfluorooctanoic acid (PFOA) and perfluorooctanesulfonic acid (PFOS), as hazardous substances under the Comprehensive Environmental Response, Compensation, and Liability Act (CERCLA), also known as Superfund.  This final action will address PFOA and PFOS contamination by enabling investigation and cleanup of these harmful chemicals and ensuring that leaks, spills, and other releases are reported. In addition to the final rule, the EPA issued a separate CERCLA enforcement discretion policy that makes it clear that EPA will focus enforcement on parties who significantly contributed to the release of PFAS chemicals into the environment, including parties that have manufactured PFAS or used PFAS in the manufacturing process, federal facilities, and other industrial parties.  The policy identifies examples for operators of public water systems and wastewater systems or entities performing a public service role in providing safe drinking water, handling municipal solid waste, treating or managing stormwater and wastewater, disposing of pollution control residuals, or ensuring beneficial application of wastewater products as a fertilizer substitute. The potential liabilities to the Company, if any, resulting from this rule are currently being evaluated. Multiple lawsuits were filed by various companies and industry groups against the EPA's PFAS rule and are awaiting court action.</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sz w:val="22"/>
        </w:rPr>
        <w:t>The Company continues to advocate for actions to hold polluters accountable and is part of the Multi-District Litigation and other legal actions against multiple PFAS manufacturers and polluters to attempt to ensure that the ultimate responsibility for the cleanup of these contaminants is attributed to the polluters and is seeking damages and other costs to address the contamination of its public water supply systems by PFAS. Capital expenditures and operating costs required as a result of water quality standards have been traditionally recognized by state utility commissions as appropriate for inclusion in establishing rates; however, we are also actively applying for grants and low interest loans, whenever possible, to reduce the overall cost to customers. The Company is also monitoring ongoing litigation and settlement activity with manufacturers of PFAS in these proceedings. For more information, see Item 8 - Note 9 to the Company’s Notes to Consolidated Financial Statements.</w:t>
      </w:r>
      <w:r>
        <w:rPr>
          <w:rFonts w:ascii="Times New Roman;serif" w:hAnsi="Times New Roman;serif"/>
          <w:caps w:val="false"/>
          <w:smallCaps w:val="false"/>
          <w:color w:val="000000"/>
          <w:sz w:val="24"/>
        </w:rPr>
        <w:t xml:space="preserve">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Clean Water Act</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The Clean Water Act regulates discharges from drinking water and wastewater treatment facilities into lakes, rivers, streams, and groundwater. It is our policy to obtain and maintain all required permits and approvals for the discharges from our water and wastewater facilities, and to comply with all conditions of those permits and other regulatory requirements. A program is in place to monitor facilities for compliance with permitting, monitoring and reporting for wastewater discharges. We are continuously modernizing wastewater treatment methods, ensuring our systems protect the surrounding environment and adhere to current standards. From time to time, discharge violations may occur which may result in fines. These fines and penalties, if any, are not expected to have a material impact on our business, financial condition, or results of operations. We are also parties to agreements with regulatory agencies in several states where we operate while improvements are being made to address wastewater discharge issues. The EPA has identified leveraging wastewater discharge permitting and application of biosolids, or sewage sludge, containing PFAS as areas of focus in its PFAS Strategic Roadmap.</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Solid Waste Disposal</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 The handling and disposal of waste generated from water and wastewater treatment facilities is governed by federal and state laws and regulations. A program is in place to monitor our facilities for compliance with regulatory requirements, and we are not aware of any significant environmental remediation costs necessary from our handling and disposal of waste material from our water and wastewater operations.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Dam Safety</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 Our subsidiaries own 32 dams, of which 18 are classified as high hazard dams that are subject to the requirements of the federal and state regulations related to dam safety, which undergo regular inspections and an annual engineering inspection. After a thorough review and inspection of our dams by professional outside engineering firms, we believe that all 18 dams are structurally sound and well-maintained, except as described below. These inspections provide recommendations for ongoing rehabilitation which we include in our capital improvement program. The Company has approximately $39,000,000 in capital improvements budgeted between 2025 and 2029 for dam improvements. </w:t>
      </w:r>
    </w:p>
    <w:p>
      <w:pPr>
        <w:pStyle w:val="TextBody"/>
        <w:bidi w:val="0"/>
        <w:spacing w:lineRule="auto" w:line="259" w:before="0" w:after="10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performed studies of our dams that identified five high hazard dams in Pennsylvania and one high hazard dam in Ohio requiring capital improvements. These capital improvements result from the adoption by state regulatory agencies of revised formulas for calculating the magnitude of a possible maximum flood event. The most significant capital improvement remaining to be performed in our dam improvement program is on one dam in Pennsylvania at a total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before="0" w:after="10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estimated cost of $15,400,000. Design for this dam commenced in 2013 and construction is expected to be completed in 2030. An additional four high hazard dams in Pennsylvania were recently added due to an acquisition in 2023.  These dams are undergoing additional evaluations but have capital improvements budgeted for currently identified needs in the 2025 to 2029 period.</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Lead and Copper Rule</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On October 30, 2024, the EPA issued the final LCRI which require water systems to identify and replace lead pipes by 2037, lowers the lead action level threshold, and requires more proactive communications about lead pipes and plans for replacements, among other items. The LCRI builds upon the Lead and Copper Rule Revisions (LCRR) issued in 2021 and the Lead and Copper Rule (LCR) issued in 1992. The Company has been replacing lead service lines as part of its ongoing water main replacement and service line renewal programs, and in accordance with applicable state regulations. Pursuant to the LCRR, the Company completed the submission of its initial lead service line inventories on October 14, 2024. The Company estimates that approximately 6% of its regulated water service systems contain some lead or galvanized service lines requiring replacement. The Company currently has budgeted approximately $210,000,000 of capital expenditures over the next five years for lead and galvanized service line replacement. Management is still reviewing the final LCRI and its impact to the Company.</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Partnership for Safe Water Program</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 xml:space="preserve">Essential Utilities is a proud participant in the American Water Works Association’s (AWWA) Partnership for Safe Water Program.  This voluntary program is a commitment to excellence within the drinking water community above and beyond the EPA’s stringent treatment goals.  All of our active surface water treatment plants within Pennsylvania, Ohio, Virginia, and Illinois maintain good standing in the program which includes many awards of achievement.  The honors include the “Director’s Award” (achieved at eight systems) which recognizes plants that have: 1) completed a comprehensive self-assessment report, 2) created an action plan for continuous improvement, and 3) provided several evaluations of performance demonstrating operational excellence.  Several of our systems have met these criteria annually and have received 5-, 10-, 15-, and 20-year subscriber awards. Furthermore, our Roaring Creek Pennsylvania treatment plant has received the Phase IV Excellence Award, the highest honor achieved in the Partnership Program.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Safety Standards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Our facilities and operations may be subject to inspections by representatives of the Occupational Safety and Health Administration from time to time. We maintain safety policies and procedures to comply with the Occupational Safety and Health Administration’s rules and regulations, but violations may occur from time to time, which may result in fines and penalties, which are not expected to have a material impact on our business, financial condition, or results of operations. We endeavor to correct such violations promptly when they come to our attention.</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Pipeline and Hazardous Materials Safety Administration (PHMSA) Regulations</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 xml:space="preserve">Under the </w:t>
      </w:r>
      <w:r>
        <w:rPr>
          <w:rFonts w:ascii="Times New Roman;serif" w:hAnsi="Times New Roman;serif"/>
          <w:b w:val="false"/>
          <w:i w:val="false"/>
          <w:caps w:val="false"/>
          <w:smallCaps w:val="false"/>
          <w:color w:val="000000"/>
          <w:sz w:val="22"/>
        </w:rPr>
        <w:t>Protecting Our Infrastructure of Pipelines and Enhancing Safety (</w:t>
      </w:r>
      <w:r>
        <w:rPr>
          <w:rFonts w:ascii="Times New Roman;serif" w:hAnsi="Times New Roman;serif"/>
          <w:b w:val="false"/>
          <w:i w:val="false"/>
          <w:caps w:val="false"/>
          <w:smallCaps w:val="false"/>
          <w:sz w:val="22"/>
        </w:rPr>
        <w:t xml:space="preserve">PIPES) Act of 2020, PHMSA, an agency of the U.S. Department of Transportation (DOT), has revised, and continues to revise, the pipeline safety regulations to require operators to update, as needed, their existing distribution integrity management plans, emergency response plans, and operations and maintenance plans.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May 2023, PHMSA proposed numerous regulatory revisions to minimize methane emissions and improve public safety. Under these proposed revisions, we would be required to increase the frequency of leak detection surveys, accelerate the repair of leaks found, and expand our existing advanced leak detection program. The final rule is expected to be published in the first or second quarter of 2025, with an implementation period of 24 months. In September 2023, PHMSA proposed additional regulatory revisions to enhance distribution system safety through equipment and procedural expectations. Operators will be required to incorporate additional protections for low pressure distribution systems that prevent over-pressurization, amend construction procedures designed to minimize the risk of incidents caused by system over-pressurization, and update distribution integrity management programs to cover and prepare for over-pressurization incidents. On November 30, 2023, the House Transportation &amp; Infrastructure Committee introduced new pipeline safety reauthorization legislation known as the PIPES Act of 2023 to reauthorize and finalize PHMSA’s safety programs for the next four years.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Peoples has in place integrity programs designed to maintain the safe storage and delivery of natural gas through transmission and distribution systems in order to ensure the safety of its employees, customers, and the community. These include a Transmission Integrity Management Program which outlines methods for handling threats and maintaining the integrity of the pipeline; a Distribution Integrity Management Program which is dedicated to the safe operation of the distribution system that delivers natural gas to customers; and, a Storage Integrity Management Plan that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governs the safe operation, maintenance, and integrity testing of company-owned storage facilities. To the extent new laws or regulations adopted by PHMSA, like those summarized above, impose more stringent requirements on our facilities and operations, we may be required to incur capital and operating costs that may be material. </w:t>
      </w:r>
      <w:r>
        <w:rPr>
          <w:rFonts w:ascii="Times New Roman;serif" w:hAnsi="Times New Roman;serif"/>
          <w:b w:val="false"/>
          <w:i w:val="false"/>
          <w:caps w:val="false"/>
          <w:smallCaps w:val="false"/>
          <w:color w:val="000000"/>
          <w:sz w:val="22"/>
        </w:rPr>
        <w:t>In addition, we may be subject to the DOT’s enforcement actions and penalties if the Company fails to comply with pipeline regulations.</w:t>
      </w:r>
    </w:p>
    <w:p>
      <w:pPr>
        <w:pStyle w:val="TextBody"/>
        <w:bidi w:val="0"/>
        <w:spacing w:lineRule="auto" w:line="259"/>
        <w:rPr>
          <w:rFonts w:ascii="Times New Roman;serif" w:hAnsi="Times New Roman;serif"/>
          <w:b/>
          <w:i/>
          <w:sz w:val="22"/>
        </w:rPr>
      </w:pPr>
      <w:r>
        <w:rPr>
          <w:rFonts w:ascii="Times New Roman;serif" w:hAnsi="Times New Roman;serif"/>
          <w:b/>
          <w:i/>
          <w:sz w:val="22"/>
        </w:rPr>
        <w:t>Physical Security</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We maintain security measures at our facilities, and collaborate with federal, state and local authorities and industry trade associations regarding information on possible threats and physical security measures for water, wastewater, and natural gas utility operations. The costs incurred are expected to be recoverable in customer rates and are not expected to have a material impact on our business, financial condition, or results of operations.</w:t>
      </w:r>
    </w:p>
    <w:p>
      <w:pPr>
        <w:pStyle w:val="TextBody"/>
        <w:bidi w:val="0"/>
        <w:spacing w:lineRule="auto" w:line="259"/>
        <w:rPr>
          <w:rFonts w:ascii="Times New Roman;serif" w:hAnsi="Times New Roman;serif"/>
          <w:b/>
          <w:i/>
          <w:sz w:val="22"/>
        </w:rPr>
      </w:pPr>
      <w:r>
        <w:rPr>
          <w:rFonts w:ascii="Times New Roman;serif" w:hAnsi="Times New Roman;serif"/>
          <w:b/>
          <w:i/>
          <w:sz w:val="22"/>
        </w:rPr>
        <w:t>Environmental Stewardship</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way we do business at Essential reflects our commitment to a sustainable, safe, and healthy environment for all our stakeholders. Sustainability is deeply engrained in our business strategy. We ensure environmental stewardship remains a priority for management by factoring several benchmarks into executive compensation. In 2024, for the third consecutive year, the Company has been named to Newsweek’s list of America’s Most Responsible Companies, which celebrates public companies that have demonstrated meaningful and impactful environmental, social and corporate governance business practices.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Early in 2021, we announced an enterprise-wide commitment that by 2035, we will reduce our Scope 1 and 2 greenhouse gas (GHG) emissions by 60% from our 2019 baseline. This will be achieved by extensive gas pipeline replacement, renewable energy purchasing, accelerated methane leak detection and repair, and various other currently planned initiatives that are highly feasible with proven technology.</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Of our Scope 1 and 2 GHG emissions, 89% are driven by our gas distribution business. We have replaced 268 miles of gas pipeline in 2024 and over 930 since 2021. We also began procuring nearly 100% renewable electricity to power our water and wastewater operations in Illinois, New Jersey, Ohio, and Pennsylvania in 2022. We estimated that as of December 31, 2023, we have achieved 25% emissions reduction from our 2019 baseline.</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The Company manages climate-change matters through significant board-level oversight. At the management level, there is an oversight committee, which is a group of about a dozen of the Company’s senior leaders across the organization and the Chief Executive Officer, that meet at least once each quarter to discuss these topics. The Company’s environmental sustainability initiatives and strategy are discussed further in our sustainability reporting, which can be found on our website at https://</w:t>
      </w:r>
      <w:r>
        <w:rPr>
          <w:rFonts w:ascii="Times New Roman;serif" w:hAnsi="Times New Roman;serif"/>
          <w:b w:val="false"/>
          <w:i w:val="false"/>
          <w:caps w:val="false"/>
          <w:smallCaps w:val="false"/>
          <w:sz w:val="20"/>
        </w:rPr>
        <w:t>esg.essential.co</w:t>
      </w:r>
      <w:r>
        <w:rPr>
          <w:rFonts w:ascii="Times New Roman;serif" w:hAnsi="Times New Roman;serif"/>
          <w:b w:val="false"/>
          <w:i w:val="false"/>
          <w:caps w:val="false"/>
          <w:smallCaps w:val="false"/>
          <w:sz w:val="22"/>
        </w:rPr>
        <w:t>. Such reports are not incorporated by reference and should not be considered part of this Annual Report.</w:t>
      </w:r>
    </w:p>
    <w:p>
      <w:pPr>
        <w:pStyle w:val="TextBody"/>
        <w:bidi w:val="0"/>
        <w:spacing w:lineRule="auto" w:line="259"/>
        <w:rPr>
          <w:rFonts w:ascii="Times New Roman;serif" w:hAnsi="Times New Roman;serif"/>
          <w:b/>
          <w:i/>
          <w:sz w:val="22"/>
        </w:rPr>
      </w:pPr>
      <w:r>
        <w:rPr>
          <w:rFonts w:ascii="Times New Roman;serif" w:hAnsi="Times New Roman;serif"/>
          <w:b/>
          <w:i/>
          <w:sz w:val="22"/>
        </w:rPr>
        <w:t>Human Capital Management</w:t>
      </w:r>
    </w:p>
    <w:p>
      <w:pPr>
        <w:pStyle w:val="TextBody"/>
        <w:bidi w:val="0"/>
        <w:spacing w:lineRule="auto" w:line="259"/>
        <w:rPr>
          <w:rFonts w:ascii="TimesNewRoman" w:hAnsi="TimesNewRoman"/>
          <w:sz w:val="22"/>
        </w:rPr>
      </w:pPr>
      <w:r>
        <w:rPr>
          <w:rFonts w:ascii="TimesNewRoman" w:hAnsi="TimesNewRoman"/>
          <w:b w:val="false"/>
          <w:i w:val="false"/>
          <w:caps w:val="false"/>
          <w:smallCaps w:val="false"/>
          <w:color w:val="000000"/>
          <w:sz w:val="22"/>
        </w:rPr>
        <w:t>The Company values its workforce as one of its most important assets. The Company</w:t>
      </w:r>
      <w:r>
        <w:rPr>
          <w:rFonts w:ascii="TimesNewRoman" w:hAnsi="TimesNewRoman"/>
          <w:caps w:val="false"/>
          <w:smallCaps w:val="false"/>
          <w:color w:val="000000"/>
          <w:sz w:val="22"/>
        </w:rPr>
        <w:t xml:space="preserve"> </w:t>
      </w:r>
      <w:r>
        <w:rPr>
          <w:rFonts w:ascii="TimesNewRoman" w:hAnsi="TimesNewRoman"/>
          <w:b w:val="false"/>
          <w:i w:val="false"/>
          <w:caps w:val="false"/>
          <w:smallCaps w:val="false"/>
          <w:color w:val="000000"/>
          <w:sz w:val="22"/>
        </w:rPr>
        <w:t>is dedicated to creating a sustainable working atmosphere for its employees to attract and retain the best employees. Human capital measures and objectives that the Company focuses on in managing its business include the health and safety of its employees, succession planning, voluntary attrition rate, and diversity, equity and inclusion initiatives.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As of December 31, 2024, we employed a total of 3,291 full-time employees. Our subsidiaries are parties to 23 labor agreements with labor unions covering 1,664 employees. The labor agreements expire at various times up until 2028.</w:t>
      </w:r>
    </w:p>
    <w:p>
      <w:pPr>
        <w:pStyle w:val="TextBody"/>
        <w:bidi w:val="0"/>
        <w:spacing w:lineRule="auto" w:line="259"/>
        <w:rPr>
          <w:rFonts w:ascii="TimesNewRoman" w:hAnsi="TimesNewRoman"/>
          <w:sz w:val="22"/>
        </w:rPr>
      </w:pPr>
      <w:r>
        <w:rPr>
          <w:rFonts w:ascii="TimesNewRoman" w:hAnsi="TimesNewRoman"/>
          <w:b w:val="false"/>
          <w:i/>
          <w:color w:val="000000"/>
          <w:sz w:val="22"/>
        </w:rPr>
        <w:t xml:space="preserve">Health and Safety - </w:t>
      </w:r>
      <w:r>
        <w:rPr>
          <w:rFonts w:ascii="TimesNewRoman" w:hAnsi="TimesNewRoman"/>
          <w:b w:val="false"/>
          <w:i w:val="false"/>
          <w:caps w:val="false"/>
          <w:smallCaps w:val="false"/>
          <w:color w:val="000000"/>
          <w:sz w:val="22"/>
        </w:rPr>
        <w:t>Safety is the foundation of our business and guides all our employees’ actions. The Company</w:t>
      </w:r>
      <w:r>
        <w:rPr>
          <w:rFonts w:ascii="TimesNewRoman" w:hAnsi="TimesNewRoman"/>
          <w:caps w:val="false"/>
          <w:smallCaps w:val="false"/>
          <w:color w:val="000000"/>
          <w:sz w:val="22"/>
        </w:rPr>
        <w:t xml:space="preserve"> </w:t>
      </w:r>
      <w:r>
        <w:rPr>
          <w:rFonts w:ascii="TimesNewRoman" w:hAnsi="TimesNewRoman"/>
          <w:b w:val="false"/>
          <w:i w:val="false"/>
          <w:caps w:val="false"/>
          <w:smallCaps w:val="false"/>
          <w:color w:val="000000"/>
          <w:sz w:val="22"/>
        </w:rPr>
        <w:t>continues</w:t>
      </w:r>
      <w:r>
        <w:rPr>
          <w:rFonts w:ascii="TimesNewRoman" w:hAnsi="TimesNewRoman"/>
          <w:caps w:val="false"/>
          <w:smallCaps w:val="false"/>
          <w:color w:val="000000"/>
          <w:sz w:val="22"/>
        </w:rPr>
        <w:t xml:space="preserve"> </w:t>
      </w:r>
      <w:r>
        <w:rPr>
          <w:rFonts w:ascii="TimesNewRoman" w:hAnsi="TimesNewRoman"/>
          <w:b w:val="false"/>
          <w:i w:val="false"/>
          <w:caps w:val="false"/>
          <w:smallCaps w:val="false"/>
          <w:color w:val="000000"/>
          <w:sz w:val="22"/>
        </w:rPr>
        <w:t>to invest in safety improvements, implement policies and procedures, develop technical training and guidelines for our employees, and leverage new tools and technology to improve our maps, records and infrastructure performance. The Company’s Senior Leadership Safety Council leads our safety efforts and is supported by the Safety Steering Committee, state and facility committees and leaders that operate at the local site level. Hazards in the workplace are actively identified,</w:t>
      </w:r>
      <w:r>
        <w:rPr>
          <w:rFonts w:ascii="TimesNewRoman" w:hAnsi="TimesNewRoman"/>
          <w:caps w:val="false"/>
          <w:smallCaps w:val="false"/>
          <w:color w:val="000000"/>
          <w:sz w:val="22"/>
        </w:rPr>
        <w:t xml:space="preserve"> </w:t>
      </w:r>
      <w:r>
        <w:rPr>
          <w:rFonts w:ascii="TimesNewRoman" w:hAnsi="TimesNewRoman"/>
          <w:b w:val="false"/>
          <w:i w:val="false"/>
          <w:caps w:val="false"/>
          <w:smallCaps w:val="false"/>
          <w:color w:val="000000"/>
          <w:sz w:val="22"/>
        </w:rPr>
        <w:t>and management tracks incidents so remedial actions can be taken to improve workplace safety. To encourage managers to promote a safe environment, related</w:t>
      </w:r>
      <w:r>
        <w:rPr>
          <w:rFonts w:ascii="TimesNewRoman" w:hAnsi="TimesNewRoman"/>
          <w:caps w:val="false"/>
          <w:smallCaps w:val="false"/>
          <w:color w:val="000000"/>
          <w:sz w:val="22"/>
        </w:rPr>
        <w:t xml:space="preserve"> </w:t>
      </w:r>
      <w:r>
        <w:rPr>
          <w:rFonts w:ascii="TimesNewRoman" w:hAnsi="TimesNewRoman"/>
          <w:b w:val="false"/>
          <w:i w:val="false"/>
          <w:caps w:val="false"/>
          <w:smallCaps w:val="false"/>
          <w:color w:val="000000"/>
          <w:sz w:val="22"/>
        </w:rPr>
        <w:t xml:space="preserve">metrics are incorporated in management’s incentive compensation plans.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NewRoman" w:hAnsi="TimesNewRoman"/>
          <w:sz w:val="22"/>
        </w:rPr>
      </w:pPr>
      <w:r>
        <w:rPr>
          <w:rFonts w:ascii="TimesNewRoman" w:hAnsi="TimesNewRoman"/>
          <w:b w:val="false"/>
          <w:i w:val="false"/>
          <w:caps w:val="false"/>
          <w:smallCaps w:val="false"/>
          <w:color w:val="000000"/>
          <w:sz w:val="22"/>
        </w:rPr>
        <w:t>The Company</w:t>
      </w:r>
      <w:r>
        <w:rPr>
          <w:rFonts w:ascii="TimesNewRoman" w:hAnsi="TimesNewRoman"/>
          <w:caps w:val="false"/>
          <w:smallCaps w:val="false"/>
          <w:color w:val="000000"/>
          <w:sz w:val="22"/>
        </w:rPr>
        <w:t xml:space="preserve"> </w:t>
      </w:r>
      <w:r>
        <w:rPr>
          <w:rFonts w:ascii="TimesNewRoman" w:hAnsi="TimesNewRoman"/>
          <w:b w:val="false"/>
          <w:i w:val="false"/>
          <w:caps w:val="false"/>
          <w:smallCaps w:val="false"/>
          <w:color w:val="000000"/>
          <w:sz w:val="22"/>
        </w:rPr>
        <w:t>provides</w:t>
      </w:r>
      <w:r>
        <w:rPr>
          <w:rFonts w:ascii="TimesNewRoman" w:hAnsi="TimesNewRoman"/>
          <w:caps w:val="false"/>
          <w:smallCaps w:val="false"/>
          <w:color w:val="000000"/>
          <w:sz w:val="22"/>
        </w:rPr>
        <w:t xml:space="preserve"> </w:t>
      </w:r>
      <w:r>
        <w:rPr>
          <w:rFonts w:ascii="TimesNewRoman" w:hAnsi="TimesNewRoman"/>
          <w:b w:val="false"/>
          <w:i w:val="false"/>
          <w:caps w:val="false"/>
          <w:smallCaps w:val="false"/>
          <w:color w:val="000000"/>
          <w:sz w:val="22"/>
        </w:rPr>
        <w:t xml:space="preserve">free access to an employee assistance program, which offers a variety of innovative, flexible, and convenient employee health and wellness programs. Through our partnership with our benefit services provider, personalized mental health assistance is available to all employees and their family members; support is available 24/7 via in-person, phone or virtual visits with a licensed counselor. </w:t>
      </w:r>
    </w:p>
    <w:p>
      <w:pPr>
        <w:pStyle w:val="TextBody"/>
        <w:bidi w:val="0"/>
        <w:spacing w:lineRule="auto" w:line="259"/>
        <w:rPr>
          <w:rFonts w:ascii="TimesNewRoman" w:hAnsi="TimesNewRoman"/>
          <w:sz w:val="22"/>
        </w:rPr>
      </w:pPr>
      <w:r>
        <w:rPr>
          <w:rFonts w:ascii="TimesNewRoman" w:hAnsi="TimesNewRoman"/>
          <w:b w:val="false"/>
          <w:i/>
          <w:color w:val="000000"/>
          <w:sz w:val="22"/>
        </w:rPr>
        <w:t xml:space="preserve">Employee Development and Training </w:t>
      </w:r>
      <w:r>
        <w:rPr>
          <w:rFonts w:ascii="TimesNewRoman" w:hAnsi="TimesNewRoman"/>
          <w:b w:val="false"/>
          <w:i w:val="false"/>
          <w:caps w:val="false"/>
          <w:smallCaps w:val="false"/>
          <w:color w:val="000000"/>
          <w:sz w:val="22"/>
        </w:rPr>
        <w:t>- The Company continues to invest in training and development programs for employees so that they may evolve and enhance their skills in their areas of expertise. The Company offers several learning opportunities through partnerships with one of the leading online learning providers, business school certificate programs, tuition reimbursement for post-secondary degree granting programs, and individual career coaching. At Essential, we believe in an integrated talent development approach. We utilize the “70/20/10 model” for development, which holds that 70% of learning happens on the job through stretch goals and critical assignments, 20% of learning occurs through mentoring and coaching and involvement in professional and industry related activities, and 10% of learning occurs within a virtual or live learning environment. We align our development model to support our vision, mission, and competencies, with a balanced approach to developing our workforce that leads us to the development of a confident, committed, and high-performance culture.</w:t>
      </w:r>
    </w:p>
    <w:p>
      <w:pPr>
        <w:pStyle w:val="TextBody"/>
        <w:bidi w:val="0"/>
        <w:spacing w:lineRule="auto" w:line="259"/>
        <w:rPr>
          <w:rFonts w:ascii="TimesNewRoman" w:hAnsi="TimesNewRoman"/>
          <w:sz w:val="22"/>
        </w:rPr>
      </w:pPr>
      <w:r>
        <w:rPr>
          <w:rFonts w:ascii="TimesNewRoman" w:hAnsi="TimesNewRoman"/>
          <w:b w:val="false"/>
          <w:i/>
          <w:color w:val="000000"/>
          <w:sz w:val="22"/>
        </w:rPr>
        <w:t xml:space="preserve">Succession Planning – </w:t>
      </w:r>
      <w:r>
        <w:rPr>
          <w:rFonts w:ascii="TimesNewRoman" w:hAnsi="TimesNewRoman"/>
          <w:b w:val="false"/>
          <w:i w:val="false"/>
          <w:caps w:val="false"/>
          <w:smallCaps w:val="false"/>
          <w:color w:val="000000"/>
          <w:sz w:val="22"/>
        </w:rPr>
        <w:t>Essential has organizational workforce analysis and planning programs to ensure the Company has the talent it needs for the future. By conducting stay interviews with key performers, the Company learns where talent risks may arise. Under the Company’s Corporate Governance Guidelines, the Board of Directors is responsible for the development and periodic review of a management succession plan for the Chief Executive Officer and other executives. Annually,</w:t>
      </w:r>
      <w:r>
        <w:rPr>
          <w:rFonts w:ascii="TimesNewRoman" w:hAnsi="TimesNewRoman"/>
          <w:caps w:val="false"/>
          <w:smallCaps w:val="false"/>
          <w:color w:val="000000"/>
          <w:sz w:val="22"/>
        </w:rPr>
        <w:t xml:space="preserve"> </w:t>
      </w:r>
      <w:r>
        <w:rPr>
          <w:rFonts w:ascii="TimesNewRoman" w:hAnsi="TimesNewRoman"/>
          <w:b w:val="false"/>
          <w:i w:val="false"/>
          <w:caps w:val="false"/>
          <w:smallCaps w:val="false"/>
          <w:color w:val="000000"/>
          <w:sz w:val="22"/>
        </w:rPr>
        <w:t>the Board of Directors reviews the Company’s</w:t>
      </w:r>
      <w:r>
        <w:rPr>
          <w:rFonts w:ascii="TimesNewRoman" w:hAnsi="TimesNewRoman"/>
          <w:caps w:val="false"/>
          <w:smallCaps w:val="false"/>
          <w:color w:val="000000"/>
          <w:sz w:val="22"/>
        </w:rPr>
        <w:t xml:space="preserve"> </w:t>
      </w:r>
      <w:r>
        <w:rPr>
          <w:rFonts w:ascii="TimesNewRoman" w:hAnsi="TimesNewRoman"/>
          <w:b w:val="false"/>
          <w:i w:val="false"/>
          <w:caps w:val="false"/>
          <w:smallCaps w:val="false"/>
          <w:color w:val="000000"/>
          <w:sz w:val="22"/>
        </w:rPr>
        <w:t xml:space="preserve">succession planning process for the Chief Executive Officer and the named executive officers. During this review, the directors review succession candidates on an immediate basis and more developmental candidates to ensure that the Company is well-prepared for the future. </w:t>
      </w:r>
    </w:p>
    <w:p>
      <w:pPr>
        <w:pStyle w:val="TextBody"/>
        <w:bidi w:val="0"/>
        <w:spacing w:lineRule="auto" w:line="259"/>
        <w:rPr>
          <w:rFonts w:ascii="TimesNewRoman" w:hAnsi="TimesNewRoman"/>
          <w:sz w:val="22"/>
        </w:rPr>
      </w:pPr>
      <w:r>
        <w:rPr>
          <w:rFonts w:ascii="TimesNewRoman" w:hAnsi="TimesNewRoman"/>
          <w:b w:val="false"/>
          <w:i/>
          <w:color w:val="000000"/>
          <w:sz w:val="22"/>
        </w:rPr>
        <w:t xml:space="preserve">Voluntary Attrition and Turnover - </w:t>
      </w:r>
      <w:r>
        <w:rPr>
          <w:rFonts w:ascii="TimesNewRoman" w:hAnsi="TimesNewRoman"/>
          <w:b w:val="false"/>
          <w:i w:val="false"/>
          <w:caps w:val="false"/>
          <w:smallCaps w:val="false"/>
          <w:color w:val="000000"/>
          <w:sz w:val="22"/>
        </w:rPr>
        <w:t xml:space="preserve">The Company measures turnover rates of its employees in assessing the Company’s overall human capital. The Company’s voluntary attrition rate (not including retirements) for 2024 was 5.3% at the executive and senior management level, 4.5% at the mid-level manager level, 8.0% at the professional level, and 7.0% across all other employees. Our overall voluntary attrition rate of 6.7% in 2024 was lower than last year’s voluntary attrition rate of 7.6%. We believe our low voluntary attrition rate is in part a result of the Company’s continued commitment to employee development, competitive pay and benefits, and our culture. </w:t>
      </w:r>
    </w:p>
    <w:p>
      <w:pPr>
        <w:pStyle w:val="TextBody"/>
        <w:bidi w:val="0"/>
        <w:spacing w:lineRule="auto" w:line="259"/>
        <w:rPr>
          <w:rFonts w:ascii="TimesNewRoman" w:hAnsi="TimesNewRoman"/>
          <w:sz w:val="22"/>
        </w:rPr>
      </w:pPr>
      <w:r>
        <w:rPr>
          <w:rFonts w:ascii="TimesNewRoman" w:hAnsi="TimesNewRoman"/>
          <w:b w:val="false"/>
          <w:i/>
          <w:color w:val="000000"/>
          <w:sz w:val="22"/>
        </w:rPr>
        <w:t xml:space="preserve">Diversity, Equity and Inclusion - </w:t>
      </w:r>
      <w:r>
        <w:rPr>
          <w:rFonts w:ascii="TimesNewRoman" w:hAnsi="TimesNewRoman"/>
          <w:b w:val="false"/>
          <w:i w:val="false"/>
          <w:caps w:val="false"/>
          <w:smallCaps w:val="false"/>
          <w:color w:val="000000"/>
          <w:sz w:val="22"/>
        </w:rPr>
        <w:t xml:space="preserve">Diversity of backgrounds, ideas, thoughts, and experiences is essential to our culture and the way we do business. Creating an environment where our differences are valued and where every person feels a sense of belonging and engagement supports a thriving organization that cares about our customers and ensures our continued long-term success. In order to promote a culture of diversity and inclusion, we have conducted educational workshops to foster better understanding of different points of view and how pre-conceived notions impact relationships at work. We also support diverse segments of our workforce through employee resource groups, such as the Black Resource Group, LGBTQ+ Pride Resource Group, and Women’s Resource Group. These groups welcome participation from all employees in order to learn from a cultural perspective and support each other through allyship. </w:t>
      </w:r>
    </w:p>
    <w:p>
      <w:pPr>
        <w:pStyle w:val="TextBody"/>
        <w:bidi w:val="0"/>
        <w:spacing w:lineRule="auto" w:line="259"/>
        <w:rPr>
          <w:rFonts w:ascii="TimesNewRoman" w:hAnsi="TimesNewRoman"/>
          <w:b w:val="false"/>
          <w:i w:val="false"/>
          <w:caps w:val="false"/>
          <w:smallCaps w:val="false"/>
          <w:color w:val="000000"/>
          <w:sz w:val="22"/>
        </w:rPr>
      </w:pPr>
      <w:r>
        <w:rPr>
          <w:rFonts w:ascii="TimesNewRoman" w:hAnsi="TimesNewRoman"/>
          <w:b w:val="false"/>
          <w:i w:val="false"/>
          <w:caps w:val="false"/>
          <w:smallCaps w:val="false"/>
          <w:color w:val="000000"/>
          <w:sz w:val="22"/>
        </w:rPr>
        <w:t xml:space="preserve">We also believe diversity in our Board of Directors is critical for effective governance. Candidates for nomination to the Board are considered by the Corporate Governance Committee based on their personal abilities, qualifications, independence, knowledge, judgment, character, leadership skills, education, background, and their expertise and experience in fields and disciplines relevant to the Company. In October 2024, we were recognized as a Champion of Board Diversity by The Forum of Executive Women for having one-third of our board comprised of women for the sixth year since 2016. </w:t>
      </w:r>
    </w:p>
    <w:p>
      <w:pPr>
        <w:pStyle w:val="TextBody"/>
        <w:bidi w:val="0"/>
        <w:spacing w:lineRule="auto" w:line="259"/>
        <w:rPr>
          <w:rFonts w:ascii="TimesNewRoman" w:hAnsi="TimesNewRoman"/>
          <w:sz w:val="22"/>
        </w:rPr>
      </w:pPr>
      <w:r>
        <w:rPr>
          <w:rFonts w:ascii="TimesNewRoman" w:hAnsi="TimesNewRoman"/>
          <w:b w:val="false"/>
          <w:i/>
          <w:color w:val="000000"/>
          <w:sz w:val="22"/>
        </w:rPr>
        <w:t xml:space="preserve">Total Rewards - </w:t>
      </w:r>
      <w:r>
        <w:rPr>
          <w:rFonts w:ascii="TimesNewRoman" w:hAnsi="TimesNewRoman"/>
          <w:b w:val="false"/>
          <w:i w:val="false"/>
          <w:caps w:val="false"/>
          <w:smallCaps w:val="false"/>
          <w:color w:val="000000"/>
          <w:sz w:val="22"/>
        </w:rPr>
        <w:t xml:space="preserve">We invest in our workforce by offering a total rewards package that is targeted to be competitive with the market in which we compete for talent, while allowing individual pay to vary equitably based on performance, skills and experience.  Our </w:t>
      </w:r>
      <w:r>
        <w:rPr>
          <w:rFonts w:ascii="TimesNewRoman" w:hAnsi="TimesNewRoman"/>
          <w:b w:val="false"/>
          <w:i w:val="false"/>
          <w:caps w:val="false"/>
          <w:smallCaps w:val="false"/>
          <w:sz w:val="22"/>
        </w:rPr>
        <w:t>total rewards</w:t>
      </w:r>
      <w:r>
        <w:rPr>
          <w:rFonts w:ascii="TimesNewRoman" w:hAnsi="TimesNewRoman"/>
          <w:caps w:val="false"/>
          <w:smallCaps w:val="false"/>
          <w:color w:val="000000"/>
          <w:sz w:val="22"/>
        </w:rPr>
        <w:t> </w:t>
      </w:r>
      <w:r>
        <w:rPr>
          <w:rFonts w:ascii="TimesNewRoman" w:hAnsi="TimesNewRoman"/>
          <w:b w:val="false"/>
          <w:i w:val="false"/>
          <w:caps w:val="false"/>
          <w:smallCaps w:val="false"/>
          <w:color w:val="000000"/>
          <w:sz w:val="22"/>
        </w:rPr>
        <w:t>package includes a combination of salaries, short and long-term incentives, health and wellness benefits, retirement benefits, and other benefits which we regularly assess against the current business environment and labor market to ensure they are competitive. </w:t>
      </w:r>
    </w:p>
    <w:p>
      <w:pPr>
        <w:pStyle w:val="TextBody"/>
        <w:bidi w:val="0"/>
        <w:spacing w:lineRule="auto" w:line="259" w:before="0" w:after="100"/>
        <w:rPr>
          <w:rFonts w:ascii="TimesNewRoman" w:hAnsi="TimesNewRoman"/>
          <w:sz w:val="22"/>
        </w:rPr>
      </w:pPr>
      <w:r>
        <w:rPr>
          <w:rFonts w:ascii="TimesNewRoman" w:hAnsi="TimesNewRoman"/>
          <w:b w:val="false"/>
          <w:i/>
          <w:color w:val="000000"/>
          <w:sz w:val="22"/>
        </w:rPr>
        <w:br/>
        <w:t>‎</w:t>
      </w:r>
      <w:r>
        <w:rPr>
          <w:rFonts w:ascii="TimesNewRoman" w:hAnsi="TimesNewRoman"/>
          <w:caps w:val="false"/>
          <w:smallCaps w:val="false"/>
          <w:color w:val="000000"/>
          <w:sz w:val="22"/>
        </w:rPr>
        <w:t xml:space="preser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NewRoman" w:hAnsi="TimesNewRoman"/>
          <w:sz w:val="22"/>
        </w:rPr>
      </w:pPr>
      <w:r>
        <w:rPr>
          <w:rFonts w:ascii="TimesNewRoman" w:hAnsi="TimesNewRoman"/>
          <w:b w:val="false"/>
          <w:i/>
          <w:color w:val="000000"/>
          <w:sz w:val="22"/>
        </w:rPr>
        <w:t>Communication and Engagement</w:t>
      </w:r>
      <w:r>
        <w:rPr>
          <w:rFonts w:ascii="TimesNewRoman" w:hAnsi="TimesNewRoman"/>
          <w:caps w:val="false"/>
          <w:smallCaps w:val="false"/>
          <w:color w:val="000000"/>
          <w:sz w:val="22"/>
        </w:rPr>
        <w:t xml:space="preserve"> –</w:t>
      </w:r>
      <w:r>
        <w:rPr>
          <w:rFonts w:ascii="TimesNewRoman" w:hAnsi="TimesNewRoman"/>
          <w:b w:val="false"/>
          <w:i w:val="false"/>
          <w:caps w:val="false"/>
          <w:smallCaps w:val="false"/>
          <w:color w:val="000000"/>
          <w:sz w:val="22"/>
        </w:rPr>
        <w:t xml:space="preserve">We believe that our employees are critical to our business, and it is essential to have an environment of high engagement and inclusivity in which employees thrive. We use a variety of communication channels to help employees stay informed and to facilitate direct dialogue, including open forums with our executives, town halls, regular engagement surveys, employee resource groups, and regular performance feedback sessions between employees and their supervisors. We value feedback from our employees, as it helps us gain a deeper understanding of areas where we are doing well and where we need improvement. Periodically, employees are requested to participate in a </w:t>
      </w:r>
      <w:r>
        <w:rPr>
          <w:rFonts w:ascii="TimesNewRoman" w:hAnsi="TimesNewRoman"/>
          <w:b w:val="false"/>
          <w:i w:val="false"/>
          <w:caps w:val="false"/>
          <w:smallCaps w:val="false"/>
          <w:sz w:val="22"/>
        </w:rPr>
        <w:t xml:space="preserve">culture assessment </w:t>
      </w:r>
      <w:r>
        <w:rPr>
          <w:rFonts w:ascii="TimesNewRoman" w:hAnsi="TimesNewRoman"/>
          <w:b w:val="false"/>
          <w:i w:val="false"/>
          <w:caps w:val="false"/>
          <w:smallCaps w:val="false"/>
          <w:color w:val="000000"/>
          <w:sz w:val="22"/>
        </w:rPr>
        <w:t xml:space="preserve">by completing an anonymous survey. We have worked with various functional areas to create and implement action plans to address areas of employee concern. Executive management also regularly conducts town hall-style meetings with employees, where they have the opportunity to ask questions, voice opinions, and share feedback. </w:t>
      </w:r>
    </w:p>
    <w:p>
      <w:pPr>
        <w:pStyle w:val="TextBody"/>
        <w:bidi w:val="0"/>
        <w:spacing w:lineRule="auto" w:line="259"/>
        <w:rPr>
          <w:rFonts w:ascii="Times New Roman;serif" w:hAnsi="Times New Roman;serif"/>
          <w:sz w:val="22"/>
        </w:rPr>
      </w:pPr>
      <w:r>
        <w:rPr>
          <w:rFonts w:ascii="Times New Roman;serif" w:hAnsi="Times New Roman;serif"/>
          <w:b w:val="false"/>
          <w:i/>
          <w:sz w:val="22"/>
        </w:rPr>
        <w:t xml:space="preserve">Citizenship – </w:t>
      </w:r>
      <w:r>
        <w:rPr>
          <w:rFonts w:ascii="Times New Roman;serif" w:hAnsi="Times New Roman;serif"/>
          <w:b w:val="false"/>
          <w:i w:val="false"/>
          <w:caps w:val="false"/>
          <w:smallCaps w:val="false"/>
          <w:sz w:val="22"/>
        </w:rPr>
        <w:t xml:space="preserve">As a mission-based organization, we are driven to improve the quality of life and livelihood of our customers and the communities we serve. Through our charitable giving program, employees are encouraged to engage in philanthropy through the United Way campaign and matching gift program. Essential matches 100%, up to a maximum of $500 per calendar year per employee, for personal contributions made by an employee or their spouse or domestic partner to qualifying nonprofit organizations. At various times throughout the year, the Company supports its employees in volunteering their time and talents to give back to their communities. </w:t>
      </w:r>
    </w:p>
    <w:p>
      <w:pPr>
        <w:pStyle w:val="TextBody"/>
        <w:bidi w:val="0"/>
        <w:spacing w:lineRule="auto" w:line="259"/>
        <w:rPr>
          <w:rFonts w:ascii="Times New Roman;serif" w:hAnsi="Times New Roman;serif"/>
          <w:b/>
          <w:i/>
          <w:sz w:val="22"/>
        </w:rPr>
      </w:pPr>
      <w:r>
        <w:rPr>
          <w:rFonts w:ascii="Times New Roman;serif" w:hAnsi="Times New Roman;serif"/>
          <w:b/>
          <w:i/>
          <w:sz w:val="22"/>
        </w:rPr>
        <w:t xml:space="preserve">Management and Board Oversight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Our Board of Directors has various committees including an audit committee, an executive compensation committee, a corporate governance committee, and a risk mitigation and investment policy committee. Each of these committees has a formal charter. We also have Corporate Governance Guidelines and a Code of Ethical Business Conduct. Copies of these charters, guidelines, and codes can be obtained free of charge from our </w:t>
      </w:r>
      <w:r>
        <w:rPr>
          <w:rFonts w:ascii="Times New Roman;serif" w:hAnsi="Times New Roman;serif"/>
          <w:b w:val="false"/>
          <w:i/>
          <w:sz w:val="22"/>
        </w:rPr>
        <w:t xml:space="preserve">Investor Relations </w:t>
      </w:r>
      <w:r>
        <w:rPr>
          <w:rFonts w:ascii="Times New Roman;serif" w:hAnsi="Times New Roman;serif"/>
          <w:b w:val="false"/>
          <w:i w:val="false"/>
          <w:caps w:val="false"/>
          <w:smallCaps w:val="false"/>
          <w:sz w:val="22"/>
        </w:rPr>
        <w:t xml:space="preserve">page on our web site, </w:t>
      </w:r>
      <w:r>
        <w:rPr>
          <w:rFonts w:ascii="Times New Roman;serif" w:hAnsi="Times New Roman;serif"/>
          <w:b w:val="false"/>
          <w:i w:val="false"/>
          <w:caps w:val="false"/>
          <w:smallCaps w:val="false"/>
          <w:sz w:val="22"/>
          <w:u w:val="single"/>
        </w:rPr>
        <w:t>www.essential.co</w:t>
      </w:r>
      <w:r>
        <w:rPr>
          <w:rFonts w:ascii="Times New Roman;serif" w:hAnsi="Times New Roman;serif"/>
          <w:b w:val="false"/>
          <w:i w:val="false"/>
          <w:caps w:val="false"/>
          <w:smallCaps w:val="false"/>
          <w:sz w:val="22"/>
        </w:rPr>
        <w:t xml:space="preserve">. In the event we amend or waive any portion of the Code of Ethical Business Conduct that applies to any of our directors, executive officers, or senior financial officers, we will post that information on our web site. </w:t>
      </w:r>
    </w:p>
    <w:p>
      <w:pPr>
        <w:pStyle w:val="TextBody"/>
        <w:bidi w:val="0"/>
        <w:spacing w:lineRule="auto" w:line="259"/>
        <w:rPr>
          <w:rFonts w:ascii="Times New Roman;serif" w:hAnsi="Times New Roman;serif"/>
          <w:b w:val="false"/>
          <w:i/>
          <w:sz w:val="22"/>
        </w:rPr>
      </w:pPr>
      <w:r>
        <w:rPr>
          <w:rFonts w:ascii="Times New Roman;serif" w:hAnsi="Times New Roman;serif"/>
          <w:b w:val="false"/>
          <w:i/>
          <w:sz w:val="22"/>
        </w:rPr>
        <w:t>Available Information</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We file annual, quarterly, current reports, proxy statements, and other information with the Securities and Exchange Commission (SEC). You may obtain our SEC filings from the SEC’s web site at </w:t>
      </w:r>
      <w:r>
        <w:rPr>
          <w:rFonts w:ascii="Times New Roman;serif" w:hAnsi="Times New Roman;serif"/>
          <w:b w:val="false"/>
          <w:i w:val="false"/>
          <w:caps w:val="false"/>
          <w:smallCaps w:val="false"/>
          <w:sz w:val="22"/>
          <w:u w:val="single"/>
        </w:rPr>
        <w:t>www.sec.gov</w:t>
      </w:r>
      <w:r>
        <w:rPr>
          <w:rFonts w:ascii="Times New Roman;serif" w:hAnsi="Times New Roman;serif"/>
          <w:b w:val="false"/>
          <w:i w:val="false"/>
          <w:caps w:val="false"/>
          <w:smallCaps w:val="false"/>
          <w:sz w:val="22"/>
        </w:rPr>
        <w:t>.</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Our internet web site address is </w:t>
      </w:r>
      <w:r>
        <w:rPr>
          <w:rFonts w:ascii="Times New Roman;serif" w:hAnsi="Times New Roman;serif"/>
          <w:b w:val="false"/>
          <w:i w:val="false"/>
          <w:caps w:val="false"/>
          <w:smallCaps w:val="false"/>
          <w:sz w:val="22"/>
          <w:u w:val="single"/>
        </w:rPr>
        <w:t>www.essential.co</w:t>
      </w:r>
      <w:r>
        <w:rPr>
          <w:rFonts w:ascii="Times New Roman;serif" w:hAnsi="Times New Roman;serif"/>
          <w:b w:val="false"/>
          <w:i w:val="false"/>
          <w:caps w:val="false"/>
          <w:smallCaps w:val="false"/>
          <w:sz w:val="22"/>
        </w:rPr>
        <w:t xml:space="preserve">. We make available free of charge through our web site’s </w:t>
      </w:r>
      <w:r>
        <w:rPr>
          <w:rFonts w:ascii="Times New Roman;serif" w:hAnsi="Times New Roman;serif"/>
          <w:b w:val="false"/>
          <w:i/>
          <w:sz w:val="22"/>
        </w:rPr>
        <w:t>Investor Relations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page all of our filings with the SEC, including our annual report on Form 10-K, quarterly reports on Form 10-Q, current reports on Form 8-K, and other information. These reports and information are available as soon as reasonably practicable after such material is electronically filed with the SEC.</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addition, you may request a copy of the foregoing filings, at no cost by writing or telephoning us at the following address or telephone number: </w:t>
      </w:r>
    </w:p>
    <w:p>
      <w:pPr>
        <w:pStyle w:val="TextBody"/>
        <w:bidi w:val="0"/>
        <w:spacing w:lineRule="auto" w:line="259"/>
        <w:ind w:left="2160" w:right="0" w:firstLine="720"/>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Investor Relations Department</w:t>
      </w:r>
    </w:p>
    <w:p>
      <w:pPr>
        <w:pStyle w:val="TextBody"/>
        <w:bidi w:val="0"/>
        <w:spacing w:lineRule="auto" w:line="259"/>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Essential Utilities, Inc.</w:t>
      </w:r>
    </w:p>
    <w:p>
      <w:pPr>
        <w:pStyle w:val="TextBody"/>
        <w:bidi w:val="0"/>
        <w:spacing w:lineRule="auto" w:line="259"/>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762 W. Lancaster Avenue</w:t>
      </w:r>
    </w:p>
    <w:p>
      <w:pPr>
        <w:pStyle w:val="TextBody"/>
        <w:bidi w:val="0"/>
        <w:spacing w:lineRule="auto" w:line="259"/>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Bryn Mawr, PA 19010-3489</w:t>
      </w:r>
    </w:p>
    <w:p>
      <w:pPr>
        <w:pStyle w:val="TextBody"/>
        <w:bidi w:val="0"/>
        <w:spacing w:lineRule="auto" w:line="259"/>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Telephone: 610-527-8000</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references to our web site and the SEC’s web site are intended to be inactive textual references only, and the contents of those web sites are not incorporated by reference herein and should not be considered part of this or any other report that we file with or furnish to the SEC.</w:t>
      </w:r>
    </w:p>
    <w:p>
      <w:pPr>
        <w:pStyle w:val="TextBody"/>
        <w:bidi w:val="0"/>
        <w:spacing w:lineRule="auto" w:line="259" w:before="0" w:after="100"/>
        <w:rPr>
          <w:rFonts w:ascii="Times New Roman;serif" w:hAnsi="Times New Roman;serif"/>
          <w:sz w:val="22"/>
        </w:rPr>
      </w:pPr>
      <w:r>
        <w:rPr>
          <w:rFonts w:ascii="Times New Roman;serif" w:hAnsi="Times New Roman;serif"/>
          <w:b w:val="false"/>
          <w:i w:val="false"/>
          <w:caps w:val="false"/>
          <w:smallCaps w:val="false"/>
          <w:sz w:val="22"/>
        </w:rPr>
        <w:br/>
        <w:t>‎</w:t>
      </w:r>
      <w:r>
        <w:rPr>
          <w:rFonts w:ascii="Times New Roman;serif" w:hAnsi="Times New Roman;serif"/>
          <w:caps w:val="false"/>
          <w:smallCaps w:val="false"/>
          <w:sz w:val="22"/>
        </w:rPr>
        <w:t xml:space="preser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tbl>
      <w:tblPr>
        <w:tblW w:w="2267" w:type="dxa"/>
        <w:jc w:val="left"/>
        <w:tblInd w:w="0" w:type="dxa"/>
        <w:tblLayout w:type="fixed"/>
        <w:tblCellMar>
          <w:top w:w="0" w:type="dxa"/>
          <w:left w:w="0" w:type="dxa"/>
          <w:bottom w:w="0" w:type="dxa"/>
          <w:right w:w="0" w:type="dxa"/>
        </w:tblCellMar>
      </w:tblPr>
      <w:tblGrid>
        <w:gridCol w:w="946"/>
        <w:gridCol w:w="1321"/>
      </w:tblGrid>
      <w:tr>
        <w:trPr/>
        <w:tc>
          <w:tcPr>
            <w:tcW w:w="94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1A.</w:t>
            </w:r>
          </w:p>
        </w:tc>
        <w:tc>
          <w:tcPr>
            <w:tcW w:w="1321" w:type="dxa"/>
            <w:tcBorders/>
            <w:vAlign w:val="center"/>
          </w:tcPr>
          <w:p>
            <w:pPr>
              <w:pStyle w:val="TableContents"/>
              <w:bidi w:val="0"/>
              <w:spacing w:lineRule="auto" w:line="259" w:before="0" w:after="283"/>
              <w:jc w:val="left"/>
              <w:rPr>
                <w:rFonts w:ascii="Times New Roman;serif" w:hAnsi="Times New Roman;serif"/>
                <w:b w:val="false"/>
                <w:i/>
                <w:sz w:val="22"/>
              </w:rPr>
            </w:pPr>
            <w:r>
              <w:rPr>
                <w:rFonts w:ascii="Times New Roman;serif" w:hAnsi="Times New Roman;serif"/>
                <w:b w:val="false"/>
                <w:i/>
                <w:sz w:val="22"/>
              </w:rPr>
              <w:t>Risk Factors</w:t>
            </w:r>
            <w:bookmarkStart w:id="5" w:name="RiskFactors"/>
            <w:bookmarkEnd w:id="5"/>
          </w:p>
        </w:tc>
      </w:tr>
    </w:tbl>
    <w:p>
      <w:pPr>
        <w:pStyle w:val="TextBody"/>
        <w:bidi w:val="0"/>
        <w:spacing w:lineRule="auto" w:line="259"/>
        <w:rPr>
          <w:rFonts w:ascii="Times New Roman;serif" w:hAnsi="Times New Roman;serif"/>
          <w:b w:val="false"/>
          <w:i/>
          <w:sz w:val="22"/>
        </w:rPr>
      </w:pPr>
      <w:r>
        <w:rPr>
          <w:rFonts w:ascii="Times New Roman;serif" w:hAnsi="Times New Roman;serif"/>
          <w:b w:val="false"/>
          <w:i/>
          <w:sz w:val="22"/>
        </w:rPr>
        <w:t xml:space="preserve">In addition to the other information included in this Annual Report, the following factors should be considered in evaluating our business and future prospects. Any of the following risks, either alone or taken together, could materially harm our business, financial condition, and results of operations. If one or more of these or other risks or uncertainties materialize, or if our underlying assumptions prove to be incorrect, our business, financial condition, and results of operations could be materially harmed. </w:t>
      </w:r>
    </w:p>
    <w:p>
      <w:pPr>
        <w:pStyle w:val="TextBody"/>
        <w:bidi w:val="0"/>
        <w:spacing w:lineRule="auto" w:line="259"/>
        <w:rPr>
          <w:rFonts w:ascii="Times New Roman;serif" w:hAnsi="Times New Roman;serif"/>
          <w:b/>
          <w:i/>
          <w:sz w:val="22"/>
        </w:rPr>
      </w:pPr>
      <w:r>
        <w:rPr>
          <w:rFonts w:ascii="Times New Roman;serif" w:hAnsi="Times New Roman;serif"/>
          <w:b/>
          <w:i/>
          <w:sz w:val="22"/>
        </w:rPr>
        <w:t>Risk Factor Summary</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Our business is subject to many risks and uncertainties. The following are the types of forward-looking statements we make throughout this Annual Report, including in these Risk Factors, and a summary of the types of risks that could impact us and cause actual results to differ from those described in such forward-looking statements: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opportunities for future acquisitions, both within and outside the water and wastewater industries, the success of pending acquisitions and the impact of future acquisitions;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 xml:space="preserve">acquisition-related costs and synergies; </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impact of decisions of governmental and regulatory bodies, including decisions to raise or lower rates and decisions regarding potential acquisitions;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sale of water, wastewater, and gas subsidiaries;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impact of conservation awareness of customers and more efficient fixtures and appliances on water and natural gas usage per customer;</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impact of our business on the environment, and our ability to meet our environmental, social, and governance goals;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our authority to carry on our business and successfully achieve our operational growth projections without unduly burdensome restrictions;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our capability to pursue timely rate increase requests;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capacity of our water supplies, water facilities, wastewater facilities, and natural gas supplies and storage facilities;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impact of public health threats, or the measures implemented by the Company as a result of these threats;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 xml:space="preserve">the impact of cybersecurity attacks or other cyber-related events; </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developments, trends and consolidation in the water, wastewater, and natural gas utility and infrastructure industries;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impact of changes in and compliance with governmental laws, regulations and policies, including those dealing with the environment, health and water quality, taxation, and public utility regulation;</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development of new services and technologies by us or our competitors;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availability of qualified personnel;</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condition of our assets, including the risk of explosion from our natural gas operations and the failure of our natural gas storage facilities;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recovery of capital expenditures and expenses in rates;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projected capital expenditures and related funding requirements;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availability and cost of capital financing, including impacts of increasing financing costs and interest rates;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dividend payment projections;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impact of geographic diversity on our exposure to unusual weather;</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continuation of investments in strategic ventures;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our ability to obtain fair market value for condemned assets;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impact of fines and penalties;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impact of legal proceedings;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 xml:space="preserve">general economic conditions, including inflation; </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impairment of goodwill resulting in a non-cash charge to earnings;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impact of federal and/or state tax policies and the regulatory treatment of the effects of those policies; and</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before="0" w:after="100"/>
        <w:rPr>
          <w:caps w:val="false"/>
          <w:smallCaps w:val="false"/>
        </w:rPr>
      </w:pPr>
      <w:r>
        <w:rPr>
          <w:caps w:val="false"/>
          <w:smallCaps w:val="false"/>
        </w:rPr>
        <w:t> </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amount of income tax deductions for qualifying utility asset improvements and the Internal Revenue Service’s ultimate acceptance of the deduction methodology.</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Because forward-looking statements involve risks and uncertainties, there are important factors that could cause actual results to differ materially from those expressed or implied by these forward-looking statements, including but not limited to:</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success in the closing of, and the profitability of future acquisitions;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changes in general economic, political, business, credit, and financial market conditions and interest rates;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our ability to manage the expansion of our business;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changes in environmental conditions, including the effects of climate change;</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our ability to integrate and otherwise realize all of the anticipated benefits of businesses, technologies or services which we may acquire;</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decisions of governmental and regulatory bodies, including decisions on regulatory filings, such as rate increase requests and decisions regarding potential acquisitions;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our ability to file rate cases on a timely basis to minimize regulatory lag;</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impact of inflation on our business and on our customers and potential opposition to rate increases;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abnormal weather conditions and natural disasters, including those that result in water use restrictions or reduced or elevated natural gas consumption;</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seasonality of our business;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our ability to source, treat, and supply water, including in times of drought, or collect and treat wastewater;</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our ability to source sufficient natural gas to meet customer demand in a timely manner;</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continuous and reliable operation of our information technology systems, including the impact of cybersecurity attacks or other cyber-related events, and risks associated with new systems implementation or integration;</w:t>
      </w:r>
    </w:p>
    <w:p>
      <w:pPr>
        <w:pStyle w:val="TextBody"/>
        <w:bidi w:val="0"/>
        <w:spacing w:lineRule="auto" w:line="276"/>
        <w:ind w:left="1080" w:right="0" w:hanging="360"/>
        <w:rPr/>
      </w:pPr>
      <w:r>
        <w:rPr>
          <w:caps w:val="false"/>
          <w:smallCaps w:val="false"/>
          <w:color w:val="212529"/>
          <w:shd w:fill="FFFFFF" w:val="clear"/>
        </w:rPr>
        <w:t></w:t>
      </w:r>
      <w:r>
        <w:rPr>
          <w:rFonts w:ascii="Times New Roman;serif" w:hAnsi="Times New Roman;serif"/>
          <w:b w:val="false"/>
          <w:i w:val="false"/>
          <w:caps w:val="false"/>
          <w:smallCaps w:val="false"/>
          <w:sz w:val="22"/>
        </w:rPr>
        <w:t>impacts from public health threats, including on consumption, usage, supply chain, and collections.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changes in governmental laws, regulations and policies, including those dealing with taxation, the environment, health and water quality, data and consumer privacy, and public utility regulation;</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extent to which we are able to develop and market new and improved services;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the effect of the loss of major customers;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our ability to retain the services of key personnel and to hire qualified personnel as we expand;</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 xml:space="preserve">labor disputes; </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increasing difficulties in obtaining insurance and increased cost of insurance;</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 xml:space="preserve">cost overruns relating to improvements to, or the expansion of, our operations; </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 xml:space="preserve">inflation and potential impact of proposed tariffs on the availability and costs of goods and services; </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 xml:space="preserve">the effect of natural gas price volatility, including the potential impact of high commodity prices on usage or rate case outcomes; </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 xml:space="preserve">civil disturbance or terroristic threats or acts; </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changes to the rules or our assumptions underlying our determination of what qualifies for an income tax deduction for qualifying utility asset improvements;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changes in, or unanticipated, capital requirements;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changes in our credit rating or outlook of credit rating agencies with respect to our Company and subsidiaries, or the market price of our common stock;</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changes in valuation of strategic ventures;</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 xml:space="preserve">changes in accounting pronouncements; </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litigation and claims; and</w:t>
      </w:r>
    </w:p>
    <w:p>
      <w:pPr>
        <w:pStyle w:val="TextBody"/>
        <w:bidi w:val="0"/>
        <w:spacing w:lineRule="auto" w:line="259"/>
        <w:ind w:left="1080" w:right="0" w:hanging="360"/>
        <w:rPr/>
      </w:pPr>
      <w:r>
        <w:rPr>
          <w:caps w:val="false"/>
          <w:smallCaps w:val="false"/>
        </w:rPr>
        <w:t></w:t>
      </w:r>
      <w:r>
        <w:rPr>
          <w:rFonts w:ascii="Times New Roman;serif" w:hAnsi="Times New Roman;serif"/>
          <w:b w:val="false"/>
          <w:i w:val="false"/>
          <w:caps w:val="false"/>
          <w:smallCaps w:val="false"/>
          <w:sz w:val="22"/>
        </w:rPr>
        <w:t>restrictions on our subsidiaries’ ability to make dividend payments and other distributions.</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caps w:val="false"/>
          <w:smallCaps w:val="false"/>
          <w:color w:val="212529"/>
        </w:rPr>
      </w:pPr>
      <w:r>
        <w:rPr>
          <w:caps w:val="false"/>
          <w:smallCaps w:val="false"/>
          <w:color w:val="212529"/>
        </w:rPr>
        <w:t> </w:t>
      </w:r>
    </w:p>
    <w:p>
      <w:pPr>
        <w:pStyle w:val="TextBody"/>
        <w:bidi w:val="0"/>
        <w:spacing w:lineRule="auto" w:line="259"/>
        <w:rPr>
          <w:rFonts w:ascii="Times New Roman;serif" w:hAnsi="Times New Roman;serif"/>
          <w:b/>
          <w:i/>
          <w:sz w:val="22"/>
        </w:rPr>
      </w:pPr>
      <w:r>
        <w:rPr>
          <w:rFonts w:ascii="Times New Roman;serif" w:hAnsi="Times New Roman;serif"/>
          <w:b/>
          <w:i/>
          <w:sz w:val="22"/>
        </w:rPr>
        <w:t>Risks Related to the Operation and Regulation of our Business</w:t>
      </w:r>
    </w:p>
    <w:p>
      <w:pPr>
        <w:pStyle w:val="TextBody"/>
        <w:bidi w:val="0"/>
        <w:spacing w:lineRule="auto" w:line="259"/>
        <w:rPr>
          <w:rFonts w:ascii="Times New Roman;serif" w:hAnsi="Times New Roman;serif"/>
          <w:b/>
          <w:i/>
          <w:sz w:val="22"/>
        </w:rPr>
      </w:pPr>
      <w:r>
        <w:rPr>
          <w:rFonts w:ascii="Times New Roman;serif" w:hAnsi="Times New Roman;serif"/>
          <w:b/>
          <w:i/>
          <w:sz w:val="22"/>
        </w:rPr>
        <w:t xml:space="preserve">General economic conditions may affect our financial condition and results of operations.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 general economic downturn may lead to a number of impacts on our business and may affect our financial condition and results of operations. Such impacts may include: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a reduction in discretionary and recreational water use by our residential water customers, particularly during the summer months when such discretionary usage is normally at its highest;</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a reduction in natural gas use by our residential customers, particularly during the winter months when such usage is normally at its highest;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a decline in usage by industrial and commercial customers as a result of decreased business activity or a shift to alternative energy sources;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an increased incidence of customers’ inability to pay or delays in paying their utility bills, or an increase in customer bankruptcies, which may lead to higher bad debt expense, increased financing costs, and reduced cash flow;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opposition by customers and statutory advocates to rate increases;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a lower natural customer growth rate due to a decline in new housing starts; and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a decline in the number of active customers due to housing vacancies.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General economic turmoil may also lead to an investment market downturn, which may result in our pension and other post-retirement plans’ asset market values suffering a decline and significant volatility. A decline in our plans’ asset market values could increase our required cash contributions to the plans and increased expense in subsequent years. Inflation levels in excess of historical levels could also lead to regulatory lag and thus impact our earned returns and financial results.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Moreover, in recent years, inflation and higher interest rates have become areas of increasing economic concern. Changes in the cost of providing our products and services, including price increases in operating and capital costs, as well as increases in labor costs or borrowing costs, have negatively impacted our financial condition and results of operations. We review the adequacy of our rates as approved by public utility commissions in relation to the increasing cost of providing services and the inherent regulatory lag in adjusting those rates. Rate increases are not retroactive and often lag increases in costs caused by inflation. On occasion, our regulated utility companies may enter into rate settlement agreements, which require us to wait for a period of time to file the next base rate increase request. These agreements may result in regulatory lag whereby inflationary increases in expenses or higher borrowing costs may not be reflected in rates, and may not yet be requested, or a gap may exist between when a capital project is completed and the start of its recovery in rates. Even during periods of moderate inflation, the effects of inflation can have a negative impact on our operating results. The ability to control operating expenses is an important factor that will influence future results. </w:t>
      </w:r>
    </w:p>
    <w:p>
      <w:pPr>
        <w:pStyle w:val="TextBody"/>
        <w:bidi w:val="0"/>
        <w:spacing w:lineRule="auto" w:line="259"/>
        <w:rPr>
          <w:rFonts w:ascii="Times New Roman;serif" w:hAnsi="Times New Roman;serif"/>
          <w:b/>
          <w:i/>
          <w:sz w:val="22"/>
        </w:rPr>
      </w:pPr>
      <w:r>
        <w:rPr>
          <w:rFonts w:ascii="Times New Roman;serif" w:hAnsi="Times New Roman;serif"/>
          <w:b/>
          <w:i/>
          <w:sz w:val="22"/>
        </w:rPr>
        <w:t>Inflation, and the potential impact of proposed tariffs, could adversely impact our ability to control costs, including operating expenses and capital costs.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operation of our business and the execution of our capital projects require significant expenditures for labor, production costs, property and equipment, and services. Recent inflationary pressures have increased our expenses and capital costs, and those costs may continue to increase. To the extent inflation remains elevated and higher tariffs are imposed, we may experience further cost increases for our operations. We cannot predict any future trends in the rate of inflation and interest rates, and a significant increase in inflation, to the extent we are unable to recover higher costs through rate cases, could negatively impact our business, financial condition, and results of operation.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i/>
          <w:sz w:val="22"/>
        </w:rPr>
      </w:pPr>
      <w:r>
        <w:rPr>
          <w:rFonts w:ascii="Times New Roman;serif" w:hAnsi="Times New Roman;serif"/>
          <w:b/>
          <w:i/>
          <w:sz w:val="22"/>
        </w:rPr>
        <w:t>The rates we charge our customers are subject to regulation. If we are unable to obtain government approval of our requests for rate increases, or if approved rate increases are untimely or inadequate to recover and earn a return on our capital investments, to recover expenses or taxes, or to take into account changes in water, wastewater, or natural gas usage, our profitability may suffer.</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rates we charge our customers are subject to approval by utility commissions in the states in which we operate. We file rate increase requests, from time to time, to recover our investments in utility plant and expenses. Our ability to maintain and meet our financial objectives is dependent upon the recovery of, and return on, our capital investments and expenses through the rates we charge our customers. Once a rate increase petition is filed with a utility commission, the ensuing administrative and hearing process may be lengthy and costly, and our costs may not always be fully recoverable. The timing of our rate increase requests are therefore partially dependent upon the estimated cost of the administrative process in relation to the investments and expenses that we expect to recover through the rate increase. In addition, the amount or frequency of rate increases may be decreased or lengthened as a result of many factors including changes in regulatory oversight in the states in which we operate utilities and income tax laws, including regulations regarding tax-basis depreciation as it applies to our capital expenditures or qualifying utility asset improvements. We can provide no assurances that any future rate increase request will be approved by the appropriate utility commission; and, if approved, we cannot guarantee that these rate increases will be granted in a timely or sufficient manner.</w:t>
      </w:r>
    </w:p>
    <w:p>
      <w:pPr>
        <w:pStyle w:val="TextBody"/>
        <w:bidi w:val="0"/>
        <w:spacing w:lineRule="auto" w:line="259"/>
        <w:rPr>
          <w:rFonts w:ascii="Times New Roman;serif" w:hAnsi="Times New Roman;serif"/>
          <w:b w:val="false"/>
          <w:i w:val="false"/>
          <w:caps w:val="false"/>
          <w:smallCaps w:val="false"/>
          <w:spacing w:val="0"/>
          <w:sz w:val="22"/>
        </w:rPr>
      </w:pPr>
      <w:r>
        <w:rPr>
          <w:rFonts w:ascii="Times New Roman;serif" w:hAnsi="Times New Roman;serif"/>
          <w:b w:val="false"/>
          <w:i w:val="false"/>
          <w:caps w:val="false"/>
          <w:smallCaps w:val="false"/>
          <w:spacing w:val="0"/>
          <w:sz w:val="22"/>
        </w:rPr>
        <w:t xml:space="preserve">In Virginia, North Carolina and Kentucky, we may bill our water utility customers, in certain circumstances, in accordance with a rate filing that is pending before the respective regulatory commission, which would allow for interim rates. Furthermore, some utility commissions authorize the use of expense deferrals and amortization in order to provide for an impact on our operating income by an amount that approximates the requested amount in a rate request. The additional revenue billed and collected prior to the final ruling is subject to refund to customers based on the outcome of the ruling. The revenue recognized and the expenses deferred by us reflect an estimate as to the final outcome of the ruling. If the request is denied completely or in part, we could be required to refund to customers some or all of the revenue billed to date, and write-off some or all of the deferred expenses. </w:t>
      </w:r>
    </w:p>
    <w:p>
      <w:pPr>
        <w:pStyle w:val="TextBody"/>
        <w:bidi w:val="0"/>
        <w:spacing w:lineRule="auto" w:line="259"/>
        <w:rPr>
          <w:rFonts w:ascii="Times New Roman;serif" w:hAnsi="Times New Roman;serif"/>
          <w:sz w:val="22"/>
        </w:rPr>
      </w:pPr>
      <w:r>
        <w:rPr>
          <w:rFonts w:ascii="Times New Roman;serif" w:hAnsi="Times New Roman;serif"/>
          <w:b/>
          <w:i/>
          <w:sz w:val="22"/>
        </w:rPr>
        <w:t>Changes in our earnings per share may differ from changes in our rate base</w:t>
      </w:r>
      <w:r>
        <w:rPr>
          <w:rFonts w:ascii="Times New Roman;serif" w:hAnsi="Times New Roman;serif"/>
          <w:b/>
          <w:i w:val="false"/>
          <w:caps w:val="false"/>
          <w:smallCaps w:val="false"/>
          <w:sz w:val="22"/>
        </w:rPr>
        <w:t>.</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Our business is capital intensive and requires significant capital investments for additions to or replacement of property, plant and equipment. These capital investments create assets that are used and useful in providing regulated utility service, and as a result, increase our rate base, on which we generate earnings through the regulatory process. Changes in our reported earnings per share, however, may differ from changes in our rate base in a given period due to several factors, including rate case timing and the terms of such rate cases; over-or under-earnings in a given period due to changes in operating costs; the effects of tax rates or tax treatment of capital investments, including the effect of repair tax; capital expenditures that are not eligible for a DSIC between rate cases; acquisitions which have not yet been included in rate base; unrecovered short-term interest costs; and issuances of equity. We anticipate that we may experience periods in which growth in earnings is less than growth in rate base; such differences may be material and may persist over multiple reporting periods.</w:t>
      </w:r>
    </w:p>
    <w:p>
      <w:pPr>
        <w:pStyle w:val="TextBody"/>
        <w:bidi w:val="0"/>
        <w:spacing w:lineRule="auto" w:line="259"/>
        <w:rPr>
          <w:rFonts w:ascii="Times New Roman;serif" w:hAnsi="Times New Roman;serif"/>
          <w:b/>
          <w:i/>
          <w:color w:val="252525"/>
          <w:sz w:val="22"/>
        </w:rPr>
      </w:pPr>
      <w:r>
        <w:rPr>
          <w:rFonts w:ascii="Times New Roman;serif" w:hAnsi="Times New Roman;serif"/>
          <w:b/>
          <w:i/>
          <w:color w:val="252525"/>
          <w:sz w:val="22"/>
        </w:rPr>
        <w:t>Our ability to meet customers’ natural gas requirements may be impaired if contracted natural gas supplies and interstate pipelines services are not available, are not delivered in a timely manner or if federal regulations decrease its available capacity, which may result in a loss of customers and an adverse effect on our financial conditions and results of operations.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are responsible for acquiring sufficient natural gas supplies, interstate pipeline capacity and storage capacity to meet current and future customers’ peak, annual and seasonal natural gas requirements. We rely on third-party service providers, as we purchase a portion of our natural gas supply from interstate sources and rely on interstate pipelines to transport natural gas to our distribution system, in addition to local production that is delivered directly into our pipeline system. The Federal Energy Regulatory Commission (FERC) regulates the transportation of the natural gas received from interstate sources, and any change in regulatory policies could increase our transportation costs or decrease our available pipeline capacity. A decrease in interstate pipeline capacity available, an increase in competition for interstate pipeline transportation service or other interruptions to pipeline gas supplies could reduce our normal interstate supply of natural gas. Additionally, federal or state legislation could restrict or limit natural gas drilling, which could decrease the supply of available natural gas. If we are unable to maintain access to a reliable and adequate natural gas supply or sufficient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pipeline capacity to deliver that supply, we may be unable to meet our customers’ requirements, resulting in a loss of customers and an adverse effect on our financial conditions and results of operations.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Peoples has traditionally used local production as a source of supply to fulfill a portion of its supply requirements. In order to absorb local gas into its system, Peoples has in place a network of pipelines and related facilities that move the gas either to customers located where gas is produced or to the more populated areas of the service territory where the greatest level of consumption occurs, and, in summer months, to Peoples’ on-system and off-system storage facilities. This network of facilities includes gathering lines, compressor stations, and transmission lines. Peoples has entered into gas purchase agreements with various producers to supply this local production. A decrease in this supply could occur, for example, if the local gas producers no longer drill wells to offset natural well production decline or if such producers decide to cease production or produce into another pipeline. State and federal legislation or regulations could also limit drilling activities and in turn limit gas supply. If supply is limited, we would be faced with purchasing gas supplies likely at a higher cost, may be unable to find alternative gas supply, and accordingly, may be unable to meet customer requirements, resulting in a loss of customers and an adverse effect on our financial condition and results of operations.</w:t>
      </w:r>
    </w:p>
    <w:p>
      <w:pPr>
        <w:pStyle w:val="TextBody"/>
        <w:bidi w:val="0"/>
        <w:spacing w:lineRule="auto" w:line="259"/>
        <w:rPr>
          <w:rFonts w:ascii="Times New Roman;serif" w:hAnsi="Times New Roman;serif"/>
          <w:b/>
          <w:i/>
          <w:sz w:val="22"/>
        </w:rPr>
      </w:pPr>
      <w:r>
        <w:rPr>
          <w:rFonts w:ascii="Times New Roman;serif" w:hAnsi="Times New Roman;serif"/>
          <w:b/>
          <w:i/>
          <w:sz w:val="22"/>
        </w:rPr>
        <w:t xml:space="preserve">Any failure of our water and wastewater treatment plants, network of water and wastewater pipes, or water reservoirs could result in damages that may harm our business, financial condition, and results of operations. </w:t>
      </w:r>
    </w:p>
    <w:p>
      <w:pPr>
        <w:pStyle w:val="TextBody"/>
        <w:bidi w:val="0"/>
        <w:spacing w:lineRule="auto" w:line="259"/>
        <w:rPr>
          <w:rFonts w:ascii="Times New Roman;serif" w:hAnsi="Times New Roman;serif"/>
          <w:b w:val="false"/>
          <w:i w:val="false"/>
          <w:caps w:val="false"/>
          <w:smallCaps w:val="false"/>
          <w:spacing w:val="0"/>
          <w:sz w:val="22"/>
        </w:rPr>
      </w:pPr>
      <w:r>
        <w:rPr>
          <w:rFonts w:ascii="Times New Roman;serif" w:hAnsi="Times New Roman;serif"/>
          <w:b w:val="false"/>
          <w:i w:val="false"/>
          <w:caps w:val="false"/>
          <w:smallCaps w:val="false"/>
          <w:spacing w:val="0"/>
          <w:sz w:val="22"/>
        </w:rPr>
        <w:t>Our operating subsidiaries treat water and wastewater, distribute water, and collect wastewater through an extensive network of pipes, and store water in reservoirs. A failure of a major treatment plant, pipe, or reservoir could result in claims for injuries or property damage. The failure of a major treatment plant, pipe, or reservoir may also result in the need to shut down some facilities or parts of our network in order to conduct repairs. Such failures and shutdowns may limit our ability to supply water in sufficient quality and quantities to our customers or collect and treat wastewater in accordance with standards prescribed by governmental regulators, including state utility commissions, and may harm our business, financial condition, and results of operations. Any business interruption or other losses might not be covered by insurance policies or be recoverable in rates, and such losses may make it difficult for us to secure insurance in the future at acceptable rates.</w:t>
      </w:r>
    </w:p>
    <w:p>
      <w:pPr>
        <w:pStyle w:val="TextBody"/>
        <w:bidi w:val="0"/>
        <w:spacing w:lineRule="auto" w:line="259"/>
        <w:rPr>
          <w:rFonts w:ascii="Times New Roman;serif" w:hAnsi="Times New Roman;serif"/>
          <w:b/>
          <w:i/>
          <w:sz w:val="22"/>
        </w:rPr>
      </w:pPr>
      <w:r>
        <w:rPr>
          <w:rFonts w:ascii="Times New Roman;serif" w:hAnsi="Times New Roman;serif"/>
          <w:b/>
          <w:i/>
          <w:sz w:val="22"/>
        </w:rPr>
        <w:t>Our facilities could be the target of a possible terrorist or other deliberate attack which could harm our business, financial condition and results of operations.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 addition to the potential contamination of our water supply or deliberate gas explosions as described in separate risk factors herein, we maintain security measures at our facilities and have heightened employee and public safety official awareness of potential threats to our utility systems. We have and will continue to bear increases in costs for security precautions to protect our facilities, operations, and supplies, most of which have been recoverable under state regulatory policies. While the costs of increases in security, including capital expenditures, may be significant, we expect these costs to continue to be recoverable in utility rates. Despite our security measures, we may not be in a position to control the outcome of terrorist events, or other attacks on our utility systems, should they occur. Such an event could harm our business, financial condition, and results of operations.</w:t>
      </w:r>
    </w:p>
    <w:p>
      <w:pPr>
        <w:pStyle w:val="TextBody"/>
        <w:bidi w:val="0"/>
        <w:spacing w:lineRule="auto" w:line="259"/>
        <w:rPr>
          <w:rFonts w:ascii="Times New Roman;serif" w:hAnsi="Times New Roman;serif"/>
          <w:b/>
          <w:i/>
          <w:sz w:val="22"/>
        </w:rPr>
      </w:pPr>
      <w:r>
        <w:rPr>
          <w:rFonts w:ascii="Times New Roman;serif" w:hAnsi="Times New Roman;serif"/>
          <w:b/>
          <w:i/>
          <w:sz w:val="22"/>
        </w:rPr>
        <w:t>We are increasingly dependent on the continuous and reliable operation of our information technology systems, including those of our third-party vendors, and a disruption of these systems, resulting from cybersecurity attacks, risks associated with new systems implementation or integration, or other events, could harm our business.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We rely on our information technology systems, including those of our third-party vendors, in connection with the operation of our business, especially with respect to customer service and billing, accounting and, in some cases, the monitoring and operation of our treatment, storage and pumping facilities, and our natural gas pipelines. In addition, we rely on our systems to track our utility assets and to manage maintenance and construction projects, materials and supplies, and our human resource functions. A loss of these systems, or major problems with the operation of these systems, could harm our business, financial condition, and results of operations. We could also be adversely affected by system or network disruptions if new or upgraded information technology systems are defective, not installed properly, or not properly integrated into operations. In addition, our information technology systems may be vulnerable to damage or interruption from the following types of cybersecurity attacks or other events: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power loss, computer systems failures, and internet, telecommunications or data network failures;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operator negligence or improper operation by, or supervision of, employees;</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before="0" w:after="100"/>
        <w:rPr>
          <w:caps w:val="false"/>
          <w:smallCaps w:val="false"/>
        </w:rPr>
      </w:pPr>
      <w:r>
        <w:rPr>
          <w:caps w:val="false"/>
          <w:smallCaps w:val="false"/>
        </w:rPr>
        <w:t>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physical and electronic loss of data;</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computer viruses, cybersecurity attacks, intentional security breaches, hacking, denial of service actions, misappropriation of data and similar events;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difficulties in the implementation of upgrades or modification to our information technology systems; and</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hurricanes, fires, floods, earthquakes and other natural disasters.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Although we do not believe that our systems are at a materially greater risk of cybersecurity attacks than other similar organizations, our information technology systems may be vulnerable to damage or interruption from the types of cybersecurity attacks or other events listed above or other similar actions, and such incidents may go undetected for a period of time. Such cybersecurity attacks or other events may result in: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the loss or compromise of customer, financial, employee, or operational data;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disruption of billing, collections, payments, or normal field service activities;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disruption of electronic monitoring and control of operational systems;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delays in financial reporting and other normal management functions; and</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disruption in normal system operations.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Possible impacts associated with a cybersecurity attack or other events may include: remediation costs related to lost, stolen, or compromised data; repairs to data processing or physical systems; increased cybersecurity protection costs; adverse effects on our compliance with regulatory and environmental laws and regulation, including standards for drinking water; litigation; loss of revenue; and reputational damage. We maintain insurance to help defray costs associated with cybersecurity attacks or other events, but we cannot provide assurance that such insurance will provide coverage for any particular type of incident or event or that such insurance will be adequate, and losses incurred may make it difficult for us to secure insurance in the future at acceptable rates.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We have a cybersecurity controls framework in place. We monitor our control effectiveness in an increasing threat landscape and continuously take action to improve our security posture. We cannot assure you that, despite such measures, a form of system failure or data security breach will not have a material adverse effect on our financial condition and results of operations.</w:t>
      </w:r>
    </w:p>
    <w:p>
      <w:pPr>
        <w:pStyle w:val="TextBody"/>
        <w:bidi w:val="0"/>
        <w:spacing w:lineRule="auto" w:line="259"/>
        <w:rPr>
          <w:rFonts w:ascii="Times New Roman;serif" w:hAnsi="Times New Roman;serif"/>
          <w:b/>
          <w:i/>
          <w:sz w:val="22"/>
        </w:rPr>
      </w:pPr>
      <w:r>
        <w:rPr>
          <w:rFonts w:ascii="Times New Roman;serif" w:hAnsi="Times New Roman;serif"/>
          <w:b/>
          <w:i/>
          <w:sz w:val="22"/>
        </w:rPr>
        <w:t>Our business is impacted by weather conditions and is subject to seasonal fluctuations, which could harm demand for water and natural gas services and our business, financial condition, and results of operations.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Demand for our water during the warmer months is generally greater than during cooler months due primarily to additional requirements for water in connection with irrigation systems, swimming pools, cooling systems, and other outside water use. Throughout the year, and particularly during typically warmer months, demand will vary with temperature, rainfall levels, and rainfall frequency. In the event that temperatures during the typically warmer months are cooler than normal, if there is more rainfall than normal, or rainfall is more frequent than normal, the demand for our water may decrease and harm our business, financial condition, and results of operations. In Illinois, our operating subsidiary has adopted a revenue stability mechanism which allows us to recognize state public utility commission (PUC) authorized revenue for a period which is not based upon the volume of water sold during that period, and effectively reduces the impact of weather and consumption variability.</w:t>
      </w:r>
    </w:p>
    <w:p>
      <w:pPr>
        <w:pStyle w:val="TextBody"/>
        <w:bidi w:val="0"/>
        <w:spacing w:lineRule="auto" w:line="259"/>
        <w:rPr>
          <w:rFonts w:ascii="Times New Roman;serif" w:hAnsi="Times New Roman;serif"/>
          <w:b w:val="false"/>
          <w:i w:val="false"/>
          <w:caps w:val="false"/>
          <w:smallCaps w:val="false"/>
          <w:color w:val="212529"/>
          <w:sz w:val="22"/>
          <w:shd w:fill="FFFFFF" w:val="clear"/>
        </w:rPr>
      </w:pPr>
      <w:r>
        <w:rPr>
          <w:rFonts w:ascii="Times New Roman;serif" w:hAnsi="Times New Roman;serif"/>
          <w:b w:val="false"/>
          <w:i w:val="false"/>
          <w:caps w:val="false"/>
          <w:smallCaps w:val="false"/>
          <w:color w:val="212529"/>
          <w:sz w:val="22"/>
          <w:shd w:fill="FFFFFF" w:val="clear"/>
        </w:rPr>
        <w:t xml:space="preserve">Peoples’ revenues are seasonal and temperature sensitive and vary from year-to-year, depending on weather conditions, with a substantial portion of Peoples’ revenue occurring in the first and fourth quarters of the year due to colder temperatures and increased heating needs. In 2024, this amounted to 73%, for the first and fourth quarters. This has the effect of reducing our quarterly revenues in the spring and summer months. In addition, warmer-than-normal-weather conditions can decrease the amount of natural gas Peoples sells in any year, which could adversely affect our business, financial condition, and results of operations. Finally, significantly colder-than-normal weather conditions can materially increase natural gas usage, resulting in challenges for our operations and our ability to serve our customers. Effective October 2024, the weather impact on cash flow is mitigated by a weather normalization adjustment (“WNA”) in Peoples’ Pennsylvania rate jurisdiction. This mechanism is designed to help stabilize collection of fixed costs by adjusting customer billings based on temperature variances from average weather.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i/>
          <w:sz w:val="22"/>
        </w:rPr>
      </w:pPr>
      <w:r>
        <w:rPr>
          <w:rFonts w:ascii="Times New Roman;serif" w:hAnsi="Times New Roman;serif"/>
          <w:b/>
          <w:i/>
          <w:sz w:val="22"/>
        </w:rPr>
        <w:t xml:space="preserve">Decreased residential customer water and natural gas usage as a result of conservation efforts, and the impact of more efficient appliances and furnaces, may harm demand for our utility services and may reduce our revenues and earnings.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There has been a general decline in water usage per residential customer as a result of an increase in conservation awareness, and the impact of an increased use of more efficient plumbing fixtures and appliances. These gradual, long-term changes are normally taken into account by the utility commissions in setting rates, whereas short-term changes in water usage, if significant, may not be fully reflected in the rates we charge. We are dependent upon the revenue generated from rates charged to our residential customers for the volume of water used. If we are unable to obtain future rate increases to offset decreased residential customer water consumption to cover our investments, expenses, and return for which we initially sought the rate increase, our business, financial condition, and results of operations may be harmed.</w:t>
      </w:r>
    </w:p>
    <w:p>
      <w:pPr>
        <w:pStyle w:val="TextBody"/>
        <w:bidi w:val="0"/>
        <w:spacing w:lineRule="auto" w:line="259"/>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 addition, over time, average customer gas consumption has declined, as more energy efficient appliances and furnaces have been installed, and conservation programs have been implemented. If we are unable to compete effectively or if customers further reduce their gas needs, we may lose existing customers, sell less gas to our customers and/or fail to acquire new customers, which could have a material adverse effect on our business, financial condition, and results of operations.</w:t>
      </w:r>
    </w:p>
    <w:p>
      <w:pPr>
        <w:pStyle w:val="TextBody"/>
        <w:bidi w:val="0"/>
        <w:spacing w:lineRule="auto" w:line="259"/>
        <w:rPr>
          <w:rFonts w:ascii="Times New Roman;serif" w:hAnsi="Times New Roman;serif"/>
          <w:b/>
          <w:i/>
          <w:sz w:val="22"/>
        </w:rPr>
      </w:pPr>
      <w:r>
        <w:rPr>
          <w:rFonts w:ascii="Times New Roman;serif" w:hAnsi="Times New Roman;serif"/>
          <w:b/>
          <w:i/>
          <w:sz w:val="22"/>
        </w:rPr>
        <w:t>Drought conditions and government-imposed water use restrictions may impact our ability to serve our current and future customers, and may impact our customers’ use of our water, which may harm our business, financial condition, and results of operations.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We depend on an adequate water supply to meet the present and future demands of our customers. Drought conditions could interfere with our sources of water supply and could harm our ability to supply water in sufficient quantities to our existing and future customers. An interruption in our water supply could harm our business, financial condition, and results of operations. Moreover, governmental restrictions on water usage during drought conditions may result in a decreased demand for our water, even if our water supplies are sufficient to serve our customers during these drought conditions, which may harm our business, financial condition, and results of operations.</w:t>
      </w:r>
    </w:p>
    <w:p>
      <w:pPr>
        <w:pStyle w:val="TextBody"/>
        <w:bidi w:val="0"/>
        <w:spacing w:lineRule="auto" w:line="259"/>
        <w:rPr>
          <w:rFonts w:ascii="Times New Roman;serif" w:hAnsi="Times New Roman;serif"/>
          <w:b/>
          <w:i/>
          <w:sz w:val="22"/>
        </w:rPr>
      </w:pPr>
      <w:r>
        <w:rPr>
          <w:rFonts w:ascii="Times New Roman;serif" w:hAnsi="Times New Roman;serif"/>
          <w:b/>
          <w:i/>
          <w:sz w:val="22"/>
        </w:rPr>
        <w:t xml:space="preserve">The failure of, or the requirement to repair, upgrade or dismantle any of our dams or reservoirs may harm our business, financial condition, and results of operations.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Several of our water systems include impounding dams and reservoirs of various sizes. Although we believe our dam review program, which includes regular inspections and other engineering studies, will ensure our dams are structurally sound and well-maintained, the failure of a dam could result in significant downstream damage and could result in claims for property damage or for injuries or fatalities. We periodically inspect our dams and purchase liability insurance to cover such risks, but depending on the nature of the downstream damage and cause of the failure, the policy limits of insurance coverage may not be sufficient, and losses incurred may make it difficult for us to secure insurance in the future at acceptable rates. A dam failure could also result in damage to, or disruption of, our water treatment and pumping facilities that are often located downstream from our dams and reservoirs. Significant damage to these facilities, or a significant decline in the storage of the raw water impoundment, could affect our ability to provide water to our customers until the facilities and a sufficient raw water impoundment can be restored. The estimated costs to maintain our dams are included in our capital budget projections and, although such costs to date have been recoverable in rates, there can be no assurance that rate increases will be granted in a timely or sufficient manner to recover such costs in the future, if at all.</w:t>
      </w:r>
      <w:r>
        <w:rPr>
          <w:rFonts w:ascii="Times New Roman;serif" w:hAnsi="Times New Roman;serif"/>
          <w:sz w:val="22"/>
        </w:rPr>
        <w:t xml:space="preserve"> </w:t>
      </w:r>
    </w:p>
    <w:p>
      <w:pPr>
        <w:pStyle w:val="TextBody"/>
        <w:bidi w:val="0"/>
        <w:spacing w:lineRule="auto" w:line="259"/>
        <w:rPr>
          <w:rFonts w:ascii="Times New Roman;serif" w:hAnsi="Times New Roman;serif"/>
          <w:b/>
          <w:i/>
          <w:sz w:val="22"/>
        </w:rPr>
      </w:pPr>
      <w:r>
        <w:rPr>
          <w:rFonts w:ascii="Times New Roman;serif" w:hAnsi="Times New Roman;serif"/>
          <w:b/>
          <w:i/>
          <w:sz w:val="22"/>
        </w:rPr>
        <w:t>Our operations are geographically concentrated in Pennsylvania, which make us susceptible to risks affecting Pennsylvania.</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Although we operate water, wastewater, and natural gas utility infrastructure in a number of states, our operations are concentrated in Pennsylvania. As a result, our financial results are largely subject to political, resource supply, labor, utility cost and regulatory risks, economic conditions, natural disasters, and other risks affecting Pennsylvania.</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i/>
          <w:sz w:val="22"/>
        </w:rPr>
      </w:pPr>
      <w:r>
        <w:rPr>
          <w:rFonts w:ascii="Times New Roman;serif" w:hAnsi="Times New Roman;serif"/>
          <w:b/>
          <w:i/>
          <w:sz w:val="22"/>
        </w:rPr>
        <w:t>Federal and state environmental laws and regulations impose substantial compliance requirements on our operations. Our operating costs could be significantly increased in order to comply with new or stricter regulatory standards imposed by federal and state environmental agencies.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Our water, wastewater, and natural gas services are governed by various federal and state environmental protection and health and safety laws and regulations, including the federal Safe Drinking Water Act, the Clean Water Act, Clean Air Act, Resource Conservation and Recovery Act and similar state laws, and federal and state regulations issued under these laws by the EPA and state environmental regulatory agencies. These laws and regulations establish, among other things, criteria and standards for drinking water and for discharges into the waters of the U.S. as well as dam safety, air emissions, and residuals management. Pursuant to these laws, we are required to obtain various environmental permits from environmental regulatory agencies for our operations. The Company routinely seeks to acquire wastewater systems, some of which may have combined wastewater and stormwater systems which may overflow and be subject to increased regulation by the U.S. EPA. We cannot assure you that we will be at all times in total compliance with these laws, regulations and permits. If we fail to comply with these laws, regulations, or permits, we could be fined or otherwise sanctioned by regulators and such noncompliance could result in civil suits. Environmental laws and regulations are complex and change frequently. These laws, and the enforcement thereof, have tended to become more stringent over time. While we have budgeted for future capital and operating expenditures to comply with these laws and our permits, it is possible that new or stricter standards could be imposed that will require additional capital expenditures or raise our operating costs. Although these expenditures and costs may be recovered in the form of higher rates, there can be no assurance that the various state utility commissions that regulate our business would approve rate increases to enable us to recover such expenditures and costs. In summary, we cannot assure you that our costs of complying with, current and future environmental and health and safety laws will not harm our business, financial condition, and results of operations.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Additionally, the discovery of presently unknown environmental conditions, including former manufactured gas plant sites, and claims under environmental laws and regulations may result in expenditures and liabilities, which could be material, and could materially harm our business, financial condition and results of operations. </w:t>
      </w:r>
    </w:p>
    <w:p>
      <w:pPr>
        <w:pStyle w:val="TextBody"/>
        <w:bidi w:val="0"/>
        <w:spacing w:lineRule="auto" w:line="259"/>
        <w:ind w:left="0" w:right="0" w:hanging="0"/>
        <w:rPr>
          <w:rFonts w:ascii="Times New Roman;serif" w:hAnsi="Times New Roman;serif"/>
          <w:b/>
          <w:i/>
          <w:sz w:val="22"/>
        </w:rPr>
      </w:pPr>
      <w:r>
        <w:rPr>
          <w:rFonts w:ascii="Times New Roman;serif" w:hAnsi="Times New Roman;serif"/>
          <w:b/>
          <w:i/>
          <w:sz w:val="22"/>
        </w:rPr>
        <w:t xml:space="preserve">Our water or wastewater utility systems may be subject to condemnations or other methods of taking by governmental entities.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the states where our subsidiaries operate water or wastewater utility systems, it is possible that portions of our subsidiaries’ operations could be acquired by municipal governments by one or more of the following methods: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eminent domain;</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the right of purchase given to or reserved by a municipality or political subdivision when the original franchise was granted; and</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the right of purchase given or reserved under the law of the state in which the subsidiary was incorporated or from which it received its permit.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price to be paid upon such an acquisition by the municipal government is usually determined in accordance with applicable law under eminent domain. In other instances, the price may be negotiated, fixed by appraisers selected by the parties, or computed in accordance with a formula prescribed in the law of the state or in the particular franchise or charter. We believe that our operating subsidiaries would be entitled to receive fair market value for any assets that are condemned. However, there is no assurance that the fair market value received for assets condemned would be in excess of book value.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 a very small number of instances, in one of our southern states where there are municipally-owned water or wastewater systems near our operating divisions, the municipally-owned system may either have water distribution or wastewater collection mains that are located adjacent to our division's mains or may construct new mains that parallel our mains.  In these circumstances, on occasion, the municipally-owned system may attempt to offer service to customers who are connected to our mains, resulting in our mains becoming surplus or underutilized without compensation.</w:t>
      </w:r>
    </w:p>
    <w:p>
      <w:pPr>
        <w:pStyle w:val="TextBody"/>
        <w:bidi w:val="0"/>
        <w:spacing w:lineRule="auto" w:line="259"/>
        <w:ind w:left="0" w:right="0" w:hanging="0"/>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i/>
          <w:sz w:val="22"/>
        </w:rPr>
      </w:pPr>
      <w:r>
        <w:rPr>
          <w:rFonts w:ascii="Times New Roman;serif" w:hAnsi="Times New Roman;serif"/>
          <w:b/>
          <w:i/>
          <w:sz w:val="22"/>
        </w:rPr>
        <w:t>The final determination of our income tax liability may be materially different from our income tax provision.</w:t>
      </w:r>
    </w:p>
    <w:p>
      <w:pPr>
        <w:pStyle w:val="TextBody"/>
        <w:bidi w:val="0"/>
        <w:spacing w:lineRule="auto" w:line="259"/>
        <w:rPr>
          <w:rFonts w:ascii="Times New Roman;serif" w:hAnsi="Times New Roman;serif"/>
          <w:b w:val="false"/>
          <w:i w:val="false"/>
          <w:caps w:val="false"/>
          <w:smallCaps w:val="false"/>
          <w:spacing w:val="0"/>
          <w:sz w:val="22"/>
        </w:rPr>
      </w:pPr>
      <w:r>
        <w:rPr>
          <w:rFonts w:ascii="Times New Roman;serif" w:hAnsi="Times New Roman;serif"/>
          <w:b w:val="false"/>
          <w:i w:val="false"/>
          <w:caps w:val="false"/>
          <w:smallCaps w:val="false"/>
          <w:spacing w:val="0"/>
          <w:sz w:val="22"/>
        </w:rPr>
        <w:t xml:space="preserve">Significant judgment is required in determining our provision for income taxes. Our calculation of the provision for income taxes is subject to our interpretation of applicable business tax laws in the jurisdictions in which we file. In addition, our income tax returns are subject to periodic examination by the Internal Revenue Service and other taxing authorities. Some of our subsidiaries use a tax method of accounting that permits the expensing of qualifying utility asset improvement costs that were previously being capitalized and depreciated for tax purposes. Our determination of what qualifies as a capital cost versus a tax deduction for utility asset improvements is subject to subsequent adjustment and may impact the income tax benefits that have been recognized.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Although we believe our income tax estimates, including any tax reserves for uncertain tax positions or valuation allowances on deferred tax assets are appropriate, there is no assurance that the final determination of our income tax liability will not be materially different; either higher or lower, from what is reflected in our income tax provision. In the event we are assessed additional income taxes, our business, financial condition, and results of operations could be harmed.</w:t>
      </w:r>
    </w:p>
    <w:p>
      <w:pPr>
        <w:pStyle w:val="TextBody"/>
        <w:bidi w:val="0"/>
        <w:spacing w:lineRule="auto" w:line="259"/>
        <w:rPr>
          <w:rFonts w:ascii="Times New Roman;serif" w:hAnsi="Times New Roman;serif"/>
          <w:b/>
          <w:i/>
          <w:sz w:val="22"/>
        </w:rPr>
      </w:pPr>
      <w:r>
        <w:rPr>
          <w:rFonts w:ascii="Times New Roman;serif" w:hAnsi="Times New Roman;serif"/>
          <w:b/>
          <w:i/>
          <w:sz w:val="22"/>
        </w:rPr>
        <w:t>Wastewater operations entail significant risks and may impose significant costs.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Wastewater collection and treatment involve various unique risks. If collection or treatment systems fail or do not operate properly, or if there is a spill, untreated or partially treated wastewater could discharge onto property or into nearby streams and rivers, causing various damages and injuries, including environmental damage. These risks are most acute during periods of substantial rainfall or flooding, which are the main causes of wastewater overflow and system failure. Liabilities resulting from such damages and injuries could harm our business, financial condition, and results of operations. </w:t>
      </w:r>
    </w:p>
    <w:p>
      <w:pPr>
        <w:pStyle w:val="TextBody"/>
        <w:bidi w:val="0"/>
        <w:spacing w:lineRule="auto" w:line="259"/>
        <w:rPr>
          <w:rFonts w:ascii="Times New Roman;serif" w:hAnsi="Times New Roman;serif"/>
          <w:b/>
          <w:i/>
          <w:sz w:val="22"/>
        </w:rPr>
      </w:pPr>
      <w:r>
        <w:rPr>
          <w:rFonts w:ascii="Times New Roman;serif" w:hAnsi="Times New Roman;serif"/>
          <w:b/>
          <w:i/>
          <w:sz w:val="22"/>
        </w:rPr>
        <w:t>Work stoppages and other labor relations matters could harm our operating results.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Approximately 50% of our Regulated Water and Regulated Natural Gas segments’ workforce is unionized under 23 labor contracts with labor unions, which expire at various times up until 2028. In light of rising costs for healthcare and retirement benefits, contract negotiations in the future may be difficult. We are subject to a risk of work stoppages and other labor actions as we negotiate with the unions to address these issues, which could harm our business, financial condition, and results of operations. We cannot assure you that issues with our labor forces will be resolved favorably to us in the future or that we will not experience work stoppages.</w:t>
      </w:r>
    </w:p>
    <w:p>
      <w:pPr>
        <w:pStyle w:val="TextBody"/>
        <w:shd w:fill="FFFFFF" w:val="clear"/>
        <w:bidi w:val="0"/>
        <w:spacing w:lineRule="auto" w:line="259"/>
        <w:rPr>
          <w:rFonts w:ascii="Times New Roman;serif" w:hAnsi="Times New Roman;serif"/>
          <w:b/>
          <w:i/>
          <w:color w:val="212529"/>
          <w:sz w:val="22"/>
        </w:rPr>
      </w:pPr>
      <w:r>
        <w:rPr>
          <w:rFonts w:ascii="Times New Roman;serif" w:hAnsi="Times New Roman;serif"/>
          <w:b/>
          <w:i/>
          <w:color w:val="212529"/>
          <w:sz w:val="22"/>
        </w:rPr>
        <w:t>Workforce-related risks may affect our results of operations.</w:t>
      </w:r>
    </w:p>
    <w:p>
      <w:pPr>
        <w:pStyle w:val="TextBody"/>
        <w:bidi w:val="0"/>
        <w:spacing w:lineRule="auto" w:line="259"/>
        <w:rPr>
          <w:rFonts w:ascii="Times New Roman;serif" w:hAnsi="Times New Roman;serif"/>
          <w:b w:val="false"/>
          <w:i w:val="false"/>
          <w:caps w:val="false"/>
          <w:smallCaps w:val="false"/>
          <w:color w:val="212529"/>
          <w:sz w:val="22"/>
        </w:rPr>
      </w:pPr>
      <w:r>
        <w:rPr>
          <w:rFonts w:ascii="Times New Roman;serif" w:hAnsi="Times New Roman;serif"/>
          <w:b w:val="false"/>
          <w:i w:val="false"/>
          <w:caps w:val="false"/>
          <w:smallCaps w:val="false"/>
          <w:color w:val="212529"/>
          <w:sz w:val="22"/>
        </w:rPr>
        <w:t>We are subject to various workforce-related risks, including the risk that we will be unable to attract and retain qualified personnel for our water, wastewater, and natural gas operations, that we will be unable to effectively transfer the knowledge and expertise of an aging workforce to new personnel as those workers retire, and that we will be unable to reach collective bargaining arrangements with the unions that represent certain of our workers, which could result in work stoppages. Additionally, we rely on outside resources to supplement our workforce, including construction crews which are key to our infrastructure replacement program. We face the same risks associated with these outside resources as we do with our own workforce. As a result, we may be unable to hire or retain an adequate number of individuals who are knowledgeable about public utilities, water or the natural gas industry or face a lengthy time period associated with skill development and knowledge transfer. Failure to address these risks may result in increased operational and safety risks as well as increased costs. Even with reasonable plans in place to address succession planning and workforce training, we cannot control the future availability of qualified labor. If we are unable to successfully attract and retain an appropriately qualified workforce, it could adversely affect our financial condition and results of operations.</w:t>
      </w:r>
    </w:p>
    <w:p>
      <w:pPr>
        <w:pStyle w:val="TextBody"/>
        <w:bidi w:val="0"/>
        <w:spacing w:lineRule="auto" w:line="259"/>
        <w:rPr>
          <w:rFonts w:ascii="Times New Roman;serif" w:hAnsi="Times New Roman;serif"/>
          <w:b/>
          <w:i/>
          <w:sz w:val="22"/>
        </w:rPr>
      </w:pPr>
      <w:r>
        <w:rPr>
          <w:rFonts w:ascii="Times New Roman;serif" w:hAnsi="Times New Roman;serif"/>
          <w:b/>
          <w:i/>
          <w:sz w:val="22"/>
        </w:rPr>
        <w:t>Significant or prolonged disruptions in the supply of important goods or services from third parties could harm our business, financial condition, and results of operations.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are dependent on a continuing flow of important goods and services from suppliers for our businesses. A disruption or prolonged delays in obtaining important supplies or services, such as maintenance services, purchased water, chemicals, utility pipe, valves, hydrants, electricity, or other materials, could harm our utility services and our ability to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operate in compliance with all regulatory requirements, which could harm our business, financial condition, and results of operations. In some circumstances, we rely on third parties to provide important services (such as customer bill print and mail activities, payment processing, or utility service operations in some of our divisions) and a disruption in these services could harm our business, financial condition, and results of operations. Some possible reasons for a delay or disruption in the supply of important goods and services include:</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our suppliers may not provide materials that meet our specifications in sufficient quantities;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our suppliers may provide us with water that does not meet applicable quality standards or is contaminated;</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our suppliers may provide us with natural gas not meeting quality standards or is of insufficient volume or pressure;</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our suppliers may face production or shipping delays due to public health threats, natural disasters, strikes, lock-outs, geopolitical or trade disputes, or other such actions;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one or more suppliers could make strategic changes in the lines of products and services they offer; and</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some of our suppliers, such as small companies, may be more likely to experience financial and operational difficulties than larger, well-established companies, because of their limited financial and other resources;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proposed tariffs could result in supply chain disruptions.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As a result of any of these factors, we may be required to find alternative suppliers for the materials and services on which we rely. Accordingly, we may experience delays in obtaining appropriate materials and services on a timely basis and in sufficient quantities from such alternative suppliers at a reasonable price, which could interrupt services to our customers and harm our business, financial condition, and results of operations.</w:t>
      </w:r>
    </w:p>
    <w:p>
      <w:pPr>
        <w:pStyle w:val="TextBody"/>
        <w:bidi w:val="0"/>
        <w:spacing w:lineRule="auto" w:line="259"/>
        <w:rPr>
          <w:rFonts w:ascii="Times New Roman;serif" w:hAnsi="Times New Roman;serif"/>
          <w:b/>
          <w:i/>
          <w:spacing w:val="0"/>
          <w:sz w:val="22"/>
        </w:rPr>
      </w:pPr>
      <w:r>
        <w:rPr>
          <w:rFonts w:ascii="Times New Roman;serif" w:hAnsi="Times New Roman;serif"/>
          <w:b/>
          <w:i/>
          <w:spacing w:val="0"/>
          <w:sz w:val="22"/>
        </w:rPr>
        <w:t>We depend significantly on the services of the members of our management team, and the departure of any of those persons could cause our operating results to suffer.</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Our success depends significantly on the continued individual and collective contributions of our management team. The loss of the services of any member of our management team or the inability to hire and retain experienced management personnel could harm our business, financial condition, and results of operations.</w:t>
      </w:r>
    </w:p>
    <w:p>
      <w:pPr>
        <w:pStyle w:val="TextBody"/>
        <w:bidi w:val="0"/>
        <w:spacing w:lineRule="auto" w:line="259"/>
        <w:ind w:left="0" w:right="0" w:hanging="0"/>
        <w:rPr>
          <w:rFonts w:ascii="Times New Roman;serif" w:hAnsi="Times New Roman;serif"/>
          <w:b/>
          <w:i/>
          <w:sz w:val="22"/>
        </w:rPr>
      </w:pPr>
      <w:r>
        <w:rPr>
          <w:rFonts w:ascii="Times New Roman;serif" w:hAnsi="Times New Roman;serif"/>
          <w:b/>
          <w:i/>
          <w:sz w:val="22"/>
        </w:rPr>
        <w:t>We may incur significant costs and liabilities resulting from pipeline integrity and other similar programs and related repairs.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Certain of Peoples’ pipeline operations are subject to pipeline safety laws and regulations. The Department of Transportation’s Pipeline and Hazardous Materials Safety Administration has adopted regulations requiring pipeline operators to develop integrity management programs, including more frequent inspections and other measures, for transmission pipelines located in “high consequence areas,” which are those areas where a leak or rupture could do the most harm. The regulations require pipeline operators, including Peoples, to, among other things: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perform ongoing assessments of pipeline integrity;</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sz w:val="22"/>
        </w:rPr>
        <w:t>develop a baseline plan to prioritize the assessment of a covered pipeline segment;</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identify and characterize applicable threats that could impact a high consequence area;</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improve data collection, integration, and analysis;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develop processes for performance management, record keeping, management of change and communication;</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repair and remediate pipelines as necessary; and</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implement preventative and mitigating action.</w:t>
      </w:r>
    </w:p>
    <w:p>
      <w:pPr>
        <w:pStyle w:val="TextBody"/>
        <w:bidi w:val="0"/>
        <w:spacing w:lineRule="auto" w:line="259"/>
        <w:ind w:left="360" w:right="0" w:hanging="0"/>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We are required to maintain pipeline integrity testing programs that are intended to assess pipeline integrity. Peoples is also required to establish and maintain a Distribution Integrity Management Program for all distribution assets. This program requires protocols for identifying risks and threats to the distribution systems. The program incorporates a relative risk model to measure risk reduction to these threats. Any repair, remediation, preventative or mitigating actions may require significant capital and operating expenditures. Should we fail to comply with applicable statutes and related rules, regulations and orders, we could be subject to significant penalties and fines.</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i/>
          <w:sz w:val="22"/>
        </w:rPr>
      </w:pPr>
      <w:r>
        <w:rPr>
          <w:rFonts w:ascii="Times New Roman;serif" w:hAnsi="Times New Roman;serif"/>
          <w:b/>
          <w:i/>
          <w:sz w:val="22"/>
        </w:rPr>
        <w:t>Our liquidity and, in certain circumstances, results of operations may be adversely affected by the cost of purchasing natural gas during periods in which natural gas prices are rising significantly.</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Peoples’ regulated companies purchase their natural gas supply primarily through a combination of requirements contracts, some of which contain minimum purchase obligations, monthly spot purchase contracts, and forward purchase contracts. The price paid for natural gas acquired under forward purchase contracts is fixed prior to the delivery of the natural gas. Additionally, a portion of natural gas purchases is injected into natural gas storage facilities in the non-heating months and withdrawn from storage for delivery to customers during the heating months.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Our short-term borrowing requirements and liquidity are also significantly affected by the seasonal nature of the natural gas business. Extreme weather events, geopolitical forces, or regulatory policy changes, and the amount of natural gas needed to supply customers’ needs due to, for example, colder than expected seasonal temperatures, could significantly affect the price and amount of natural gas we are required to purchase and the timing of such purchases, and, in turn, affect our borrowing requirements and liquidity position. If we fail to secure sufficient natural gas supplies at appropriate prices (due to, for example, more extreme winter conditions), we may be required to purchase additional natural gas supplies or purchase natural gas at elevated prices, which could adversely affect our borrowing levels, liquidity, and financial condition.</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Peoples’ tariff rate schedules contain Purchased Gas Adjustment (PGA) clauses that permit filings for rate adjustments to recover the cost of purchased gas. Subject to regulatory approval, as described below, changes in the cost of purchased gas are flowed through to customers and may affect uncollectible amounts and cash flows and can therefore impact our financial condition and results of operations.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state regulatory commissions approve the PGA changes on an interim basis, subject to refund and the outcome of a subsequent audit and prudence review. Due to such review process, there is a risk of a disallowance of full recovery of these costs. We are also subject to regulations and standards regarding the amount of lost and unaccounted for gas that may be recovered from customers. Any material disallowance of purchased gas costs would adversely affect our financial condition and results of operations.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Increases in the prices that we charge for gas may also adversely affect our business because increased prices could lead customers to reduce usage and cause some customers to have difficulty paying the resulting higher bills. These higher prices may increase bad debt expenses and ultimately reduce earnings. Additionally, rapid increases in the price of purchased gas may result in an increase in short-term debt.</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Our non-regulated natural gas operations purchase natural gas utilizing a combination of requirements contracts, some of which contain minimum purchase obligations, monthly spot purchase contracts, and forward purchase contracts. Although price risk for the non-regulated companies is mitigated to a degree by efforts aimed at balancing supply and demand, there are practical limitations on the ability to accurately predict demand, and any failure to do so could adversely affect our financial condition and results of operations.</w:t>
      </w:r>
    </w:p>
    <w:p>
      <w:pPr>
        <w:pStyle w:val="TextBody"/>
        <w:bidi w:val="0"/>
        <w:spacing w:lineRule="auto" w:line="259"/>
        <w:rPr>
          <w:rFonts w:ascii="Times New Roman;serif" w:hAnsi="Times New Roman;serif"/>
          <w:b/>
          <w:i/>
          <w:sz w:val="22"/>
        </w:rPr>
      </w:pPr>
      <w:r>
        <w:rPr>
          <w:rFonts w:ascii="Times New Roman;serif" w:hAnsi="Times New Roman;serif"/>
          <w:b/>
          <w:i/>
          <w:sz w:val="22"/>
        </w:rPr>
        <w:t>An impairment in the carrying value of our goodwill could negatively impact our consolidated results of operations and net worth.</w:t>
      </w:r>
    </w:p>
    <w:p>
      <w:pPr>
        <w:pStyle w:val="TextBody"/>
        <w:bidi w:val="0"/>
        <w:spacing w:lineRule="auto" w:line="259"/>
        <w:ind w:left="0" w:right="0" w:hanging="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We have significant amounts of goodwill resulting from the acquisition of utility systems and businesses. As of December 31, 2024, the net carrying value of goodwill amounted to $2,340,713,000 or 13.0% of our total assets. Of the balance, $2,277,447,000 relates to our Regulated Natural Gas reporting unit. Goodwill is initially recorded at fair value, not amortized and reviewed for impairment at least annually or more frequently if impairment indicators arise. Indicators that are considered significant include changes in performance relative to expected operating results, significant negative industry or economic trends, including rising interest rates, or a significant decline in our stock price and/or market capitalization for a sustained period of time. If certain factors arise, we may be required to record a significant non-cash charge to earnings in our consolidated financial statements during the period in which an impairment of our goodwill is determined. Any such non-cash charge could have a material adverse impact on our results of operations and stockholders’ equity.</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i/>
          <w:sz w:val="22"/>
        </w:rPr>
      </w:pPr>
      <w:r>
        <w:rPr>
          <w:rFonts w:ascii="Times New Roman;serif" w:hAnsi="Times New Roman;serif"/>
          <w:b/>
          <w:i/>
          <w:sz w:val="22"/>
        </w:rPr>
        <w:t>Risks Related to Health and Safety and Environmental Concerns</w:t>
      </w:r>
    </w:p>
    <w:p>
      <w:pPr>
        <w:pStyle w:val="TextBody"/>
        <w:bidi w:val="0"/>
        <w:spacing w:lineRule="auto" w:line="259"/>
        <w:rPr>
          <w:rFonts w:ascii="Times New Roman;serif" w:hAnsi="Times New Roman;serif"/>
          <w:sz w:val="22"/>
        </w:rPr>
      </w:pPr>
      <w:bookmarkStart w:id="6" w:name="_Hlk33625108"/>
      <w:bookmarkEnd w:id="6"/>
      <w:r>
        <w:rPr>
          <w:rFonts w:ascii="Times New Roman;serif" w:hAnsi="Times New Roman;serif"/>
          <w:b/>
          <w:i/>
          <w:sz w:val="22"/>
        </w:rPr>
        <w:t>Worsening weather conditions, natural disasters, public health threats, or other catastrophic events,</w:t>
      </w:r>
      <w:r>
        <w:rPr>
          <w:rFonts w:ascii="Times New Roman;serif" w:hAnsi="Times New Roman;serif"/>
          <w:color w:val="000000"/>
          <w:sz w:val="22"/>
        </w:rPr>
        <w:t xml:space="preserve"> </w:t>
      </w:r>
      <w:r>
        <w:rPr>
          <w:rFonts w:ascii="Times New Roman;serif" w:hAnsi="Times New Roman;serif"/>
          <w:b/>
          <w:i/>
          <w:color w:val="000000"/>
          <w:sz w:val="22"/>
        </w:rPr>
        <w:t xml:space="preserve">could negatively affect our business, </w:t>
      </w:r>
      <w:r>
        <w:rPr>
          <w:rFonts w:ascii="Times New Roman;serif" w:hAnsi="Times New Roman;serif"/>
          <w:b/>
          <w:i/>
          <w:color w:val="212529"/>
          <w:sz w:val="22"/>
          <w:shd w:fill="FFFFFF" w:val="clear"/>
        </w:rPr>
        <w:t>outlook, financial condition, results of operations and liquidity</w:t>
      </w:r>
      <w:r>
        <w:rPr>
          <w:rFonts w:ascii="Times New Roman;serif" w:hAnsi="Times New Roman;serif"/>
          <w:b/>
          <w:i/>
          <w:color w:val="000000"/>
          <w:sz w:val="22"/>
        </w:rPr>
        <w:t>.</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issue of climate change is receiving ever increasing attention worldwide. Many climate change predictions, if true, present several potential challenges to utilities, such as: increased frequency and duration of droughts, increased precipitation and flooding, potential degradation of water quality, and changes in demand for services. We maintain an ongoing facility planning process, and this planning or the enactment of new standards may result in the need for additional capital expenditures or raise our operating costs, including the cost of insurance. Because of the uncertainty of weather volatility related to climate change, we cannot predict its potential impact on our business, financial condition, or results of operations. </w:t>
      </w:r>
    </w:p>
    <w:p>
      <w:pPr>
        <w:pStyle w:val="TextBody"/>
        <w:bidi w:val="0"/>
        <w:spacing w:lineRule="auto" w:line="259"/>
        <w:rPr>
          <w:rFonts w:ascii="Times New Roman;serif" w:hAnsi="Times New Roman;serif"/>
          <w:sz w:val="22"/>
        </w:rPr>
      </w:pPr>
      <w:bookmarkStart w:id="7" w:name="_Hlk191015344"/>
      <w:bookmarkEnd w:id="7"/>
      <w:r>
        <w:rPr>
          <w:rFonts w:ascii="Times New Roman;serif" w:hAnsi="Times New Roman;serif"/>
          <w:b w:val="false"/>
          <w:i w:val="false"/>
          <w:caps w:val="false"/>
          <w:smallCaps w:val="false"/>
          <w:color w:val="212529"/>
          <w:sz w:val="22"/>
          <w:shd w:fill="FFFFFF" w:val="clear"/>
        </w:rPr>
        <w:t>Natural disasters, catastrophic events and public health threats could also, in the future, materially impact our business in numerous ways, including, but not limited to, those outlined below:</w:t>
      </w:r>
      <w:r>
        <w:rPr>
          <w:rFonts w:ascii="Times New Roman;serif" w:hAnsi="Times New Roman;serif"/>
          <w:caps w:val="false"/>
          <w:smallCaps w:val="false"/>
          <w:sz w:val="22"/>
        </w:rPr>
        <w:t xml:space="preserve">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color w:val="212529"/>
          <w:sz w:val="22"/>
          <w:shd w:fill="FFFFFF" w:val="clear"/>
        </w:rPr>
        <w:t>reduced demand from our commercial customers and shifts in demand for our regulated utility services;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color w:val="212529"/>
          <w:sz w:val="22"/>
          <w:shd w:fill="FFFFFF" w:val="clear"/>
        </w:rPr>
        <w:t>delay the timeliness of our service to customers because of shutdowns and/or illness and travel restrictions among our employees or employees of other companies on whom we rely;</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color w:val="212529"/>
          <w:sz w:val="22"/>
          <w:shd w:fill="FFFFFF" w:val="clear"/>
        </w:rPr>
        <w:t>negatively impact the financial condition of our customers and their ability to pay for our products and services, and our ability to disconnect service for non-payment may be limited, and state regulators may impose bill deferral programs;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color w:val="212529"/>
          <w:sz w:val="22"/>
          <w:shd w:fill="FFFFFF" w:val="clear"/>
        </w:rPr>
        <w:t>may limit or curtail significantly or entirely the ability of public utility commissions to approve or authorize applications and other requests we may make with respect to our regulated water and natural gas businesses; and</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color w:val="212529"/>
          <w:sz w:val="22"/>
          <w:shd w:fill="FFFFFF" w:val="clear"/>
        </w:rPr>
        <w:t>delays in our supply chain and our ability to complete maintenance, repairs, and capital programs, which could result in disruptions and increased costs.</w:t>
      </w:r>
    </w:p>
    <w:p>
      <w:pPr>
        <w:pStyle w:val="TextBody"/>
        <w:bidi w:val="0"/>
        <w:spacing w:lineRule="auto" w:line="259"/>
        <w:rPr>
          <w:rFonts w:ascii="Times New Roman;serif" w:hAnsi="Times New Roman;serif"/>
          <w:sz w:val="22"/>
        </w:rPr>
      </w:pPr>
      <w:bookmarkStart w:id="8" w:name="_Hlk191015530"/>
      <w:bookmarkEnd w:id="8"/>
      <w:r>
        <w:rPr>
          <w:rFonts w:ascii="Times New Roman;serif" w:hAnsi="Times New Roman;serif"/>
          <w:b w:val="false"/>
          <w:i w:val="false"/>
          <w:caps w:val="false"/>
          <w:smallCaps w:val="false"/>
          <w:color w:val="212529"/>
          <w:sz w:val="22"/>
          <w:shd w:fill="FFFFFF" w:val="clear"/>
        </w:rPr>
        <w:t xml:space="preserve">These and other impacts of global or regional health pandemics, epidemics or similar public health threats could also have the effect of heightening many of the other risks described in “Risk Factors” in this Annual Report and the other reports we file from time to time with the SEC. We might not be able to predict or respond to all impacts on a timely basis to prevent near- or long-term adverse impacts to our results of operations, financial condition and liquidity. </w:t>
      </w:r>
      <w:r>
        <w:rPr>
          <w:rFonts w:ascii="Times New Roman;serif" w:hAnsi="Times New Roman;serif"/>
          <w:b w:val="false"/>
          <w:i w:val="false"/>
          <w:caps w:val="false"/>
          <w:smallCaps w:val="false"/>
          <w:sz w:val="22"/>
        </w:rPr>
        <w:t>Although any potential expenditures and operating costs may be recovered in the form of higher rates, there can be no assurance that the various state utility commissions that govern our business would approve rate increases to enable us to recover such expenditures and costs.</w:t>
      </w:r>
      <w:r>
        <w:rPr>
          <w:rFonts w:ascii="Times New Roman;serif" w:hAnsi="Times New Roman;serif"/>
          <w:caps w:val="false"/>
          <w:smallCaps w:val="false"/>
          <w:sz w:val="22"/>
        </w:rPr>
        <w:t xml:space="preserve"> </w:t>
      </w:r>
    </w:p>
    <w:p>
      <w:pPr>
        <w:pStyle w:val="TextBody"/>
        <w:bidi w:val="0"/>
        <w:spacing w:lineRule="auto" w:line="259"/>
        <w:rPr>
          <w:rFonts w:ascii="Times New Roman;serif" w:hAnsi="Times New Roman;serif"/>
          <w:b/>
          <w:i/>
          <w:sz w:val="22"/>
        </w:rPr>
      </w:pPr>
      <w:r>
        <w:rPr>
          <w:rFonts w:ascii="Times New Roman;serif" w:hAnsi="Times New Roman;serif"/>
          <w:b/>
          <w:i/>
          <w:sz w:val="22"/>
        </w:rPr>
        <w:t xml:space="preserve">Climate change laws and regulations have been passed and are being proposed that require compliance with greenhouse gas emissions standards, as well as other climate change initiatives and reporting, which could impact our business, financial condition or results of operations. </w:t>
      </w:r>
    </w:p>
    <w:p>
      <w:pPr>
        <w:pStyle w:val="TextBody"/>
        <w:bidi w:val="0"/>
        <w:spacing w:lineRule="auto" w:line="259" w:before="0" w:after="100"/>
        <w:jc w:val="both"/>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Climate change is receiving ever increasing attention worldwide. Many scientists, legislators, and others attribute global warming to increased levels of greenhouse gases (GHG), including carbon dioxide. Climate change laws and regulations enacted and proposed could limit and impose costs tied to GHG emissions from covered entities and require additional monitoring/reporting. A number of states have also adopted energy strategies or plans with goals that include the reduction of GHG. For example, Pennsylvania has a methane reduction framework for the natural gas industry, which has resulted in permitting changes with the stated goal of reducing methane emissions from well sites, compressor stations, and pipelines.  At this time, the existing GHG laws and regulations are not expected to materially harm the Company’s operations or capital expenditures; however, the uncertainty of future climate change regulatory requirements still remains. We cannot predict the potential impact of future laws and regulations on our business, financial condition, or results of operations. Although these future expenditures and costs for regulatory compliance may be recovered in the form of higher rates, there can be no assurance that the various state utility commissions that govern our business would approve rate increases to enable us to recover such expenditures and costs. Competition from renewable energy sources may reduce the demand for natural gas, which could impact our future earnings and cash flows.  Another potential risk related to climate change could be more frequent and more severe weather events, which could increase our costs to repair damaged facilities and restore service to our customers. If we are unable to provide utility services to our customers, our financial results would be impacted by lost revenues, and we would have to seek regulatory approval to recover restoration costs.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i/>
          <w:sz w:val="22"/>
        </w:rPr>
      </w:pPr>
      <w:r>
        <w:rPr>
          <w:rFonts w:ascii="Times New Roman;serif" w:hAnsi="Times New Roman;serif"/>
          <w:b/>
          <w:i/>
          <w:sz w:val="22"/>
        </w:rPr>
        <w:t>Climate change and other sustainability matters are increasingly important to many investors, and we may fail to provide information desired by all investors or achieve our sustainability goals.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Climate change and other sustainability matters are increasingly important to many investors, including our current investors. We have focused attention on these matters and the communication of our goals, targets, and activities to investors. These goals and targets reflect our current plans and aspirations. Our ability to achieve such goals and aspirations is subject to numerous risks and uncertainties, many of which rely on the collective efforts of others or may be outside of our control. As such, we cannot offer assurances that the results reflected or implied by any such statements will be realized or achieved. Moreover, standards and expectations for sustainability matters continue to evolve and may be subject to varying interpretations, which may result in significant revisions to our goals or progress. We may also be unable to satisfactorily meet evolving standards, regulations, and disclosure requirements related to sustainability. Any failure, or perceived failure, to meet evolving stakeholder expectations, additional regulations and industry standards and disclosures, or achieve our sustainability goals and targets could have an adverse effect on our business, results of operations, financial condition, or stock price.</w:t>
      </w:r>
    </w:p>
    <w:p>
      <w:pPr>
        <w:pStyle w:val="TextBody"/>
        <w:bidi w:val="0"/>
        <w:spacing w:lineRule="auto" w:line="259"/>
        <w:rPr>
          <w:rFonts w:ascii="Times New Roman;serif" w:hAnsi="Times New Roman;serif"/>
          <w:b/>
          <w:i/>
          <w:sz w:val="22"/>
        </w:rPr>
      </w:pPr>
      <w:r>
        <w:rPr>
          <w:rFonts w:ascii="Times New Roman;serif" w:hAnsi="Times New Roman;serif"/>
          <w:b/>
          <w:i/>
          <w:sz w:val="22"/>
        </w:rPr>
        <w:t>Our water supply, including water provided to our customers, is subject to various potential contaminants which may result in disruption in our services, additional costs, loss of revenue, fines, laws and/or regulations, and litigation which could harm our business, reputation, financial condition, and results of operations.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water supplies, including water provided to our customers, are subject to possible contaminants, including those from: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naturally occurring compounds or man-made substances;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chemicals and other hazardous materials;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lead and other materials;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manufactured sources, such as pharmaceuticals and personal care products;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unprotected cross-connections with our customers’ processes, irrigation systems, or swimming pools; and</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possible deliberate or terrorist attacks. </w:t>
      </w:r>
    </w:p>
    <w:p>
      <w:pPr>
        <w:pStyle w:val="TextBody"/>
        <w:bidi w:val="0"/>
        <w:spacing w:lineRule="auto" w:line="259"/>
        <w:ind w:left="720" w:right="0" w:hanging="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Depending on the nature of the water contamination, we may have to interrupt the use of that water supply until we are able to substitute, where feasible, the flow of water from an uncontaminated water source, including if practicable, the purchase of water from other suppliers, or continue the water supply under restrictions on use for drinking or broader restrictions against all use except for basic sanitation and essential fire protection. We may experience a loss of revenue and incur significant costs, including, but not limited to, costs for water quality testing and monitoring, “do not consume” expenses, treatment of the contaminated source through modification of our current treatment facilities or development of new treatment methods, the purchase of alternative water supplies, or litigation related matters, including governmental enforcement actions. In addition, the costs we could incur to decontaminate a water source or our water distribution system and dispose of waste could also be significant. The costs resulting from the contamination may not be recoverable in rates we charge our customer, or may not be recoverable in a timely manner. Further, we may incur a loss of revenue in the event we elect to waive customers’ water and wastewater charges. If we are unable to adequately treat the contaminated water supply or substitute a water supply from an uncontaminated water source in a timely or cost-effective manner, there may be an adverse effect on our business, reputation, financial condition, and results of operations. We could also be subject to: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claims for consequences arising out of human exposure to contamination and/or hazardous substances in our water supplies, including toxic torts;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claims for other environmental damage;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claims for customers’ business interruption as a result of an interruption in water service;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claims for breach of contract;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criminal enforcement actions;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regulatory fines; or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other claims.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We incur substantial costs on an ongoing basis to comply with all laws and regulations. New or stricter laws and/or regulations could increase our costs. Although we may seek to recover these costs through an increase in customer rates, there is no guarantee that the various state regulators would approve such an increase.</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have been working to prevent lead leaching from home plumbing sources by reducing water corrosivity and adding chemicals that can prevent leaching of lead in pipes and homes. We have a program to evaluate all changes in water sources prior to initiating a change in water supply. We also focus on identifying and removing lead service lines and encouraging customers to replace the customer-owned portion of the service line if it is lead as they are identified during our main replacement program or during other maintenance activities.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are devoting our attention to various emerging contaminants, including the Per- and Polyfluoroalkyl Substances (PFAS) family of chemicals and other chemicals and substances that do not have any federal regulatory standard in drinking water. We comply with governmental agency guidance that recommends the standard of protection from these contaminants, and we monitor proposed standards and other governmental agency guidance regarding these contaminants. On April 10, 2024, the EPA announced the final National Primary Drinking Water Regulation (NPDWR) for the treatment of six per- and polyfluoroalkyl substances or compounds (PFAS). The NPDWR established the maximum contaminant levels (MCLs) in drinking water and allows for a five-year window to comply. The Company performed its analysis of the NPDWR and estimated an investment of at least $450,000,000 of capital expenditures to install additional treatment facilities over the Compliance Period in order to comply (i.e., 2029 pending no delays due to lawsuits). This figure could increase as plans for construction execution are refined or if additional sites require treatment in the future. Additionally, the Company estimates annual operating expenses of approximately five percent of the installed capital expenditures, in today’s dollars, related to testing, treatment, and disposal. These are preliminary estimates and actual capital expenditures and expenses may differ based upon a variety of factors, including supply chain issues and site-by-site requirements.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We may incur costs to defend our position and/or incur reputational damage even if we are not liable for consequences arising out of human exposure to contamination and/or hazardous substances in our water supplies, other environmental damage, or our customer’s business interruption. Our insurance policies may not be sufficient to cover the costs of our defense or, in the event we are liable, these claims, and losses incurred, may make it difficult for us to secure insurance in the future at acceptable rates. Such claims or actions could harm our business, reputation, financial condition, and results of operations.</w:t>
      </w:r>
    </w:p>
    <w:p>
      <w:pPr>
        <w:pStyle w:val="TextBody"/>
        <w:bidi w:val="0"/>
        <w:spacing w:lineRule="auto" w:line="259"/>
        <w:rPr>
          <w:rFonts w:ascii="Times New Roman;serif" w:hAnsi="Times New Roman;serif"/>
          <w:b/>
          <w:i/>
          <w:color w:val="000000"/>
          <w:sz w:val="22"/>
        </w:rPr>
      </w:pPr>
      <w:r>
        <w:rPr>
          <w:rFonts w:ascii="Times New Roman;serif" w:hAnsi="Times New Roman;serif"/>
          <w:b/>
          <w:i/>
          <w:color w:val="000000"/>
          <w:sz w:val="22"/>
        </w:rPr>
        <w:t>Transporting, distributing and storing natural gas involves numerous risks that may result in accidents and other operating risks and costs.</w:t>
      </w:r>
    </w:p>
    <w:p>
      <w:pPr>
        <w:pStyle w:val="TextBody"/>
        <w:bidi w:val="0"/>
        <w:spacing w:lineRule="auto" w:line="259"/>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Natural gas transportation, distribution and storage activities inherently involve a variety of hazards and operational risks, such as leaks, accidental explosions, well failure, damage caused by third parties and mechanical problems, which could cause substantial financial losses. These risks could result in serious personal injury, loss of human life, significant damage to property, environmental pollution, impairment of operations, and substantial losses. The location of pipelines and storage facilities near populated areas, including residential areas, commercial business centers and industrial sites, could increase the level of damages resulting from these risks. These activities may also subject the Company to litigation or administrative proceedings. Such litigation or proceedings could result in substantial monetary judgments, fines or penalties against the Company or otherwise be resolved on unfavorable terms.</w:t>
      </w:r>
    </w:p>
    <w:p>
      <w:pPr>
        <w:pStyle w:val="TextBody"/>
        <w:bidi w:val="0"/>
        <w:spacing w:lineRule="auto" w:line="259"/>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We are subject to federal and state laws and regulations requiring the Company to maintain certain safety and system integrity measures by identifying and managing storage and pipeline risks. In addition, companies that supply and transport gas to Peoples are also subject to similar regulations and other restrictions related to their activities. Compliance with these laws and regulations, or future changes in these laws and regulations, may, directly or indirectly, result in increased capital, operating, and other costs which may not be recoverable in a timely manner or at all from customers in rates. In accordance with customary industry practices, we maintain insurance against a significant portion, but not all, of these risks and losses. To the extent any of these events occur or regulations change, it could adversely affect our business, reputation, financial condition, and results of operations.</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ind w:left="0" w:right="0" w:hanging="0"/>
        <w:rPr>
          <w:rFonts w:ascii="Times New Roman;serif" w:hAnsi="Times New Roman;serif"/>
          <w:b/>
          <w:i/>
          <w:sz w:val="22"/>
        </w:rPr>
      </w:pPr>
      <w:r>
        <w:rPr>
          <w:rFonts w:ascii="Times New Roman;serif" w:hAnsi="Times New Roman;serif"/>
          <w:b/>
          <w:i/>
          <w:sz w:val="22"/>
        </w:rPr>
        <w:t>Risks Related to the Company’s Capital Needs and Common Stock</w:t>
      </w:r>
    </w:p>
    <w:p>
      <w:pPr>
        <w:pStyle w:val="TextBody"/>
        <w:bidi w:val="0"/>
        <w:spacing w:lineRule="auto" w:line="259"/>
        <w:ind w:left="0" w:right="0" w:hanging="0"/>
        <w:rPr>
          <w:rFonts w:ascii="Times New Roman;serif" w:hAnsi="Times New Roman;serif"/>
          <w:b/>
          <w:i/>
          <w:sz w:val="22"/>
        </w:rPr>
      </w:pPr>
      <w:r>
        <w:rPr>
          <w:rFonts w:ascii="Times New Roman;serif" w:hAnsi="Times New Roman;serif"/>
          <w:b/>
          <w:i/>
          <w:sz w:val="22"/>
        </w:rPr>
        <w:t>We have substantial indebtedness, as a result, it may be more difficult for the Company to pay or refinance its debts or take other actions, and the Company may need to divert cash to fund debt service payments.</w:t>
      </w:r>
    </w:p>
    <w:p>
      <w:pPr>
        <w:pStyle w:val="TextBody"/>
        <w:bidi w:val="0"/>
        <w:spacing w:lineRule="auto" w:line="259"/>
        <w:ind w:left="0" w:right="0" w:hanging="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As of December 31, 2024, our aggregate long-term and short-term debt balance was $7,745,638,000. The substantial indebtedness could:</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make it more difficult and/or costly for the Company to pay or refinance its debts as they become due, particularly during adverse economic and industry conditions, because a decrease in revenues or increase in costs could cause cash flow from operations to be insufficient to make scheduled debt service payments;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limit the Company’s flexibility to pursue other strategic opportunities or react to changes in its business and the industry sectors in which it operates and, consequently, put the Company at a competitive disadvantage to its competitors that have less debt;</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require a substantial portion of the Company’s available cash to be used for debt service payments, thereby reducing the availability of its cash to fund working capital, capital expenditures, development projects, acquisitions, dividend payments, and other general corporate purposes, which could harm the Company’s prospects for growth;</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result in a downgrade in the credit ratings on the Company’s indebtedness, which could limit the Company’s ability to borrow additional funds on favorable terms or at all and increase the interest rates under its credit facilities and under any new indebtedness it may incur;</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make it more difficult for the Company to raise capital to fund working capital, make capital expenditures, pay dividends, pursue strategic initiatives or for other purposes;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result in higher interest expense, which could be further increased in the event of increases in interest rates on the Company’s current or future borrowings; and</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require that additional materially adverse terms, conditions or covenants be placed on the Company under its debt instruments, which covenants might include, for example, limitations on additional borrowings and specific restrictions on uses of its assets, as well as prohibitions or limitations on its ability to create liens, pay dividends, receive distributions from its subsidiaries, redeem or repurchase its stock or make investments, any of which could hinder its access to capital markets and limit or delay its ability to carry out its capital expenditure program or otherwise limit its flexibility in the conduct of its business and make it more vulnerable to economic downturns and adverse competitive and industry conditions.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Based on the current and expected results of operations and financial condition of the Company, the Company believes that its cash flows from operations, together with the proceeds from borrowings, and issuances of equity and debt securities in the capital markets will generate sufficient cash on a consolidated basis to make all of the principal and interest payments when such payments are due under the Company’s and its current subsidiaries’ existing credit facilities, indentures and other instruments governing their outstanding indebtedness. However, the Company’s expectation is based upon numerous estimates and assumptions and is subject to numerous uncertainties. </w:t>
      </w:r>
    </w:p>
    <w:p>
      <w:pPr>
        <w:pStyle w:val="TextBody"/>
        <w:bidi w:val="0"/>
        <w:spacing w:lineRule="auto" w:line="259"/>
        <w:ind w:left="0" w:right="0" w:hanging="0"/>
        <w:rPr>
          <w:rFonts w:ascii="Times New Roman;serif" w:hAnsi="Times New Roman;serif"/>
          <w:b/>
          <w:i/>
          <w:sz w:val="22"/>
        </w:rPr>
      </w:pPr>
      <w:r>
        <w:rPr>
          <w:rFonts w:ascii="Times New Roman;serif" w:hAnsi="Times New Roman;serif"/>
          <w:b/>
          <w:i/>
          <w:sz w:val="22"/>
        </w:rPr>
        <w:t xml:space="preserve">Our business requires significant capital expenditures that are partially dependent on our ability to secure appropriate funding. Disruptions in the capital markets may limit our access to capital. If we are unable to obtain sufficient capital, or if the cost of borrowing increases, it may harm our business, financial condition, results of operations, and our ability to pay dividends. </w:t>
      </w:r>
    </w:p>
    <w:p>
      <w:pPr>
        <w:pStyle w:val="TextBody"/>
        <w:bidi w:val="0"/>
        <w:spacing w:lineRule="auto" w:line="259"/>
        <w:rPr>
          <w:rFonts w:ascii="Times New Roman;serif" w:hAnsi="Times New Roman;serif"/>
          <w:b w:val="false"/>
          <w:i w:val="false"/>
          <w:caps w:val="false"/>
          <w:smallCaps w:val="false"/>
          <w:spacing w:val="0"/>
          <w:sz w:val="22"/>
        </w:rPr>
      </w:pPr>
      <w:r>
        <w:rPr>
          <w:rFonts w:ascii="Times New Roman;serif" w:hAnsi="Times New Roman;serif"/>
          <w:b w:val="false"/>
          <w:i w:val="false"/>
          <w:caps w:val="false"/>
          <w:smallCaps w:val="false"/>
          <w:spacing w:val="0"/>
          <w:sz w:val="22"/>
        </w:rPr>
        <w:t xml:space="preserve">Our business is capital intensive. In addition to the capital required to fund customer growth through our acquisition strategy, on an annual basis, we invest significant sums for additions to or replacement of property, plant and equipment. We obtain funds for our capital expenditures from operations, contributions and advances by developers and others, debt issuances, and equity issuances. We have paid dividends consecutively for 80 years, and our Board of Directors recognizes the value that our common shareholders place on both our historical payment record and on our future anticipated dividend payments. Our ability to continue our growth through acquisitions and to maintain and meet our financial objectives is dependent upon the availability of adequate capital, and we may not be able to access the capital markets on favorable terms or at all. Additionally, if in the future, our credit facilities are not renewed or our short-term borrowings are called for repayment, we would need to seek alternative financing sources; however, there can be no assurance that these alternative financing sources would be available on terms acceptable to us. In the event we are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pacing w:val="0"/>
          <w:sz w:val="22"/>
        </w:rPr>
      </w:pPr>
      <w:r>
        <w:rPr>
          <w:rFonts w:ascii="Times New Roman;serif" w:hAnsi="Times New Roman;serif"/>
          <w:b w:val="false"/>
          <w:i w:val="false"/>
          <w:caps w:val="false"/>
          <w:smallCaps w:val="false"/>
          <w:spacing w:val="0"/>
          <w:sz w:val="22"/>
        </w:rPr>
        <w:t xml:space="preserve">unable to obtain sufficient capital, we may need to take steps to conserve cash by reducing our capital expenditures or dividend payments and our ability to pursue acquisitions may be limited. The reduction in capital expenditures may result in reduced potential earnings growth, affect our ability to meet environmental laws and regulations, and limit our ability to improve or expand our utility systems to the level we believe appropriate. There is no guarantee that we will be able to obtain sufficient capital in the future on reasonable terms and conditions for expansion, construction, and maintenance. In addition, delays in completing major capital projects could delay the recovery of the capital expenditures associated with such projects through rates.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If the cost of borrowing continues to increase, we might not be able to recover increases in our cost of capital through rates. The inability to recover higher borrowing costs through rates, or the regulatory lag associated with the time that it takes to begin recovery, may harm our business, financial condition, results of operations and cash flows.</w:t>
      </w:r>
      <w:r>
        <w:rPr>
          <w:rFonts w:ascii="Times New Roman;serif" w:hAnsi="Times New Roman;serif"/>
          <w:sz w:val="22"/>
        </w:rPr>
        <w:t xml:space="preserve"> </w:t>
      </w:r>
    </w:p>
    <w:p>
      <w:pPr>
        <w:pStyle w:val="TextBody"/>
        <w:bidi w:val="0"/>
        <w:spacing w:lineRule="auto" w:line="259"/>
        <w:rPr>
          <w:rFonts w:ascii="Times New Roman;serif" w:hAnsi="Times New Roman;serif"/>
          <w:b/>
          <w:i/>
          <w:sz w:val="22"/>
        </w:rPr>
      </w:pPr>
      <w:r>
        <w:rPr>
          <w:rFonts w:ascii="Times New Roman;serif" w:hAnsi="Times New Roman;serif"/>
          <w:b/>
          <w:i/>
          <w:sz w:val="22"/>
        </w:rPr>
        <w:t>Our inability to comply with debt covenants under our loan and debt agreements could result in prepayment obligations.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We are obligated to comply with debt covenants under some of our loan and debt agreements. Failure to comply with covenants under our loan and debt agreements could result in an event of default, which if not cured or waived, could result in us being required to repay or finance these borrowings before their due date, limit future borrowings, cause us to default on other obligations, and increase borrowing costs. If we are forced to repay or refinance (on less favorable terms) these borrowings, our business, financial condition, and results of operations could be harmed by reduced access to capital and increased costs and rates.</w:t>
      </w:r>
    </w:p>
    <w:p>
      <w:pPr>
        <w:pStyle w:val="TextBody"/>
        <w:bidi w:val="0"/>
        <w:spacing w:lineRule="auto" w:line="259"/>
        <w:ind w:left="0" w:right="0" w:hanging="0"/>
        <w:rPr>
          <w:rFonts w:ascii="Times New Roman;serif" w:hAnsi="Times New Roman;serif"/>
          <w:b/>
          <w:i/>
          <w:sz w:val="22"/>
        </w:rPr>
      </w:pPr>
      <w:r>
        <w:rPr>
          <w:rFonts w:ascii="Times New Roman;serif" w:hAnsi="Times New Roman;serif"/>
          <w:b/>
          <w:i/>
          <w:sz w:val="22"/>
        </w:rPr>
        <w:t>The price of our common stock may be volatile. This volatility may affect the price at which one could sell our common stock, and the sale or resale of substantial amounts of our common stock could adversely affect the market price of our common stock.</w:t>
      </w:r>
    </w:p>
    <w:p>
      <w:pPr>
        <w:pStyle w:val="TextBody"/>
        <w:bidi w:val="0"/>
        <w:spacing w:lineRule="auto" w:line="259"/>
        <w:ind w:left="0" w:right="0" w:hanging="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sale or issuance of substantial amounts of our common stock, or the perception that additional sales or issuances could occur, could adversely affect the market price of our common stock, even if the business is doing well. In addition, the availability for sale of substantial amounts of our common stock could adversely impact its market price. Any of the foregoing may also impair our ability to raise additional capital through the sale of our equity securities or could result in incremental dilution due to issuing equity at a lower share price.</w:t>
      </w:r>
    </w:p>
    <w:p>
      <w:pPr>
        <w:pStyle w:val="TextBody"/>
        <w:bidi w:val="0"/>
        <w:spacing w:lineRule="auto" w:line="259"/>
        <w:rPr>
          <w:rFonts w:ascii="Times New Roman;serif" w:hAnsi="Times New Roman;serif"/>
          <w:b/>
          <w:i/>
          <w:sz w:val="22"/>
        </w:rPr>
      </w:pPr>
      <w:r>
        <w:rPr>
          <w:rFonts w:ascii="Times New Roman;serif" w:hAnsi="Times New Roman;serif"/>
          <w:b/>
          <w:i/>
          <w:sz w:val="22"/>
        </w:rPr>
        <w:t>Risks Related to Acquisitions</w:t>
      </w:r>
    </w:p>
    <w:p>
      <w:pPr>
        <w:pStyle w:val="TextBody"/>
        <w:bidi w:val="0"/>
        <w:spacing w:lineRule="auto" w:line="259"/>
        <w:rPr>
          <w:rFonts w:ascii="Times New Roman;serif" w:hAnsi="Times New Roman;serif"/>
          <w:b/>
          <w:i/>
          <w:sz w:val="22"/>
        </w:rPr>
      </w:pPr>
      <w:r>
        <w:rPr>
          <w:rFonts w:ascii="Times New Roman;serif" w:hAnsi="Times New Roman;serif"/>
          <w:b/>
          <w:i/>
          <w:sz w:val="22"/>
        </w:rPr>
        <w:t xml:space="preserve">One of the important elements of our growth strategy is the acquisition of regulated utility systems. Any acquisition we decide to undertake may involve risks. Further, competition for acquisition opportunities from other regulated utilities, governmental entities, and strategic and financial buyers may hinder our ability to grow our business. Lastly, competition and industry trends could impact our ability to retain existing customers or acquire new customers, which could have an adverse impact on our business, results of operations and financial condition.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One important element of our growth strategy is the acquisition and integration of regulated utility systems in order to broaden our service areas. We will not be able to acquire other businesses if we cannot identify suitable acquisition opportunities or reach mutually agreeable terms with acquisition candidates. It is our intent, when practical, to integrate any businesses we acquire with our existing operations. Investing in and integrating acquisitions could require us to incur significant costs and cause diversion of our management's time and resources, and we may be unable to successfully integrate our business with acquired businesses or to realize anticipated benefits of acquisitions. Acquisitions by us could also result in:</w:t>
      </w:r>
    </w:p>
    <w:p>
      <w:pPr>
        <w:pStyle w:val="TextBody"/>
        <w:bidi w:val="0"/>
        <w:spacing w:lineRule="auto" w:line="259"/>
        <w:rPr>
          <w:caps w:val="false"/>
          <w:smallCaps w:val="false"/>
        </w:rPr>
      </w:pPr>
      <w:r>
        <w:rPr>
          <w:caps w:val="false"/>
          <w:smallCaps w:val="false"/>
        </w:rPr>
        <w:t>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dilutive issuances of our equity securities;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incurrence of debt, contingent liabilities, and environmental liabilities;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unanticipated capital expenditures;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failure to maintain effective internal control over financial reporting;</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recording goodwill and other intangible assets for which we may never realize their full value and may result in an asset impairment that may negatively affect our results of operations;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fluctuations in quarterly and/or annual results;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other acquisition related expenses; and</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exposure to unknown or unexpected risks and liabilities.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Some or all of these items could harm our business, financial condition, results of operations, and cash flows, and our ability to finance our business and to comply with regulatory requirements. The businesses we acquire may not achieve sales and profitability that would justify our investment, and any difficulties we encounter in the integration process, including in the integration of processes necessary for internal control and financial reporting, could interfere with our operations, reduce our operating margins and harm our internal controls.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Some states in which we operate allow the respective public utility commissions to use fair market value to set ratemaking rate base instead of the traditional depreciated original cost of water or wastewater assets for certain qualifying municipal acquisitions. Depending on the state, there are varying rules and circumstances in which fair value is determined. A number of states’ regulations allow ratemaking rate base to equal the lower of the average of the appraisals or the purchase price, subject to regulatory approval. There may be situations where we may pay more than the ultimate fair value of the utility assets as set by the regulatory commission, despite the fair value legislation suggesting its full recovery. In these situations, goodwill may be recognized to the extent there is an excess purchase price over the fair value of net tangible and identifiable intangible assets acquired through a business acquisition. Our financial condition and results of operations could be harmed by an inability to earn a return on, and recover our purchase price as a component of rate base. Regulatory actions or changes in significant assumptions, including discount and growth rates, utility sector market performance and comparable transaction multiples, projected operating and capital cash flows, and fair value of debt, could also potentially result in future impairments which could be material.</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We compete with governmental entities, other regulated utilities, and strategic and financial buyers, for acquisition opportunities. As consolidation becomes more prevalent in the utility industry and competition for acquisitions increases, the prices for suitable acquisition candidates may increase to unacceptable levels and limit our ability to grow through acquisitions. In addition, our competitors may impede our growth by purchasing utilities near our existing operations, thereby preventing us from acquiring them. Governmental entities or environmental / social activist groups have challenged, and may in the future challenge our efforts to acquire new service territories, particularly from municipalities or municipal authorities. Additionally, on occasion we have entered into agreements to acquire water or wastewater utility systems that have been challenged by municipalities or other parties, or where referenda are required, which may impact our ability to complete the acquisition. Higher purchase prices and resulting rates may limit our ability to invest additional capital for system maintenance and upgrades in an optimal manner. Our growth could be hindered if we are not able to compete effectively for new companies and/or service territories with other companies or strategic and financial buyers that have lower costs of operations or capital, or that submit more attractive bids. Any of these risks may harm our business, financial condition, and results of operations.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We face the risk that large natural gas customers may bypass gas distribution services by gaining distribution directly from interstate pipelines, other gas distributors, or other energy sources. Increased competition or other changes in legislation, regulation, or policies could have a material adverse effect on our business, financial condition, or results of operations. Moreover, changes in wholesale natural gas prices compared with prices for electricity, fuel oil, coal, propane, or other energy sources may affect the retention of natural gas customers and may adversely impact our future financial condition and results of operations.</w:t>
      </w:r>
    </w:p>
    <w:p>
      <w:pPr>
        <w:pStyle w:val="TextBody"/>
        <w:bidi w:val="0"/>
        <w:spacing w:lineRule="auto" w:line="259"/>
        <w:rPr>
          <w:rFonts w:ascii="Times New Roman;serif" w:hAnsi="Times New Roman;serif"/>
          <w:b/>
          <w:i/>
          <w:sz w:val="22"/>
        </w:rPr>
      </w:pPr>
      <w:r>
        <w:rPr>
          <w:rFonts w:ascii="Times New Roman;serif" w:hAnsi="Times New Roman;serif"/>
          <w:b/>
          <w:i/>
          <w:sz w:val="22"/>
        </w:rPr>
        <w:t>The integration of acquisitions can be a multi-year activity depending upon the complexity and significance of the acquisition.</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One element of our strategic plans is our growth through acquisition strategy. Acquisitions in the utility industry are time consuming and complex, with the number of regulatory approvals needed. A significant acquisition can require significant time and resources, including devotion of management time, to integrate the acquired business.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tbl>
      <w:tblPr>
        <w:tblW w:w="3617" w:type="dxa"/>
        <w:jc w:val="left"/>
        <w:tblInd w:w="0" w:type="dxa"/>
        <w:tblLayout w:type="fixed"/>
        <w:tblCellMar>
          <w:top w:w="0" w:type="dxa"/>
          <w:left w:w="0" w:type="dxa"/>
          <w:bottom w:w="0" w:type="dxa"/>
          <w:right w:w="0" w:type="dxa"/>
        </w:tblCellMar>
      </w:tblPr>
      <w:tblGrid>
        <w:gridCol w:w="871"/>
        <w:gridCol w:w="2746"/>
      </w:tblGrid>
      <w:tr>
        <w:trPr/>
        <w:tc>
          <w:tcPr>
            <w:tcW w:w="87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bookmarkStart w:id="9" w:name="Unresolved_Staff_Comments"/>
            <w:bookmarkEnd w:id="9"/>
            <w:r>
              <w:rPr>
                <w:rFonts w:ascii="Times New Roman;serif" w:hAnsi="Times New Roman;serif"/>
                <w:b w:val="false"/>
                <w:i w:val="false"/>
                <w:caps w:val="false"/>
                <w:smallCaps w:val="false"/>
                <w:sz w:val="22"/>
              </w:rPr>
              <w:t>Item 1B</w:t>
            </w:r>
          </w:p>
        </w:tc>
        <w:tc>
          <w:tcPr>
            <w:tcW w:w="2746" w:type="dxa"/>
            <w:tcBorders/>
            <w:vAlign w:val="center"/>
          </w:tcPr>
          <w:p>
            <w:pPr>
              <w:pStyle w:val="TableContents"/>
              <w:bidi w:val="0"/>
              <w:spacing w:lineRule="auto" w:line="259" w:before="0" w:after="283"/>
              <w:jc w:val="left"/>
              <w:rPr>
                <w:rFonts w:ascii="Times New Roman;serif" w:hAnsi="Times New Roman;serif"/>
                <w:b w:val="false"/>
                <w:i/>
                <w:sz w:val="22"/>
              </w:rPr>
            </w:pPr>
            <w:r>
              <w:rPr>
                <w:rFonts w:ascii="Times New Roman;serif" w:hAnsi="Times New Roman;serif"/>
                <w:b w:val="false"/>
                <w:i/>
                <w:sz w:val="22"/>
              </w:rPr>
              <w:t>Unresolved Staff Comments</w:t>
            </w:r>
          </w:p>
        </w:tc>
      </w:tr>
      <w:tr>
        <w:trPr/>
        <w:tc>
          <w:tcPr>
            <w:tcW w:w="87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None</w:t>
      </w:r>
    </w:p>
    <w:tbl>
      <w:tblPr>
        <w:tblW w:w="2601" w:type="dxa"/>
        <w:jc w:val="left"/>
        <w:tblInd w:w="0" w:type="dxa"/>
        <w:tblLayout w:type="fixed"/>
        <w:tblCellMar>
          <w:top w:w="0" w:type="dxa"/>
          <w:left w:w="0" w:type="dxa"/>
          <w:bottom w:w="0" w:type="dxa"/>
          <w:right w:w="0" w:type="dxa"/>
        </w:tblCellMar>
      </w:tblPr>
      <w:tblGrid>
        <w:gridCol w:w="871"/>
        <w:gridCol w:w="1730"/>
      </w:tblGrid>
      <w:tr>
        <w:trPr/>
        <w:tc>
          <w:tcPr>
            <w:tcW w:w="871"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r>
      <w:tr>
        <w:trPr/>
        <w:tc>
          <w:tcPr>
            <w:tcW w:w="871"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1C</w:t>
            </w:r>
          </w:p>
        </w:tc>
        <w:tc>
          <w:tcPr>
            <w:tcW w:w="1730" w:type="dxa"/>
            <w:tcBorders/>
            <w:vAlign w:val="center"/>
          </w:tcPr>
          <w:p>
            <w:pPr>
              <w:pStyle w:val="TableContents"/>
              <w:bidi w:val="0"/>
              <w:spacing w:lineRule="auto" w:line="259" w:before="0" w:after="283"/>
              <w:ind w:left="0" w:right="274" w:hanging="0"/>
              <w:jc w:val="both"/>
              <w:rPr>
                <w:rFonts w:ascii="Times New Roman;serif" w:hAnsi="Times New Roman;serif"/>
                <w:sz w:val="22"/>
              </w:rPr>
            </w:pPr>
            <w:r>
              <w:rPr>
                <w:rFonts w:ascii="Times New Roman;serif" w:hAnsi="Times New Roman;serif"/>
                <w:b w:val="false"/>
                <w:i/>
                <w:sz w:val="22"/>
              </w:rPr>
              <w:t>Cybersecur</w:t>
            </w:r>
            <w:bookmarkStart w:id="10" w:name="Cybersecurity"/>
            <w:bookmarkEnd w:id="10"/>
            <w:r>
              <w:rPr>
                <w:rFonts w:ascii="Times New Roman;serif" w:hAnsi="Times New Roman;serif"/>
                <w:b w:val="false"/>
                <w:i/>
                <w:sz w:val="22"/>
              </w:rPr>
              <w:t>ity</w:t>
            </w:r>
          </w:p>
        </w:tc>
      </w:tr>
    </w:tbl>
    <w:p>
      <w:pPr>
        <w:pStyle w:val="TextBody"/>
        <w:bidi w:val="0"/>
        <w:spacing w:lineRule="auto" w:line="259"/>
        <w:rPr>
          <w:rFonts w:ascii="Times New Roman;serif" w:hAnsi="Times New Roman;serif"/>
          <w:b/>
          <w:i/>
          <w:sz w:val="22"/>
        </w:rPr>
      </w:pPr>
      <w:r>
        <w:rPr>
          <w:rFonts w:ascii="Times New Roman;serif" w:hAnsi="Times New Roman;serif"/>
          <w:b/>
          <w:i/>
          <w:sz w:val="22"/>
        </w:rPr>
        <w:t>Risk Management and Strategy</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In connection with our enterprise risk management process, we identify, prioritize and monitor key risks that may affect the Company, including risks from cyber threats. Our cybersecurity program is aligned to the National Institute of Standards and Technology (NIST) Cybersecurity Framework. We have enterprise-wide security policies, standards and controls that incorporate best practices in security engineering, technology architecture and data protection, which support regulatory compliance. Our program includes encryption, data masking technology, data loss prevention technology, authentication technology, entitlement management, access control, anti-malware software and transmission of data over private networks, among other procedures designed to protect against unauthorized access to information. We also implemented specialized programs, such as enterprise-wide communications, presentations, phishing simulations and focused training for specific roles, as well as a general cybersecurity training program required for all employees. We also engage</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third parties to perform regular reviews of our security framework controls to promote objectivity. Our processes to identify, assess and manage material risks of cyber threats include risks associated with third party service providers, including cloud-based platforms. We believe that these processes provide us with a comprehensive assessment of potential cyber threats.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maintain cybersecurity protection measures with respect to our information technology, including our customer data, and, in some cases, the monitoring and operation of our treatment, storage, pumping, and pipeline infrastructure. We rely on our information technology systems in connection with the operation of our business, especially with respect to customer service and billing, accounting and, in some cases, the monitoring and operation of our treatment, storage, pumping, and pipeline infrastructure. In addition, we rely on our systems to track our utility assets and to manage maintenance and construction projects, materials and supplies, and our human resource functions.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To date, risks from cybersecurity threats and incidents have not</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materially affected the Company, including its business strategy, financial condition, or results of operations. Refer to Item 1A – </w:t>
      </w:r>
      <w:r>
        <w:rPr>
          <w:rFonts w:ascii="Times New Roman;serif" w:hAnsi="Times New Roman;serif"/>
          <w:b w:val="false"/>
          <w:i/>
          <w:sz w:val="22"/>
        </w:rPr>
        <w:t>Risk Factors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for additional information.</w:t>
      </w:r>
    </w:p>
    <w:p>
      <w:pPr>
        <w:pStyle w:val="TextBody"/>
        <w:bidi w:val="0"/>
        <w:spacing w:lineRule="auto" w:line="259"/>
        <w:rPr>
          <w:rFonts w:ascii="Times New Roman;serif" w:hAnsi="Times New Roman;serif"/>
          <w:b/>
          <w:i/>
          <w:sz w:val="22"/>
        </w:rPr>
      </w:pPr>
      <w:r>
        <w:rPr>
          <w:rFonts w:ascii="Times New Roman;serif" w:hAnsi="Times New Roman;serif"/>
          <w:b/>
          <w:i/>
          <w:sz w:val="22"/>
        </w:rPr>
        <w:t>Governance</w:t>
      </w:r>
    </w:p>
    <w:p>
      <w:pPr>
        <w:pStyle w:val="TextBody"/>
        <w:bidi w:val="0"/>
        <w:spacing w:lineRule="auto" w:line="259"/>
        <w:rPr>
          <w:rFonts w:ascii="Times New Roman;serif" w:hAnsi="Times New Roman;serif"/>
          <w:sz w:val="22"/>
        </w:rPr>
      </w:pPr>
      <w:r>
        <w:rPr>
          <w:rFonts w:ascii="Times New Roman;serif" w:hAnsi="Times New Roman;serif"/>
          <w:b w:val="false"/>
          <w:i/>
          <w:sz w:val="22"/>
        </w:rPr>
        <w:t>Role of Management</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Our cybersecurity program is overseen by a cross-functional committee of senior business leaders and led by our Chief Information Officer. This management committee meets bimonthly and is charged with overseeing our cybersecurity strategy, ensuring that cyber risk is managed, and that the program is aligned to business goals and objectives.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Our Chief Information Officer has formal education in information technology; has multi-year experience working in the Company’s information and technology function; and receives periodic training and education on cybersecurity-related topics.</w:t>
      </w:r>
      <w:r>
        <w:rPr>
          <w:rFonts w:ascii="Times New Roman;serif" w:hAnsi="Times New Roman;serif"/>
          <w:caps w:val="false"/>
          <w:smallCaps w:val="false"/>
          <w:sz w:val="22"/>
        </w:rPr>
        <w:t xml:space="preserve"> </w:t>
      </w:r>
    </w:p>
    <w:p>
      <w:pPr>
        <w:pStyle w:val="TextBody"/>
        <w:bidi w:val="0"/>
        <w:spacing w:lineRule="auto" w:line="259"/>
        <w:rPr>
          <w:rFonts w:ascii="Times New Roman;serif" w:hAnsi="Times New Roman;serif"/>
          <w:sz w:val="22"/>
        </w:rPr>
      </w:pPr>
      <w:r>
        <w:rPr>
          <w:rFonts w:ascii="Times New Roman;serif" w:hAnsi="Times New Roman;serif"/>
          <w:b w:val="false"/>
          <w:i/>
          <w:sz w:val="22"/>
        </w:rPr>
        <w:t>Role of the Board of Directors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The Board of Directors has a Risk and Investment Policy Committee (“RP Committee”) whose primary purpose is to assist the Board of Directors in fulfilling its oversight responsibilities.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The RP Committee oversees a number of the Company’s risk management practices, including cybersecurity risks. Our Chief Information Officer provides updates on cybersecurity risks, threats, key developments in policies and practices, and related risk exposures to the RP Committee at least quarterly, and more often as needed. When covered during an RP Committee meeting, the Chairperson of the RP Committee reports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on its discussions to the full Board of Directors.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Additionally, management provides an update to the full Board of Directors at least once a year, and more often as needed. The Board of Directors annually reviews and approves the capital and operating budgets, ultimately reviewing and approving the amount spent on cybersecurity measures. </w:t>
      </w:r>
    </w:p>
    <w:p>
      <w:pPr>
        <w:pStyle w:val="TextBody"/>
        <w:bidi w:val="0"/>
        <w:spacing w:lineRule="auto" w:line="259"/>
        <w:rPr>
          <w:caps w:val="false"/>
          <w:smallCaps w:val="false"/>
        </w:rPr>
      </w:pPr>
      <w:r>
        <w:rPr>
          <w:caps w:val="false"/>
          <w:smallCaps w:val="false"/>
        </w:rPr>
        <w:t> </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tbl>
      <w:tblPr>
        <w:tblW w:w="1967" w:type="dxa"/>
        <w:jc w:val="left"/>
        <w:tblInd w:w="0" w:type="dxa"/>
        <w:tblLayout w:type="fixed"/>
        <w:tblCellMar>
          <w:top w:w="0" w:type="dxa"/>
          <w:left w:w="0" w:type="dxa"/>
          <w:bottom w:w="0" w:type="dxa"/>
          <w:right w:w="0" w:type="dxa"/>
        </w:tblCellMar>
      </w:tblPr>
      <w:tblGrid>
        <w:gridCol w:w="841"/>
        <w:gridCol w:w="1126"/>
      </w:tblGrid>
      <w:tr>
        <w:trPr/>
        <w:tc>
          <w:tcPr>
            <w:tcW w:w="841" w:type="dxa"/>
            <w:tcBorders/>
            <w:vAlign w:val="center"/>
          </w:tcPr>
          <w:p>
            <w:pPr>
              <w:pStyle w:val="TableContents"/>
              <w:bidi w:val="0"/>
              <w:spacing w:lineRule="auto" w:line="259" w:before="0" w:after="283"/>
              <w:jc w:val="both"/>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Item 2. </w:t>
            </w:r>
          </w:p>
        </w:tc>
        <w:tc>
          <w:tcPr>
            <w:tcW w:w="1126" w:type="dxa"/>
            <w:tcBorders/>
            <w:vAlign w:val="center"/>
          </w:tcPr>
          <w:p>
            <w:pPr>
              <w:pStyle w:val="TableContents"/>
              <w:bidi w:val="0"/>
              <w:spacing w:lineRule="auto" w:line="259" w:before="0" w:after="283"/>
              <w:jc w:val="both"/>
              <w:rPr>
                <w:rFonts w:ascii="Times New Roman;serif" w:hAnsi="Times New Roman;serif"/>
                <w:b w:val="false"/>
                <w:i/>
                <w:sz w:val="22"/>
              </w:rPr>
            </w:pPr>
            <w:r>
              <w:rPr>
                <w:rFonts w:ascii="Times New Roman;serif" w:hAnsi="Times New Roman;serif"/>
                <w:b w:val="false"/>
                <w:i/>
                <w:sz w:val="22"/>
              </w:rPr>
              <w:t>Properties</w:t>
            </w:r>
            <w:bookmarkStart w:id="11" w:name="Properties"/>
            <w:bookmarkEnd w:id="11"/>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Regulated Water properties consist of water transmission and distribution mains and wastewater collection pipelines, water and wastewater treatment plants, pumping facilities, wells, tanks, meters, pipes, dams, reservoirs, buildings, vehicles, land, easements, rights-of-way, and other facilities and equipment used for the operation of our systems, including the collection, treatment, storage, and distribution of water and the collection and treatment of wastewater. Substantially all of our treatment, storage, and distribution properties are owned by our subsidiaries, and a substantial portion of our property is subject to liens of mortgage or indentures. These liens secure bonds, notes and other evidences of long-term indebtedness of our subsidiaries. For some properties that we acquired through the exercise of the power of eminent domain and other properties we purchased, we hold title for water supply purposes only. We own, operate and maintain approximately 14,500 miles of transmission and distribution mains, 24 surface water treatment plants, many well treatment stations, and 203 wastewater treatment plants. A small portion of the properties are leased under long-term leases.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Our Regulated Natural Gas properties consist of approximately 15,000 miles of natural gas distribution mains, varying in size from one-half inch to 30 inches in diameter, 1,700 miles of gathering pipeline, 300 miles of intrastate transmission/storage pipeline, and both active and inactive gas storage wells. Further, in each of the cities, towns, and rural areas where we serve natural gas customers, we own the underground gas mains and service lines, metering, and regulating equipment located on customers’ premises and the district regulating equipment necessary for pressure maintenance. </w:t>
      </w:r>
      <w:r>
        <w:rPr>
          <w:rFonts w:ascii="Times New Roman;serif" w:hAnsi="Times New Roman;serif"/>
          <w:b w:val="false"/>
          <w:i w:val="false"/>
          <w:caps w:val="false"/>
          <w:smallCaps w:val="false"/>
          <w:color w:val="000000"/>
          <w:sz w:val="22"/>
        </w:rPr>
        <w:t>With a few exceptions, the measuring stations at which we receive gas from third parties are owned, operated, and maintained by others, and our distribution facilities begin at the outlet of the measuring equipment. These facilities, including odorizing equipment, are usually located on land owned by suppliers.</w:t>
      </w:r>
      <w:r>
        <w:rPr>
          <w:rFonts w:ascii="Times New Roman;serif" w:hAnsi="Times New Roman;serif"/>
          <w:caps w:val="false"/>
          <w:smallCaps w:val="false"/>
          <w:sz w:val="22"/>
        </w:rPr>
        <w:t xml:space="preserve">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indicates our net property, plant and equipment, in thousands of dollars, as of December 31, 2024 in the principal states where we operate:</w:t>
      </w:r>
    </w:p>
    <w:tbl>
      <w:tblPr>
        <w:tblW w:w="5856" w:type="dxa"/>
        <w:jc w:val="left"/>
        <w:tblInd w:w="0" w:type="dxa"/>
        <w:tblLayout w:type="fixed"/>
        <w:tblCellMar>
          <w:top w:w="0" w:type="dxa"/>
          <w:left w:w="0" w:type="dxa"/>
          <w:bottom w:w="0" w:type="dxa"/>
          <w:right w:w="0" w:type="dxa"/>
        </w:tblCellMar>
      </w:tblPr>
      <w:tblGrid>
        <w:gridCol w:w="1516"/>
        <w:gridCol w:w="537"/>
        <w:gridCol w:w="2823"/>
        <w:gridCol w:w="109"/>
        <w:gridCol w:w="871"/>
      </w:tblGrid>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537" w:type="dxa"/>
            <w:tcBorders/>
            <w:shd w:fill="FFFFFF" w:val="clear"/>
            <w:vAlign w:val="center"/>
          </w:tcPr>
          <w:p>
            <w:pPr>
              <w:pStyle w:val="TableContents"/>
              <w:bidi w:val="0"/>
              <w:spacing w:before="0" w:after="283"/>
              <w:jc w:val="left"/>
              <w:rPr>
                <w:sz w:val="4"/>
                <w:szCs w:val="4"/>
              </w:rPr>
            </w:pPr>
            <w:r>
              <w:rPr>
                <w:sz w:val="4"/>
                <w:szCs w:val="4"/>
              </w:rPr>
            </w:r>
          </w:p>
        </w:tc>
        <w:tc>
          <w:tcPr>
            <w:tcW w:w="282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shd w:fill="FFFFFF" w:val="clear"/>
            <w:vAlign w:val="center"/>
          </w:tcPr>
          <w:p>
            <w:pPr>
              <w:pStyle w:val="TableContents"/>
              <w:bidi w:val="0"/>
              <w:spacing w:before="0" w:after="283"/>
              <w:jc w:val="left"/>
              <w:rPr>
                <w:sz w:val="4"/>
                <w:szCs w:val="4"/>
              </w:rPr>
            </w:pPr>
            <w:r>
              <w:rPr>
                <w:sz w:val="4"/>
                <w:szCs w:val="4"/>
              </w:rPr>
            </w:r>
          </w:p>
        </w:tc>
        <w:tc>
          <w:tcPr>
            <w:tcW w:w="33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Net Property, Plant and Equipment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15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Pennsylvania</w:t>
            </w:r>
          </w:p>
        </w:tc>
        <w:tc>
          <w:tcPr>
            <w:tcW w:w="53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823"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9,305,441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70.8%</w:t>
            </w:r>
          </w:p>
        </w:tc>
      </w:tr>
      <w:tr>
        <w:trPr/>
        <w:tc>
          <w:tcPr>
            <w:tcW w:w="15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Ohio</w:t>
            </w:r>
          </w:p>
        </w:tc>
        <w:tc>
          <w:tcPr>
            <w:tcW w:w="537"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756,201</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5.8%</w:t>
            </w:r>
          </w:p>
        </w:tc>
      </w:tr>
      <w:tr>
        <w:trPr/>
        <w:tc>
          <w:tcPr>
            <w:tcW w:w="15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Illinois</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282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699,938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5.3%</w:t>
            </w:r>
          </w:p>
        </w:tc>
      </w:tr>
      <w:tr>
        <w:trPr/>
        <w:tc>
          <w:tcPr>
            <w:tcW w:w="15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North Carolina</w:t>
            </w:r>
          </w:p>
        </w:tc>
        <w:tc>
          <w:tcPr>
            <w:tcW w:w="537"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590,991</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4.5%</w:t>
            </w:r>
          </w:p>
        </w:tc>
      </w:tr>
      <w:tr>
        <w:trPr/>
        <w:tc>
          <w:tcPr>
            <w:tcW w:w="15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Texas</w:t>
            </w:r>
          </w:p>
        </w:tc>
        <w:tc>
          <w:tcPr>
            <w:tcW w:w="537" w:type="dxa"/>
            <w:tcBorders/>
            <w:shd w:fill="CCEEFF" w:val="clear"/>
            <w:vAlign w:val="center"/>
          </w:tcPr>
          <w:p>
            <w:pPr>
              <w:pStyle w:val="TableContents"/>
              <w:bidi w:val="0"/>
              <w:spacing w:before="0" w:after="283"/>
              <w:jc w:val="left"/>
              <w:rPr>
                <w:sz w:val="4"/>
                <w:szCs w:val="4"/>
              </w:rPr>
            </w:pPr>
            <w:r>
              <w:rPr>
                <w:sz w:val="4"/>
                <w:szCs w:val="4"/>
              </w:rPr>
            </w:r>
          </w:p>
        </w:tc>
        <w:tc>
          <w:tcPr>
            <w:tcW w:w="282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806,382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6.1%</w:t>
            </w:r>
          </w:p>
        </w:tc>
      </w:tr>
      <w:tr>
        <w:trPr/>
        <w:tc>
          <w:tcPr>
            <w:tcW w:w="15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(1)</w:t>
            </w:r>
          </w:p>
        </w:tc>
        <w:tc>
          <w:tcPr>
            <w:tcW w:w="53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23"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984,523</w:t>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7.5%</w:t>
            </w:r>
          </w:p>
        </w:tc>
      </w:tr>
      <w:tr>
        <w:trPr/>
        <w:tc>
          <w:tcPr>
            <w:tcW w:w="15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Consolidated</w:t>
            </w:r>
          </w:p>
        </w:tc>
        <w:tc>
          <w:tcPr>
            <w:tcW w:w="53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82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13,143,476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100.0%</w:t>
            </w:r>
          </w:p>
        </w:tc>
      </w:tr>
    </w:tbl>
    <w:p>
      <w:pPr>
        <w:pStyle w:val="TextBody"/>
        <w:bidi w:val="0"/>
        <w:spacing w:lineRule="auto" w:line="192"/>
        <w:ind w:left="360" w:right="0" w:hanging="36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(1)Consists primarily of our operating subsidiaries in the following states: New Jersey, Indiana, Virginia, and Kentucky.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We believe that our properties are generally maintained in good condition and in accordance with current standards of good water, wastewater, and natural gas industry practice. We believe that our facilities are adequate and suitable for the conduct of our business and to meet customer requirements under normal circumstances.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Our corporate offices are leased from our subsidiary, Aqua Pennsylvania, and are located in Bryn Mawr, Pennsylvania.</w:t>
      </w:r>
    </w:p>
    <w:p>
      <w:pPr>
        <w:pStyle w:val="TextBody"/>
        <w:bidi w:val="0"/>
        <w:spacing w:lineRule="auto" w:line="259"/>
        <w:rPr>
          <w:caps w:val="false"/>
          <w:smallCaps w:val="false"/>
        </w:rPr>
      </w:pPr>
      <w:r>
        <w:rPr>
          <w:caps w:val="false"/>
          <w:smallCaps w:val="false"/>
        </w:rPr>
        <w:t> </w:t>
      </w:r>
    </w:p>
    <w:tbl>
      <w:tblPr>
        <w:tblW w:w="2687" w:type="dxa"/>
        <w:jc w:val="left"/>
        <w:tblInd w:w="0" w:type="dxa"/>
        <w:tblLayout w:type="fixed"/>
        <w:tblCellMar>
          <w:top w:w="0" w:type="dxa"/>
          <w:left w:w="0" w:type="dxa"/>
          <w:bottom w:w="0" w:type="dxa"/>
          <w:right w:w="0" w:type="dxa"/>
        </w:tblCellMar>
      </w:tblPr>
      <w:tblGrid>
        <w:gridCol w:w="781"/>
        <w:gridCol w:w="1906"/>
      </w:tblGrid>
      <w:tr>
        <w:trPr/>
        <w:tc>
          <w:tcPr>
            <w:tcW w:w="781"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3.</w:t>
            </w:r>
          </w:p>
        </w:tc>
        <w:tc>
          <w:tcPr>
            <w:tcW w:w="1906" w:type="dxa"/>
            <w:tcBorders/>
            <w:vAlign w:val="center"/>
          </w:tcPr>
          <w:p>
            <w:pPr>
              <w:pStyle w:val="TableContents"/>
              <w:bidi w:val="0"/>
              <w:spacing w:lineRule="auto" w:line="259" w:before="0" w:after="283"/>
              <w:jc w:val="left"/>
              <w:rPr>
                <w:rFonts w:ascii="Times New Roman;serif" w:hAnsi="Times New Roman;serif"/>
                <w:b w:val="false"/>
                <w:i/>
                <w:sz w:val="22"/>
              </w:rPr>
            </w:pPr>
            <w:r>
              <w:rPr>
                <w:rFonts w:ascii="Times New Roman;serif" w:hAnsi="Times New Roman;serif"/>
                <w:b w:val="false"/>
                <w:i/>
                <w:sz w:val="22"/>
              </w:rPr>
              <w:t>Legal Proceedings</w:t>
            </w:r>
            <w:bookmarkStart w:id="12" w:name="LegalProceedings"/>
            <w:bookmarkEnd w:id="12"/>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There are various legal proceedings in which we are involved. Although the results of legal proceedings cannot be predicted with certainty, there are no pending legal proceedings to which we or any of our subsidiaries is a party or to which any of our properties is the subject that we believe are material or are expected to materially harm our business, operating results, reputation, or financial condition. </w:t>
      </w:r>
    </w:p>
    <w:tbl>
      <w:tblPr>
        <w:tblW w:w="3182" w:type="dxa"/>
        <w:jc w:val="left"/>
        <w:tblInd w:w="0" w:type="dxa"/>
        <w:tblLayout w:type="fixed"/>
        <w:tblCellMar>
          <w:top w:w="0" w:type="dxa"/>
          <w:left w:w="0" w:type="dxa"/>
          <w:bottom w:w="0" w:type="dxa"/>
          <w:right w:w="0" w:type="dxa"/>
        </w:tblCellMar>
      </w:tblPr>
      <w:tblGrid>
        <w:gridCol w:w="781"/>
        <w:gridCol w:w="2401"/>
      </w:tblGrid>
      <w:tr>
        <w:trPr/>
        <w:tc>
          <w:tcPr>
            <w:tcW w:w="781"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4.</w:t>
            </w:r>
          </w:p>
        </w:tc>
        <w:tc>
          <w:tcPr>
            <w:tcW w:w="2401" w:type="dxa"/>
            <w:tcBorders/>
            <w:vAlign w:val="center"/>
          </w:tcPr>
          <w:p>
            <w:pPr>
              <w:pStyle w:val="TableContents"/>
              <w:bidi w:val="0"/>
              <w:spacing w:lineRule="auto" w:line="259" w:before="0" w:after="283"/>
              <w:jc w:val="left"/>
              <w:rPr>
                <w:rFonts w:ascii="Times New Roman;serif" w:hAnsi="Times New Roman;serif"/>
                <w:b w:val="false"/>
                <w:i/>
                <w:sz w:val="22"/>
              </w:rPr>
            </w:pPr>
            <w:r>
              <w:rPr>
                <w:rFonts w:ascii="Times New Roman;serif" w:hAnsi="Times New Roman;serif"/>
                <w:b w:val="false"/>
                <w:i/>
                <w:sz w:val="22"/>
              </w:rPr>
              <w:t>Mine Safety Disclosures</w:t>
            </w:r>
            <w:bookmarkStart w:id="13" w:name="MineSafetyDisclosures"/>
            <w:bookmarkEnd w:id="13"/>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Not applicable.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PART II</w:t>
      </w:r>
    </w:p>
    <w:tbl>
      <w:tblPr>
        <w:tblW w:w="10205" w:type="dxa"/>
        <w:jc w:val="left"/>
        <w:tblInd w:w="0" w:type="dxa"/>
        <w:tblLayout w:type="fixed"/>
        <w:tblCellMar>
          <w:top w:w="0" w:type="dxa"/>
          <w:left w:w="0" w:type="dxa"/>
          <w:bottom w:w="0" w:type="dxa"/>
          <w:right w:w="0" w:type="dxa"/>
        </w:tblCellMar>
      </w:tblPr>
      <w:tblGrid>
        <w:gridCol w:w="760"/>
        <w:gridCol w:w="9445"/>
      </w:tblGrid>
      <w:tr>
        <w:trPr/>
        <w:tc>
          <w:tcPr>
            <w:tcW w:w="760" w:type="dxa"/>
            <w:tcBorders/>
            <w:vAlign w:val="center"/>
          </w:tcPr>
          <w:p>
            <w:pPr>
              <w:pStyle w:val="TableContents"/>
              <w:bidi w:val="0"/>
              <w:spacing w:before="0" w:after="283"/>
              <w:jc w:val="left"/>
              <w:rPr>
                <w:sz w:val="4"/>
                <w:szCs w:val="4"/>
              </w:rPr>
            </w:pPr>
            <w:r>
              <w:rPr>
                <w:sz w:val="4"/>
                <w:szCs w:val="4"/>
              </w:rPr>
            </w:r>
          </w:p>
        </w:tc>
        <w:tc>
          <w:tcPr>
            <w:tcW w:w="9445" w:type="dxa"/>
            <w:tcBorders/>
            <w:vAlign w:val="center"/>
          </w:tcPr>
          <w:p>
            <w:pPr>
              <w:pStyle w:val="TableContents"/>
              <w:bidi w:val="0"/>
              <w:spacing w:before="0" w:after="283"/>
              <w:jc w:val="left"/>
              <w:rPr>
                <w:sz w:val="4"/>
                <w:szCs w:val="4"/>
              </w:rPr>
            </w:pPr>
            <w:r>
              <w:rPr>
                <w:sz w:val="4"/>
                <w:szCs w:val="4"/>
              </w:rPr>
            </w:r>
          </w:p>
        </w:tc>
      </w:tr>
      <w:tr>
        <w:trPr/>
        <w:tc>
          <w:tcPr>
            <w:tcW w:w="760" w:type="dxa"/>
            <w:tcBorders/>
            <w:vAlign w:val="center"/>
          </w:tcPr>
          <w:p>
            <w:pPr>
              <w:pStyle w:val="TableContents"/>
              <w:bidi w:val="0"/>
              <w:spacing w:lineRule="auto" w:line="192" w:before="0" w:after="283"/>
              <w:jc w:val="both"/>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5.</w:t>
            </w:r>
          </w:p>
        </w:tc>
        <w:tc>
          <w:tcPr>
            <w:tcW w:w="9445" w:type="dxa"/>
            <w:tcBorders/>
            <w:vAlign w:val="center"/>
          </w:tcPr>
          <w:p>
            <w:pPr>
              <w:pStyle w:val="TableContents"/>
              <w:bidi w:val="0"/>
              <w:spacing w:lineRule="auto" w:line="192" w:before="0" w:after="283"/>
              <w:jc w:val="both"/>
              <w:rPr>
                <w:rFonts w:ascii="Times New Roman;serif" w:hAnsi="Times New Roman;serif"/>
                <w:b w:val="false"/>
                <w:i/>
                <w:sz w:val="22"/>
              </w:rPr>
            </w:pPr>
            <w:r>
              <w:rPr>
                <w:rFonts w:ascii="Times New Roman;serif" w:hAnsi="Times New Roman;serif"/>
                <w:b w:val="false"/>
                <w:i/>
                <w:sz w:val="22"/>
              </w:rPr>
              <w:t>Market for the Registrant's Common Stock, Related Stockholder Matters and Purchases of Equity Securities</w:t>
            </w:r>
            <w:bookmarkStart w:id="14" w:name="MarketforRegistrantsCommonStock"/>
            <w:bookmarkEnd w:id="14"/>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Our common stock is traded on the New York Stock Exchange under the ticker symbol WTRG. As of February 24, 2025, there were approximately 17,045 holders of record of our common stock.</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following table shows the cash dividends per share for the periods indicated: </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82"/>
        <w:gridCol w:w="267"/>
        <w:gridCol w:w="977"/>
        <w:gridCol w:w="320"/>
        <w:gridCol w:w="1170"/>
        <w:gridCol w:w="286"/>
        <w:gridCol w:w="1048"/>
        <w:gridCol w:w="306"/>
        <w:gridCol w:w="1119"/>
        <w:gridCol w:w="329"/>
        <w:gridCol w:w="226"/>
        <w:gridCol w:w="875"/>
      </w:tblGrid>
      <w:tr>
        <w:trPr/>
        <w:tc>
          <w:tcPr>
            <w:tcW w:w="3282" w:type="dxa"/>
            <w:tcBorders/>
            <w:shd w:fill="FFFFFF" w:val="clear"/>
            <w:vAlign w:val="center"/>
          </w:tcPr>
          <w:p>
            <w:pPr>
              <w:pStyle w:val="TableContents"/>
              <w:bidi w:val="0"/>
              <w:spacing w:before="0" w:after="283"/>
              <w:jc w:val="left"/>
              <w:rPr>
                <w:sz w:val="4"/>
                <w:szCs w:val="4"/>
              </w:rPr>
            </w:pPr>
            <w:r>
              <w:rPr>
                <w:sz w:val="4"/>
                <w:szCs w:val="4"/>
              </w:rPr>
            </w:r>
          </w:p>
        </w:tc>
        <w:tc>
          <w:tcPr>
            <w:tcW w:w="267" w:type="dxa"/>
            <w:tcBorders/>
            <w:shd w:fill="FFFFFF" w:val="clear"/>
            <w:vAlign w:val="center"/>
          </w:tcPr>
          <w:p>
            <w:pPr>
              <w:pStyle w:val="TableContents"/>
              <w:bidi w:val="0"/>
              <w:spacing w:before="0" w:after="283"/>
              <w:jc w:val="left"/>
              <w:rPr>
                <w:sz w:val="4"/>
                <w:szCs w:val="4"/>
              </w:rPr>
            </w:pPr>
            <w:r>
              <w:rPr>
                <w:sz w:val="4"/>
                <w:szCs w:val="4"/>
              </w:rPr>
            </w:r>
          </w:p>
        </w:tc>
        <w:tc>
          <w:tcPr>
            <w:tcW w:w="977" w:type="dxa"/>
            <w:tcBorders/>
            <w:shd w:fill="FFFFFF" w:val="clear"/>
            <w:vAlign w:val="center"/>
          </w:tcPr>
          <w:p>
            <w:pPr>
              <w:pStyle w:val="TableContents"/>
              <w:bidi w:val="0"/>
              <w:spacing w:before="0" w:after="283"/>
              <w:jc w:val="left"/>
              <w:rPr>
                <w:sz w:val="4"/>
                <w:szCs w:val="4"/>
              </w:rPr>
            </w:pPr>
            <w:r>
              <w:rPr>
                <w:sz w:val="4"/>
                <w:szCs w:val="4"/>
              </w:rPr>
            </w:r>
          </w:p>
        </w:tc>
        <w:tc>
          <w:tcPr>
            <w:tcW w:w="320" w:type="dxa"/>
            <w:tcBorders/>
            <w:shd w:fill="FFFFFF" w:val="clear"/>
            <w:vAlign w:val="center"/>
          </w:tcPr>
          <w:p>
            <w:pPr>
              <w:pStyle w:val="TableContents"/>
              <w:bidi w:val="0"/>
              <w:spacing w:before="0" w:after="283"/>
              <w:jc w:val="left"/>
              <w:rPr>
                <w:sz w:val="4"/>
                <w:szCs w:val="4"/>
              </w:rPr>
            </w:pPr>
            <w:r>
              <w:rPr>
                <w:sz w:val="4"/>
                <w:szCs w:val="4"/>
              </w:rPr>
            </w:r>
          </w:p>
        </w:tc>
        <w:tc>
          <w:tcPr>
            <w:tcW w:w="1170" w:type="dxa"/>
            <w:tcBorders/>
            <w:shd w:fill="FFFFFF" w:val="clear"/>
            <w:vAlign w:val="center"/>
          </w:tcPr>
          <w:p>
            <w:pPr>
              <w:pStyle w:val="TableContents"/>
              <w:bidi w:val="0"/>
              <w:spacing w:before="0" w:after="283"/>
              <w:jc w:val="left"/>
              <w:rPr>
                <w:sz w:val="4"/>
                <w:szCs w:val="4"/>
              </w:rPr>
            </w:pPr>
            <w:r>
              <w:rPr>
                <w:sz w:val="4"/>
                <w:szCs w:val="4"/>
              </w:rPr>
            </w:r>
          </w:p>
        </w:tc>
        <w:tc>
          <w:tcPr>
            <w:tcW w:w="286" w:type="dxa"/>
            <w:tcBorders/>
            <w:shd w:fill="FFFFFF" w:val="clear"/>
            <w:vAlign w:val="center"/>
          </w:tcPr>
          <w:p>
            <w:pPr>
              <w:pStyle w:val="TableContents"/>
              <w:bidi w:val="0"/>
              <w:spacing w:before="0" w:after="283"/>
              <w:jc w:val="left"/>
              <w:rPr>
                <w:sz w:val="4"/>
                <w:szCs w:val="4"/>
              </w:rPr>
            </w:pPr>
            <w:r>
              <w:rPr>
                <w:sz w:val="4"/>
                <w:szCs w:val="4"/>
              </w:rPr>
            </w:r>
          </w:p>
        </w:tc>
        <w:tc>
          <w:tcPr>
            <w:tcW w:w="1048" w:type="dxa"/>
            <w:tcBorders/>
            <w:shd w:fill="FFFFFF" w:val="clear"/>
            <w:vAlign w:val="center"/>
          </w:tcPr>
          <w:p>
            <w:pPr>
              <w:pStyle w:val="TableContents"/>
              <w:bidi w:val="0"/>
              <w:spacing w:before="0" w:after="283"/>
              <w:jc w:val="left"/>
              <w:rPr>
                <w:sz w:val="4"/>
                <w:szCs w:val="4"/>
              </w:rPr>
            </w:pPr>
            <w:r>
              <w:rPr>
                <w:sz w:val="4"/>
                <w:szCs w:val="4"/>
              </w:rPr>
            </w:r>
          </w:p>
        </w:tc>
        <w:tc>
          <w:tcPr>
            <w:tcW w:w="306" w:type="dxa"/>
            <w:tcBorders/>
            <w:shd w:fill="FFFFFF" w:val="clear"/>
            <w:vAlign w:val="center"/>
          </w:tcPr>
          <w:p>
            <w:pPr>
              <w:pStyle w:val="TableContents"/>
              <w:bidi w:val="0"/>
              <w:spacing w:before="0" w:after="283"/>
              <w:jc w:val="left"/>
              <w:rPr>
                <w:sz w:val="4"/>
                <w:szCs w:val="4"/>
              </w:rPr>
            </w:pPr>
            <w:r>
              <w:rPr>
                <w:sz w:val="4"/>
                <w:szCs w:val="4"/>
              </w:rPr>
            </w:r>
          </w:p>
        </w:tc>
        <w:tc>
          <w:tcPr>
            <w:tcW w:w="1119" w:type="dxa"/>
            <w:tcBorders/>
            <w:shd w:fill="FFFFFF" w:val="clear"/>
            <w:vAlign w:val="center"/>
          </w:tcPr>
          <w:p>
            <w:pPr>
              <w:pStyle w:val="TableContents"/>
              <w:bidi w:val="0"/>
              <w:spacing w:before="0" w:after="283"/>
              <w:jc w:val="left"/>
              <w:rPr>
                <w:sz w:val="4"/>
                <w:szCs w:val="4"/>
              </w:rPr>
            </w:pPr>
            <w:r>
              <w:rPr>
                <w:sz w:val="4"/>
                <w:szCs w:val="4"/>
              </w:rPr>
            </w:r>
          </w:p>
        </w:tc>
        <w:tc>
          <w:tcPr>
            <w:tcW w:w="32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75" w:type="dxa"/>
            <w:tcBorders/>
            <w:shd w:fill="FFFFFF" w:val="clear"/>
            <w:vAlign w:val="center"/>
          </w:tcPr>
          <w:p>
            <w:pPr>
              <w:pStyle w:val="TableContents"/>
              <w:bidi w:val="0"/>
              <w:spacing w:before="0" w:after="283"/>
              <w:jc w:val="left"/>
              <w:rPr>
                <w:sz w:val="4"/>
                <w:szCs w:val="4"/>
              </w:rPr>
            </w:pPr>
            <w:r>
              <w:rPr>
                <w:sz w:val="4"/>
                <w:szCs w:val="4"/>
              </w:rPr>
            </w:r>
          </w:p>
        </w:tc>
      </w:tr>
      <w:tr>
        <w:trPr/>
        <w:tc>
          <w:tcPr>
            <w:tcW w:w="3282" w:type="dxa"/>
            <w:tcBorders/>
            <w:shd w:fill="FFFFFF" w:val="clear"/>
            <w:vAlign w:val="center"/>
          </w:tcPr>
          <w:p>
            <w:pPr>
              <w:pStyle w:val="TableContents"/>
              <w:bidi w:val="0"/>
              <w:spacing w:before="0" w:after="283"/>
              <w:jc w:val="left"/>
              <w:rPr>
                <w:sz w:val="4"/>
                <w:szCs w:val="4"/>
              </w:rPr>
            </w:pPr>
            <w:r>
              <w:rPr>
                <w:sz w:val="4"/>
                <w:szCs w:val="4"/>
              </w:rPr>
            </w:r>
          </w:p>
        </w:tc>
        <w:tc>
          <w:tcPr>
            <w:tcW w:w="1244"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First Quarter</w:t>
            </w:r>
          </w:p>
        </w:tc>
        <w:tc>
          <w:tcPr>
            <w:tcW w:w="1490"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Second Quarter</w:t>
            </w:r>
          </w:p>
        </w:tc>
        <w:tc>
          <w:tcPr>
            <w:tcW w:w="1334"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Third Quarter</w:t>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Fourth Quarter</w:t>
            </w:r>
          </w:p>
        </w:tc>
        <w:tc>
          <w:tcPr>
            <w:tcW w:w="32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01"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Year </w:t>
            </w:r>
          </w:p>
        </w:tc>
      </w:tr>
      <w:tr>
        <w:trPr/>
        <w:tc>
          <w:tcPr>
            <w:tcW w:w="3282" w:type="dxa"/>
            <w:tcBorders>
              <w:bottom w:val="single" w:sz="8" w:space="0" w:color="000000"/>
            </w:tcBorders>
            <w:shd w:fill="FFFFFF" w:val="clear"/>
            <w:tcMar>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6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7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7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4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1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7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3282"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Dividend paid per common share</w:t>
            </w:r>
          </w:p>
        </w:tc>
        <w:tc>
          <w:tcPr>
            <w:tcW w:w="267"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77"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0.3071 </w:t>
            </w:r>
          </w:p>
        </w:tc>
        <w:tc>
          <w:tcPr>
            <w:tcW w:w="320"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70"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0.3071 </w:t>
            </w:r>
          </w:p>
        </w:tc>
        <w:tc>
          <w:tcPr>
            <w:tcW w:w="28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48"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0.3255 </w:t>
            </w:r>
          </w:p>
        </w:tc>
        <w:tc>
          <w:tcPr>
            <w:tcW w:w="30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19"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0.3255 </w:t>
            </w:r>
          </w:p>
        </w:tc>
        <w:tc>
          <w:tcPr>
            <w:tcW w:w="32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75"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1.2652 </w:t>
            </w:r>
          </w:p>
        </w:tc>
      </w:tr>
      <w:tr>
        <w:trPr/>
        <w:tc>
          <w:tcPr>
            <w:tcW w:w="3282"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Dividend declared per common share</w:t>
            </w:r>
          </w:p>
        </w:tc>
        <w:tc>
          <w:tcPr>
            <w:tcW w:w="26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0.3071 </w:t>
            </w:r>
          </w:p>
        </w:tc>
        <w:tc>
          <w:tcPr>
            <w:tcW w:w="32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7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8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0.3255 </w:t>
            </w:r>
          </w:p>
        </w:tc>
        <w:tc>
          <w:tcPr>
            <w:tcW w:w="30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0.6510 </w:t>
            </w:r>
          </w:p>
        </w:tc>
        <w:tc>
          <w:tcPr>
            <w:tcW w:w="329"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1.2836 </w:t>
            </w:r>
          </w:p>
        </w:tc>
      </w:tr>
      <w:tr>
        <w:trPr/>
        <w:tc>
          <w:tcPr>
            <w:tcW w:w="3282" w:type="dxa"/>
            <w:tcBorders/>
            <w:shd w:fill="CCEEFF" w:val="clear"/>
            <w:vAlign w:val="center"/>
          </w:tcPr>
          <w:p>
            <w:pPr>
              <w:pStyle w:val="TableContents"/>
              <w:bidi w:val="0"/>
              <w:spacing w:before="0" w:after="283"/>
              <w:jc w:val="left"/>
              <w:rPr>
                <w:sz w:val="4"/>
                <w:szCs w:val="4"/>
              </w:rPr>
            </w:pPr>
            <w:r>
              <w:rPr>
                <w:sz w:val="4"/>
                <w:szCs w:val="4"/>
              </w:rPr>
            </w:r>
          </w:p>
        </w:tc>
        <w:tc>
          <w:tcPr>
            <w:tcW w:w="267" w:type="dxa"/>
            <w:tcBorders/>
            <w:shd w:fill="CCEEFF" w:val="clear"/>
            <w:vAlign w:val="center"/>
          </w:tcPr>
          <w:p>
            <w:pPr>
              <w:pStyle w:val="TableContents"/>
              <w:bidi w:val="0"/>
              <w:spacing w:before="0" w:after="283"/>
              <w:jc w:val="left"/>
              <w:rPr>
                <w:sz w:val="4"/>
                <w:szCs w:val="4"/>
              </w:rPr>
            </w:pPr>
            <w:r>
              <w:rPr>
                <w:sz w:val="4"/>
                <w:szCs w:val="4"/>
              </w:rPr>
            </w:r>
          </w:p>
        </w:tc>
        <w:tc>
          <w:tcPr>
            <w:tcW w:w="977" w:type="dxa"/>
            <w:tcBorders/>
            <w:shd w:fill="CCEEFF" w:val="clear"/>
            <w:vAlign w:val="center"/>
          </w:tcPr>
          <w:p>
            <w:pPr>
              <w:pStyle w:val="TableContents"/>
              <w:bidi w:val="0"/>
              <w:spacing w:before="0" w:after="283"/>
              <w:jc w:val="left"/>
              <w:rPr>
                <w:sz w:val="4"/>
                <w:szCs w:val="4"/>
              </w:rPr>
            </w:pPr>
            <w:r>
              <w:rPr>
                <w:sz w:val="4"/>
                <w:szCs w:val="4"/>
              </w:rPr>
            </w:r>
          </w:p>
        </w:tc>
        <w:tc>
          <w:tcPr>
            <w:tcW w:w="320" w:type="dxa"/>
            <w:tcBorders/>
            <w:shd w:fill="CCEEFF" w:val="clear"/>
            <w:vAlign w:val="center"/>
          </w:tcPr>
          <w:p>
            <w:pPr>
              <w:pStyle w:val="TableContents"/>
              <w:bidi w:val="0"/>
              <w:spacing w:before="0" w:after="283"/>
              <w:jc w:val="left"/>
              <w:rPr>
                <w:sz w:val="4"/>
                <w:szCs w:val="4"/>
              </w:rPr>
            </w:pPr>
            <w:r>
              <w:rPr>
                <w:sz w:val="4"/>
                <w:szCs w:val="4"/>
              </w:rPr>
            </w:r>
          </w:p>
        </w:tc>
        <w:tc>
          <w:tcPr>
            <w:tcW w:w="1170" w:type="dxa"/>
            <w:tcBorders/>
            <w:shd w:fill="CCEEFF" w:val="clear"/>
            <w:vAlign w:val="center"/>
          </w:tcPr>
          <w:p>
            <w:pPr>
              <w:pStyle w:val="TableContents"/>
              <w:bidi w:val="0"/>
              <w:spacing w:before="0" w:after="283"/>
              <w:jc w:val="left"/>
              <w:rPr>
                <w:sz w:val="4"/>
                <w:szCs w:val="4"/>
              </w:rPr>
            </w:pPr>
            <w:r>
              <w:rPr>
                <w:sz w:val="4"/>
                <w:szCs w:val="4"/>
              </w:rPr>
            </w:r>
          </w:p>
        </w:tc>
        <w:tc>
          <w:tcPr>
            <w:tcW w:w="286" w:type="dxa"/>
            <w:tcBorders/>
            <w:shd w:fill="CCEEFF" w:val="clear"/>
            <w:vAlign w:val="center"/>
          </w:tcPr>
          <w:p>
            <w:pPr>
              <w:pStyle w:val="TableContents"/>
              <w:bidi w:val="0"/>
              <w:spacing w:before="0" w:after="283"/>
              <w:jc w:val="left"/>
              <w:rPr>
                <w:sz w:val="4"/>
                <w:szCs w:val="4"/>
              </w:rPr>
            </w:pPr>
            <w:r>
              <w:rPr>
                <w:sz w:val="4"/>
                <w:szCs w:val="4"/>
              </w:rPr>
            </w:r>
          </w:p>
        </w:tc>
        <w:tc>
          <w:tcPr>
            <w:tcW w:w="1048" w:type="dxa"/>
            <w:tcBorders/>
            <w:shd w:fill="CCEEFF" w:val="clear"/>
            <w:vAlign w:val="center"/>
          </w:tcPr>
          <w:p>
            <w:pPr>
              <w:pStyle w:val="TableContents"/>
              <w:bidi w:val="0"/>
              <w:spacing w:before="0" w:after="283"/>
              <w:jc w:val="left"/>
              <w:rPr>
                <w:sz w:val="4"/>
                <w:szCs w:val="4"/>
              </w:rPr>
            </w:pPr>
            <w:r>
              <w:rPr>
                <w:sz w:val="4"/>
                <w:szCs w:val="4"/>
              </w:rPr>
            </w:r>
          </w:p>
        </w:tc>
        <w:tc>
          <w:tcPr>
            <w:tcW w:w="306" w:type="dxa"/>
            <w:tcBorders/>
            <w:shd w:fill="CCEEFF" w:val="clear"/>
            <w:vAlign w:val="center"/>
          </w:tcPr>
          <w:p>
            <w:pPr>
              <w:pStyle w:val="TableContents"/>
              <w:bidi w:val="0"/>
              <w:spacing w:before="0" w:after="283"/>
              <w:jc w:val="left"/>
              <w:rPr>
                <w:sz w:val="4"/>
                <w:szCs w:val="4"/>
              </w:rPr>
            </w:pPr>
            <w:r>
              <w:rPr>
                <w:sz w:val="4"/>
                <w:szCs w:val="4"/>
              </w:rPr>
            </w:r>
          </w:p>
        </w:tc>
        <w:tc>
          <w:tcPr>
            <w:tcW w:w="1119" w:type="dxa"/>
            <w:tcBorders/>
            <w:shd w:fill="CCEEFF" w:val="clear"/>
            <w:vAlign w:val="center"/>
          </w:tcPr>
          <w:p>
            <w:pPr>
              <w:pStyle w:val="TableContents"/>
              <w:bidi w:val="0"/>
              <w:spacing w:before="0" w:after="283"/>
              <w:jc w:val="left"/>
              <w:rPr>
                <w:sz w:val="4"/>
                <w:szCs w:val="4"/>
              </w:rPr>
            </w:pPr>
            <w:r>
              <w:rPr>
                <w:sz w:val="4"/>
                <w:szCs w:val="4"/>
              </w:rPr>
            </w:r>
          </w:p>
        </w:tc>
        <w:tc>
          <w:tcPr>
            <w:tcW w:w="32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r>
      <w:tr>
        <w:trPr/>
        <w:tc>
          <w:tcPr>
            <w:tcW w:w="3282" w:type="dxa"/>
            <w:tcBorders>
              <w:bottom w:val="single" w:sz="8" w:space="0" w:color="000000"/>
            </w:tcBorders>
            <w:tcMar>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26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7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8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0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1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2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3282"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Dividend paid per common share</w:t>
            </w:r>
          </w:p>
        </w:tc>
        <w:tc>
          <w:tcPr>
            <w:tcW w:w="267"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77"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0.2870 </w:t>
            </w:r>
          </w:p>
        </w:tc>
        <w:tc>
          <w:tcPr>
            <w:tcW w:w="320"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70"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0.2870 </w:t>
            </w:r>
          </w:p>
        </w:tc>
        <w:tc>
          <w:tcPr>
            <w:tcW w:w="28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48"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0.3071 </w:t>
            </w:r>
          </w:p>
        </w:tc>
        <w:tc>
          <w:tcPr>
            <w:tcW w:w="30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19"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0.3071 </w:t>
            </w:r>
          </w:p>
        </w:tc>
        <w:tc>
          <w:tcPr>
            <w:tcW w:w="32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75"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1.1882 </w:t>
            </w:r>
          </w:p>
        </w:tc>
      </w:tr>
      <w:tr>
        <w:trPr/>
        <w:tc>
          <w:tcPr>
            <w:tcW w:w="3282"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Dividend declared per common share</w:t>
            </w:r>
          </w:p>
        </w:tc>
        <w:tc>
          <w:tcPr>
            <w:tcW w:w="26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0.2870 </w:t>
            </w:r>
          </w:p>
        </w:tc>
        <w:tc>
          <w:tcPr>
            <w:tcW w:w="32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86"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0.3071 </w:t>
            </w:r>
          </w:p>
        </w:tc>
        <w:tc>
          <w:tcPr>
            <w:tcW w:w="30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0.6142 </w:t>
            </w:r>
          </w:p>
        </w:tc>
        <w:tc>
          <w:tcPr>
            <w:tcW w:w="329"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1.2083 </w:t>
            </w:r>
          </w:p>
        </w:tc>
      </w:tr>
    </w:tbl>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t>
      </w:r>
      <w:r>
        <w:rPr>
          <w:rFonts w:ascii="Times New Roman;serif" w:hAnsi="Times New Roman;serif"/>
          <w:sz w:val="20"/>
        </w:rPr>
        <w:t xml:space="preserve"> </w:t>
      </w:r>
      <w:r>
        <w:rPr>
          <w:rFonts w:ascii="Times New Roman;serif" w:hAnsi="Times New Roman;serif"/>
          <w:b w:val="false"/>
          <w:i/>
          <w:sz w:val="20"/>
        </w:rPr>
        <w:t>includes dividends declared in December 2024 that are payable to shareholders on March 3 of the subsequent year</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sz w:val="20"/>
        </w:rPr>
        <w:t>**</w:t>
      </w:r>
      <w:r>
        <w:rPr>
          <w:rFonts w:ascii="Times New Roman;serif" w:hAnsi="Times New Roman;serif"/>
          <w:b w:val="false"/>
          <w:i/>
          <w:sz w:val="20"/>
        </w:rPr>
        <w:t>includes dividends declared in December 2023 that are payable to shareholders on March 1 of the subsequent year</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have paid dividends consecutively for 80 years. On July 31, 2024, our Board of Directors authorized an increase of 6.0% in the September 3, 2024 quarterly dividend over the dividend Essential Utilities paid in the previous quarter. As a result of this authorization, beginning with the dividend payment in September 2024, the annualized dividend rate increased to $1.302 per share. This is the 34th dividend increase in the past 33 years and the 26th consecutive year that we have increased our dividend in excess of five percent. We presently intend to pay quarterly cash dividends in the future, on March 1, June 1, September 1, and December 1, subject to our earnings and financial condition, restrictions set forth in our debt instruments, regulatory requirements, and such other factors as our Board of Directors may deem relevant. In 2024, our dividends paid represented 58.2% of net income.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Information with respect to restrictions set forth in our debt instruments is disclosed in Note 11</w:t>
      </w:r>
      <w:r>
        <w:rPr>
          <w:rFonts w:ascii="Times New Roman;serif" w:hAnsi="Times New Roman;serif"/>
          <w:sz w:val="22"/>
        </w:rPr>
        <w:t xml:space="preserve"> – </w:t>
      </w:r>
      <w:r>
        <w:rPr>
          <w:rFonts w:ascii="Times New Roman;serif" w:hAnsi="Times New Roman;serif"/>
          <w:b w:val="false"/>
          <w:i/>
          <w:sz w:val="22"/>
        </w:rPr>
        <w:t xml:space="preserve">Long-term Debt and Loans Payable </w:t>
      </w:r>
      <w:r>
        <w:rPr>
          <w:rFonts w:ascii="Times New Roman;serif" w:hAnsi="Times New Roman;serif"/>
          <w:b w:val="false"/>
          <w:i w:val="false"/>
          <w:caps w:val="false"/>
          <w:smallCaps w:val="false"/>
          <w:sz w:val="22"/>
        </w:rPr>
        <w:t xml:space="preserve">in the </w:t>
      </w:r>
      <w:r>
        <w:rPr>
          <w:rFonts w:ascii="Times New Roman;serif" w:hAnsi="Times New Roman;serif"/>
          <w:b w:val="false"/>
          <w:i/>
          <w:sz w:val="22"/>
        </w:rPr>
        <w:t>Notes to Consolidated Financial Statements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which is contained in Item 8 of this Annual Report.</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During the fourth quarter of 2024, the Company did not repurchase any of its equity securities under any repurchase plan or program. </w:t>
      </w:r>
    </w:p>
    <w:p>
      <w:pPr>
        <w:pStyle w:val="TextBody"/>
        <w:bidi w:val="0"/>
        <w:spacing w:lineRule="auto" w:line="259" w:before="0" w:after="100"/>
        <w:rPr>
          <w:rFonts w:ascii="Times New Roman;serif" w:hAnsi="Times New Roman;serif"/>
          <w:sz w:val="22"/>
        </w:rPr>
      </w:pPr>
      <w:r>
        <w:rPr>
          <w:rFonts w:ascii="Times New Roman;serif" w:hAnsi="Times New Roman;serif"/>
          <w:b w:val="false"/>
          <w:i w:val="false"/>
          <w:caps w:val="false"/>
          <w:smallCaps w:val="false"/>
          <w:sz w:val="22"/>
        </w:rPr>
        <w:t>Item</w:t>
      </w:r>
      <w:bookmarkStart w:id="15" w:name="Reserved"/>
      <w:bookmarkEnd w:id="15"/>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6. </w:t>
      </w:r>
      <w:r>
        <w:rPr>
          <w:rFonts w:ascii="Times New Roman;serif" w:hAnsi="Times New Roman;serif"/>
          <w:b w:val="false"/>
          <w:i/>
          <w:sz w:val="22"/>
        </w:rPr>
        <w:t>[RESERVED]</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192"/>
        <w:ind w:left="1440" w:right="0" w:hanging="1440"/>
        <w:jc w:val="both"/>
        <w:rPr>
          <w:rFonts w:ascii="Times New Roman;serif" w:hAnsi="Times New Roman;serif"/>
          <w:b w:val="false"/>
          <w:i w:val="false"/>
          <w:caps w:val="false"/>
          <w:smallCaps w:val="false"/>
          <w:sz w:val="2"/>
        </w:rPr>
      </w:pPr>
      <w:r>
        <w:rPr>
          <w:rFonts w:ascii="Times New Roman;serif" w:hAnsi="Times New Roman;serif"/>
          <w:b w:val="false"/>
          <w:i w:val="false"/>
          <w:caps w:val="false"/>
          <w:smallCaps w:val="false"/>
          <w:sz w:val="2"/>
        </w:rPr>
        <w:t>3210</w:t>
      </w:r>
    </w:p>
    <w:tbl>
      <w:tblPr>
        <w:tblW w:w="9301" w:type="dxa"/>
        <w:jc w:val="left"/>
        <w:tblInd w:w="0" w:type="dxa"/>
        <w:tblLayout w:type="fixed"/>
        <w:tblCellMar>
          <w:top w:w="0" w:type="dxa"/>
          <w:left w:w="0" w:type="dxa"/>
          <w:bottom w:w="0" w:type="dxa"/>
          <w:right w:w="0" w:type="dxa"/>
        </w:tblCellMar>
      </w:tblPr>
      <w:tblGrid>
        <w:gridCol w:w="781"/>
        <w:gridCol w:w="3531"/>
        <w:gridCol w:w="4989"/>
      </w:tblGrid>
      <w:tr>
        <w:trPr/>
        <w:tc>
          <w:tcPr>
            <w:tcW w:w="781" w:type="dxa"/>
            <w:tcBorders/>
            <w:vAlign w:val="center"/>
          </w:tcPr>
          <w:p>
            <w:pPr>
              <w:pStyle w:val="TableContents"/>
              <w:bidi w:val="0"/>
              <w:spacing w:before="0" w:after="283"/>
              <w:jc w:val="left"/>
              <w:rPr>
                <w:sz w:val="4"/>
                <w:szCs w:val="4"/>
              </w:rPr>
            </w:pPr>
            <w:r>
              <w:rPr>
                <w:sz w:val="4"/>
                <w:szCs w:val="4"/>
              </w:rPr>
            </w:r>
          </w:p>
        </w:tc>
        <w:tc>
          <w:tcPr>
            <w:tcW w:w="3531" w:type="dxa"/>
            <w:tcBorders/>
            <w:vAlign w:val="center"/>
          </w:tcPr>
          <w:p>
            <w:pPr>
              <w:pStyle w:val="TableContents"/>
              <w:bidi w:val="0"/>
              <w:spacing w:before="0" w:after="283"/>
              <w:jc w:val="left"/>
              <w:rPr>
                <w:sz w:val="4"/>
                <w:szCs w:val="4"/>
              </w:rPr>
            </w:pPr>
            <w:r>
              <w:rPr>
                <w:sz w:val="4"/>
                <w:szCs w:val="4"/>
              </w:rPr>
            </w:r>
          </w:p>
        </w:tc>
        <w:tc>
          <w:tcPr>
            <w:tcW w:w="4989" w:type="dxa"/>
            <w:tcBorders/>
            <w:vAlign w:val="cente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lineRule="auto" w:line="192" w:before="0" w:after="283"/>
              <w:jc w:val="both"/>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7.</w:t>
            </w:r>
          </w:p>
        </w:tc>
        <w:tc>
          <w:tcPr>
            <w:tcW w:w="8520" w:type="dxa"/>
            <w:gridSpan w:val="2"/>
            <w:tcBorders/>
            <w:vAlign w:val="center"/>
          </w:tcPr>
          <w:p>
            <w:pPr>
              <w:pStyle w:val="TableContents"/>
              <w:bidi w:val="0"/>
              <w:spacing w:lineRule="auto" w:line="192" w:before="0" w:after="283"/>
              <w:jc w:val="left"/>
              <w:rPr>
                <w:rFonts w:ascii="Times New Roman;serif" w:hAnsi="Times New Roman;serif"/>
                <w:b w:val="false"/>
                <w:i/>
                <w:sz w:val="22"/>
              </w:rPr>
            </w:pPr>
            <w:r>
              <w:rPr>
                <w:rFonts w:ascii="Times New Roman;serif" w:hAnsi="Times New Roman;serif"/>
                <w:b w:val="false"/>
                <w:i/>
                <w:sz w:val="22"/>
              </w:rPr>
              <w:t>Management's Discussion and Analysis of Financial Condition and Results of Operations</w:t>
            </w:r>
            <w:bookmarkStart w:id="16" w:name="MDA"/>
            <w:bookmarkEnd w:id="16"/>
          </w:p>
        </w:tc>
      </w:tr>
    </w:tbl>
    <w:p>
      <w:pPr>
        <w:pStyle w:val="TextBody"/>
        <w:bidi w:val="0"/>
        <w:spacing w:lineRule="auto" w:line="259"/>
        <w:jc w:val="center"/>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OVERVIEW</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The following discussion and analysis of our financial condition and results of operations should be read together with our Consolidated Financial Statements and accompanying Notes included in this Annual Report. This discussion contains forward-looking statements that are based on management’s current expectations, estimates, and projections about our business, operations, and financial performance. All dollar amounts are in thousands of dollars, except per share amounts.</w:t>
      </w:r>
      <w:r>
        <w:rPr>
          <w:rFonts w:ascii="Times New Roman;serif" w:hAnsi="Times New Roman;serif"/>
          <w:caps w:val="false"/>
          <w:smallCaps w:val="false"/>
          <w:sz w:val="22"/>
        </w:rPr>
        <w:t xml:space="preserve"> </w:t>
      </w:r>
    </w:p>
    <w:p>
      <w:pPr>
        <w:pStyle w:val="TextBody"/>
        <w:bidi w:val="0"/>
        <w:spacing w:lineRule="auto" w:line="259"/>
        <w:rPr>
          <w:rFonts w:ascii="Times New Roman;serif" w:hAnsi="Times New Roman;serif"/>
          <w:b/>
          <w:i w:val="false"/>
          <w:caps w:val="false"/>
          <w:smallCaps w:val="false"/>
          <w:sz w:val="22"/>
          <w:u w:val="single"/>
        </w:rPr>
      </w:pPr>
      <w:r>
        <w:rPr>
          <w:rFonts w:ascii="Times New Roman;serif" w:hAnsi="Times New Roman;serif"/>
          <w:b/>
          <w:i w:val="false"/>
          <w:caps w:val="false"/>
          <w:smallCaps w:val="false"/>
          <w:sz w:val="22"/>
          <w:u w:val="single"/>
        </w:rPr>
        <w:t>The Company</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Essential Utilities, Inc., (Essential Utilities, the Company, we, us, or our), a Pennsylvania corporation, is the holding company for regulated utilities providing water, wastewater, or natural gas services to an estimated 5.5 million people in Pennsylvania, Ohio, Texas, Illinois, North Carolina, New Jersey, Indiana, Virginia, and Kentucky under the Aqua and Peoples brands. One of our largest operating subsidiaries, Aqua Pennsylvania, Inc. (Aqua Pennsylvania), provides water or wastewater services to approximately one-half of the total number of water or wastewater customers we serve. These customers are located in the suburban areas in counties north and west of the City of Philadelphia and in 27 other counties in Pennsylvania. Our other regulated water or wastewater utility subsidiaries provide similar services in seven additional states. Our Peoples subsidiaries provide natural gas service to approximately 745,000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customers in western Pennsylvania and Kentucky. Approximately 95% of the total number of natural gas utility customers we serve are in western Pennsylvania.</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Lastly, the Company’s market-based activities are conducted through Aqua Resources, Inc. and certain other non-regulated subsidiaries of Peoples. Aqua Resources offers, through a third-party, water and sewer service line protection solutions and repair services to households. Other non-regulated subsidiaries of Peoples provide utility service line protection services to households and operate gas marketing and production businesses.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In October 2023, the Company completed the sale of its regulated natural gas utility assets in West Virginia, which represented approximately two percent of the Company’s regulated natural gas customers. The Company initially received net cash proceeds of $39,965, subject to working capital and other adjustments. In March 2024, the Company received an additional $1,213 from the buyer. In January 2024, the Company completed the sale of its interest in three non-utility local microgrid and distributed energy projects for $165,000. These transactions are consistent with the Company’s long-term strategy of focusing on its core business and will allow the Company to prioritize the growth of its utilities in states where it has scale. The Company used the proceeds from these transactions to finance its capital expenditures and water and wastewater acquisitions, in place of external funding from equity and debt issuances. See Note 3 –</w:t>
      </w:r>
      <w:r>
        <w:rPr>
          <w:rFonts w:ascii="Times New Roman;serif" w:hAnsi="Times New Roman;serif"/>
          <w:sz w:val="22"/>
        </w:rPr>
        <w:t xml:space="preserve"> </w:t>
      </w:r>
      <w:r>
        <w:rPr>
          <w:rFonts w:ascii="Times New Roman;serif" w:hAnsi="Times New Roman;serif"/>
          <w:b w:val="false"/>
          <w:i/>
          <w:sz w:val="22"/>
        </w:rPr>
        <w:t>Dispositions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in the </w:t>
      </w:r>
      <w:r>
        <w:rPr>
          <w:rFonts w:ascii="Times New Roman;serif" w:hAnsi="Times New Roman;serif"/>
          <w:b w:val="false"/>
          <w:i/>
          <w:sz w:val="22"/>
        </w:rPr>
        <w:t>Notes to Consolidated Financial Statements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which is contained in Item 8 of this Annual Report for additional information. </w:t>
      </w:r>
    </w:p>
    <w:p>
      <w:pPr>
        <w:pStyle w:val="TextBody"/>
        <w:bidi w:val="0"/>
        <w:spacing w:lineRule="auto" w:line="259"/>
        <w:rPr>
          <w:rFonts w:ascii="Times New Roman;serif" w:hAnsi="Times New Roman;serif"/>
          <w:b/>
          <w:i w:val="false"/>
          <w:caps w:val="false"/>
          <w:smallCaps w:val="false"/>
          <w:sz w:val="22"/>
          <w:u w:val="single"/>
        </w:rPr>
      </w:pPr>
      <w:r>
        <w:rPr>
          <w:rFonts w:ascii="Times New Roman;serif" w:hAnsi="Times New Roman;serif"/>
          <w:b/>
          <w:i w:val="false"/>
          <w:caps w:val="false"/>
          <w:smallCaps w:val="false"/>
          <w:sz w:val="22"/>
          <w:u w:val="single"/>
        </w:rPr>
        <w:t>Recent Developments</w:t>
      </w:r>
    </w:p>
    <w:p>
      <w:pPr>
        <w:pStyle w:val="TextBody"/>
        <w:bidi w:val="0"/>
        <w:spacing w:lineRule="auto" w:line="259"/>
        <w:rPr>
          <w:rFonts w:ascii="Times New Roman;serif" w:hAnsi="Times New Roman;serif"/>
          <w:b w:val="false"/>
          <w:i w:val="false"/>
          <w:caps w:val="false"/>
          <w:smallCaps w:val="false"/>
          <w:sz w:val="22"/>
          <w:u w:val="single"/>
        </w:rPr>
      </w:pPr>
      <w:r>
        <w:rPr>
          <w:rFonts w:ascii="Times New Roman;serif" w:hAnsi="Times New Roman;serif"/>
          <w:b w:val="false"/>
          <w:i w:val="false"/>
          <w:caps w:val="false"/>
          <w:smallCaps w:val="false"/>
          <w:sz w:val="22"/>
          <w:u w:val="single"/>
        </w:rPr>
        <w:t>Water Quality Standards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On April 10, 2024, the U.S. Environmental Protection Agency (“EPA”) announced the final National Primary Drinking Water Regulation (NPDWR) for the treatment of six per- and polyfluoroalkyl substances or compounds (“PFAS”). The NPDWR established the maximum contaminant levels (MCLs) in drinking water and allows for a five-year window to comply (Compliance Period). The Company performed its analysis of the NPDWR and estimated an investment of at least $450,000 of capital expenditures to install additional treatment facilities over the Compliance Period in order to comply (i.e., 2029 pending no delays due to lawsuits). This figure could increase as plans for construction execution are refined or if additional sites require treatment in the future. Additionally, the Company estimates annual operating expenses of approximately five percent of the installed capital expenditures, in today’s dollars, related to testing, treatment, and disposal. These were preliminary estimates and actual capital expenditures and expenses may differ based upon a variety of factors, including supply chain issues and site-by-site requirements. </w:t>
      </w:r>
    </w:p>
    <w:p>
      <w:pPr>
        <w:pStyle w:val="TextBody"/>
        <w:bidi w:val="0"/>
        <w:spacing w:lineRule="auto" w:line="259" w:before="0" w:after="100"/>
        <w:rPr>
          <w:rFonts w:ascii="Times New Roman;serif" w:hAnsi="Times New Roman;serif"/>
          <w:sz w:val="22"/>
        </w:rPr>
      </w:pPr>
      <w:r>
        <w:rPr>
          <w:rFonts w:ascii="Times New Roman;serif" w:hAnsi="Times New Roman;serif"/>
          <w:b w:val="false"/>
          <w:i w:val="false"/>
          <w:caps w:val="false"/>
          <w:smallCaps w:val="false"/>
          <w:sz w:val="22"/>
        </w:rPr>
        <w:br/>
        <w:t>‎</w:t>
      </w:r>
      <w:r>
        <w:rPr>
          <w:rFonts w:ascii="Times New Roman;serif" w:hAnsi="Times New Roman;serif"/>
          <w:caps w:val="false"/>
          <w:smallCaps w:val="false"/>
          <w:sz w:val="22"/>
        </w:rPr>
        <w:t xml:space="preser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On October 30, 2024, the EPA issued the final Lead and Copper Rule Improvements (LCRI) which requires water systems to identify and replace lead pipes by 2037, lowers the lead action level threshold, and requires more proactive communications about lead pipes and plans for replacements, among other items. The LCRI builds upon the Lead and Copper Rule Revisions (LCRR) issued in 2021 and the Lead and Copper Rule (LCR) issued in 1992. The Company has been replacing lead service lines as part of its ongoing water main replacement and service line renewal programs, and in accordance with applicable state regulations. Pursuant to the LCRR, the Company completed the submission of its initial lead service line inventories on October 14, 2024. The Company estimates that approximately 6% of its regulated water service systems contain some lead or galvanized service lines requiring replacement. The Company currently has budgeted approximately $210,000 of capital expenditures over the next five years for lead and galvanized service line replacement. Management is still reviewing the final LCRI and its impact to the Company.</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Capital expenditures and operating costs required as a result of water quality standards have traditionally been recognized by state utility commissions as appropriate for inclusion in establishing rates. Various federal and state funding programs are also available to help reduce costs for rate payers. The Company has been actively applying for grants and low interest loans, whenever possible, to reduce the overall cost to customers.</w:t>
      </w:r>
    </w:p>
    <w:p>
      <w:pPr>
        <w:pStyle w:val="TextBody"/>
        <w:bidi w:val="0"/>
        <w:spacing w:lineRule="auto" w:line="259"/>
        <w:rPr>
          <w:rFonts w:ascii="Times New Roman;serif" w:hAnsi="Times New Roman;serif"/>
          <w:b w:val="false"/>
          <w:i w:val="false"/>
          <w:caps w:val="false"/>
          <w:smallCaps w:val="false"/>
          <w:sz w:val="22"/>
          <w:u w:val="single"/>
        </w:rPr>
      </w:pPr>
      <w:r>
        <w:rPr>
          <w:rFonts w:ascii="Times New Roman;serif" w:hAnsi="Times New Roman;serif"/>
          <w:b w:val="false"/>
          <w:i w:val="false"/>
          <w:caps w:val="false"/>
          <w:smallCaps w:val="false"/>
          <w:sz w:val="22"/>
          <w:u w:val="single"/>
        </w:rPr>
        <w:t>Comprehensive Environmental Response, Compensation, and Liability Act</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On April 19, 2024, the EPA announced a final rule that designated two PFAS chemicals, perfluorooctanoic acid (“PFOA”) and perfluorooctanesulfonic acid (“PFOS”), as hazardous substances under the under the Comprehensive Environmental Response, Compensation, and Liability Act (“CERCLA”), also known as Superfund.  This final action will address PFOA and PFOS contamination by enabling investigation and cleanup of these harmful chemicals and ensuring that leaks, spills, and other releases are reported. In addition to the final rule, the EPA issued a separate CERCLA enforcement discretion policy that makes it clear that the EPA will focus enforcement on parties who significantly contributed to the release of PFAS chemicals into the environment, including parties that have manufactured PFAS or used PFAS in the manufacturing process, federal facilities, and other industrial parties.  The policy identifies examples for operators of public water systems and wastewater systems or entities performing a public service role in providing safe drinking water, handling municipal solid waste, treating or managing stormwater and wastewater, disposing of pollution control residuals, or ensuring beneficial application of wastewater products as a fertilizer substitute. The potential liabilities to the Company, if any, resulting from this rule are currently being evaluated. Multiple lawsuits were filed by various companies and industry groups against the EPA's PFAS rule and are awaiting court action. </w:t>
      </w:r>
    </w:p>
    <w:p>
      <w:pPr>
        <w:pStyle w:val="TextBody"/>
        <w:bidi w:val="0"/>
        <w:spacing w:lineRule="auto" w:line="259"/>
        <w:rPr/>
      </w:pPr>
      <w:r>
        <w:rPr>
          <w:rFonts w:ascii="Times New Roman;serif" w:hAnsi="Times New Roman;serif"/>
          <w:b w:val="false"/>
          <w:i w:val="false"/>
          <w:caps w:val="false"/>
          <w:smallCaps w:val="false"/>
          <w:sz w:val="22"/>
        </w:rPr>
        <w:t xml:space="preserve">The Company continues to advocate for actions to hold polluters accountable and is part of the Multi-District Litigation and other legal actions against multiple PFAS manufacturers and polluters to attempt to ensure that the ultimate responsibility for the cleanup of these contaminants is attributed to the polluters and is seeking damages and other costs to address the contamination of its public water supply systems by PFAS. The Company is also monitoring ongoing litigation and settlement activity with manufacturers of PFAS in these proceedings. For more information, see </w:t>
      </w:r>
      <w:hyperlink w:anchor="LegalProceedings">
        <w:r>
          <w:rPr>
            <w:rStyle w:val="InternetLink"/>
            <w:rFonts w:ascii="Times New Roman;serif" w:hAnsi="Times New Roman;serif"/>
            <w:b w:val="false"/>
            <w:i w:val="false"/>
            <w:caps w:val="false"/>
            <w:smallCaps w:val="false"/>
            <w:strike w:val="false"/>
            <w:dstrike w:val="false"/>
            <w:sz w:val="22"/>
            <w:u w:val="none"/>
            <w:effect w:val="none"/>
          </w:rPr>
          <w:t xml:space="preserve">Note 9 – </w:t>
        </w:r>
      </w:hyperlink>
      <w:hyperlink w:anchor="LegalProceedings">
        <w:r>
          <w:rPr>
            <w:rStyle w:val="InternetLink"/>
            <w:rFonts w:ascii="Times New Roman;serif" w:hAnsi="Times New Roman;serif"/>
            <w:b w:val="false"/>
            <w:i/>
            <w:strike w:val="false"/>
            <w:dstrike w:val="false"/>
            <w:sz w:val="22"/>
            <w:u w:val="none"/>
            <w:effect w:val="none"/>
          </w:rPr>
          <w:t>Commitments</w:t>
        </w:r>
      </w:hyperlink>
      <w:hyperlink w:anchor="LegalProceedings">
        <w:r>
          <w:rPr>
            <w:rStyle w:val="InternetLink"/>
            <w:rFonts w:ascii="Times New Roman;serif" w:hAnsi="Times New Roman;serif"/>
            <w:b w:val="false"/>
            <w:i w:val="false"/>
            <w:caps w:val="false"/>
            <w:smallCaps w:val="false"/>
            <w:strike w:val="false"/>
            <w:dstrike w:val="false"/>
            <w:sz w:val="22"/>
            <w:u w:val="none"/>
            <w:effect w:val="none"/>
          </w:rPr>
          <w:t xml:space="preserve">, </w:t>
        </w:r>
      </w:hyperlink>
      <w:r>
        <w:rPr>
          <w:rFonts w:ascii="Times New Roman;serif" w:hAnsi="Times New Roman;serif"/>
          <w:b w:val="false"/>
          <w:i w:val="false"/>
          <w:caps w:val="false"/>
          <w:smallCaps w:val="false"/>
          <w:sz w:val="22"/>
        </w:rPr>
        <w:t xml:space="preserve">in the </w:t>
      </w:r>
      <w:r>
        <w:rPr>
          <w:rFonts w:ascii="Times New Roman;serif" w:hAnsi="Times New Roman;serif"/>
          <w:b w:val="false"/>
          <w:i/>
          <w:sz w:val="22"/>
        </w:rPr>
        <w:t>Notes to Consolidated Financial Statements</w:t>
      </w:r>
      <w:r>
        <w:rPr>
          <w:rFonts w:ascii="Times New Roman;serif" w:hAnsi="Times New Roman;serif"/>
          <w:b w:val="false"/>
          <w:i w:val="false"/>
          <w:caps w:val="false"/>
          <w:smallCaps w:val="false"/>
          <w:sz w:val="22"/>
        </w:rPr>
        <w:t>, which is contained in Item 8 of this Annual Report for the year ended December 31, 2024.</w:t>
      </w:r>
    </w:p>
    <w:p>
      <w:pPr>
        <w:pStyle w:val="TextBody"/>
        <w:bidi w:val="0"/>
        <w:spacing w:lineRule="auto" w:line="259"/>
        <w:rPr>
          <w:rFonts w:ascii="Times New Roman;serif" w:hAnsi="Times New Roman;serif"/>
          <w:b/>
          <w:i w:val="false"/>
          <w:caps w:val="false"/>
          <w:smallCaps w:val="false"/>
          <w:sz w:val="22"/>
          <w:u w:val="single"/>
        </w:rPr>
      </w:pPr>
      <w:r>
        <w:rPr>
          <w:rFonts w:ascii="Times New Roman;serif" w:hAnsi="Times New Roman;serif"/>
          <w:b/>
          <w:i w:val="false"/>
          <w:caps w:val="false"/>
          <w:smallCaps w:val="false"/>
          <w:sz w:val="22"/>
          <w:u w:val="single"/>
        </w:rPr>
        <w:t>Economic Regulation</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Most of our utility operations are subject to regulation by their respective state utility commissions, which have broad administrative power and authority to regulate billing rates, determine franchise areas and conditions of service, approve acquisitions, and authorize the issuance of securities. The utility commissions also generally establish uniform systems of accounts and approve the terms of contracts with affiliates and customers, business combinations with other utility systems, and loans and other financings. The policies of the utility commissions often differ from state to state and may change over time. A small number of our operations are subject to rate regulation by county or city government. Over time, the regulatory party in a particular state may change. The profitability of our utility operations is influenced to a great extent by the timeliness and adequacy of rate allowances in the various states in which we operate. One consideration we may undertake in evaluating on which states to focus our growth and investment strategy is whether a state provides for consolidated rates, a surcharge for replacing and rehabilitating infrastructure, fair value treatment of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acquired utility systems, and other regulatory policies that promote infrastructure investment and efficiency in processing rate cases.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mission of the regulated utility industry is to provide quality and reliable utility service at reasonable rates to customers, while earning a fair return for shareholders. We strive to achieve the industry’s mission by effective planning, efficient investments, and productive use of our resources. We maintain a rate case management capability to pursue timely and adequate returns on the capital investments that we make in improving our distribution system, treatment plants, information technology systems, and other infrastructure. This capital investment creates assets that are used and useful in providing utility service and is commonly referred to as rate base. In pursuing our rate case strategy, we consider the amount of net utility plant additions and replacements made since the previous rate decision, the changes in the cost of capital, changes in our capital structure, and changes in operating and other costs. Based on these assessments, our utility operations periodically file rate increase requests with their respective state utility commissions or local regulatory authorities. In general, as a regulated enterprise, our utility rates are established to provide full recovery of utility operating costs, taxes, interest on debt used to finance capital investments, and a return on equity used to finance capital investments. There may be a regulatory lag between the time when operating costs increases, customer usage changes, and capital investments occur and when those items are incorporated into rates. On occasion, our regulated utility companies may enter into rate settlement agreements, which require us to wait for a period of time to file the next base rate increase request.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Presented below are some of the approved constructive regulatory practices that are available in the states in which we operate:</w:t>
      </w:r>
    </w:p>
    <w:tbl>
      <w:tblPr>
        <w:tblW w:w="7487" w:type="dxa"/>
        <w:jc w:val="left"/>
        <w:tblInd w:w="0" w:type="dxa"/>
        <w:tblLayout w:type="fixed"/>
        <w:tblCellMar>
          <w:top w:w="0" w:type="dxa"/>
          <w:left w:w="0" w:type="dxa"/>
          <w:bottom w:w="0" w:type="dxa"/>
          <w:right w:w="0" w:type="dxa"/>
        </w:tblCellMar>
      </w:tblPr>
      <w:tblGrid>
        <w:gridCol w:w="3781"/>
        <w:gridCol w:w="3706"/>
      </w:tblGrid>
      <w:tr>
        <w:trPr/>
        <w:tc>
          <w:tcPr>
            <w:tcW w:w="3781" w:type="dxa"/>
            <w:tcBorders/>
            <w:shd w:fill="FFFFFF" w:val="clear"/>
            <w:vAlign w:val="center"/>
          </w:tcPr>
          <w:p>
            <w:pPr>
              <w:pStyle w:val="TableContents"/>
              <w:bidi w:val="0"/>
              <w:spacing w:before="0" w:after="283"/>
              <w:jc w:val="left"/>
              <w:rPr>
                <w:sz w:val="4"/>
                <w:szCs w:val="4"/>
              </w:rPr>
            </w:pPr>
            <w:r>
              <w:rPr>
                <w:sz w:val="4"/>
                <w:szCs w:val="4"/>
              </w:rPr>
            </w:r>
          </w:p>
        </w:tc>
        <w:tc>
          <w:tcPr>
            <w:tcW w:w="3706" w:type="dxa"/>
            <w:tcBorders/>
            <w:shd w:fill="FFFFFF" w:val="clear"/>
            <w:vAlign w:val="center"/>
          </w:tcPr>
          <w:p>
            <w:pPr>
              <w:pStyle w:val="TableContents"/>
              <w:bidi w:val="0"/>
              <w:spacing w:before="0" w:after="283"/>
              <w:jc w:val="left"/>
              <w:rPr>
                <w:sz w:val="4"/>
                <w:szCs w:val="4"/>
              </w:rPr>
            </w:pPr>
            <w:r>
              <w:rPr>
                <w:sz w:val="4"/>
                <w:szCs w:val="4"/>
              </w:rPr>
            </w:r>
          </w:p>
        </w:tc>
      </w:tr>
      <w:tr>
        <w:trPr/>
        <w:tc>
          <w:tcPr>
            <w:tcW w:w="3781" w:type="dxa"/>
            <w:tcBorders/>
            <w:shd w:fill="FFFFFF" w:val="clear"/>
            <w:vAlign w:val="center"/>
          </w:tcPr>
          <w:p>
            <w:pPr>
              <w:pStyle w:val="TableContents"/>
              <w:bidi w:val="0"/>
              <w:spacing w:before="0" w:after="283"/>
              <w:jc w:val="left"/>
              <w:rPr>
                <w:sz w:val="4"/>
                <w:szCs w:val="4"/>
              </w:rPr>
            </w:pPr>
            <w:r>
              <w:rPr>
                <w:sz w:val="4"/>
                <w:szCs w:val="4"/>
              </w:rPr>
            </w:r>
          </w:p>
        </w:tc>
        <w:tc>
          <w:tcPr>
            <w:tcW w:w="3706" w:type="dxa"/>
            <w:tcBorders/>
            <w:shd w:fill="FFFFFF" w:val="clear"/>
            <w:vAlign w:val="center"/>
          </w:tcPr>
          <w:p>
            <w:pPr>
              <w:pStyle w:val="TableContents"/>
              <w:bidi w:val="0"/>
              <w:spacing w:before="0" w:after="283"/>
              <w:jc w:val="left"/>
              <w:rPr>
                <w:sz w:val="4"/>
                <w:szCs w:val="4"/>
              </w:rPr>
            </w:pPr>
            <w:r>
              <w:rPr>
                <w:sz w:val="4"/>
                <w:szCs w:val="4"/>
              </w:rPr>
            </w:r>
          </w:p>
        </w:tc>
      </w:tr>
      <w:tr>
        <w:trPr/>
        <w:tc>
          <w:tcPr>
            <w:tcW w:w="3781" w:type="dxa"/>
            <w:tcBorders/>
            <w:shd w:fill="FFFFFF" w:val="clear"/>
            <w:vAlign w:val="center"/>
          </w:tcPr>
          <w:p>
            <w:pPr>
              <w:pStyle w:val="TableContents"/>
              <w:bidi w:val="0"/>
              <w:spacing w:lineRule="auto" w:line="259" w:before="0" w:after="1"/>
              <w:jc w:val="left"/>
              <w:rPr>
                <w:rFonts w:ascii="Times New Roman;serif" w:hAnsi="Times New Roman;serif"/>
                <w:b/>
                <w:i w:val="false"/>
                <w:caps w:val="false"/>
                <w:smallCaps w:val="false"/>
                <w:color w:val="000000"/>
                <w:sz w:val="22"/>
              </w:rPr>
            </w:pPr>
            <w:r>
              <w:rPr>
                <w:rFonts w:ascii="Times New Roman;serif" w:hAnsi="Times New Roman;serif"/>
                <w:b/>
                <w:i w:val="false"/>
                <w:caps w:val="false"/>
                <w:smallCaps w:val="false"/>
                <w:color w:val="000000"/>
                <w:sz w:val="22"/>
              </w:rPr>
              <w:t>Regulatory Mechanism</w:t>
            </w:r>
          </w:p>
        </w:tc>
        <w:tc>
          <w:tcPr>
            <w:tcW w:w="3706" w:type="dxa"/>
            <w:tcBorders/>
            <w:shd w:fill="FFFFFF" w:val="clear"/>
            <w:vAlign w:val="center"/>
          </w:tcPr>
          <w:p>
            <w:pPr>
              <w:pStyle w:val="TableContents"/>
              <w:bidi w:val="0"/>
              <w:spacing w:lineRule="auto" w:line="259" w:before="0" w:after="1"/>
              <w:jc w:val="center"/>
              <w:rPr>
                <w:rFonts w:ascii="Times New Roman;serif" w:hAnsi="Times New Roman;serif"/>
                <w:b/>
                <w:i w:val="false"/>
                <w:caps w:val="false"/>
                <w:smallCaps w:val="false"/>
                <w:color w:val="000000"/>
                <w:sz w:val="22"/>
              </w:rPr>
            </w:pPr>
            <w:r>
              <w:rPr>
                <w:rFonts w:ascii="Times New Roman;serif" w:hAnsi="Times New Roman;serif"/>
                <w:b/>
                <w:i w:val="false"/>
                <w:caps w:val="false"/>
                <w:smallCaps w:val="false"/>
                <w:color w:val="000000"/>
                <w:sz w:val="22"/>
              </w:rPr>
              <w:t>States Allowed</w:t>
            </w:r>
          </w:p>
        </w:tc>
      </w:tr>
      <w:tr>
        <w:trPr/>
        <w:tc>
          <w:tcPr>
            <w:tcW w:w="3781" w:type="dxa"/>
            <w:tcBorders/>
            <w:shd w:fill="CCEEFF" w:val="clear"/>
            <w:vAlign w:val="center"/>
          </w:tcPr>
          <w:p>
            <w:pPr>
              <w:pStyle w:val="TableContents"/>
              <w:bidi w:val="0"/>
              <w:spacing w:lineRule="auto" w:line="259" w:before="0" w:after="1"/>
              <w:jc w:val="left"/>
              <w:rPr>
                <w:rFonts w:ascii="Times New Roman;serif" w:hAnsi="Times New Roman;serif"/>
                <w:sz w:val="22"/>
              </w:rPr>
            </w:pPr>
            <w:r>
              <w:rPr>
                <w:rFonts w:ascii="Times New Roman;serif" w:hAnsi="Times New Roman;serif"/>
                <w:b w:val="false"/>
                <w:i w:val="false"/>
                <w:caps w:val="false"/>
                <w:smallCaps w:val="false"/>
                <w:color w:val="000000"/>
                <w:sz w:val="22"/>
              </w:rPr>
              <w:t>Consolidated Tariff</w:t>
            </w:r>
            <w:r>
              <w:rPr>
                <w:rFonts w:ascii="Times New Roman;serif" w:hAnsi="Times New Roman;serif"/>
                <w:caps w:val="false"/>
                <w:smallCaps w:val="false"/>
                <w:color w:val="000000"/>
                <w:position w:val="7"/>
                <w:sz w:val="18"/>
                <w:sz w:val="22"/>
              </w:rPr>
              <w:t xml:space="preserve"> </w:t>
            </w:r>
            <w:r>
              <w:rPr>
                <w:rFonts w:ascii="Times New Roman;serif" w:hAnsi="Times New Roman;serif"/>
                <w:b w:val="false"/>
                <w:i w:val="false"/>
                <w:caps w:val="false"/>
                <w:smallCaps w:val="false"/>
                <w:color w:val="000000"/>
                <w:position w:val="7"/>
                <w:sz w:val="18"/>
                <w:sz w:val="22"/>
              </w:rPr>
              <w:t xml:space="preserve">(a) </w:t>
            </w:r>
          </w:p>
        </w:tc>
        <w:tc>
          <w:tcPr>
            <w:tcW w:w="3706" w:type="dxa"/>
            <w:tcBorders/>
            <w:shd w:fill="CCEE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IL, IN, KY, NC, NJ, OH, PA, TX, VA</w:t>
            </w:r>
          </w:p>
        </w:tc>
      </w:tr>
      <w:tr>
        <w:trPr/>
        <w:tc>
          <w:tcPr>
            <w:tcW w:w="3781" w:type="dxa"/>
            <w:tcBorders/>
            <w:vAlign w:val="center"/>
          </w:tcPr>
          <w:p>
            <w:pPr>
              <w:pStyle w:val="TableContents"/>
              <w:bidi w:val="0"/>
              <w:spacing w:lineRule="auto" w:line="259" w:before="0" w:after="1"/>
              <w:jc w:val="left"/>
              <w:rPr>
                <w:rFonts w:ascii="Times New Roman;serif" w:hAnsi="Times New Roman;serif"/>
                <w:sz w:val="22"/>
              </w:rPr>
            </w:pPr>
            <w:r>
              <w:rPr>
                <w:rFonts w:ascii="Times New Roman;serif" w:hAnsi="Times New Roman;serif"/>
                <w:b w:val="false"/>
                <w:i w:val="false"/>
                <w:caps w:val="false"/>
                <w:smallCaps w:val="false"/>
                <w:color w:val="000000"/>
                <w:sz w:val="22"/>
              </w:rPr>
              <w:t>Future or Fully Projected Test Year</w:t>
            </w:r>
            <w:r>
              <w:rPr>
                <w:rFonts w:ascii="Times New Roman;serif" w:hAnsi="Times New Roman;serif"/>
                <w:caps w:val="false"/>
                <w:smallCaps w:val="false"/>
                <w:color w:val="000000"/>
                <w:position w:val="7"/>
                <w:sz w:val="18"/>
                <w:sz w:val="22"/>
              </w:rPr>
              <w:t xml:space="preserve"> </w:t>
            </w:r>
            <w:r>
              <w:rPr>
                <w:rFonts w:ascii="Times New Roman;serif" w:hAnsi="Times New Roman;serif"/>
                <w:b w:val="false"/>
                <w:i w:val="false"/>
                <w:caps w:val="false"/>
                <w:smallCaps w:val="false"/>
                <w:color w:val="000000"/>
                <w:position w:val="7"/>
                <w:sz w:val="18"/>
                <w:sz w:val="22"/>
              </w:rPr>
              <w:t xml:space="preserve">(b) </w:t>
            </w:r>
          </w:p>
        </w:tc>
        <w:tc>
          <w:tcPr>
            <w:tcW w:w="3706"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IL, IN, KY, NC, NJ, OH, PA, VA</w:t>
            </w:r>
          </w:p>
        </w:tc>
      </w:tr>
      <w:tr>
        <w:trPr/>
        <w:tc>
          <w:tcPr>
            <w:tcW w:w="3781" w:type="dxa"/>
            <w:tcBorders/>
            <w:shd w:fill="CCEEFF" w:val="clear"/>
            <w:vAlign w:val="center"/>
          </w:tcPr>
          <w:p>
            <w:pPr>
              <w:pStyle w:val="TableContents"/>
              <w:bidi w:val="0"/>
              <w:spacing w:lineRule="auto" w:line="259" w:before="0" w:after="1"/>
              <w:jc w:val="left"/>
              <w:rPr>
                <w:rFonts w:ascii="Times New Roman;serif" w:hAnsi="Times New Roman;serif"/>
                <w:sz w:val="22"/>
              </w:rPr>
            </w:pPr>
            <w:r>
              <w:rPr>
                <w:rFonts w:ascii="Times New Roman;serif" w:hAnsi="Times New Roman;serif"/>
                <w:b w:val="false"/>
                <w:i w:val="false"/>
                <w:caps w:val="false"/>
                <w:smallCaps w:val="false"/>
                <w:color w:val="000000"/>
                <w:sz w:val="22"/>
              </w:rPr>
              <w:t xml:space="preserve">Infrastructure Surcharge Mechanism </w:t>
            </w:r>
            <w:r>
              <w:rPr>
                <w:rFonts w:ascii="Times New Roman;serif" w:hAnsi="Times New Roman;serif"/>
                <w:b w:val="false"/>
                <w:i w:val="false"/>
                <w:caps w:val="false"/>
                <w:smallCaps w:val="false"/>
                <w:color w:val="000000"/>
                <w:position w:val="7"/>
                <w:sz w:val="18"/>
                <w:sz w:val="22"/>
              </w:rPr>
              <w:t>(c)</w:t>
            </w:r>
          </w:p>
        </w:tc>
        <w:tc>
          <w:tcPr>
            <w:tcW w:w="3706" w:type="dxa"/>
            <w:tcBorders/>
            <w:shd w:fill="CCEE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IL, IN, KY, NC, NJ, OH, PA, TX, VA</w:t>
            </w:r>
          </w:p>
        </w:tc>
      </w:tr>
      <w:tr>
        <w:trPr/>
        <w:tc>
          <w:tcPr>
            <w:tcW w:w="3781" w:type="dxa"/>
            <w:tcBorders/>
            <w:vAlign w:val="center"/>
          </w:tcPr>
          <w:p>
            <w:pPr>
              <w:pStyle w:val="TableContents"/>
              <w:bidi w:val="0"/>
              <w:spacing w:lineRule="auto" w:line="259" w:before="0" w:after="1"/>
              <w:jc w:val="left"/>
              <w:rPr>
                <w:rFonts w:ascii="Times New Roman;serif" w:hAnsi="Times New Roman;serif"/>
                <w:sz w:val="22"/>
              </w:rPr>
            </w:pPr>
            <w:r>
              <w:rPr>
                <w:rFonts w:ascii="Times New Roman;serif" w:hAnsi="Times New Roman;serif"/>
                <w:b w:val="false"/>
                <w:i w:val="false"/>
                <w:caps w:val="false"/>
                <w:smallCaps w:val="false"/>
                <w:color w:val="000000"/>
                <w:sz w:val="22"/>
              </w:rPr>
              <w:t xml:space="preserve">Purchased Gas Riders </w:t>
            </w:r>
            <w:r>
              <w:rPr>
                <w:rFonts w:ascii="Times New Roman;serif" w:hAnsi="Times New Roman;serif"/>
                <w:b w:val="false"/>
                <w:i w:val="false"/>
                <w:caps w:val="false"/>
                <w:smallCaps w:val="false"/>
                <w:color w:val="000000"/>
                <w:position w:val="7"/>
                <w:sz w:val="18"/>
                <w:sz w:val="22"/>
              </w:rPr>
              <w:t>(d)</w:t>
            </w:r>
          </w:p>
        </w:tc>
        <w:tc>
          <w:tcPr>
            <w:tcW w:w="3706"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KY, PA</w:t>
            </w:r>
          </w:p>
        </w:tc>
      </w:tr>
      <w:tr>
        <w:trPr/>
        <w:tc>
          <w:tcPr>
            <w:tcW w:w="3781" w:type="dxa"/>
            <w:tcBorders/>
            <w:shd w:fill="CCEEFF" w:val="clear"/>
            <w:vAlign w:val="center"/>
          </w:tcPr>
          <w:p>
            <w:pPr>
              <w:pStyle w:val="TableContents"/>
              <w:bidi w:val="0"/>
              <w:spacing w:lineRule="auto" w:line="259" w:before="0" w:after="1"/>
              <w:jc w:val="left"/>
              <w:rPr>
                <w:rFonts w:ascii="Times New Roman;serif" w:hAnsi="Times New Roman;serif"/>
                <w:sz w:val="22"/>
              </w:rPr>
            </w:pPr>
            <w:r>
              <w:rPr>
                <w:rFonts w:ascii="Times New Roman;serif" w:hAnsi="Times New Roman;serif"/>
                <w:b w:val="false"/>
                <w:i w:val="false"/>
                <w:caps w:val="false"/>
                <w:smallCaps w:val="false"/>
                <w:color w:val="000000"/>
                <w:sz w:val="22"/>
              </w:rPr>
              <w:t xml:space="preserve">Revenue Stability Mechanism </w:t>
            </w:r>
            <w:r>
              <w:rPr>
                <w:rFonts w:ascii="Times New Roman;serif" w:hAnsi="Times New Roman;serif"/>
                <w:b w:val="false"/>
                <w:i w:val="false"/>
                <w:caps w:val="false"/>
                <w:smallCaps w:val="false"/>
                <w:color w:val="000000"/>
                <w:position w:val="7"/>
                <w:sz w:val="18"/>
                <w:sz w:val="22"/>
              </w:rPr>
              <w:t>(e)</w:t>
            </w:r>
          </w:p>
        </w:tc>
        <w:tc>
          <w:tcPr>
            <w:tcW w:w="3706" w:type="dxa"/>
            <w:tcBorders/>
            <w:shd w:fill="CCEE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KY, PA, IL</w:t>
            </w:r>
          </w:p>
        </w:tc>
      </w:tr>
      <w:tr>
        <w:trPr/>
        <w:tc>
          <w:tcPr>
            <w:tcW w:w="3781" w:type="dxa"/>
            <w:tcBorders/>
            <w:vAlign w:val="center"/>
          </w:tcPr>
          <w:p>
            <w:pPr>
              <w:pStyle w:val="TableContents"/>
              <w:bidi w:val="0"/>
              <w:spacing w:lineRule="auto" w:line="259" w:before="0" w:after="1"/>
              <w:jc w:val="left"/>
              <w:rPr>
                <w:rFonts w:ascii="Times New Roman;serif" w:hAnsi="Times New Roman;serif"/>
                <w:sz w:val="22"/>
              </w:rPr>
            </w:pPr>
            <w:r>
              <w:rPr>
                <w:rFonts w:ascii="Times New Roman;serif" w:hAnsi="Times New Roman;serif"/>
                <w:b w:val="false"/>
                <w:i w:val="false"/>
                <w:caps w:val="false"/>
                <w:smallCaps w:val="false"/>
                <w:color w:val="000000"/>
                <w:sz w:val="22"/>
              </w:rPr>
              <w:t>Deferred Accounting</w:t>
            </w:r>
            <w:r>
              <w:rPr>
                <w:rFonts w:ascii="Times New Roman;serif" w:hAnsi="Times New Roman;serif"/>
                <w:caps w:val="false"/>
                <w:smallCaps w:val="false"/>
                <w:color w:val="000000"/>
                <w:position w:val="7"/>
                <w:sz w:val="18"/>
                <w:sz w:val="22"/>
              </w:rPr>
              <w:t xml:space="preserve"> </w:t>
            </w:r>
            <w:r>
              <w:rPr>
                <w:rFonts w:ascii="Times New Roman;serif" w:hAnsi="Times New Roman;serif"/>
                <w:b w:val="false"/>
                <w:i w:val="false"/>
                <w:caps w:val="false"/>
                <w:smallCaps w:val="false"/>
                <w:color w:val="000000"/>
                <w:position w:val="7"/>
                <w:sz w:val="18"/>
                <w:sz w:val="22"/>
              </w:rPr>
              <w:t>(f)</w:t>
            </w:r>
          </w:p>
        </w:tc>
        <w:tc>
          <w:tcPr>
            <w:tcW w:w="3706"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IL, IN, KY, NC, NJ, OH, PA, TX, VA</w:t>
            </w:r>
          </w:p>
        </w:tc>
      </w:tr>
    </w:tbl>
    <w:p>
      <w:pPr>
        <w:pStyle w:val="TextBody"/>
        <w:bidi w:val="0"/>
        <w:spacing w:lineRule="auto" w:line="259"/>
        <w:rPr>
          <w:rFonts w:ascii="Times New Roman;serif" w:hAnsi="Times New Roman;serif"/>
          <w:sz w:val="24"/>
        </w:rPr>
      </w:pPr>
      <w:r>
        <w:rPr>
          <w:rFonts w:ascii="Garamond;serif" w:hAnsi="Garamond;serif"/>
          <w:b w:val="false"/>
          <w:i w:val="false"/>
          <w:caps w:val="false"/>
          <w:smallCaps w:val="false"/>
          <w:position w:val="7"/>
          <w:sz w:val="16"/>
          <w:sz w:val="20"/>
        </w:rPr>
        <w:t>(</w:t>
      </w:r>
      <w:r>
        <w:rPr>
          <w:rFonts w:ascii="Garamond;serif" w:hAnsi="Garamond;serif"/>
          <w:b w:val="false"/>
          <w:i w:val="false"/>
          <w:caps w:val="false"/>
          <w:smallCaps w:val="false"/>
          <w:position w:val="8"/>
          <w:sz w:val="19"/>
          <w:sz w:val="24"/>
        </w:rPr>
        <w:t>a)</w:t>
      </w:r>
      <w:r>
        <w:rPr>
          <w:rFonts w:ascii="Times New Roman;serif" w:hAnsi="Times New Roman;serif"/>
          <w:caps w:val="false"/>
          <w:smallCaps w:val="false"/>
          <w:sz w:val="24"/>
        </w:rPr>
        <w:t xml:space="preserve"> </w:t>
      </w:r>
      <w:r>
        <w:rPr>
          <w:rFonts w:ascii="Times New Roman;serif" w:hAnsi="Times New Roman;serif"/>
          <w:b w:val="false"/>
          <w:i w:val="false"/>
          <w:caps w:val="false"/>
          <w:smallCaps w:val="false"/>
          <w:sz w:val="22"/>
        </w:rPr>
        <w:t xml:space="preserve">Our water and wastewater operations are comprised of 38 rate divisions, and our natural gas operations are comprised of two rate divisions. Each of our utility rate divisions requires a separate rate filing for the evaluation of the cost of service and recovery of investments in connection with the establishment of tariff rates for that rate division. When feasible and beneficial to our utility customers, we have sought approval from the applicable state utility commission to consolidate rate divisions to achieve a more even distribution of costs over a larger customer base. All eight states in which we operate water and wastewater utilities currently permit us to file a revenue requirement using some form of consolidated rates for some or all of the rate divisions in that state.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position w:val="7"/>
          <w:sz w:val="18"/>
          <w:sz w:val="22"/>
        </w:rPr>
        <w:t>(b)</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Most of the states in which we operate allow us to use a future or fully projected test year in our rate filings, which allows current or projected revenues, expenses and capital investments to be collected on a more timely basis. In some cases, interim rate relief is allowed in the event of regulatory lag. Some states also permit our subsidiaries to use a surcharge or credit on their bills to reflect allowable changes in costs, such as changes in state tax rates, other taxes, and purchased water costs, until such time as the new costs are fully incorporated in base rates.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position w:val="7"/>
          <w:sz w:val="18"/>
          <w:sz w:val="22"/>
        </w:rPr>
        <w:t>(c)</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Each of the states in which we operate water, wastewater, and natural gas utilities, permit us to add an infrastructure rehabilitation surcharge to their respective bills, between rate cases, to offset the additional depreciation and capital costs associated with capital expenditures related to replacing and rehabilitating infrastructure systems. </w:t>
      </w:r>
    </w:p>
    <w:p>
      <w:pPr>
        <w:pStyle w:val="TextBody"/>
        <w:bidi w:val="0"/>
        <w:spacing w:lineRule="auto" w:line="259"/>
        <w:rPr>
          <w:rFonts w:ascii="Times New Roman;serif" w:hAnsi="Times New Roman;serif"/>
          <w:sz w:val="22"/>
        </w:rPr>
      </w:pPr>
      <w:r>
        <w:rPr>
          <w:rFonts w:ascii="Garamond;serif" w:hAnsi="Garamond;serif"/>
          <w:b w:val="false"/>
          <w:i w:val="false"/>
          <w:caps w:val="false"/>
          <w:smallCaps w:val="false"/>
          <w:position w:val="7"/>
          <w:sz w:val="18"/>
          <w:sz w:val="22"/>
        </w:rPr>
        <w:t>(d)</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Our natural gas utility business is affected by the cost of natural gas, and we are able to generally pass the cost of gas to our customers without markup under purchased gas cost adjustment mechanisms; consequently, increases in the cost of gas are offset by a corresponding increase in revenues. </w:t>
      </w:r>
    </w:p>
    <w:p>
      <w:pPr>
        <w:pStyle w:val="TextBody"/>
        <w:bidi w:val="0"/>
        <w:spacing w:lineRule="auto" w:line="259" w:before="0" w:after="100"/>
        <w:rPr>
          <w:rFonts w:ascii="Times New Roman;serif" w:hAnsi="Times New Roman;serif"/>
          <w:sz w:val="22"/>
        </w:rPr>
      </w:pPr>
      <w:r>
        <w:rPr>
          <w:rFonts w:ascii="Times New Roman;serif" w:hAnsi="Times New Roman;serif"/>
          <w:b w:val="false"/>
          <w:i w:val="false"/>
          <w:caps w:val="false"/>
          <w:smallCaps w:val="false"/>
          <w:sz w:val="22"/>
        </w:rPr>
        <w:br/>
        <w:t>‎</w:t>
      </w:r>
      <w:r>
        <w:rPr>
          <w:rFonts w:ascii="Times New Roman;serif" w:hAnsi="Times New Roman;serif"/>
          <w:caps w:val="false"/>
          <w:smallCaps w:val="false"/>
          <w:sz w:val="22"/>
        </w:rPr>
        <w:t xml:space="preser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sz w:val="22"/>
        </w:rPr>
      </w:pPr>
      <w:r>
        <w:rPr>
          <w:rFonts w:ascii="Garamond;serif" w:hAnsi="Garamond;serif"/>
          <w:b w:val="false"/>
          <w:i w:val="false"/>
          <w:caps w:val="false"/>
          <w:smallCaps w:val="false"/>
          <w:position w:val="7"/>
          <w:sz w:val="18"/>
          <w:sz w:val="22"/>
        </w:rPr>
        <w:t>(e)</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The natural gas utility business is subject to seasonal fluctuations with the peak usage period occurring in the heating season, which generally runs from October to March. We have in place a weather-normalization adjustment (WNA) mechanism for our natural gas customers served in Kentucky, and, beginning in October 2024, for our natural gas customers in Pennsylvania. The WNA serves to minimize the effects of weather on the Company’s results for its residential and small commercial natural gas customers. This regulatory mechanism reduces the delivery charge component of customers’ bills for the additional volumes used when actual heating degree days (HDDs) exceed normalized HDDs and increases the delivery charge component of customers’ bills for the reduced volumes when actual HDDs are less than normal HDDs. For a given day, the number of HDDs is calculated by subtracting the average of the high and low temperatures for the day from 65 degrees Fahrenheit. Normal HDDs are established through rate proceedings in each of our jurisdictions.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Illinois, our operating subsidiary has a revenue stability mechanism which allows us to recognize state PUC-authorized revenue for a period which is not based upon the volume of water sold during that period, thereby reducing the impact of weather and consumption variability. </w:t>
      </w:r>
    </w:p>
    <w:p>
      <w:pPr>
        <w:pStyle w:val="TextBody"/>
        <w:bidi w:val="0"/>
        <w:spacing w:lineRule="auto" w:line="259"/>
        <w:rPr>
          <w:rFonts w:ascii="Times New Roman;serif" w:hAnsi="Times New Roman;serif"/>
          <w:sz w:val="22"/>
        </w:rPr>
      </w:pPr>
      <w:r>
        <w:rPr>
          <w:rFonts w:ascii="Garamond;serif" w:hAnsi="Garamond;serif"/>
          <w:b w:val="false"/>
          <w:i w:val="false"/>
          <w:caps w:val="false"/>
          <w:smallCaps w:val="false"/>
          <w:position w:val="7"/>
          <w:sz w:val="18"/>
          <w:sz w:val="22"/>
        </w:rPr>
        <w:t>(f)</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We are permitted to apply for deferred cost accounting treatment and set up a regulatory asset for future recovery of certain costs until the next base rate case.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Timely and adequate rate relief is important to our continued profitability and in providing a fair return to our shareholders. We continue to pursue enhancements to our regulatory practices to facilitate the efficient recovery of the increased cost of providing services and infrastructure improvements in our rates and mitigate the inherent regulatory lag associated with traditional rate making processes.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Presented in the table below are annualized incremental revenues by state, assuming a constant sales volume and customer count, resulting from base rate case authorizations that became effective in 2024:</w:t>
      </w:r>
    </w:p>
    <w:tbl>
      <w:tblPr>
        <w:tblW w:w="6753" w:type="dxa"/>
        <w:jc w:val="left"/>
        <w:tblInd w:w="0" w:type="dxa"/>
        <w:tblLayout w:type="fixed"/>
        <w:tblCellMar>
          <w:top w:w="0" w:type="dxa"/>
          <w:left w:w="0" w:type="dxa"/>
          <w:bottom w:w="0" w:type="dxa"/>
          <w:right w:w="0" w:type="dxa"/>
        </w:tblCellMar>
      </w:tblPr>
      <w:tblGrid>
        <w:gridCol w:w="1441"/>
        <w:gridCol w:w="1036"/>
        <w:gridCol w:w="1711"/>
        <w:gridCol w:w="498"/>
        <w:gridCol w:w="2067"/>
      </w:tblGrid>
      <w:tr>
        <w:trPr/>
        <w:tc>
          <w:tcPr>
            <w:tcW w:w="1441"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1711" w:type="dxa"/>
            <w:tcBorders/>
            <w:shd w:fill="FFFFFF" w:val="clear"/>
            <w:vAlign w:val="center"/>
          </w:tcPr>
          <w:p>
            <w:pPr>
              <w:pStyle w:val="TableContents"/>
              <w:bidi w:val="0"/>
              <w:spacing w:before="0" w:after="283"/>
              <w:jc w:val="left"/>
              <w:rPr>
                <w:sz w:val="4"/>
                <w:szCs w:val="4"/>
              </w:rPr>
            </w:pPr>
            <w:r>
              <w:rPr>
                <w:sz w:val="4"/>
                <w:szCs w:val="4"/>
              </w:rPr>
            </w:r>
          </w:p>
        </w:tc>
        <w:tc>
          <w:tcPr>
            <w:tcW w:w="498" w:type="dxa"/>
            <w:tcBorders/>
            <w:shd w:fill="FFFFFF" w:val="clear"/>
            <w:vAlign w:val="center"/>
          </w:tcPr>
          <w:p>
            <w:pPr>
              <w:pStyle w:val="TableContents"/>
              <w:bidi w:val="0"/>
              <w:spacing w:before="0" w:after="283"/>
              <w:jc w:val="left"/>
              <w:rPr>
                <w:sz w:val="4"/>
                <w:szCs w:val="4"/>
              </w:rPr>
            </w:pPr>
            <w:r>
              <w:rPr>
                <w:sz w:val="4"/>
                <w:szCs w:val="4"/>
              </w:rPr>
            </w:r>
          </w:p>
        </w:tc>
        <w:tc>
          <w:tcPr>
            <w:tcW w:w="2067" w:type="dxa"/>
            <w:tcBorders/>
            <w:shd w:fill="FFFFFF" w:val="clear"/>
            <w:vAlign w:val="center"/>
          </w:tcPr>
          <w:p>
            <w:pPr>
              <w:pStyle w:val="TableContents"/>
              <w:bidi w:val="0"/>
              <w:spacing w:before="0" w:after="283"/>
              <w:jc w:val="left"/>
              <w:rPr>
                <w:sz w:val="4"/>
                <w:szCs w:val="4"/>
              </w:rPr>
            </w:pPr>
            <w:r>
              <w:rPr>
                <w:sz w:val="4"/>
                <w:szCs w:val="4"/>
              </w:rPr>
            </w:r>
          </w:p>
        </w:tc>
      </w:tr>
      <w:tr>
        <w:trPr/>
        <w:tc>
          <w:tcPr>
            <w:tcW w:w="1441" w:type="dxa"/>
            <w:tcBorders>
              <w:bottom w:val="single" w:sz="8" w:space="0" w:color="000000"/>
            </w:tcBorders>
            <w:shd w:fill="CCEE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State</w:t>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Segment</w:t>
            </w:r>
          </w:p>
        </w:tc>
        <w:tc>
          <w:tcPr>
            <w:tcW w:w="1711" w:type="dxa"/>
            <w:tcBorders>
              <w:bottom w:val="single" w:sz="8" w:space="0" w:color="000000"/>
            </w:tcBorders>
            <w:shd w:fill="CCEE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Effective Date</w:t>
            </w:r>
          </w:p>
        </w:tc>
        <w:tc>
          <w:tcPr>
            <w:tcW w:w="2565" w:type="dxa"/>
            <w:gridSpan w:val="2"/>
            <w:tcBorders>
              <w:bottom w:val="single" w:sz="8" w:space="0" w:color="000000"/>
            </w:tcBorders>
            <w:shd w:fill="CCEE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Annualized Revenue Increase</w:t>
            </w:r>
          </w:p>
        </w:tc>
      </w:tr>
      <w:tr>
        <w:trPr/>
        <w:tc>
          <w:tcPr>
            <w:tcW w:w="1441" w:type="dxa"/>
            <w:tcBorders>
              <w:top w:val="single" w:sz="8" w:space="0" w:color="000000"/>
            </w:tcBorders>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Ohio</w:t>
            </w:r>
          </w:p>
        </w:tc>
        <w:tc>
          <w:tcPr>
            <w:tcW w:w="1036" w:type="dxa"/>
            <w:tcBorders>
              <w:top w:val="single" w:sz="8" w:space="0" w:color="000000"/>
            </w:tcBorders>
            <w:tcMar>
              <w:top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Water</w:t>
            </w:r>
          </w:p>
        </w:tc>
        <w:tc>
          <w:tcPr>
            <w:tcW w:w="1711" w:type="dxa"/>
            <w:tcBorders>
              <w:top w:val="single" w:sz="8" w:space="0" w:color="000000"/>
            </w:tcBorders>
            <w:tcMar>
              <w:top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1/1/2024; 8/1/2024</w:t>
            </w:r>
          </w:p>
        </w:tc>
        <w:tc>
          <w:tcPr>
            <w:tcW w:w="498" w:type="dxa"/>
            <w:tcBorders>
              <w:top w:val="single" w:sz="8" w:space="0" w:color="000000"/>
            </w:tcBorders>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067"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1,637 </w:t>
            </w:r>
          </w:p>
        </w:tc>
      </w:tr>
      <w:tr>
        <w:trPr/>
        <w:tc>
          <w:tcPr>
            <w:tcW w:w="144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Wastewater</w:t>
            </w:r>
          </w:p>
        </w:tc>
        <w:tc>
          <w:tcPr>
            <w:tcW w:w="1711" w:type="dxa"/>
            <w:tcBorders>
              <w:bottom w:val="single" w:sz="8" w:space="0" w:color="000000"/>
            </w:tcBorders>
            <w:shd w:fill="CCEE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7/1/2024</w:t>
            </w:r>
          </w:p>
        </w:tc>
        <w:tc>
          <w:tcPr>
            <w:tcW w:w="49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067"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490 </w:t>
            </w:r>
          </w:p>
        </w:tc>
      </w:tr>
      <w:tr>
        <w:trPr/>
        <w:tc>
          <w:tcPr>
            <w:tcW w:w="1441" w:type="dxa"/>
            <w:tcBorders>
              <w:top w:val="single" w:sz="8" w:space="0" w:color="000000"/>
            </w:tcBorders>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North Carolina*</w:t>
            </w:r>
          </w:p>
        </w:tc>
        <w:tc>
          <w:tcPr>
            <w:tcW w:w="1036" w:type="dxa"/>
            <w:tcBorders>
              <w:top w:val="single" w:sz="8" w:space="0" w:color="000000"/>
            </w:tcBorders>
            <w:tcMar>
              <w:top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Water</w:t>
            </w:r>
          </w:p>
        </w:tc>
        <w:tc>
          <w:tcPr>
            <w:tcW w:w="1711" w:type="dxa"/>
            <w:tcBorders>
              <w:top w:val="single" w:sz="8" w:space="0" w:color="000000"/>
            </w:tcBorders>
            <w:tcMar>
              <w:top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1/1/2024</w:t>
            </w:r>
          </w:p>
        </w:tc>
        <w:tc>
          <w:tcPr>
            <w:tcW w:w="49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067"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2,632 </w:t>
            </w:r>
          </w:p>
        </w:tc>
      </w:tr>
      <w:tr>
        <w:trPr/>
        <w:tc>
          <w:tcPr>
            <w:tcW w:w="144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Wastewater</w:t>
            </w:r>
          </w:p>
        </w:tc>
        <w:tc>
          <w:tcPr>
            <w:tcW w:w="1711" w:type="dxa"/>
            <w:tcBorders>
              <w:bottom w:val="single" w:sz="8" w:space="0" w:color="000000"/>
            </w:tcBorders>
            <w:shd w:fill="CCEE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1/1/2024</w:t>
            </w:r>
          </w:p>
        </w:tc>
        <w:tc>
          <w:tcPr>
            <w:tcW w:w="49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067"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1,111 </w:t>
            </w:r>
          </w:p>
        </w:tc>
      </w:tr>
      <w:tr>
        <w:trPr/>
        <w:tc>
          <w:tcPr>
            <w:tcW w:w="1441" w:type="dxa"/>
            <w:tcBorders>
              <w:top w:val="single" w:sz="8" w:space="0" w:color="000000"/>
            </w:tcBorders>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Virginia</w:t>
            </w:r>
          </w:p>
        </w:tc>
        <w:tc>
          <w:tcPr>
            <w:tcW w:w="1036" w:type="dxa"/>
            <w:tcBorders>
              <w:top w:val="single" w:sz="8" w:space="0" w:color="000000"/>
            </w:tcBorders>
            <w:tcMar>
              <w:top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Water</w:t>
            </w:r>
          </w:p>
        </w:tc>
        <w:tc>
          <w:tcPr>
            <w:tcW w:w="1711" w:type="dxa"/>
            <w:tcBorders>
              <w:top w:val="single" w:sz="8" w:space="0" w:color="000000"/>
            </w:tcBorders>
            <w:tcMar>
              <w:top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2/5/2024</w:t>
            </w:r>
          </w:p>
        </w:tc>
        <w:tc>
          <w:tcPr>
            <w:tcW w:w="49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067"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4,830 </w:t>
            </w:r>
          </w:p>
        </w:tc>
      </w:tr>
      <w:tr>
        <w:trPr/>
        <w:tc>
          <w:tcPr>
            <w:tcW w:w="144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Wastewater</w:t>
            </w:r>
          </w:p>
        </w:tc>
        <w:tc>
          <w:tcPr>
            <w:tcW w:w="1711" w:type="dxa"/>
            <w:tcBorders>
              <w:bottom w:val="single" w:sz="8" w:space="0" w:color="000000"/>
            </w:tcBorders>
            <w:shd w:fill="CCEE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2/5/2024</w:t>
            </w:r>
          </w:p>
        </w:tc>
        <w:tc>
          <w:tcPr>
            <w:tcW w:w="49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067"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660 </w:t>
            </w:r>
          </w:p>
        </w:tc>
      </w:tr>
      <w:tr>
        <w:trPr/>
        <w:tc>
          <w:tcPr>
            <w:tcW w:w="14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Pennsylvania</w:t>
            </w:r>
          </w:p>
        </w:tc>
        <w:tc>
          <w:tcPr>
            <w:tcW w:w="103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Gas</w:t>
            </w:r>
          </w:p>
        </w:tc>
        <w:tc>
          <w:tcPr>
            <w:tcW w:w="171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9/27/2024</w:t>
            </w:r>
          </w:p>
        </w:tc>
        <w:tc>
          <w:tcPr>
            <w:tcW w:w="498"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206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93,000 </w:t>
            </w:r>
          </w:p>
        </w:tc>
      </w:tr>
      <w:tr>
        <w:trPr/>
        <w:tc>
          <w:tcPr>
            <w:tcW w:w="14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New Jersey</w:t>
            </w:r>
          </w:p>
        </w:tc>
        <w:tc>
          <w:tcPr>
            <w:tcW w:w="10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Water</w:t>
            </w:r>
          </w:p>
        </w:tc>
        <w:tc>
          <w:tcPr>
            <w:tcW w:w="171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10/15/2024</w:t>
            </w:r>
          </w:p>
        </w:tc>
        <w:tc>
          <w:tcPr>
            <w:tcW w:w="498"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0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2,250 </w:t>
            </w:r>
          </w:p>
        </w:tc>
      </w:tr>
      <w:tr>
        <w:trPr/>
        <w:tc>
          <w:tcPr>
            <w:tcW w:w="1441" w:type="dxa"/>
            <w:tcBorders>
              <w:top w:val="single" w:sz="8" w:space="0" w:color="000000"/>
            </w:tcBorders>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Illinois</w:t>
            </w:r>
          </w:p>
        </w:tc>
        <w:tc>
          <w:tcPr>
            <w:tcW w:w="1036" w:type="dxa"/>
            <w:tcBorders>
              <w:top w:val="single" w:sz="8" w:space="0" w:color="000000"/>
            </w:tcBorders>
            <w:tcMar>
              <w:top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Water</w:t>
            </w:r>
          </w:p>
        </w:tc>
        <w:tc>
          <w:tcPr>
            <w:tcW w:w="1711" w:type="dxa"/>
            <w:tcBorders>
              <w:top w:val="single" w:sz="8" w:space="0" w:color="000000"/>
            </w:tcBorders>
            <w:tcMar>
              <w:top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12/5/2024</w:t>
            </w:r>
          </w:p>
        </w:tc>
        <w:tc>
          <w:tcPr>
            <w:tcW w:w="498"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067"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4,726 </w:t>
            </w:r>
          </w:p>
        </w:tc>
      </w:tr>
      <w:tr>
        <w:trPr/>
        <w:tc>
          <w:tcPr>
            <w:tcW w:w="144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shd w:fill="CCEE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Wastewater</w:t>
            </w:r>
          </w:p>
        </w:tc>
        <w:tc>
          <w:tcPr>
            <w:tcW w:w="1711" w:type="dxa"/>
            <w:tcBorders>
              <w:bottom w:val="single" w:sz="8" w:space="0" w:color="000000"/>
            </w:tcBorders>
            <w:shd w:fill="CCEE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12/5/2024</w:t>
            </w:r>
          </w:p>
        </w:tc>
        <w:tc>
          <w:tcPr>
            <w:tcW w:w="49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067"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6,906 </w:t>
            </w:r>
          </w:p>
        </w:tc>
      </w:tr>
      <w:tr>
        <w:trPr/>
        <w:tc>
          <w:tcPr>
            <w:tcW w:w="4188" w:type="dxa"/>
            <w:gridSpan w:val="3"/>
            <w:tcBorders>
              <w:top w:val="single" w:sz="8" w:space="0" w:color="000000"/>
            </w:tcBorders>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Total Base Rate Case Authorizations in 2024</w:t>
            </w:r>
          </w:p>
        </w:tc>
        <w:tc>
          <w:tcPr>
            <w:tcW w:w="49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w:t>
            </w:r>
          </w:p>
        </w:tc>
        <w:tc>
          <w:tcPr>
            <w:tcW w:w="206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118,242 </w:t>
            </w:r>
          </w:p>
        </w:tc>
      </w:tr>
    </w:tbl>
    <w:p>
      <w:pPr>
        <w:pStyle w:val="TextBody"/>
        <w:bidi w:val="0"/>
        <w:spacing w:lineRule="auto" w:line="259"/>
        <w:rPr>
          <w:rFonts w:ascii="Times New Roman;serif" w:hAnsi="Times New Roman;serif"/>
          <w:b w:val="false"/>
          <w:i/>
          <w:sz w:val="18"/>
        </w:rPr>
      </w:pPr>
      <w:r>
        <w:rPr>
          <w:rFonts w:ascii="Times New Roman;serif" w:hAnsi="Times New Roman;serif"/>
          <w:b w:val="false"/>
          <w:i/>
          <w:sz w:val="18"/>
        </w:rPr>
        <w:t>* Base rate case - step increase for Year 2</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On February 7, 2025, the Pennsylvania Public Utility Commission (“PAPUC”) issued an order approving, with certain minor modifications, the joint petition for non-unanimous partial settlement filed by Aqua Pennsylvania, Office of Consumer Advocate, and other groups, that allowed a base rate increase designed to increase total annual operating revenues by $73,000. New rates went into effect on February 22, 2025. At the time the rate order was received, the rates in effect also included $37,940 in Distribution System Improvement Charges (“DSIC”), which was 6.73% above prior base rates. Consequently, the aggregate annual base rates increased by $110,940 since the last base rate increase and DSIC was reset to zero.</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Our operating subsidiaries received rate increases representing estimated annualized revenues of $118,242 in 2024 resulting from twelve base rate decisions, $28,426 in 2023 resulting from seven base rate decisions, and $81,610 in 2022 resulting from seven base rate decisions. Annualized revenues in aggregate from all of the rate increases realized in the year of grant were $34,832 in 2024, $10,109 in 2023, and $51,163 in 2022. Refer to Note 17 – </w:t>
      </w:r>
      <w:r>
        <w:rPr>
          <w:rFonts w:ascii="Times New Roman;serif" w:hAnsi="Times New Roman;serif"/>
          <w:b w:val="false"/>
          <w:i/>
          <w:sz w:val="22"/>
        </w:rPr>
        <w:t xml:space="preserve">Rate Activity </w:t>
      </w:r>
      <w:r>
        <w:rPr>
          <w:rFonts w:ascii="Times New Roman;serif" w:hAnsi="Times New Roman;serif"/>
          <w:b w:val="false"/>
          <w:i w:val="false"/>
          <w:caps w:val="false"/>
          <w:smallCaps w:val="false"/>
          <w:sz w:val="22"/>
        </w:rPr>
        <w:t xml:space="preserve">in this Annual Report for further information. </w:t>
      </w:r>
    </w:p>
    <w:p>
      <w:pPr>
        <w:pStyle w:val="TextBody"/>
        <w:bidi w:val="0"/>
        <w:spacing w:lineRule="auto" w:line="259"/>
        <w:jc w:val="center"/>
        <w:rPr>
          <w:caps w:val="false"/>
          <w:smallCaps w:val="false"/>
        </w:rPr>
      </w:pPr>
      <w:bookmarkStart w:id="17" w:name="_Hlk33538071"/>
      <w:bookmarkEnd w:id="17"/>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i w:val="false"/>
          <w:caps w:val="false"/>
          <w:smallCaps w:val="false"/>
          <w:sz w:val="22"/>
          <w:u w:val="single"/>
        </w:rPr>
      </w:pPr>
      <w:r>
        <w:rPr>
          <w:rFonts w:ascii="Times New Roman;serif" w:hAnsi="Times New Roman;serif"/>
          <w:b/>
          <w:i w:val="false"/>
          <w:caps w:val="false"/>
          <w:smallCaps w:val="false"/>
          <w:sz w:val="22"/>
          <w:u w:val="single"/>
        </w:rPr>
        <w:t xml:space="preserve">Growth Through Acquisitions and Capital Investment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Company continues to focus on rate base growth opportunities to create a resilient and sustainable future. This is achieved through (i) acquisitions to expand the Company’s service areas and increase customers, and (ii) delivering on its environmental reliability commitments through continued investment in replacing aging infrastructure, contaminant mitigation, and emissions reductions, among others. </w:t>
      </w:r>
    </w:p>
    <w:p>
      <w:pPr>
        <w:pStyle w:val="TextBody"/>
        <w:bidi w:val="0"/>
        <w:spacing w:lineRule="auto" w:line="259"/>
        <w:rPr>
          <w:rFonts w:ascii="Times New Roman;serif" w:hAnsi="Times New Roman;serif"/>
          <w:b w:val="false"/>
          <w:i w:val="false"/>
          <w:caps w:val="false"/>
          <w:smallCaps w:val="false"/>
          <w:sz w:val="22"/>
          <w:u w:val="single"/>
        </w:rPr>
      </w:pPr>
      <w:r>
        <w:rPr>
          <w:rFonts w:ascii="Times New Roman;serif" w:hAnsi="Times New Roman;serif"/>
          <w:b w:val="false"/>
          <w:i w:val="false"/>
          <w:caps w:val="false"/>
          <w:smallCaps w:val="false"/>
          <w:sz w:val="22"/>
          <w:u w:val="single"/>
        </w:rPr>
        <w:t>Acquisitions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Part of our strategy to meet the industry challenges is to actively explore opportunities to expand our utility operations through acquisitions of water, wastewater, and other utilities either in areas adjacent to our existing service areas or in new service areas, and to explore acquiring market-based businesses that are complementary to our regulated utility operations. To complement our growth strategy, we routinely evaluate the operating performance of our individual utility systems, and in instances where limited economic growth opportunities exist or where we are unable to achieve favorable operating results or a return on equity that we consider acceptable, we will seek to sell the utility system and reinvest the proceeds in other utility systems. Consistent with this strategy, we are focusing our acquisitions and resources in states where we have critical mass of operations in an effort to achieve economies of scale and increased efficiency. Our growth-through-acquisition strategy allows us to operate more efficiently by sharing operating expenses over more utility customers and provides new locations for future earnings growth through capital investment. Another element of our growth strategy is the consideration of opportunities to expand by acquiring other utilities, including those that may be in a new state if they provide promising economic growth opportunities and a return on equity that we consider acceptable. Our ability to successfully execute this strategy historically and to meet the industry challenges has largely been due to our core competencies, financial position, and our qualified and trained workforce, which we strive to retain by treating employees fairly and providing our employees with development and growth opportunities.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During 2024, we completed two acquisitions of water and wastewater systems, which along with the organic growth in our existing systems, represent 9,391 new customers. During 2023, we completed seven acquisitions of water and wastewater systems, which along with the organic growth in our existing systems, represents 19,659 new customers. During 2022, we completed three acquisitions of water and wastewater systems, which along with the organic growth in our existing systems, represents 31,537 new customers.. </w:t>
      </w:r>
    </w:p>
    <w:p>
      <w:pPr>
        <w:pStyle w:val="TextBody"/>
        <w:shd w:fill="FFFFFF" w:val="clear"/>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As of December 31, 2024, the Company has seven signed purchase agreements for additional water and wastewater systems that are expected to serve approximately 213,000 equivalent retail customers or equivalent dwelling units and total approximately</w:t>
      </w:r>
      <w:r>
        <w:rPr>
          <w:rFonts w:ascii="Times New Roman;serif" w:hAnsi="Times New Roman;serif"/>
          <w:caps w:val="false"/>
          <w:smallCaps w:val="false"/>
          <w:sz w:val="22"/>
        </w:rPr>
        <w:t> </w:t>
      </w:r>
      <w:r>
        <w:rPr>
          <w:rFonts w:ascii="Times New Roman;serif" w:hAnsi="Times New Roman;serif"/>
          <w:b w:val="false"/>
          <w:i w:val="false"/>
          <w:caps w:val="false"/>
          <w:smallCaps w:val="false"/>
          <w:sz w:val="22"/>
        </w:rPr>
        <w:t>$362,000 in purchase price in three of our existing states. This includes the Company</w:t>
      </w:r>
      <w:r>
        <w:rPr>
          <w:rFonts w:ascii="Times New Roman;serif" w:hAnsi="Times New Roman;serif"/>
          <w:caps w:val="false"/>
          <w:smallCaps w:val="false"/>
          <w:sz w:val="22"/>
        </w:rPr>
        <w:t>’</w:t>
      </w:r>
      <w:r>
        <w:rPr>
          <w:rFonts w:ascii="Times New Roman;serif" w:hAnsi="Times New Roman;serif"/>
          <w:b w:val="false"/>
          <w:i w:val="false"/>
          <w:caps w:val="false"/>
          <w:smallCaps w:val="false"/>
          <w:sz w:val="22"/>
        </w:rPr>
        <w:t>s agreement to acquire the</w:t>
      </w:r>
      <w:r>
        <w:rPr>
          <w:rFonts w:ascii="Times New Roman;serif" w:hAnsi="Times New Roman;serif"/>
          <w:caps w:val="false"/>
          <w:smallCaps w:val="false"/>
          <w:sz w:val="22"/>
        </w:rPr>
        <w:t> </w:t>
      </w:r>
      <w:r>
        <w:rPr>
          <w:rFonts w:ascii="Times New Roman;serif" w:hAnsi="Times New Roman;serif"/>
          <w:b w:val="false"/>
          <w:i w:val="false"/>
          <w:caps w:val="false"/>
          <w:smallCaps w:val="false"/>
          <w:sz w:val="22"/>
        </w:rPr>
        <w:t>Delaware County Regional Water Quality Control Authority</w:t>
      </w:r>
      <w:r>
        <w:rPr>
          <w:rFonts w:ascii="Times New Roman;serif" w:hAnsi="Times New Roman;serif"/>
          <w:caps w:val="false"/>
          <w:smallCaps w:val="false"/>
          <w:sz w:val="22"/>
        </w:rPr>
        <w:t> </w:t>
      </w:r>
      <w:r>
        <w:rPr>
          <w:rFonts w:ascii="Times New Roman;serif" w:hAnsi="Times New Roman;serif"/>
          <w:b w:val="false"/>
          <w:i w:val="false"/>
          <w:caps w:val="false"/>
          <w:smallCaps w:val="false"/>
          <w:sz w:val="22"/>
        </w:rPr>
        <w:t>(DELCORA) for</w:t>
      </w:r>
      <w:r>
        <w:rPr>
          <w:rFonts w:ascii="Times New Roman;serif" w:hAnsi="Times New Roman;serif"/>
          <w:caps w:val="false"/>
          <w:smallCaps w:val="false"/>
          <w:sz w:val="22"/>
        </w:rPr>
        <w:t> </w:t>
      </w:r>
      <w:r>
        <w:rPr>
          <w:rFonts w:ascii="Times New Roman;serif" w:hAnsi="Times New Roman;serif"/>
          <w:b w:val="false"/>
          <w:i w:val="false"/>
          <w:caps w:val="false"/>
          <w:smallCaps w:val="false"/>
          <w:sz w:val="22"/>
        </w:rPr>
        <w:t>$276,000. DELCORA, a</w:t>
      </w:r>
      <w:r>
        <w:rPr>
          <w:rFonts w:ascii="Times New Roman;serif" w:hAnsi="Times New Roman;serif"/>
          <w:caps w:val="false"/>
          <w:smallCaps w:val="false"/>
          <w:sz w:val="22"/>
        </w:rPr>
        <w:t> </w:t>
      </w:r>
      <w:r>
        <w:rPr>
          <w:rFonts w:ascii="Times New Roman;serif" w:hAnsi="Times New Roman;serif"/>
          <w:b w:val="false"/>
          <w:i w:val="false"/>
          <w:caps w:val="false"/>
          <w:smallCaps w:val="false"/>
          <w:sz w:val="22"/>
        </w:rPr>
        <w:t>Pennsylvania</w:t>
      </w:r>
      <w:r>
        <w:rPr>
          <w:rFonts w:ascii="Times New Roman;serif" w:hAnsi="Times New Roman;serif"/>
          <w:caps w:val="false"/>
          <w:smallCaps w:val="false"/>
          <w:sz w:val="22"/>
        </w:rPr>
        <w:t> </w:t>
      </w:r>
      <w:r>
        <w:rPr>
          <w:rFonts w:ascii="Times New Roman;serif" w:hAnsi="Times New Roman;serif"/>
          <w:b w:val="false"/>
          <w:i w:val="false"/>
          <w:caps w:val="false"/>
          <w:smallCaps w:val="false"/>
          <w:sz w:val="22"/>
        </w:rPr>
        <w:t>sewer authority, serves approximately 198,000 equivalent dwelling units in the</w:t>
      </w:r>
      <w:r>
        <w:rPr>
          <w:rFonts w:ascii="Times New Roman;serif" w:hAnsi="Times New Roman;serif"/>
          <w:caps w:val="false"/>
          <w:smallCaps w:val="false"/>
          <w:sz w:val="22"/>
        </w:rPr>
        <w:t> </w:t>
      </w:r>
      <w:r>
        <w:rPr>
          <w:rFonts w:ascii="Times New Roman;serif" w:hAnsi="Times New Roman;serif"/>
          <w:b w:val="false"/>
          <w:i w:val="false"/>
          <w:caps w:val="false"/>
          <w:smallCaps w:val="false"/>
          <w:sz w:val="22"/>
        </w:rPr>
        <w:t>Philadelphia</w:t>
      </w:r>
      <w:r>
        <w:rPr>
          <w:rFonts w:ascii="Times New Roman;serif" w:hAnsi="Times New Roman;serif"/>
          <w:caps w:val="false"/>
          <w:smallCaps w:val="false"/>
          <w:sz w:val="22"/>
        </w:rPr>
        <w:t> </w:t>
      </w:r>
      <w:r>
        <w:rPr>
          <w:rFonts w:ascii="Times New Roman;serif" w:hAnsi="Times New Roman;serif"/>
          <w:b w:val="false"/>
          <w:i w:val="false"/>
          <w:caps w:val="false"/>
          <w:smallCaps w:val="false"/>
          <w:sz w:val="22"/>
        </w:rPr>
        <w:t xml:space="preserve">suburbs. Refer to Note 2 – </w:t>
      </w:r>
      <w:r>
        <w:rPr>
          <w:rFonts w:ascii="Times New Roman;serif" w:hAnsi="Times New Roman;serif"/>
          <w:b w:val="false"/>
          <w:i/>
          <w:sz w:val="22"/>
        </w:rPr>
        <w:t xml:space="preserve">Acquisitions </w:t>
      </w:r>
      <w:r>
        <w:rPr>
          <w:rFonts w:ascii="Times New Roman;serif" w:hAnsi="Times New Roman;serif"/>
          <w:b w:val="false"/>
          <w:i w:val="false"/>
          <w:caps w:val="false"/>
          <w:smallCaps w:val="false"/>
          <w:sz w:val="22"/>
        </w:rPr>
        <w:t>in this Annual Report for further discussion.</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As of December 31, 2024, the pipeline of potential water and wastewater municipal acquisitions the company is actively pursuing represents approximately 400,000 total customers or equivalent dwelling units. The Company remains on track to, over the long term, annually increase customers between 2% and 3% through acquisitions and organic customer growth.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On January 31, 2025, the Company closed on the acquisition of </w:t>
      </w:r>
      <w:r>
        <w:rPr>
          <w:rFonts w:ascii="Times New Roman;serif" w:hAnsi="Times New Roman;serif"/>
          <w:b w:val="false"/>
          <w:i w:val="false"/>
          <w:caps w:val="false"/>
          <w:smallCaps w:val="false"/>
          <w:color w:val="000000"/>
          <w:sz w:val="22"/>
        </w:rPr>
        <w:t>Greenville Sanitary Authority’s wastewater utility assets, which serves approximately 2,300 customers in Greenville, Pennsylvania for $18,000.</w:t>
      </w:r>
    </w:p>
    <w:p>
      <w:pPr>
        <w:pStyle w:val="TextBody"/>
        <w:bidi w:val="0"/>
        <w:spacing w:lineRule="auto" w:line="259"/>
        <w:rPr>
          <w:rFonts w:ascii="Times New Roman;serif" w:hAnsi="Times New Roman;serif"/>
          <w:b w:val="false"/>
          <w:i w:val="false"/>
          <w:caps w:val="false"/>
          <w:smallCaps w:val="false"/>
          <w:sz w:val="22"/>
          <w:u w:val="single"/>
        </w:rPr>
      </w:pPr>
      <w:r>
        <w:rPr>
          <w:rFonts w:ascii="Times New Roman;serif" w:hAnsi="Times New Roman;serif"/>
          <w:b w:val="false"/>
          <w:i w:val="false"/>
          <w:caps w:val="false"/>
          <w:smallCaps w:val="false"/>
          <w:sz w:val="22"/>
          <w:u w:val="single"/>
        </w:rPr>
        <w:t>Capital Investment</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2024, the Company invested $1,329,747 to improve its regulated water and natural gas infrastructure systems and to enhance customer service across its operations. From 2025 through 2029, the company plans to invest approximately $7,800,000 to improve water and natural gas systems and better serve customers through improved information technology. The Company’s investments include addressing PFAS with at least $450,000 in capital projects, replacing and expanding its water and wastewater utility infrastructure, and replacing and upgrading its natural gas utility infrastructure, with the latter leading to significant reductions in methane emissions that occur in aged gas pipes. The capital investments made to rehabilitate and expand the infrastructure of the communities the Company serves are critical to its mission of safely and reliably delivering Earth’s most essential resources.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2"/>
          <w:u w:val="single"/>
        </w:rPr>
      </w:pPr>
      <w:r>
        <w:rPr>
          <w:rFonts w:ascii="Times New Roman;serif" w:hAnsi="Times New Roman;serif"/>
          <w:b w:val="false"/>
          <w:i w:val="false"/>
          <w:caps w:val="false"/>
          <w:smallCaps w:val="false"/>
          <w:sz w:val="22"/>
          <w:u w:val="single"/>
        </w:rPr>
        <w:t>Rate Base Growth</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Since 2020, the Company’s combined rate base grew by 44%. The Company expects its regulated water and natural gas rate bases to grow at a compound annual rate of around 6% and 11%, respectively, through 2029. The combined rate base is expected to grow at a compound annual rate of 8% through 2029.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As of December 31, 2024, the Company’s rate base is estimated to be $11,500,000, which is comprised of:</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$7,300,000 in the Regulated Water segment; and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$4,200,000 in the Regulated Natural Gas segment.</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As of December 31, 2024, the regulatory status of the Company’s rate base is estimated to be as follows: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$10,300,000 filed with respective state utility commissions or local regulatory authorities; and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$1,200,000 not yet filed with respective state utility commissions or local regulatory authorities. </w:t>
      </w:r>
    </w:p>
    <w:p>
      <w:pPr>
        <w:pStyle w:val="TextBody"/>
        <w:bidi w:val="0"/>
        <w:spacing w:lineRule="auto" w:line="259"/>
        <w:jc w:val="center"/>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RESULTS OF OPERATIONS</w:t>
      </w:r>
    </w:p>
    <w:p>
      <w:pPr>
        <w:pStyle w:val="TextBody"/>
        <w:bidi w:val="0"/>
        <w:spacing w:lineRule="auto" w:line="259"/>
        <w:rPr/>
      </w:pPr>
      <w:r>
        <w:rPr>
          <w:rFonts w:ascii="Times New Roman;serif" w:hAnsi="Times New Roman;serif"/>
          <w:b w:val="false"/>
          <w:i w:val="false"/>
          <w:caps w:val="false"/>
          <w:smallCaps w:val="false"/>
          <w:sz w:val="22"/>
        </w:rPr>
        <w:t xml:space="preserve">Consolidated financial and operational highlights for the years ended December 31, 2024, 2023, and 2022 are presented below. For discussion of our results of operations and cash flows for 2023 compared with 2022, refer to Part II, Item 7 “Management’s Discussion and Analysis of Financial Condition and Results of Operations” in our Annual Report on </w:t>
      </w:r>
      <w:hyperlink r:id="rId2">
        <w:r>
          <w:rPr>
            <w:rStyle w:val="InternetLink"/>
            <w:rFonts w:ascii="Times New Roman;serif" w:hAnsi="Times New Roman;serif"/>
            <w:b w:val="false"/>
            <w:i w:val="false"/>
            <w:caps w:val="false"/>
            <w:smallCaps w:val="false"/>
            <w:color w:val="0000FF"/>
            <w:sz w:val="22"/>
            <w:u w:val="single"/>
          </w:rPr>
          <w:t>Form 10-K for our fiscal year ended December 31, 2023</w:t>
        </w:r>
      </w:hyperlink>
      <w:r>
        <w:rPr>
          <w:rFonts w:ascii="Times New Roman;serif" w:hAnsi="Times New Roman;serif"/>
          <w:b w:val="false"/>
          <w:i w:val="false"/>
          <w:caps w:val="false"/>
          <w:smallCaps w:val="false"/>
          <w:sz w:val="22"/>
        </w:rPr>
        <w:t xml:space="preserve">, filed with the SEC on February 29, 2024. </w:t>
      </w:r>
    </w:p>
    <w:tbl>
      <w:tblPr>
        <w:tblW w:w="10205" w:type="dxa"/>
        <w:jc w:val="left"/>
        <w:tblInd w:w="0" w:type="dxa"/>
        <w:tblLayout w:type="fixed"/>
        <w:tblCellMar>
          <w:top w:w="0" w:type="dxa"/>
          <w:left w:w="0" w:type="dxa"/>
          <w:bottom w:w="0" w:type="dxa"/>
          <w:right w:w="0" w:type="dxa"/>
        </w:tblCellMar>
      </w:tblPr>
      <w:tblGrid>
        <w:gridCol w:w="3903"/>
        <w:gridCol w:w="211"/>
        <w:gridCol w:w="1003"/>
        <w:gridCol w:w="211"/>
        <w:gridCol w:w="1003"/>
        <w:gridCol w:w="211"/>
        <w:gridCol w:w="1003"/>
        <w:gridCol w:w="211"/>
        <w:gridCol w:w="1093"/>
        <w:gridCol w:w="174"/>
        <w:gridCol w:w="37"/>
        <w:gridCol w:w="1145"/>
      </w:tblGrid>
      <w:tr>
        <w:trPr/>
        <w:tc>
          <w:tcPr>
            <w:tcW w:w="390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93" w:type="dxa"/>
            <w:tcBorders/>
            <w:shd w:fill="FFFFFF" w:val="clear"/>
            <w:vAlign w:val="center"/>
          </w:tcPr>
          <w:p>
            <w:pPr>
              <w:pStyle w:val="TableContents"/>
              <w:bidi w:val="0"/>
              <w:spacing w:before="0" w:after="283"/>
              <w:jc w:val="left"/>
              <w:rPr>
                <w:sz w:val="4"/>
                <w:szCs w:val="4"/>
              </w:rPr>
            </w:pPr>
            <w:r>
              <w:rPr>
                <w:sz w:val="4"/>
                <w:szCs w:val="4"/>
              </w:rPr>
            </w:r>
          </w:p>
        </w:tc>
        <w:tc>
          <w:tcPr>
            <w:tcW w:w="211" w:type="dxa"/>
            <w:gridSpan w:val="2"/>
            <w:tcBorders/>
            <w:shd w:fill="FFFFFF" w:val="clear"/>
            <w:vAlign w:val="center"/>
          </w:tcPr>
          <w:p>
            <w:pPr>
              <w:pStyle w:val="TableContents"/>
              <w:bidi w:val="0"/>
              <w:spacing w:before="0" w:after="283"/>
              <w:jc w:val="left"/>
              <w:rPr>
                <w:sz w:val="4"/>
                <w:szCs w:val="4"/>
              </w:rPr>
            </w:pPr>
            <w:r>
              <w:rPr>
                <w:sz w:val="4"/>
                <w:szCs w:val="4"/>
              </w:rPr>
            </w:r>
          </w:p>
        </w:tc>
        <w:tc>
          <w:tcPr>
            <w:tcW w:w="1145" w:type="dxa"/>
            <w:tcBorders/>
            <w:shd w:fill="FFFFFF" w:val="clear"/>
            <w:vAlign w:val="center"/>
          </w:tcPr>
          <w:p>
            <w:pPr>
              <w:pStyle w:val="TableContents"/>
              <w:bidi w:val="0"/>
              <w:spacing w:before="0" w:after="283"/>
              <w:jc w:val="left"/>
              <w:rPr>
                <w:sz w:val="4"/>
                <w:szCs w:val="4"/>
              </w:rPr>
            </w:pPr>
            <w:r>
              <w:rPr>
                <w:sz w:val="4"/>
                <w:szCs w:val="4"/>
              </w:rPr>
            </w:r>
          </w:p>
        </w:tc>
      </w:tr>
      <w:tr>
        <w:trPr/>
        <w:tc>
          <w:tcPr>
            <w:tcW w:w="390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93" w:type="dxa"/>
            <w:tcBorders/>
            <w:shd w:fill="FFFFFF" w:val="clear"/>
            <w:vAlign w:val="center"/>
          </w:tcPr>
          <w:p>
            <w:pPr>
              <w:pStyle w:val="TableContents"/>
              <w:bidi w:val="0"/>
              <w:spacing w:before="0" w:after="283"/>
              <w:jc w:val="left"/>
              <w:rPr>
                <w:sz w:val="4"/>
                <w:szCs w:val="4"/>
              </w:rPr>
            </w:pPr>
            <w:r>
              <w:rPr>
                <w:sz w:val="4"/>
                <w:szCs w:val="4"/>
              </w:rPr>
            </w:r>
          </w:p>
        </w:tc>
        <w:tc>
          <w:tcPr>
            <w:tcW w:w="211" w:type="dxa"/>
            <w:gridSpan w:val="2"/>
            <w:tcBorders/>
            <w:shd w:fill="FFFFFF" w:val="clear"/>
            <w:vAlign w:val="center"/>
          </w:tcPr>
          <w:p>
            <w:pPr>
              <w:pStyle w:val="TableContents"/>
              <w:bidi w:val="0"/>
              <w:spacing w:before="0" w:after="283"/>
              <w:jc w:val="left"/>
              <w:rPr>
                <w:sz w:val="4"/>
                <w:szCs w:val="4"/>
              </w:rPr>
            </w:pPr>
            <w:r>
              <w:rPr>
                <w:sz w:val="4"/>
                <w:szCs w:val="4"/>
              </w:rPr>
            </w:r>
          </w:p>
        </w:tc>
        <w:tc>
          <w:tcPr>
            <w:tcW w:w="1145" w:type="dxa"/>
            <w:tcBorders/>
            <w:shd w:fill="FFFFFF" w:val="clear"/>
            <w:vAlign w:val="center"/>
          </w:tcPr>
          <w:p>
            <w:pPr>
              <w:pStyle w:val="TableContents"/>
              <w:bidi w:val="0"/>
              <w:spacing w:before="0" w:after="283"/>
              <w:jc w:val="left"/>
              <w:rPr>
                <w:sz w:val="4"/>
                <w:szCs w:val="4"/>
              </w:rPr>
            </w:pPr>
            <w:r>
              <w:rPr>
                <w:sz w:val="4"/>
                <w:szCs w:val="4"/>
              </w:rPr>
            </w:r>
          </w:p>
        </w:tc>
      </w:tr>
      <w:tr>
        <w:trPr/>
        <w:tc>
          <w:tcPr>
            <w:tcW w:w="3903" w:type="dxa"/>
            <w:tcBorders>
              <w:bottom w:val="single" w:sz="8" w:space="0" w:color="000000"/>
            </w:tcBorders>
            <w:shd w:fill="FFFFFF" w:val="clear"/>
            <w:tcMar>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Years ended December 31,</w:t>
            </w:r>
          </w:p>
        </w:tc>
        <w:tc>
          <w:tcPr>
            <w:tcW w:w="1214"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214"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1214"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93"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 vs. 2023</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82"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 vs. 2022</w:t>
            </w:r>
          </w:p>
        </w:tc>
      </w:tr>
      <w:tr>
        <w:trPr/>
        <w:tc>
          <w:tcPr>
            <w:tcW w:w="3903" w:type="dxa"/>
            <w:tcBorders/>
            <w:shd w:fill="FFFF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Operating revenues:</w:t>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gridSpan w:val="2"/>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45"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3903"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Regulated water segment</w:t>
            </w:r>
          </w:p>
        </w:tc>
        <w:tc>
          <w:tcPr>
            <w:tcW w:w="21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1,221,880</w:t>
            </w:r>
          </w:p>
        </w:tc>
        <w:tc>
          <w:tcPr>
            <w:tcW w:w="21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1,153,376</w:t>
            </w:r>
          </w:p>
        </w:tc>
        <w:tc>
          <w:tcPr>
            <w:tcW w:w="21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1,082,972</w:t>
            </w:r>
          </w:p>
        </w:tc>
        <w:tc>
          <w:tcPr>
            <w:tcW w:w="21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68,504</w:t>
            </w:r>
          </w:p>
        </w:tc>
        <w:tc>
          <w:tcPr>
            <w:tcW w:w="211" w:type="dxa"/>
            <w:gridSpan w:val="2"/>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45"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70,404</w:t>
            </w:r>
          </w:p>
        </w:tc>
      </w:tr>
      <w:tr>
        <w:trPr/>
        <w:tc>
          <w:tcPr>
            <w:tcW w:w="3903"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Regulated natural gas segment</w:t>
            </w:r>
          </w:p>
        </w:tc>
        <w:tc>
          <w:tcPr>
            <w:tcW w:w="21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842,991</w:t>
            </w:r>
          </w:p>
        </w:tc>
        <w:tc>
          <w:tcPr>
            <w:tcW w:w="21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863,759</w:t>
            </w:r>
          </w:p>
        </w:tc>
        <w:tc>
          <w:tcPr>
            <w:tcW w:w="21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1,143,362</w:t>
            </w:r>
          </w:p>
        </w:tc>
        <w:tc>
          <w:tcPr>
            <w:tcW w:w="21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lineRule="auto" w:line="259" w:before="0"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(20,768)</w:t>
            </w:r>
          </w:p>
        </w:tc>
        <w:tc>
          <w:tcPr>
            <w:tcW w:w="211" w:type="dxa"/>
            <w:gridSpan w:val="2"/>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lineRule="auto" w:line="259" w:before="0"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(279,603)</w:t>
            </w:r>
          </w:p>
        </w:tc>
      </w:tr>
      <w:tr>
        <w:trPr/>
        <w:tc>
          <w:tcPr>
            <w:tcW w:w="3903"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and eliminations</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03"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21,242</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03"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36,689</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03"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61,698</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93" w:type="dxa"/>
            <w:tcBorders>
              <w:bottom w:val="single" w:sz="8" w:space="0" w:color="000000"/>
            </w:tcBorders>
            <w:shd w:fill="CCEEFF" w:val="clear"/>
            <w:tcMar>
              <w:bottom w:w="28" w:type="dxa"/>
            </w:tcMar>
            <w:vAlign w:val="center"/>
          </w:tcPr>
          <w:p>
            <w:pPr>
              <w:pStyle w:val="TableContents"/>
              <w:bidi w:val="0"/>
              <w:spacing w:lineRule="auto" w:line="259" w:before="0"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(15,447)</w:t>
            </w:r>
          </w:p>
        </w:tc>
        <w:tc>
          <w:tcPr>
            <w:tcW w:w="211" w:type="dxa"/>
            <w:gridSpan w:val="2"/>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45" w:type="dxa"/>
            <w:tcBorders>
              <w:bottom w:val="single" w:sz="8" w:space="0" w:color="000000"/>
            </w:tcBorders>
            <w:shd w:fill="CCEEFF" w:val="clear"/>
            <w:tcMar>
              <w:bottom w:w="28" w:type="dxa"/>
            </w:tcMar>
            <w:vAlign w:val="center"/>
          </w:tcPr>
          <w:p>
            <w:pPr>
              <w:pStyle w:val="TableContents"/>
              <w:bidi w:val="0"/>
              <w:spacing w:lineRule="auto" w:line="259" w:before="0"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(25,009)</w:t>
            </w:r>
          </w:p>
        </w:tc>
      </w:tr>
      <w:tr>
        <w:trPr/>
        <w:tc>
          <w:tcPr>
            <w:tcW w:w="3903"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Consolidated operating revenues</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2,086,113</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2,053,824</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2,288,032</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32,289</w:t>
            </w:r>
          </w:p>
        </w:tc>
        <w:tc>
          <w:tcPr>
            <w:tcW w:w="211" w:type="dxa"/>
            <w:gridSpan w:val="2"/>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4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(234,208)</w:t>
            </w:r>
          </w:p>
        </w:tc>
      </w:tr>
      <w:tr>
        <w:trPr/>
        <w:tc>
          <w:tcPr>
            <w:tcW w:w="3903"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Operations and maintenance expense</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587,250</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575,518</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613,649</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11,732</w:t>
            </w:r>
          </w:p>
        </w:tc>
        <w:tc>
          <w:tcPr>
            <w:tcW w:w="211" w:type="dxa"/>
            <w:gridSpan w:val="2"/>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4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(38,131)</w:t>
            </w:r>
          </w:p>
        </w:tc>
      </w:tr>
      <w:tr>
        <w:trPr/>
        <w:tc>
          <w:tcPr>
            <w:tcW w:w="3903"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595,314</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498,226</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465,237</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97,088</w:t>
            </w:r>
          </w:p>
        </w:tc>
        <w:tc>
          <w:tcPr>
            <w:tcW w:w="211" w:type="dxa"/>
            <w:gridSpan w:val="2"/>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4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32,989</w:t>
            </w:r>
          </w:p>
        </w:tc>
      </w:tr>
      <w:tr>
        <w:trPr/>
        <w:tc>
          <w:tcPr>
            <w:tcW w:w="3903"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 expenditures</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1,329,747</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1,199,103</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1,062,763</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130,644</w:t>
            </w:r>
          </w:p>
        </w:tc>
        <w:tc>
          <w:tcPr>
            <w:tcW w:w="211" w:type="dxa"/>
            <w:gridSpan w:val="2"/>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4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136,340</w:t>
            </w:r>
          </w:p>
        </w:tc>
      </w:tr>
      <w:tr>
        <w:trPr/>
        <w:tc>
          <w:tcPr>
            <w:tcW w:w="3903" w:type="dxa"/>
            <w:tcBorders/>
            <w:vAlign w:val="center"/>
          </w:tcPr>
          <w:p>
            <w:pPr>
              <w:pStyle w:val="TableContents"/>
              <w:bidi w:val="0"/>
              <w:spacing w:lineRule="auto" w:line="259" w:before="0" w:after="1"/>
              <w:jc w:val="left"/>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Operating Statistics</w:t>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gridSpan w:val="2"/>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903"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Selected operating results as a percentage of operating revenues: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03"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93" w:type="dxa"/>
            <w:tcBorders/>
            <w:shd w:fill="CCEEFF" w:val="clear"/>
            <w:vAlign w:val="center"/>
          </w:tcPr>
          <w:p>
            <w:pPr>
              <w:pStyle w:val="TableContents"/>
              <w:bidi w:val="0"/>
              <w:spacing w:before="0" w:after="283"/>
              <w:jc w:val="left"/>
              <w:rPr>
                <w:sz w:val="4"/>
                <w:szCs w:val="4"/>
              </w:rPr>
            </w:pPr>
            <w:r>
              <w:rPr>
                <w:sz w:val="4"/>
                <w:szCs w:val="4"/>
              </w:rPr>
            </w:r>
          </w:p>
        </w:tc>
        <w:tc>
          <w:tcPr>
            <w:tcW w:w="211" w:type="dxa"/>
            <w:gridSpan w:val="2"/>
            <w:tcBorders/>
            <w:shd w:fill="CCEEFF" w:val="clear"/>
            <w:vAlign w:val="center"/>
          </w:tcPr>
          <w:p>
            <w:pPr>
              <w:pStyle w:val="TableContents"/>
              <w:bidi w:val="0"/>
              <w:spacing w:before="0" w:after="283"/>
              <w:jc w:val="left"/>
              <w:rPr>
                <w:sz w:val="4"/>
                <w:szCs w:val="4"/>
              </w:rPr>
            </w:pPr>
            <w:r>
              <w:rPr>
                <w:sz w:val="4"/>
                <w:szCs w:val="4"/>
              </w:rPr>
            </w:r>
          </w:p>
        </w:tc>
        <w:tc>
          <w:tcPr>
            <w:tcW w:w="1145" w:type="dxa"/>
            <w:tcBorders/>
            <w:shd w:fill="CCEEFF" w:val="clear"/>
            <w:vAlign w:val="center"/>
          </w:tcPr>
          <w:p>
            <w:pPr>
              <w:pStyle w:val="TableContents"/>
              <w:bidi w:val="0"/>
              <w:spacing w:before="0" w:after="283"/>
              <w:jc w:val="left"/>
              <w:rPr>
                <w:sz w:val="4"/>
                <w:szCs w:val="4"/>
              </w:rPr>
            </w:pPr>
            <w:r>
              <w:rPr>
                <w:sz w:val="4"/>
                <w:szCs w:val="4"/>
              </w:rPr>
            </w:r>
          </w:p>
        </w:tc>
      </w:tr>
      <w:tr>
        <w:trPr/>
        <w:tc>
          <w:tcPr>
            <w:tcW w:w="3903"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Operations and maintenance</w:t>
            </w:r>
          </w:p>
        </w:tc>
        <w:tc>
          <w:tcPr>
            <w:tcW w:w="211" w:type="dxa"/>
            <w:tcBorders>
              <w:bottom w:val="double" w:sz="6" w:space="0" w:color="000000"/>
            </w:tcBorders>
            <w:tcMar>
              <w:bottom w:w="28" w:type="dxa"/>
            </w:tcMar>
            <w:vAlign w:val="center"/>
          </w:tcPr>
          <w:p>
            <w:pPr>
              <w:pStyle w:val="TableContents"/>
              <w:bidi w:val="0"/>
              <w:spacing w:before="0" w:after="283"/>
              <w:ind w:left="115" w:right="0" w:hanging="0"/>
              <w:jc w:val="left"/>
              <w:rPr>
                <w:sz w:val="4"/>
                <w:szCs w:val="4"/>
              </w:rPr>
            </w:pPr>
            <w:r>
              <w:rPr>
                <w:sz w:val="4"/>
                <w:szCs w:val="4"/>
              </w:rPr>
            </w:r>
          </w:p>
        </w:tc>
        <w:tc>
          <w:tcPr>
            <w:tcW w:w="1003" w:type="dxa"/>
            <w:tcBorders>
              <w:bottom w:val="double" w:sz="6" w:space="0" w:color="000000"/>
            </w:tcBorders>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28.2%</w:t>
            </w:r>
          </w:p>
        </w:tc>
        <w:tc>
          <w:tcPr>
            <w:tcW w:w="211" w:type="dxa"/>
            <w:tcBorders>
              <w:bottom w:val="double" w:sz="6" w:space="0" w:color="000000"/>
            </w:tcBorders>
            <w:tcMar>
              <w:bottom w:w="28" w:type="dxa"/>
            </w:tcMar>
            <w:vAlign w:val="center"/>
          </w:tcPr>
          <w:p>
            <w:pPr>
              <w:pStyle w:val="TableContents"/>
              <w:bidi w:val="0"/>
              <w:spacing w:before="0" w:after="283"/>
              <w:ind w:left="115" w:right="0" w:hanging="0"/>
              <w:jc w:val="left"/>
              <w:rPr>
                <w:sz w:val="4"/>
                <w:szCs w:val="4"/>
              </w:rPr>
            </w:pPr>
            <w:r>
              <w:rPr>
                <w:sz w:val="4"/>
                <w:szCs w:val="4"/>
              </w:rPr>
            </w:r>
          </w:p>
        </w:tc>
        <w:tc>
          <w:tcPr>
            <w:tcW w:w="1003" w:type="dxa"/>
            <w:tcBorders>
              <w:bottom w:val="double" w:sz="6" w:space="0" w:color="000000"/>
            </w:tcBorders>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28.0%</w:t>
            </w:r>
          </w:p>
        </w:tc>
        <w:tc>
          <w:tcPr>
            <w:tcW w:w="211"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03" w:type="dxa"/>
            <w:tcBorders>
              <w:bottom w:val="double" w:sz="6" w:space="0" w:color="000000"/>
            </w:tcBorders>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26.8%</w:t>
            </w:r>
          </w:p>
        </w:tc>
        <w:tc>
          <w:tcPr>
            <w:tcW w:w="211"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93" w:type="dxa"/>
            <w:tcBorders>
              <w:bottom w:val="double" w:sz="6" w:space="0" w:color="000000"/>
            </w:tcBorders>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w:t>
            </w:r>
          </w:p>
        </w:tc>
        <w:tc>
          <w:tcPr>
            <w:tcW w:w="211" w:type="dxa"/>
            <w:gridSpan w:val="2"/>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5" w:type="dxa"/>
            <w:tcBorders>
              <w:bottom w:val="double" w:sz="6" w:space="0" w:color="000000"/>
            </w:tcBorders>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w:t>
            </w:r>
          </w:p>
        </w:tc>
      </w:tr>
      <w:tr>
        <w:trPr/>
        <w:tc>
          <w:tcPr>
            <w:tcW w:w="3903"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ind w:left="115" w:right="0" w:hanging="0"/>
              <w:jc w:val="left"/>
              <w:rPr>
                <w:sz w:val="4"/>
                <w:szCs w:val="4"/>
              </w:rPr>
            </w:pPr>
            <w:r>
              <w:rPr>
                <w:sz w:val="4"/>
                <w:szCs w:val="4"/>
              </w:rPr>
            </w:r>
          </w:p>
        </w:tc>
        <w:tc>
          <w:tcPr>
            <w:tcW w:w="100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17.7%</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ind w:left="115" w:right="0" w:hanging="0"/>
              <w:jc w:val="left"/>
              <w:rPr>
                <w:sz w:val="4"/>
                <w:szCs w:val="4"/>
              </w:rPr>
            </w:pPr>
            <w:r>
              <w:rPr>
                <w:sz w:val="4"/>
                <w:szCs w:val="4"/>
              </w:rPr>
            </w:r>
          </w:p>
        </w:tc>
        <w:tc>
          <w:tcPr>
            <w:tcW w:w="100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16.7%</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ind w:left="115" w:right="0" w:hanging="0"/>
              <w:jc w:val="left"/>
              <w:rPr>
                <w:sz w:val="4"/>
                <w:szCs w:val="4"/>
              </w:rPr>
            </w:pPr>
            <w:r>
              <w:rPr>
                <w:sz w:val="4"/>
                <w:szCs w:val="4"/>
              </w:rPr>
            </w:r>
          </w:p>
        </w:tc>
        <w:tc>
          <w:tcPr>
            <w:tcW w:w="100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w:t>
            </w:r>
          </w:p>
        </w:tc>
        <w:tc>
          <w:tcPr>
            <w:tcW w:w="211" w:type="dxa"/>
            <w:gridSpan w:val="2"/>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4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w:t>
            </w:r>
          </w:p>
        </w:tc>
      </w:tr>
      <w:tr>
        <w:trPr/>
        <w:tc>
          <w:tcPr>
            <w:tcW w:w="3903"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Taxes other than income taxes </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ind w:left="115" w:right="0" w:hanging="0"/>
              <w:jc w:val="left"/>
              <w:rPr>
                <w:sz w:val="4"/>
                <w:szCs w:val="4"/>
              </w:rPr>
            </w:pPr>
            <w:r>
              <w:rPr>
                <w:sz w:val="4"/>
                <w:szCs w:val="4"/>
              </w:rPr>
            </w:r>
          </w:p>
        </w:tc>
        <w:tc>
          <w:tcPr>
            <w:tcW w:w="100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ind w:left="115" w:right="0" w:hanging="0"/>
              <w:jc w:val="left"/>
              <w:rPr>
                <w:sz w:val="4"/>
                <w:szCs w:val="4"/>
              </w:rPr>
            </w:pPr>
            <w:r>
              <w:rPr>
                <w:sz w:val="4"/>
                <w:szCs w:val="4"/>
              </w:rPr>
            </w:r>
          </w:p>
        </w:tc>
        <w:tc>
          <w:tcPr>
            <w:tcW w:w="100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4.4%</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ind w:left="115" w:right="0" w:hanging="0"/>
              <w:jc w:val="left"/>
              <w:rPr>
                <w:sz w:val="4"/>
                <w:szCs w:val="4"/>
              </w:rPr>
            </w:pPr>
            <w:r>
              <w:rPr>
                <w:sz w:val="4"/>
                <w:szCs w:val="4"/>
              </w:rPr>
            </w:r>
          </w:p>
        </w:tc>
        <w:tc>
          <w:tcPr>
            <w:tcW w:w="100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w:t>
            </w:r>
          </w:p>
        </w:tc>
        <w:tc>
          <w:tcPr>
            <w:tcW w:w="211" w:type="dxa"/>
            <w:gridSpan w:val="2"/>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4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0.5%</w:t>
            </w:r>
          </w:p>
        </w:tc>
      </w:tr>
      <w:tr>
        <w:trPr/>
        <w:tc>
          <w:tcPr>
            <w:tcW w:w="3903"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 of interest income</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ind w:left="115" w:right="0" w:hanging="0"/>
              <w:jc w:val="left"/>
              <w:rPr>
                <w:sz w:val="4"/>
                <w:szCs w:val="4"/>
              </w:rPr>
            </w:pPr>
            <w:r>
              <w:rPr>
                <w:sz w:val="4"/>
                <w:szCs w:val="4"/>
              </w:rPr>
            </w:r>
          </w:p>
        </w:tc>
        <w:tc>
          <w:tcPr>
            <w:tcW w:w="100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ind w:left="115" w:right="0" w:hanging="0"/>
              <w:jc w:val="left"/>
              <w:rPr>
                <w:sz w:val="4"/>
                <w:szCs w:val="4"/>
              </w:rPr>
            </w:pPr>
            <w:r>
              <w:rPr>
                <w:sz w:val="4"/>
                <w:szCs w:val="4"/>
              </w:rPr>
            </w:r>
          </w:p>
        </w:tc>
        <w:tc>
          <w:tcPr>
            <w:tcW w:w="100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13.6%</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ind w:left="115" w:right="0" w:hanging="0"/>
              <w:jc w:val="left"/>
              <w:rPr>
                <w:sz w:val="4"/>
                <w:szCs w:val="4"/>
              </w:rPr>
            </w:pPr>
            <w:r>
              <w:rPr>
                <w:sz w:val="4"/>
                <w:szCs w:val="4"/>
              </w:rPr>
            </w:r>
          </w:p>
        </w:tc>
        <w:tc>
          <w:tcPr>
            <w:tcW w:w="100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10.2%</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0.7%</w:t>
            </w:r>
          </w:p>
        </w:tc>
        <w:tc>
          <w:tcPr>
            <w:tcW w:w="211" w:type="dxa"/>
            <w:gridSpan w:val="2"/>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4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r>
      <w:tr>
        <w:trPr/>
        <w:tc>
          <w:tcPr>
            <w:tcW w:w="3903"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28.5%</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24.3%</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20.3%</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w:t>
            </w:r>
          </w:p>
        </w:tc>
        <w:tc>
          <w:tcPr>
            <w:tcW w:w="211" w:type="dxa"/>
            <w:gridSpan w:val="2"/>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4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w:t>
            </w:r>
          </w:p>
        </w:tc>
      </w:tr>
      <w:tr>
        <w:trPr/>
        <w:tc>
          <w:tcPr>
            <w:tcW w:w="3903"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Return on Essential Utilities stockholders' equity</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9.6%</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w:t>
            </w:r>
          </w:p>
        </w:tc>
        <w:tc>
          <w:tcPr>
            <w:tcW w:w="211" w:type="dxa"/>
            <w:gridSpan w:val="2"/>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4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-0.3%</w:t>
            </w:r>
          </w:p>
        </w:tc>
      </w:tr>
      <w:tr>
        <w:trPr/>
        <w:tc>
          <w:tcPr>
            <w:tcW w:w="3903"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Ratio of capital expenditures to depreciation expense</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9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0.2</w:t>
            </w:r>
          </w:p>
        </w:tc>
        <w:tc>
          <w:tcPr>
            <w:tcW w:w="211" w:type="dxa"/>
            <w:gridSpan w:val="2"/>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4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0.1</w:t>
            </w:r>
          </w:p>
        </w:tc>
      </w:tr>
      <w:tr>
        <w:trPr/>
        <w:tc>
          <w:tcPr>
            <w:tcW w:w="3903"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Effective tax rate</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(15.4%)</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w:t>
            </w:r>
          </w:p>
        </w:tc>
        <w:tc>
          <w:tcPr>
            <w:tcW w:w="21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93"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11.6%</w:t>
            </w:r>
          </w:p>
        </w:tc>
        <w:tc>
          <w:tcPr>
            <w:tcW w:w="211" w:type="dxa"/>
            <w:gridSpan w:val="2"/>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4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w:t>
            </w:r>
          </w:p>
        </w:tc>
      </w:tr>
    </w:tbl>
    <w:p>
      <w:pPr>
        <w:pStyle w:val="TextBody"/>
        <w:bidi w:val="0"/>
        <w:spacing w:lineRule="auto" w:line="259"/>
        <w:rPr>
          <w:rFonts w:ascii="Times New Roman;serif" w:hAnsi="Times New Roman;serif"/>
          <w:sz w:val="22"/>
        </w:rPr>
      </w:pPr>
      <w:bookmarkStart w:id="18" w:name="_Hlk157690945"/>
      <w:bookmarkEnd w:id="18"/>
      <w:r>
        <w:rPr>
          <w:rFonts w:ascii="Times New Roman;serif" w:hAnsi="Times New Roman;serif"/>
          <w:b/>
          <w:i w:val="false"/>
          <w:caps w:val="false"/>
          <w:smallCaps w:val="false"/>
          <w:sz w:val="22"/>
          <w:u w:val="single"/>
        </w:rPr>
        <w:t>Consolidated Results of Operations Comparison for 2024 and 2023</w:t>
      </w:r>
      <w:r>
        <w:rPr>
          <w:rFonts w:ascii="Times New Roman;serif" w:hAnsi="Times New Roman;serif"/>
          <w:caps w:val="false"/>
          <w:smallCaps w:val="false"/>
          <w:sz w:val="22"/>
        </w:rPr>
        <w:t xml:space="preserve"> </w:t>
      </w:r>
    </w:p>
    <w:p>
      <w:pPr>
        <w:pStyle w:val="TextBody"/>
        <w:bidi w:val="0"/>
        <w:spacing w:lineRule="auto" w:line="259"/>
        <w:rPr>
          <w:rFonts w:ascii="Times New Roman;serif" w:hAnsi="Times New Roman;serif"/>
          <w:sz w:val="22"/>
        </w:rPr>
      </w:pPr>
      <w:r>
        <w:rPr>
          <w:rFonts w:ascii="Times New Roman;serif" w:hAnsi="Times New Roman;serif"/>
          <w:b/>
          <w:i/>
          <w:sz w:val="22"/>
        </w:rPr>
        <w:t xml:space="preserve">Operating revenues - </w:t>
      </w:r>
      <w:r>
        <w:rPr>
          <w:rFonts w:ascii="Times New Roman;serif" w:hAnsi="Times New Roman;serif"/>
          <w:b w:val="false"/>
          <w:i w:val="false"/>
          <w:caps w:val="false"/>
          <w:smallCaps w:val="false"/>
          <w:sz w:val="22"/>
        </w:rPr>
        <w:t xml:space="preserve">Operating revenues increased by $32,289 or 1.6% for the year ended December 31, 2024 compared to the year ended December 31, 2023. Revenues from our Regulated Water segment increased by $68,504, Regulated Natural Gas segment revenues decreased by $20,768 and Other business segment revenues decreased by $15,447. A detailed discussion of the factors contributing to the changes in segment operating revenues is included below under the section, Segment Results of Operations.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Our Other business segment revenues consist of market-based revenues at Aqua Resources and our non-regulated natural gas operations amounting to $21,242 in 2024, $36,689 in 2023, and $61,698 in 2022. The decrease in Other business segment revenues in 2024 compared to 2023 is primarily due to lower revenues from our non-regulated natural gas operations as a result of lower average gas prices and lower gas usage in the current period as compared to the prior period.</w:t>
      </w:r>
    </w:p>
    <w:p>
      <w:pPr>
        <w:pStyle w:val="TextBody"/>
        <w:bidi w:val="0"/>
        <w:spacing w:lineRule="auto" w:line="259"/>
        <w:rPr>
          <w:rFonts w:ascii="Times New Roman;serif" w:hAnsi="Times New Roman;serif"/>
          <w:sz w:val="22"/>
        </w:rPr>
      </w:pPr>
      <w:r>
        <w:rPr>
          <w:rFonts w:ascii="Times New Roman;serif" w:hAnsi="Times New Roman;serif"/>
          <w:b/>
          <w:i/>
          <w:sz w:val="22"/>
        </w:rPr>
        <w:t xml:space="preserve">Operating expenses - </w:t>
      </w:r>
      <w:r>
        <w:rPr>
          <w:rFonts w:ascii="Times New Roman;serif" w:hAnsi="Times New Roman;serif"/>
          <w:b w:val="false"/>
          <w:i w:val="false"/>
          <w:caps w:val="false"/>
          <w:smallCaps w:val="false"/>
          <w:sz w:val="22"/>
        </w:rPr>
        <w:t>Operations and maintenance expenses increased in 2024, as compared to 2023, by $11,732 or 2.0%, primarily due to:</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2"/>
        </w:rPr>
        <w:t>an increase in customer assistance surcharge costs of $8,140 in our Regulated Natural Gas segment, which has an equivalent offsetting amount in revenues;</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2"/>
        </w:rPr>
        <w:t>an increase in employee related costs of $7,828, primarily resulting from higher salary costs, healthcare costs, and contributions to the Company’s defined contribution plan, offset by lower pension cost;</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2"/>
        </w:rPr>
        <w:t xml:space="preserve">an increase in production costs for water and wastewater operations of $5,880, primarily due to higher purchased water, wastewater, and power costs; </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2"/>
        </w:rPr>
        <w:t>additional operating costs associated with acquired and pending acquisitions of water and wastewater utility systems and higher customer base of $2,788;</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2"/>
        </w:rPr>
        <w:t>an insurance recovery of $2,448 in 2023 associated with clean-up costs and other expenses incurred during Hurricane Ida; and,</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2"/>
        </w:rPr>
        <w:t xml:space="preserve">an increase in materials and supplies of $2,026; offset by </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2"/>
        </w:rPr>
        <w:t xml:space="preserve">a decrease in legal expenses of $4,137;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color w:val="000000"/>
          <w:sz w:val="22"/>
        </w:rPr>
        <w:t xml:space="preserve">a decrease in bad debt expense of $1,344; </w:t>
      </w:r>
      <w:r>
        <w:rPr>
          <w:rFonts w:ascii="Symbol" w:hAnsi="Symbol"/>
          <w:caps w:val="false"/>
          <w:smallCaps w:val="false"/>
          <w:sz w:val="24"/>
        </w:rPr>
        <w:t> </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2"/>
        </w:rPr>
        <w:t>a decrease in transportation expenses of $1,548; and,</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2"/>
        </w:rPr>
        <w:t>lower operations and maintenance expense of $12,411 as a result of our sale of the assets of Peoples West Virginia in October 2023 and our interest in three non-utility local microgrid and distributed energy projects in January 2024.</w:t>
      </w:r>
    </w:p>
    <w:p>
      <w:pPr>
        <w:pStyle w:val="TextBody"/>
        <w:bidi w:val="0"/>
        <w:spacing w:lineRule="auto" w:line="259"/>
        <w:ind w:left="720" w:right="0" w:hanging="0"/>
        <w:rPr>
          <w:rFonts w:ascii="Times New Roman;serif" w:hAnsi="Times New Roman;serif"/>
          <w:b w:val="false"/>
          <w:i w:val="false"/>
          <w:caps w:val="false"/>
          <w:smallCaps w:val="false"/>
          <w:sz w:val="22"/>
        </w:rPr>
      </w:pPr>
      <w:bookmarkStart w:id="19" w:name="_Hlk157690917"/>
      <w:bookmarkEnd w:id="19"/>
      <w:r>
        <w:rPr>
          <w:rFonts w:ascii="Times New Roman;serif" w:hAnsi="Times New Roman;serif"/>
          <w:b w:val="false"/>
          <w:i w:val="false"/>
          <w:caps w:val="false"/>
          <w:smallCaps w:val="false"/>
          <w:sz w:val="22"/>
        </w:rPr>
        <w:t xml:space="preserve">Purchased gas decreased by $75,297 or 21.4% in 2024 compared to 2023. Purchased gas represents the cost of gas sold by Peoples for the regulated and non-regulated gas business and has a corresponding offset in revenue. This expense decreased for the regulated natural gas business and non-regulated business by $60,322 and $14,975, respectively. The decrease in 2024 is the result of the impact of lower average cost of gas of $55,236, lower gas usage of $11,380 due to warmer weather conditions, and a decrease of $8,681 from the sale of Peoples West Virginia in October 2023 and our three non-utility local microgrid and distributed energy projects in January 2024.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Depreciation and amortization expense increased by $25,857 or 7.5%, in 2024 over 2023, principally due to continued capital expenditures to expand and improve our utility facilities, upgrade our information systems, our acquisitions of new utility systems, and additional rate case filings. Expenses associated with filing rate cases are deferred and amortized over periods that generally range from one to three years.</w:t>
      </w:r>
    </w:p>
    <w:p>
      <w:pPr>
        <w:pStyle w:val="Heading1"/>
        <w:bidi w:val="0"/>
        <w:spacing w:lineRule="auto" w:line="259"/>
        <w:jc w:val="both"/>
        <w:rPr>
          <w:rFonts w:ascii="Times New Roman;serif" w:hAnsi="Times New Roman;serif"/>
          <w:sz w:val="22"/>
        </w:rPr>
      </w:pPr>
      <w:r>
        <w:rPr>
          <w:rFonts w:ascii="Times New Roman;serif" w:hAnsi="Times New Roman;serif"/>
          <w:b w:val="false"/>
          <w:i w:val="false"/>
          <w:caps w:val="false"/>
          <w:smallCaps w:val="false"/>
          <w:spacing w:val="0"/>
          <w:sz w:val="22"/>
        </w:rPr>
        <w:t>Taxes other than income taxes increased by $4,426 or 4.9% in 2024 as compared to 2023 largely due to an increase in property taxes, payroll taxes, and pumping fees.</w:t>
      </w:r>
      <w:r>
        <w:rPr>
          <w:rFonts w:ascii="Times New Roman;serif" w:hAnsi="Times New Roman;serif"/>
          <w:caps w:val="false"/>
          <w:smallCaps w:val="false"/>
          <w:spacing w:val="0"/>
          <w:sz w:val="22"/>
        </w:rPr>
        <w:t xml:space="preserve"> </w:t>
      </w:r>
    </w:p>
    <w:p>
      <w:pPr>
        <w:pStyle w:val="Heading1"/>
        <w:bidi w:val="0"/>
        <w:spacing w:lineRule="auto" w:line="259"/>
        <w:jc w:val="left"/>
        <w:rPr>
          <w:rFonts w:ascii="Times New Roman;serif" w:hAnsi="Times New Roman;serif"/>
          <w:sz w:val="22"/>
        </w:rPr>
      </w:pPr>
      <w:r>
        <w:rPr>
          <w:rFonts w:ascii="Times New Roman;serif" w:hAnsi="Times New Roman;serif"/>
          <w:b/>
          <w:i/>
          <w:spacing w:val="0"/>
          <w:sz w:val="22"/>
        </w:rPr>
        <w:t>Other expense, net</w:t>
      </w:r>
      <w:r>
        <w:rPr>
          <w:rFonts w:ascii="Times New Roman;serif" w:hAnsi="Times New Roman;serif"/>
          <w:caps w:val="false"/>
          <w:smallCaps w:val="false"/>
          <w:spacing w:val="0"/>
          <w:sz w:val="22"/>
        </w:rPr>
        <w:t xml:space="preserve"> </w:t>
      </w:r>
      <w:r>
        <w:rPr>
          <w:rFonts w:ascii="Times New Roman;serif" w:hAnsi="Times New Roman;serif"/>
          <w:b w:val="false"/>
          <w:i w:val="false"/>
          <w:caps w:val="false"/>
          <w:smallCaps w:val="false"/>
          <w:spacing w:val="0"/>
          <w:sz w:val="22"/>
        </w:rPr>
        <w:t>- Interest expense, net of interest income, increased by $15,406 in our Regulated Water segment and by $668 for our Regulated Natural Gas segment. Refer to Segment Results of Operations below for further details. Interest expense, net of interest income, in Other relates to our corporate operations, and this increased by $3,114. The weighted average cost of fixed rate long-term debt was 4.03% at December 31, 2024 and 3.86% at December 31, 2023. The weighted average cost of fixed and variable rate long-term debt was 4.14% at December 31, 2024 and 4.14% at December 31, 2023.</w:t>
      </w:r>
      <w:r>
        <w:rPr>
          <w:rFonts w:ascii="Times New Roman;serif" w:hAnsi="Times New Roman;serif"/>
          <w:caps w:val="false"/>
          <w:smallCaps w:val="false"/>
          <w:spacing w:val="0"/>
          <w:sz w:val="22"/>
        </w:rPr>
        <w:t xml:space="preser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Allowance for funds used during construction (AFUDC) was $21,310 in 2024 and $16,967 in 2023, and varies as a result of changes in the average balance of utility plant construction work in progress, to which AFUDC is applied, changes in the AFUDC rate which is based predominantly on short-term interest rates, changes in the balance of short term-debt, and changes in the amount of AFUDC related to equity. The increase in 2024 is primarily due to an increase in the average balance of utility plant construction work in progress, to which AFUDC is applied. The amount of AFUDC related to equity was $13,938 in 2024 and $11,726 in 2023.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Gain on sale of other assets totaled $92,224 in 2024 and $65 in 2023. During the first quarter of 2024, the Company completed the sale of its interest in three non-utility local microgrid and distributed energy projects and recognized a gain of $91,236.</w:t>
      </w:r>
    </w:p>
    <w:p>
      <w:pPr>
        <w:pStyle w:val="Heading1"/>
        <w:bidi w:val="0"/>
        <w:spacing w:lineRule="auto" w:line="259"/>
        <w:jc w:val="left"/>
        <w:rPr>
          <w:rFonts w:ascii="Times New Roman;serif" w:hAnsi="Times New Roman;serif"/>
          <w:b w:val="false"/>
          <w:i w:val="false"/>
          <w:caps w:val="false"/>
          <w:smallCaps w:val="false"/>
          <w:spacing w:val="0"/>
          <w:sz w:val="22"/>
        </w:rPr>
      </w:pPr>
      <w:r>
        <w:rPr>
          <w:rFonts w:ascii="Times New Roman;serif" w:hAnsi="Times New Roman;serif"/>
          <w:b w:val="false"/>
          <w:i w:val="false"/>
          <w:caps w:val="false"/>
          <w:smallCaps w:val="false"/>
          <w:spacing w:val="0"/>
          <w:sz w:val="22"/>
        </w:rPr>
        <w:t>Other, net was income of $1,425 in 2024 and $2,613 in 2023, and largely consists of the non-service cost component of our net benefit cost for our pension and post-retirement benefits and unrealized gains and losses on investments associated with our non-qualified pension plan. The change is primarily due to the increase in the pension and post-retirement benefit non-service cost component of net periodic benefit expense in 2024 in our Regulated Water segment.</w:t>
      </w:r>
    </w:p>
    <w:p>
      <w:pPr>
        <w:pStyle w:val="Heading1"/>
        <w:bidi w:val="0"/>
        <w:spacing w:lineRule="auto" w:line="259"/>
        <w:jc w:val="left"/>
        <w:rPr>
          <w:rFonts w:ascii="Times New Roman;serif" w:hAnsi="Times New Roman;serif"/>
          <w:sz w:val="22"/>
        </w:rPr>
      </w:pPr>
      <w:r>
        <w:rPr>
          <w:rFonts w:ascii="Times New Roman;serif" w:hAnsi="Times New Roman;serif"/>
          <w:b/>
          <w:i/>
          <w:spacing w:val="0"/>
          <w:sz w:val="22"/>
        </w:rPr>
        <w:t>Income tax benefit</w:t>
      </w:r>
      <w:r>
        <w:rPr>
          <w:rFonts w:ascii="Times New Roman;serif" w:hAnsi="Times New Roman;serif"/>
          <w:caps w:val="false"/>
          <w:smallCaps w:val="false"/>
          <w:spacing w:val="0"/>
          <w:sz w:val="22"/>
        </w:rPr>
        <w:t xml:space="preserve"> </w:t>
      </w:r>
      <w:r>
        <w:rPr>
          <w:rFonts w:ascii="Times New Roman;serif" w:hAnsi="Times New Roman;serif"/>
          <w:b w:val="false"/>
          <w:i w:val="false"/>
          <w:caps w:val="false"/>
          <w:smallCaps w:val="false"/>
          <w:spacing w:val="0"/>
          <w:sz w:val="22"/>
        </w:rPr>
        <w:t>- Our effective income tax rate was a benefit of 3.8% in 2024 and 15.4% in 2023. The Company’s provision for income</w:t>
      </w:r>
      <w:r>
        <w:rPr>
          <w:rFonts w:ascii="Times New Roman;serif" w:hAnsi="Times New Roman;serif"/>
          <w:spacing w:val="0"/>
          <w:sz w:val="22"/>
        </w:rPr>
        <w:t xml:space="preserve"> </w:t>
      </w:r>
      <w:r>
        <w:rPr>
          <w:rFonts w:ascii="Times New Roman;serif" w:hAnsi="Times New Roman;serif"/>
          <w:b w:val="false"/>
          <w:i w:val="false"/>
          <w:caps w:val="false"/>
          <w:smallCaps w:val="false"/>
          <w:spacing w:val="0"/>
          <w:sz w:val="22"/>
        </w:rPr>
        <w:t>taxes represents an income tax benefit due to the effects of tax deductions recognized for certain qualifying infrastructure investments. The decrease in the income tax benefit is primarily attributed to the gain recognized from the sale of the Company’s interest in three non-utility local microgrid and distributed energy projects in the first quarter of 2024 and decrease in tax benefit associated with the repairs tax deduction for qualifying utility infrastructure investments in our Regulated Natural Gas segment.</w:t>
      </w:r>
      <w:r>
        <w:rPr>
          <w:rFonts w:ascii="Times New Roman;serif" w:hAnsi="Times New Roman;serif"/>
          <w:caps w:val="false"/>
          <w:smallCaps w:val="false"/>
          <w:spacing w:val="0"/>
          <w:sz w:val="22"/>
        </w:rPr>
        <w:t xml:space="preserve"> </w:t>
      </w:r>
    </w:p>
    <w:p>
      <w:pPr>
        <w:pStyle w:val="TextBody"/>
        <w:bidi w:val="0"/>
        <w:spacing w:lineRule="auto" w:line="259"/>
        <w:rPr>
          <w:rFonts w:ascii="Times New Roman;serif" w:hAnsi="Times New Roman;serif"/>
          <w:b/>
          <w:i/>
          <w:sz w:val="22"/>
        </w:rPr>
      </w:pPr>
      <w:r>
        <w:rPr>
          <w:rFonts w:ascii="Times New Roman;serif" w:hAnsi="Times New Roman;serif"/>
          <w:b/>
          <w:i/>
          <w:sz w:val="22"/>
        </w:rPr>
        <w:t xml:space="preserve">Net income - </w:t>
      </w:r>
    </w:p>
    <w:tbl>
      <w:tblPr>
        <w:tblW w:w="6202" w:type="dxa"/>
        <w:jc w:val="left"/>
        <w:tblInd w:w="0" w:type="dxa"/>
        <w:tblLayout w:type="fixed"/>
        <w:tblCellMar>
          <w:top w:w="0" w:type="dxa"/>
          <w:left w:w="0" w:type="dxa"/>
          <w:bottom w:w="0" w:type="dxa"/>
          <w:right w:w="0" w:type="dxa"/>
        </w:tblCellMar>
      </w:tblPr>
      <w:tblGrid>
        <w:gridCol w:w="2821"/>
        <w:gridCol w:w="226"/>
        <w:gridCol w:w="886"/>
        <w:gridCol w:w="226"/>
        <w:gridCol w:w="886"/>
        <w:gridCol w:w="226"/>
        <w:gridCol w:w="931"/>
      </w:tblGrid>
      <w:tr>
        <w:trPr/>
        <w:tc>
          <w:tcPr>
            <w:tcW w:w="282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2821" w:type="dxa"/>
            <w:tcBorders/>
            <w:shd w:fill="FFFFFF" w:val="clear"/>
            <w:vAlign w:val="center"/>
          </w:tcPr>
          <w:p>
            <w:pPr>
              <w:pStyle w:val="TableContents"/>
              <w:bidi w:val="0"/>
              <w:spacing w:before="0" w:after="283"/>
              <w:jc w:val="left"/>
              <w:rPr>
                <w:sz w:val="4"/>
                <w:szCs w:val="4"/>
              </w:rPr>
            </w:pPr>
            <w:r>
              <w:rPr>
                <w:sz w:val="4"/>
                <w:szCs w:val="4"/>
              </w:rPr>
            </w:r>
          </w:p>
        </w:tc>
        <w:tc>
          <w:tcPr>
            <w:tcW w:w="3381" w:type="dxa"/>
            <w:gridSpan w:val="6"/>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Years ended December 31,</w:t>
            </w:r>
          </w:p>
        </w:tc>
      </w:tr>
      <w:tr>
        <w:trPr/>
        <w:tc>
          <w:tcPr>
            <w:tcW w:w="2821" w:type="dxa"/>
            <w:tcBorders/>
            <w:shd w:fill="FFFFFF" w:val="cle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11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115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28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income</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757,668</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692,097</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661,187</w:t>
            </w:r>
          </w:p>
        </w:tc>
      </w:tr>
      <w:tr>
        <w:trPr/>
        <w:tc>
          <w:tcPr>
            <w:tcW w:w="282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Net income </w:t>
            </w:r>
          </w:p>
        </w:tc>
        <w:tc>
          <w:tcPr>
            <w:tcW w:w="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595,314</w:t>
            </w:r>
          </w:p>
        </w:tc>
        <w:tc>
          <w:tcPr>
            <w:tcW w:w="2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498,226</w:t>
            </w:r>
          </w:p>
        </w:tc>
        <w:tc>
          <w:tcPr>
            <w:tcW w:w="2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465,237</w:t>
            </w:r>
          </w:p>
        </w:tc>
      </w:tr>
      <w:tr>
        <w:trPr/>
        <w:tc>
          <w:tcPr>
            <w:tcW w:w="28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Diluted net income per share</w:t>
            </w:r>
          </w:p>
        </w:tc>
        <w:tc>
          <w:tcPr>
            <w:tcW w:w="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2.17</w:t>
            </w:r>
          </w:p>
        </w:tc>
        <w:tc>
          <w:tcPr>
            <w:tcW w:w="2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1.86</w:t>
            </w:r>
          </w:p>
        </w:tc>
        <w:tc>
          <w:tcPr>
            <w:tcW w:w="2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1.77</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changes in diluted net income per share in 2024 over the previous year were due to the aforementioned changes. </w:t>
      </w:r>
    </w:p>
    <w:p>
      <w:pPr>
        <w:pStyle w:val="TextBody"/>
        <w:bidi w:val="0"/>
        <w:spacing w:lineRule="auto" w:line="259" w:before="0" w:after="10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Although we have experienced increased income in the recent past, continued adequate rate increases reflecting increased operating costs and new capital improvements are important to the future realization of improved profitability. </w:t>
      </w:r>
    </w:p>
    <w:p>
      <w:pPr>
        <w:pStyle w:val="TextBody"/>
        <w:bidi w:val="0"/>
        <w:spacing w:lineRule="auto" w:line="259"/>
        <w:rPr>
          <w:rFonts w:ascii="Times New Roman;serif" w:hAnsi="Times New Roman;serif"/>
          <w:b/>
          <w:i w:val="false"/>
          <w:caps w:val="false"/>
          <w:smallCaps w:val="false"/>
          <w:sz w:val="22"/>
          <w:u w:val="single"/>
        </w:rPr>
      </w:pPr>
      <w:r>
        <w:rPr>
          <w:rFonts w:ascii="Times New Roman;serif" w:hAnsi="Times New Roman;serif"/>
          <w:b/>
          <w:i w:val="false"/>
          <w:caps w:val="false"/>
          <w:smallCaps w:val="false"/>
          <w:sz w:val="22"/>
          <w:u w:val="single"/>
        </w:rPr>
        <w:t xml:space="preserve">Segment Results of Operations Comparison for 2024 and 2023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have identified eleven operating segments, and we have two reportable segments based on the following: </w:t>
      </w:r>
    </w:p>
    <w:p>
      <w:pPr>
        <w:pStyle w:val="TextBody"/>
        <w:bidi w:val="0"/>
        <w:spacing w:lineRule="auto" w:line="259"/>
        <w:ind w:left="576" w:right="0" w:hanging="216"/>
        <w:rPr/>
      </w:pPr>
      <w:r>
        <w:rPr>
          <w:caps w:val="false"/>
          <w:smallCaps w:val="false"/>
        </w:rPr>
        <w:t></w:t>
      </w:r>
      <w:r>
        <w:rPr>
          <w:rFonts w:ascii="Times New Roman;serif" w:hAnsi="Times New Roman;serif"/>
          <w:b w:val="false"/>
          <w:i w:val="false"/>
          <w:caps w:val="false"/>
          <w:smallCaps w:val="false"/>
          <w:sz w:val="22"/>
        </w:rPr>
        <w:t xml:space="preserve">Eight segments are composed of our water and wastewater regulated utility operations in the eight states where we provide these services. These operating segments are aggregated into one reportable segment, Regulated Water, since each of these operating segments has the following similarities: economic characteristics, nature of services, production processes, customers, water distribution and/or wastewater collection methods, and the nature of the regulatory environment. </w:t>
      </w:r>
    </w:p>
    <w:p>
      <w:pPr>
        <w:pStyle w:val="TextBody"/>
        <w:bidi w:val="0"/>
        <w:spacing w:lineRule="auto" w:line="259"/>
        <w:ind w:left="576" w:right="0" w:hanging="0"/>
        <w:rPr>
          <w:caps w:val="false"/>
          <w:smallCaps w:val="false"/>
        </w:rPr>
      </w:pPr>
      <w:r>
        <w:rPr>
          <w:caps w:val="false"/>
          <w:smallCaps w:val="false"/>
        </w:rPr>
        <w:t> </w:t>
      </w:r>
    </w:p>
    <w:p>
      <w:pPr>
        <w:pStyle w:val="TextBody"/>
        <w:bidi w:val="0"/>
        <w:spacing w:lineRule="auto" w:line="259"/>
        <w:ind w:left="576" w:right="0" w:hanging="216"/>
        <w:rPr/>
      </w:pPr>
      <w:r>
        <w:rPr>
          <w:caps w:val="false"/>
          <w:smallCaps w:val="false"/>
        </w:rPr>
        <w:t></w:t>
      </w:r>
      <w:r>
        <w:rPr>
          <w:rFonts w:ascii="Times New Roman;serif" w:hAnsi="Times New Roman;serif"/>
          <w:b w:val="false"/>
          <w:i w:val="false"/>
          <w:caps w:val="false"/>
          <w:smallCaps w:val="false"/>
          <w:sz w:val="22"/>
        </w:rPr>
        <w:t>Our Regulated Natural Gas segment is composed of natural gas utility companies in three states acquired in the Peoples Gas Acquisition. These utilities provide natural gas distribution services, and their operating results subsequent to the March 16, 2020 acquisition date are reported in the Regulated Natural Gas segment. In October 2023, the Company sold its regulated natural gas utility assets in West Virginia, which represented approximately two percent of the Company’s regulated natural gas customers. The sale concluded the Company’s regulated utility operations in West Virginia.</w:t>
      </w:r>
      <w:r>
        <w:rPr>
          <w:rFonts w:ascii="Times New Roman;serif" w:hAnsi="Times New Roman;serif"/>
          <w:caps w:val="false"/>
          <w:smallCaps w:val="false"/>
          <w:sz w:val="22"/>
        </w:rPr>
        <w:t xml:space="preser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ind w:left="576" w:right="0" w:hanging="216"/>
        <w:rPr/>
      </w:pPr>
      <w:r>
        <w:rPr>
          <w:caps w:val="false"/>
          <w:smallCaps w:val="false"/>
        </w:rPr>
        <w:t></w:t>
      </w:r>
      <w:r>
        <w:rPr>
          <w:rFonts w:ascii="Times New Roman;serif" w:hAnsi="Times New Roman;serif"/>
          <w:b w:val="false"/>
          <w:i w:val="false"/>
          <w:caps w:val="false"/>
          <w:smallCaps w:val="false"/>
          <w:sz w:val="22"/>
        </w:rPr>
        <w:t>Two segments are not quantitatively significant to be reportable and are composed of our non-regulated natural gas operations and Aqua Resources. These segments are included as a component of “Other,” in addition to corporate costs that have not been allocated to the Regulated Water and Regulated Natural Gas segments, because they would not be recoverable as a cost of utility service, and intersegment eliminations. Corporate costs include general and administrative expenses, and interest expense.</w:t>
      </w:r>
    </w:p>
    <w:p>
      <w:pPr>
        <w:pStyle w:val="TextBody"/>
        <w:bidi w:val="0"/>
        <w:spacing w:lineRule="auto" w:line="259"/>
        <w:ind w:left="576" w:right="0" w:hanging="0"/>
        <w:rPr>
          <w:rFonts w:ascii="Times New Roman;serif" w:hAnsi="Times New Roman;serif"/>
          <w:b/>
          <w:i w:val="false"/>
          <w:caps w:val="false"/>
          <w:smallCaps w:val="false"/>
          <w:sz w:val="22"/>
          <w:u w:val="single"/>
        </w:rPr>
      </w:pPr>
      <w:r>
        <w:rPr>
          <w:rFonts w:ascii="Times New Roman;serif" w:hAnsi="Times New Roman;serif"/>
          <w:b/>
          <w:i w:val="false"/>
          <w:caps w:val="false"/>
          <w:smallCaps w:val="false"/>
          <w:sz w:val="22"/>
          <w:u w:val="single"/>
        </w:rPr>
        <w:t>Regulated Water Segment</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tables present the selected operating results and customers served for our Regulated Water segment, for the year ended December 31:</w:t>
      </w:r>
    </w:p>
    <w:tbl>
      <w:tblPr>
        <w:tblW w:w="9296" w:type="dxa"/>
        <w:jc w:val="left"/>
        <w:tblInd w:w="0" w:type="dxa"/>
        <w:tblLayout w:type="fixed"/>
        <w:tblCellMar>
          <w:top w:w="0" w:type="dxa"/>
          <w:left w:w="0" w:type="dxa"/>
          <w:bottom w:w="0" w:type="dxa"/>
          <w:right w:w="0" w:type="dxa"/>
        </w:tblCellMar>
      </w:tblPr>
      <w:tblGrid>
        <w:gridCol w:w="3271"/>
        <w:gridCol w:w="196"/>
        <w:gridCol w:w="826"/>
        <w:gridCol w:w="196"/>
        <w:gridCol w:w="826"/>
        <w:gridCol w:w="196"/>
        <w:gridCol w:w="826"/>
        <w:gridCol w:w="196"/>
        <w:gridCol w:w="1261"/>
        <w:gridCol w:w="196"/>
        <w:gridCol w:w="1306"/>
      </w:tblGrid>
      <w:tr>
        <w:trPr/>
        <w:tc>
          <w:tcPr>
            <w:tcW w:w="3271"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261"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shd w:fill="FFFFFF" w:val="clear"/>
            <w:vAlign w:val="center"/>
          </w:tcPr>
          <w:p>
            <w:pPr>
              <w:pStyle w:val="TableContents"/>
              <w:bidi w:val="0"/>
              <w:spacing w:before="0" w:after="283"/>
              <w:jc w:val="left"/>
              <w:rPr>
                <w:sz w:val="4"/>
                <w:szCs w:val="4"/>
              </w:rPr>
            </w:pPr>
            <w:r>
              <w:rPr>
                <w:sz w:val="4"/>
                <w:szCs w:val="4"/>
              </w:rPr>
            </w:r>
          </w:p>
        </w:tc>
      </w:tr>
      <w:tr>
        <w:trPr/>
        <w:tc>
          <w:tcPr>
            <w:tcW w:w="3271"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bottom w:w="28" w:type="dxa"/>
            </w:tcMar>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bottom w:w="28" w:type="dxa"/>
            </w:tcMar>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2023</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FFFFFF" w:val="clear"/>
            <w:tcMar>
              <w:bottom w:w="28" w:type="dxa"/>
            </w:tcMar>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2022</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FFFFFF" w:val="clear"/>
            <w:tcMar>
              <w:bottom w:w="28" w:type="dxa"/>
            </w:tcMar>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 vs. 2023</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shd w:fill="FFFFFF" w:val="clear"/>
            <w:tcMar>
              <w:bottom w:w="28" w:type="dxa"/>
            </w:tcMar>
            <w:vAlign w:val="center"/>
          </w:tcPr>
          <w:p>
            <w:pPr>
              <w:pStyle w:val="TableContents"/>
              <w:bidi w:val="0"/>
              <w:spacing w:lineRule="auto" w:line="259" w:before="1"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 vs. 2022</w:t>
            </w:r>
          </w:p>
        </w:tc>
      </w:tr>
      <w:tr>
        <w:trPr/>
        <w:tc>
          <w:tcPr>
            <w:tcW w:w="3271" w:type="dxa"/>
            <w:tcBorders/>
            <w:shd w:fill="FFFFFF" w:val="clear"/>
            <w:vAlign w:val="center"/>
          </w:tcPr>
          <w:p>
            <w:pPr>
              <w:pStyle w:val="TableContents"/>
              <w:bidi w:val="0"/>
              <w:spacing w:lineRule="auto" w:line="259" w:before="1" w:after="1"/>
              <w:jc w:val="left"/>
              <w:rPr>
                <w:rFonts w:ascii="Times New Roman;serif" w:hAnsi="Times New Roman;serif"/>
                <w:sz w:val="18"/>
              </w:rPr>
            </w:pPr>
            <w:r>
              <w:rPr>
                <w:rFonts w:ascii="Times New Roman;serif" w:hAnsi="Times New Roman;serif"/>
                <w:b w:val="false"/>
                <w:i w:val="false"/>
                <w:caps w:val="false"/>
                <w:smallCaps w:val="false"/>
                <w:color w:val="000000"/>
                <w:sz w:val="18"/>
                <w:u w:val="single"/>
              </w:rPr>
              <w:t xml:space="preserve">Sendout </w:t>
            </w:r>
            <w:r>
              <w:rPr>
                <w:rFonts w:ascii="Times New Roman;serif" w:hAnsi="Times New Roman;serif"/>
                <w:b w:val="false"/>
                <w:i w:val="false"/>
                <w:caps w:val="false"/>
                <w:smallCaps w:val="false"/>
                <w:color w:val="000000"/>
                <w:position w:val="6"/>
                <w:sz w:val="14"/>
                <w:sz w:val="18"/>
                <w:u w:val="single"/>
              </w:rPr>
              <w:t>(a)</w:t>
            </w:r>
            <w:r>
              <w:rPr>
                <w:rFonts w:ascii="Times New Roman;serif" w:hAnsi="Times New Roman;serif"/>
                <w:caps w:val="false"/>
                <w:smallCaps w:val="false"/>
                <w:color w:val="000000"/>
                <w:sz w:val="18"/>
                <w:u w:val="single"/>
              </w:rPr>
              <w:t xml:space="preserve"> </w:t>
            </w:r>
            <w:r>
              <w:rPr>
                <w:rFonts w:ascii="Times New Roman;serif" w:hAnsi="Times New Roman;serif"/>
                <w:b w:val="false"/>
                <w:i w:val="false"/>
                <w:caps w:val="false"/>
                <w:smallCaps w:val="false"/>
                <w:color w:val="000000"/>
                <w:sz w:val="18"/>
                <w:u w:val="single"/>
              </w:rPr>
              <w:t>(in millions of gallons)</w:t>
            </w:r>
          </w:p>
        </w:tc>
        <w:tc>
          <w:tcPr>
            <w:tcW w:w="1022" w:type="dxa"/>
            <w:gridSpan w:val="2"/>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3271" w:type="dxa"/>
            <w:tcBorders/>
            <w:shd w:fill="CCEEFF" w:val="clear"/>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Pennsylvania</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43,794</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42,525</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42,666</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1,269</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(141)</w:t>
            </w:r>
          </w:p>
        </w:tc>
      </w:tr>
      <w:tr>
        <w:trPr/>
        <w:tc>
          <w:tcPr>
            <w:tcW w:w="3271" w:type="dxa"/>
            <w:tcBorders/>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Ohio</w:t>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13,979</w:t>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13,560</w:t>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14,604</w:t>
            </w:r>
          </w:p>
        </w:tc>
        <w:tc>
          <w:tcPr>
            <w:tcW w:w="19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419</w:t>
            </w:r>
          </w:p>
        </w:tc>
        <w:tc>
          <w:tcPr>
            <w:tcW w:w="19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(1,044)</w:t>
            </w:r>
          </w:p>
        </w:tc>
      </w:tr>
      <w:tr>
        <w:trPr/>
        <w:tc>
          <w:tcPr>
            <w:tcW w:w="3271" w:type="dxa"/>
            <w:tcBorders/>
            <w:shd w:fill="CCEEFF" w:val="clear"/>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Illinois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8,774</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8,421</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8,784</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353</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(363)</w:t>
            </w:r>
          </w:p>
        </w:tc>
      </w:tr>
      <w:tr>
        <w:trPr/>
        <w:tc>
          <w:tcPr>
            <w:tcW w:w="3271" w:type="dxa"/>
            <w:tcBorders/>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Texas</w:t>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8,038</w:t>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8,703</w:t>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8,606</w:t>
            </w:r>
          </w:p>
        </w:tc>
        <w:tc>
          <w:tcPr>
            <w:tcW w:w="19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(665)</w:t>
            </w:r>
          </w:p>
        </w:tc>
        <w:tc>
          <w:tcPr>
            <w:tcW w:w="19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97</w:t>
            </w:r>
          </w:p>
        </w:tc>
      </w:tr>
      <w:tr>
        <w:trPr/>
        <w:tc>
          <w:tcPr>
            <w:tcW w:w="3271" w:type="dxa"/>
            <w:tcBorders/>
            <w:shd w:fill="CCEEFF" w:val="clear"/>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North Carolina</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5,809</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5,824</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5,934</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(15)</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(110)</w:t>
            </w:r>
          </w:p>
        </w:tc>
      </w:tr>
      <w:tr>
        <w:trPr/>
        <w:tc>
          <w:tcPr>
            <w:tcW w:w="3271" w:type="dxa"/>
            <w:tcBorders/>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states</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6,705</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6,526</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6,272</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179</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tcMar>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254</w:t>
            </w:r>
          </w:p>
        </w:tc>
      </w:tr>
      <w:tr>
        <w:trPr/>
        <w:tc>
          <w:tcPr>
            <w:tcW w:w="3271"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Subtotal</w:t>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top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87,099</w:t>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top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85,559</w:t>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tcBorders>
            <w:shd w:fill="CCEEFF" w:val="clear"/>
            <w:tcMar>
              <w:top w:w="28" w:type="dxa"/>
            </w:tcMar>
            <w:vAlign w:val="center"/>
          </w:tcPr>
          <w:p>
            <w:pPr>
              <w:pStyle w:val="TableContents"/>
              <w:bidi w:val="0"/>
              <w:spacing w:lineRule="auto" w:line="259" w:before="1" w:after="1"/>
              <w:ind w:left="0" w:right="14" w:hanging="0"/>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86,866</w:t>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tcBorders>
            <w:shd w:fill="CCEEFF" w:val="clear"/>
            <w:tcMar>
              <w:top w:w="28" w:type="dxa"/>
            </w:tcMar>
            <w:vAlign w:val="center"/>
          </w:tcPr>
          <w:p>
            <w:pPr>
              <w:pStyle w:val="TableContents"/>
              <w:bidi w:val="0"/>
              <w:spacing w:lineRule="auto" w:line="259" w:before="1" w:after="1"/>
              <w:ind w:left="0" w:right="0" w:hanging="0"/>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1,540</w:t>
            </w:r>
          </w:p>
        </w:tc>
        <w:tc>
          <w:tcPr>
            <w:tcW w:w="19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tcBorders>
            <w:shd w:fill="CCEEFF" w:val="clear"/>
            <w:tcMar>
              <w:top w:w="28" w:type="dxa"/>
            </w:tcMar>
            <w:vAlign w:val="center"/>
          </w:tcPr>
          <w:p>
            <w:pPr>
              <w:pStyle w:val="TableContents"/>
              <w:bidi w:val="0"/>
              <w:spacing w:lineRule="auto" w:line="259" w:before="1" w:after="1"/>
              <w:ind w:left="0" w:right="14" w:hanging="0"/>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(1,307)</w:t>
            </w:r>
          </w:p>
        </w:tc>
      </w:tr>
      <w:tr>
        <w:trPr/>
        <w:tc>
          <w:tcPr>
            <w:tcW w:w="3271" w:type="dxa"/>
            <w:tcBorders/>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Elimination</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(94)</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(122)</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(141)</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28</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tcMar>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19</w:t>
            </w:r>
          </w:p>
        </w:tc>
      </w:tr>
      <w:tr>
        <w:trPr/>
        <w:tc>
          <w:tcPr>
            <w:tcW w:w="3271"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sendout by state</w:t>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87,005</w:t>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85,437</w:t>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86,725</w:t>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1,568</w:t>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(1,288)</w:t>
            </w:r>
          </w:p>
        </w:tc>
      </w:tr>
      <w:tr>
        <w:trPr/>
        <w:tc>
          <w:tcPr>
            <w:tcW w:w="3271" w:type="dxa"/>
            <w:tcBorders/>
            <w:vAlign w:val="center"/>
          </w:tcPr>
          <w:p>
            <w:pPr>
              <w:pStyle w:val="TableContents"/>
              <w:bidi w:val="0"/>
              <w:spacing w:before="0" w:after="283"/>
              <w:ind w:left="115" w:right="0" w:hanging="0"/>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6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30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271"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18"/>
                <w:u w:val="single"/>
              </w:rPr>
            </w:pPr>
            <w:r>
              <w:rPr>
                <w:rFonts w:ascii="Times New Roman;serif" w:hAnsi="Times New Roman;serif"/>
                <w:b w:val="false"/>
                <w:i w:val="false"/>
                <w:caps w:val="false"/>
                <w:smallCaps w:val="false"/>
                <w:color w:val="000000"/>
                <w:sz w:val="18"/>
                <w:u w:val="single"/>
              </w:rPr>
              <w:t>Utility customers: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Residential water</w:t>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865,028</w:t>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859,331</w:t>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850,673</w:t>
            </w:r>
          </w:p>
        </w:tc>
        <w:tc>
          <w:tcPr>
            <w:tcW w:w="19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5,697</w:t>
            </w:r>
          </w:p>
        </w:tc>
        <w:tc>
          <w:tcPr>
            <w:tcW w:w="19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8,658</w:t>
            </w:r>
          </w:p>
        </w:tc>
      </w:tr>
      <w:tr>
        <w:trPr/>
        <w:tc>
          <w:tcPr>
            <w:tcW w:w="3271" w:type="dxa"/>
            <w:tcBorders/>
            <w:shd w:fill="CCEEFF" w:val="clear"/>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Commercial water</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43,969</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43,853</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43,119</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116</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734</w:t>
            </w:r>
          </w:p>
        </w:tc>
      </w:tr>
      <w:tr>
        <w:trPr/>
        <w:tc>
          <w:tcPr>
            <w:tcW w:w="3271" w:type="dxa"/>
            <w:tcBorders/>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Industrial water</w:t>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1,275</w:t>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1,283</w:t>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1,286</w:t>
            </w:r>
          </w:p>
        </w:tc>
        <w:tc>
          <w:tcPr>
            <w:tcW w:w="19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w:t>
            </w:r>
          </w:p>
        </w:tc>
        <w:tc>
          <w:tcPr>
            <w:tcW w:w="19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w:t>
            </w:r>
          </w:p>
        </w:tc>
      </w:tr>
      <w:tr>
        <w:trPr/>
        <w:tc>
          <w:tcPr>
            <w:tcW w:w="3271" w:type="dxa"/>
            <w:tcBorders/>
            <w:shd w:fill="CCEEFF" w:val="clear"/>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water</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19,774</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19,123</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18,446</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651</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677</w:t>
            </w:r>
          </w:p>
        </w:tc>
      </w:tr>
      <w:tr>
        <w:trPr/>
        <w:tc>
          <w:tcPr>
            <w:tcW w:w="3271" w:type="dxa"/>
            <w:tcBorders/>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Wastewater</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193,821</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190,119</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tcMar>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181,721</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tcMar>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3,702</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tcMar>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8,398</w:t>
            </w:r>
          </w:p>
        </w:tc>
      </w:tr>
      <w:tr>
        <w:trPr/>
        <w:tc>
          <w:tcPr>
            <w:tcW w:w="3271"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water and wastewater utility customers</w:t>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1,123,867</w:t>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1,113,709</w:t>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1,095,245</w:t>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10,158</w:t>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18,464</w:t>
            </w:r>
          </w:p>
        </w:tc>
      </w:tr>
      <w:tr>
        <w:trPr/>
        <w:tc>
          <w:tcPr>
            <w:tcW w:w="3271" w:type="dxa"/>
            <w:tcBorders/>
            <w:vAlign w:val="center"/>
          </w:tcPr>
          <w:p>
            <w:pPr>
              <w:pStyle w:val="TableContents"/>
              <w:bidi w:val="0"/>
              <w:spacing w:before="0" w:after="283"/>
              <w:ind w:left="115" w:right="0" w:hanging="0"/>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6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30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271"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Operating revenues: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Residential water</w:t>
            </w:r>
          </w:p>
        </w:tc>
        <w:tc>
          <w:tcPr>
            <w:tcW w:w="196"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662,909</w:t>
            </w:r>
          </w:p>
        </w:tc>
        <w:tc>
          <w:tcPr>
            <w:tcW w:w="19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641,351</w:t>
            </w:r>
          </w:p>
        </w:tc>
        <w:tc>
          <w:tcPr>
            <w:tcW w:w="19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607,473</w:t>
            </w:r>
          </w:p>
        </w:tc>
        <w:tc>
          <w:tcPr>
            <w:tcW w:w="19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261"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21,558</w:t>
            </w:r>
          </w:p>
        </w:tc>
        <w:tc>
          <w:tcPr>
            <w:tcW w:w="19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30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33,878</w:t>
            </w:r>
          </w:p>
        </w:tc>
      </w:tr>
      <w:tr>
        <w:trPr/>
        <w:tc>
          <w:tcPr>
            <w:tcW w:w="3271" w:type="dxa"/>
            <w:tcBorders/>
            <w:shd w:fill="CCEEFF" w:val="clear"/>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Commercial water</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186,534</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180,731</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168,460</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5,803</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12,271</w:t>
            </w:r>
          </w:p>
        </w:tc>
      </w:tr>
      <w:tr>
        <w:trPr/>
        <w:tc>
          <w:tcPr>
            <w:tcW w:w="3271" w:type="dxa"/>
            <w:tcBorders/>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Industrial water</w:t>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34,831</w:t>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33,949</w:t>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32,581</w:t>
            </w:r>
          </w:p>
        </w:tc>
        <w:tc>
          <w:tcPr>
            <w:tcW w:w="19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882</w:t>
            </w:r>
          </w:p>
        </w:tc>
        <w:tc>
          <w:tcPr>
            <w:tcW w:w="19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1,368</w:t>
            </w:r>
          </w:p>
        </w:tc>
      </w:tr>
      <w:tr>
        <w:trPr/>
        <w:tc>
          <w:tcPr>
            <w:tcW w:w="3271" w:type="dxa"/>
            <w:tcBorders/>
            <w:shd w:fill="CCEEFF" w:val="clear"/>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water</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123,373</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92,784</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94,359</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30,589</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(1,575)</w:t>
            </w:r>
          </w:p>
        </w:tc>
      </w:tr>
      <w:tr>
        <w:trPr/>
        <w:tc>
          <w:tcPr>
            <w:tcW w:w="3271" w:type="dxa"/>
            <w:tcBorders/>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Wastewater</w:t>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199,157</w:t>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187,462</w:t>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165,312</w:t>
            </w:r>
          </w:p>
        </w:tc>
        <w:tc>
          <w:tcPr>
            <w:tcW w:w="19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11,695</w:t>
            </w:r>
          </w:p>
        </w:tc>
        <w:tc>
          <w:tcPr>
            <w:tcW w:w="19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22,150</w:t>
            </w:r>
          </w:p>
        </w:tc>
      </w:tr>
      <w:tr>
        <w:trPr/>
        <w:tc>
          <w:tcPr>
            <w:tcW w:w="3271" w:type="dxa"/>
            <w:tcBorders/>
            <w:shd w:fill="CCEEFF" w:val="clear"/>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utility</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15,076</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17,099</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26" w:type="dxa"/>
            <w:tcBorders>
              <w:bottom w:val="single" w:sz="8" w:space="0" w:color="000000"/>
            </w:tcBorders>
            <w:shd w:fill="CCEEFF" w:val="clear"/>
            <w:tcMar>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14,787</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61" w:type="dxa"/>
            <w:tcBorders>
              <w:bottom w:val="single" w:sz="8" w:space="0" w:color="000000"/>
            </w:tcBorders>
            <w:shd w:fill="CCEEFF" w:val="clear"/>
            <w:tcMar>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(2,023)</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306" w:type="dxa"/>
            <w:tcBorders>
              <w:bottom w:val="single" w:sz="8" w:space="0" w:color="000000"/>
            </w:tcBorders>
            <w:shd w:fill="CCEEFF" w:val="clear"/>
            <w:tcMar>
              <w:bottom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2,312</w:t>
            </w:r>
          </w:p>
        </w:tc>
      </w:tr>
      <w:tr>
        <w:trPr/>
        <w:tc>
          <w:tcPr>
            <w:tcW w:w="3271" w:type="dxa"/>
            <w:tcBorders/>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operating revenues</w:t>
            </w:r>
          </w:p>
        </w:tc>
        <w:tc>
          <w:tcPr>
            <w:tcW w:w="196" w:type="dxa"/>
            <w:tcBorders>
              <w:top w:val="single" w:sz="8" w:space="0" w:color="000000"/>
            </w:tcBorders>
            <w:tcMar>
              <w:top w:w="28" w:type="dxa"/>
            </w:tcM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top w:val="single" w:sz="8" w:space="0" w:color="000000"/>
            </w:tcBorders>
            <w:tcMar>
              <w:top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1,221,880</w:t>
            </w:r>
          </w:p>
        </w:tc>
        <w:tc>
          <w:tcPr>
            <w:tcW w:w="196" w:type="dxa"/>
            <w:tcBorders>
              <w:top w:val="single" w:sz="8" w:space="0" w:color="000000"/>
            </w:tcBorders>
            <w:tcMar>
              <w:top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top w:val="single" w:sz="8" w:space="0" w:color="000000"/>
            </w:tcBorders>
            <w:tcMar>
              <w:top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1,153,376</w:t>
            </w:r>
          </w:p>
        </w:tc>
        <w:tc>
          <w:tcPr>
            <w:tcW w:w="196" w:type="dxa"/>
            <w:tcBorders>
              <w:top w:val="single" w:sz="8" w:space="0" w:color="000000"/>
            </w:tcBorders>
            <w:tcMar>
              <w:top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top w:val="single" w:sz="8" w:space="0" w:color="000000"/>
            </w:tcBorders>
            <w:tcMar>
              <w:top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1,082,972</w:t>
            </w:r>
          </w:p>
        </w:tc>
        <w:tc>
          <w:tcPr>
            <w:tcW w:w="196" w:type="dxa"/>
            <w:tcBorders>
              <w:top w:val="single" w:sz="8" w:space="0" w:color="000000"/>
            </w:tcBorders>
            <w:tcMar>
              <w:top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261" w:type="dxa"/>
            <w:tcBorders>
              <w:top w:val="single" w:sz="8" w:space="0" w:color="000000"/>
            </w:tcBorders>
            <w:tcMar>
              <w:top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68,504</w:t>
            </w:r>
          </w:p>
        </w:tc>
        <w:tc>
          <w:tcPr>
            <w:tcW w:w="196" w:type="dxa"/>
            <w:tcBorders>
              <w:top w:val="single" w:sz="8" w:space="0" w:color="000000"/>
            </w:tcBorders>
            <w:tcMar>
              <w:top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306" w:type="dxa"/>
            <w:tcBorders>
              <w:top w:val="single" w:sz="8" w:space="0" w:color="000000"/>
            </w:tcBorders>
            <w:tcMar>
              <w:top w:w="28" w:type="dxa"/>
            </w:tcM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70,404</w:t>
            </w:r>
          </w:p>
        </w:tc>
      </w:tr>
      <w:tr>
        <w:trPr/>
        <w:tc>
          <w:tcPr>
            <w:tcW w:w="3271"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Operating expenses: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826"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261"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306" w:type="dxa"/>
            <w:tcBorders/>
            <w:shd w:fill="CCEEFF" w:val="clear"/>
            <w:vAlign w:val="center"/>
          </w:tcPr>
          <w:p>
            <w:pPr>
              <w:pStyle w:val="TableContents"/>
              <w:bidi w:val="0"/>
              <w:spacing w:before="0" w:after="283"/>
              <w:jc w:val="left"/>
              <w:rPr>
                <w:sz w:val="4"/>
                <w:szCs w:val="4"/>
              </w:rPr>
            </w:pPr>
            <w:r>
              <w:rPr>
                <w:sz w:val="4"/>
                <w:szCs w:val="4"/>
              </w:rPr>
            </w:r>
          </w:p>
        </w:tc>
      </w:tr>
      <w:tr>
        <w:trPr/>
        <w:tc>
          <w:tcPr>
            <w:tcW w:w="3271" w:type="dxa"/>
            <w:tcBorders/>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Operations and maintenance expense</w:t>
            </w:r>
          </w:p>
        </w:tc>
        <w:tc>
          <w:tcPr>
            <w:tcW w:w="196"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381,088</w:t>
            </w:r>
          </w:p>
        </w:tc>
        <w:tc>
          <w:tcPr>
            <w:tcW w:w="19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368,843</w:t>
            </w:r>
          </w:p>
        </w:tc>
        <w:tc>
          <w:tcPr>
            <w:tcW w:w="19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370,850</w:t>
            </w:r>
          </w:p>
        </w:tc>
        <w:tc>
          <w:tcPr>
            <w:tcW w:w="19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261"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12,245</w:t>
            </w:r>
          </w:p>
        </w:tc>
        <w:tc>
          <w:tcPr>
            <w:tcW w:w="19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30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(2,007)</w:t>
            </w:r>
          </w:p>
        </w:tc>
      </w:tr>
      <w:tr>
        <w:trPr/>
        <w:tc>
          <w:tcPr>
            <w:tcW w:w="3271" w:type="dxa"/>
            <w:tcBorders/>
            <w:shd w:fill="CCEEFF" w:val="clear"/>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Depreciation and amortization</w:t>
            </w:r>
          </w:p>
        </w:tc>
        <w:tc>
          <w:tcPr>
            <w:tcW w:w="196"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232,338</w:t>
            </w:r>
          </w:p>
        </w:tc>
        <w:tc>
          <w:tcPr>
            <w:tcW w:w="19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217,593</w:t>
            </w:r>
          </w:p>
        </w:tc>
        <w:tc>
          <w:tcPr>
            <w:tcW w:w="19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201,392</w:t>
            </w:r>
          </w:p>
        </w:tc>
        <w:tc>
          <w:tcPr>
            <w:tcW w:w="19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261"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14,745</w:t>
            </w:r>
          </w:p>
        </w:tc>
        <w:tc>
          <w:tcPr>
            <w:tcW w:w="19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30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16,201</w:t>
            </w:r>
          </w:p>
        </w:tc>
      </w:tr>
      <w:tr>
        <w:trPr/>
        <w:tc>
          <w:tcPr>
            <w:tcW w:w="3271" w:type="dxa"/>
            <w:tcBorders/>
            <w:vAlign w:val="center"/>
          </w:tcPr>
          <w:p>
            <w:pPr>
              <w:pStyle w:val="TableContents"/>
              <w:bidi w:val="0"/>
              <w:spacing w:lineRule="auto" w:line="259" w:before="1"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Taxes other than income taxes</w:t>
            </w:r>
          </w:p>
        </w:tc>
        <w:tc>
          <w:tcPr>
            <w:tcW w:w="196"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68,006</w:t>
            </w:r>
          </w:p>
        </w:tc>
        <w:tc>
          <w:tcPr>
            <w:tcW w:w="19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62,759</w:t>
            </w:r>
          </w:p>
        </w:tc>
        <w:tc>
          <w:tcPr>
            <w:tcW w:w="19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64,472</w:t>
            </w:r>
          </w:p>
        </w:tc>
        <w:tc>
          <w:tcPr>
            <w:tcW w:w="19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261"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5,247</w:t>
            </w:r>
          </w:p>
        </w:tc>
        <w:tc>
          <w:tcPr>
            <w:tcW w:w="19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30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(1,713)</w:t>
            </w:r>
          </w:p>
        </w:tc>
      </w:tr>
      <w:tr>
        <w:trPr/>
        <w:tc>
          <w:tcPr>
            <w:tcW w:w="3271"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expense, net</w:t>
            </w:r>
          </w:p>
        </w:tc>
        <w:tc>
          <w:tcPr>
            <w:tcW w:w="196"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121,292</w:t>
            </w:r>
          </w:p>
        </w:tc>
        <w:tc>
          <w:tcPr>
            <w:tcW w:w="19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105,674</w:t>
            </w:r>
          </w:p>
        </w:tc>
        <w:tc>
          <w:tcPr>
            <w:tcW w:w="19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84,396</w:t>
            </w:r>
          </w:p>
        </w:tc>
        <w:tc>
          <w:tcPr>
            <w:tcW w:w="19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261"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15,618</w:t>
            </w:r>
          </w:p>
        </w:tc>
        <w:tc>
          <w:tcPr>
            <w:tcW w:w="19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30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21,278</w:t>
            </w:r>
          </w:p>
        </w:tc>
      </w:tr>
      <w:tr>
        <w:trPr/>
        <w:tc>
          <w:tcPr>
            <w:tcW w:w="3271"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Provision for income taxes </w:t>
            </w:r>
          </w:p>
        </w:tc>
        <w:tc>
          <w:tcPr>
            <w:tcW w:w="196" w:type="dxa"/>
            <w:tcBorders/>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68,851</w:t>
            </w:r>
          </w:p>
        </w:tc>
        <w:tc>
          <w:tcPr>
            <w:tcW w:w="19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57,546</w:t>
            </w:r>
          </w:p>
        </w:tc>
        <w:tc>
          <w:tcPr>
            <w:tcW w:w="19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47,510</w:t>
            </w:r>
          </w:p>
        </w:tc>
        <w:tc>
          <w:tcPr>
            <w:tcW w:w="19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261"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11,305</w:t>
            </w:r>
          </w:p>
        </w:tc>
        <w:tc>
          <w:tcPr>
            <w:tcW w:w="19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306" w:type="dxa"/>
            <w:tcBorders/>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10,036</w:t>
            </w:r>
          </w:p>
        </w:tc>
      </w:tr>
      <w:tr>
        <w:trPr/>
        <w:tc>
          <w:tcPr>
            <w:tcW w:w="3271"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Segment net income</w:t>
            </w:r>
          </w:p>
        </w:tc>
        <w:tc>
          <w:tcPr>
            <w:tcW w:w="196" w:type="dxa"/>
            <w:tcBorders/>
            <w:shd w:fill="CCEEFF" w:val="clear"/>
            <w:vAlign w:val="center"/>
          </w:tcPr>
          <w:p>
            <w:pPr>
              <w:pStyle w:val="TableContents"/>
              <w:bidi w:val="0"/>
              <w:spacing w:lineRule="auto" w:line="259" w:before="1"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350,305</w:t>
            </w:r>
          </w:p>
        </w:tc>
        <w:tc>
          <w:tcPr>
            <w:tcW w:w="19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340,961</w:t>
            </w:r>
          </w:p>
        </w:tc>
        <w:tc>
          <w:tcPr>
            <w:tcW w:w="19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82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314,352</w:t>
            </w:r>
          </w:p>
        </w:tc>
        <w:tc>
          <w:tcPr>
            <w:tcW w:w="19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261"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9,344</w:t>
            </w:r>
          </w:p>
        </w:tc>
        <w:tc>
          <w:tcPr>
            <w:tcW w:w="19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306" w:type="dxa"/>
            <w:tcBorders/>
            <w:shd w:fill="CCEEFF" w:val="clear"/>
            <w:vAlign w:val="center"/>
          </w:tcPr>
          <w:p>
            <w:pPr>
              <w:pStyle w:val="TableContents"/>
              <w:bidi w:val="0"/>
              <w:spacing w:lineRule="auto" w:line="259" w:before="1"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26,609</w:t>
            </w:r>
          </w:p>
        </w:tc>
      </w:tr>
    </w:tbl>
    <w:p>
      <w:pPr>
        <w:pStyle w:val="TextBody"/>
        <w:bidi w:val="0"/>
        <w:spacing w:lineRule="auto" w:line="259" w:before="0" w:after="100"/>
        <w:rPr>
          <w:rFonts w:ascii="Times New Roman;serif" w:hAnsi="Times New Roman;serif"/>
          <w:sz w:val="22"/>
        </w:rPr>
      </w:pPr>
      <w:r>
        <w:rPr>
          <w:rFonts w:ascii="Times New Roman;serif" w:hAnsi="Times New Roman;serif"/>
          <w:b w:val="false"/>
          <w:i w:val="false"/>
          <w:caps w:val="false"/>
          <w:smallCaps w:val="false"/>
          <w:position w:val="7"/>
          <w:sz w:val="16"/>
          <w:sz w:val="20"/>
        </w:rPr>
        <w:t>(a)</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0"/>
        </w:rPr>
        <w:t>Sendout represents the quantity of treated water delivered to our distribution systems. We use sendout as an indicator of customer demand.</w:t>
      </w:r>
      <w:r>
        <w:rPr>
          <w:rFonts w:ascii="Times New Roman;serif" w:hAnsi="Times New Roman;serif"/>
          <w:caps w:val="false"/>
          <w:smallCaps w:val="false"/>
          <w:sz w:val="22"/>
        </w:rPr>
        <w:t xml:space="preserve"> </w:t>
      </w:r>
    </w:p>
    <w:p>
      <w:pPr>
        <w:pStyle w:val="TextBody"/>
        <w:bidi w:val="0"/>
        <w:spacing w:lineRule="auto" w:line="259"/>
        <w:rPr>
          <w:rFonts w:ascii="Times New Roman;serif" w:hAnsi="Times New Roman;serif"/>
          <w:sz w:val="22"/>
        </w:rPr>
      </w:pPr>
      <w:r>
        <w:rPr>
          <w:rFonts w:ascii="Times New Roman;serif" w:hAnsi="Times New Roman;serif"/>
          <w:b/>
          <w:i/>
          <w:sz w:val="22"/>
        </w:rPr>
        <w:t>Operating revenues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The growth</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in our Regulated Water segment’s revenues over the past three years is primarily a result of increases in our water and wastewater rates and our customer base. Water and wastewater rate increases, including infrastructure rehabilitation surcharges, implemented during the past three years have provided additional operating revenues of $50,639 in 2024, $57,924 in 2023, and $63,367 in 2022. The number of customers increased at an annual compound rate of 1.8% over the past three years due to acquisitions and organic growth, adjusted to exclude customers associated with utility system dispositions. Acquisitions in our Regulated Water segment have provided additional water and wastewater revenues of $4,182 in 2024, $9,646 in 2023, and $16,145 in 2022.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Regulated Water segment also includes operating revenues of $11,226 in 2024, $14,863 in 2023, and $11,477 in 2022, associated with revenues earned primarily from fees received from telecommunication operators that have put cellular antennas on our water towers, fees earned from municipalities for our operation of their water or wastewater treatment services or to perform billing services, and fees earned from developers for accessing our water mains. </w:t>
      </w:r>
    </w:p>
    <w:p>
      <w:pPr>
        <w:pStyle w:val="TextBody"/>
        <w:bidi w:val="0"/>
        <w:spacing w:lineRule="auto" w:line="259"/>
        <w:rPr>
          <w:rFonts w:ascii="Times New Roman;serif" w:hAnsi="Times New Roman;serif"/>
          <w:sz w:val="22"/>
        </w:rPr>
      </w:pPr>
      <w:r>
        <w:rPr>
          <w:rFonts w:ascii="Times New Roman;serif" w:hAnsi="Times New Roman;serif"/>
          <w:b/>
          <w:i/>
          <w:color w:val="000000"/>
          <w:sz w:val="22"/>
        </w:rPr>
        <w:t xml:space="preserve">Operating expenses - </w:t>
      </w:r>
      <w:r>
        <w:rPr>
          <w:rFonts w:ascii="Times New Roman;serif" w:hAnsi="Times New Roman;serif"/>
          <w:b w:val="false"/>
          <w:i w:val="false"/>
          <w:caps w:val="false"/>
          <w:smallCaps w:val="false"/>
          <w:color w:val="000000"/>
          <w:sz w:val="22"/>
        </w:rPr>
        <w:t>Operations and maintenance</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expense increased by $12,245 or 3.3% primarily due to the following:</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an increase in production costs for water and wastewater operations of $5,880;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color w:val="000000"/>
          <w:sz w:val="22"/>
        </w:rPr>
        <w:t>an insurance recovery of $2,448 in 2023 associated with clean-up costs and other expenses incurred during Hurricane Ida;</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an increase in employee related costs of $2,529 resulting from higher salary costs, healthcare costs, and contributions to the Company’s defined contribution plan, offset by lower pension cost;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additional operating costs resulting from acquired water and wastewater utility systems and higher customer base of $2,788; offset by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a decrease in legal fees of $1,192; and,</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a decrease in bad debt expense of $467.</w:t>
      </w:r>
    </w:p>
    <w:p>
      <w:pPr>
        <w:pStyle w:val="TextBody"/>
        <w:bidi w:val="0"/>
        <w:spacing w:lineRule="auto" w:line="259"/>
        <w:ind w:left="720" w:right="0" w:hanging="0"/>
        <w:rPr>
          <w:rFonts w:ascii="Times New Roman;serif" w:hAnsi="Times New Roman;serif"/>
          <w:sz w:val="22"/>
        </w:rPr>
      </w:pPr>
      <w:r>
        <w:rPr>
          <w:rFonts w:ascii="Times New Roman;serif" w:hAnsi="Times New Roman;serif"/>
          <w:b w:val="false"/>
          <w:i w:val="false"/>
          <w:caps w:val="false"/>
          <w:smallCaps w:val="false"/>
          <w:color w:val="000000"/>
          <w:sz w:val="22"/>
        </w:rPr>
        <w:t>Depreciation and amortization increased by $14,745 or 6.8% prim</w:t>
      </w:r>
      <w:r>
        <w:rPr>
          <w:rFonts w:ascii="Times New Roman;serif" w:hAnsi="Times New Roman;serif"/>
          <w:b w:val="false"/>
          <w:i w:val="false"/>
          <w:caps w:val="false"/>
          <w:smallCaps w:val="false"/>
          <w:sz w:val="22"/>
        </w:rPr>
        <w:t xml:space="preserve">arily due to continued capital investment to expand and improve our utility facilities and our acquisitions of new utility systems. </w:t>
      </w:r>
    </w:p>
    <w:p>
      <w:pPr>
        <w:pStyle w:val="Heading1"/>
        <w:bidi w:val="0"/>
        <w:spacing w:lineRule="auto" w:line="259"/>
        <w:jc w:val="left"/>
        <w:rPr>
          <w:rFonts w:ascii="Times New Roman;serif" w:hAnsi="Times New Roman;serif"/>
          <w:sz w:val="22"/>
        </w:rPr>
      </w:pPr>
      <w:r>
        <w:rPr>
          <w:rFonts w:ascii="Times New Roman;serif" w:hAnsi="Times New Roman;serif"/>
          <w:b w:val="false"/>
          <w:i w:val="false"/>
          <w:caps w:val="false"/>
          <w:smallCaps w:val="false"/>
          <w:spacing w:val="0"/>
          <w:sz w:val="22"/>
        </w:rPr>
        <w:t>Taxes other than income taxes increased by $5,247 or 8.4% in 2024 as compared to 2023 largely due to an increase in property taxes, payroll taxes and pumping fees.</w:t>
      </w:r>
      <w:r>
        <w:rPr>
          <w:rFonts w:ascii="Times New Roman;serif" w:hAnsi="Times New Roman;serif"/>
          <w:caps w:val="false"/>
          <w:smallCaps w:val="false"/>
          <w:spacing w:val="0"/>
          <w:sz w:val="22"/>
        </w:rPr>
        <w:t xml:space="preserve"> </w:t>
      </w:r>
    </w:p>
    <w:p>
      <w:pPr>
        <w:pStyle w:val="Heading1"/>
        <w:bidi w:val="0"/>
        <w:spacing w:lineRule="auto" w:line="259"/>
        <w:jc w:val="left"/>
        <w:rPr>
          <w:rFonts w:ascii="Times New Roman;serif" w:hAnsi="Times New Roman;serif"/>
          <w:sz w:val="22"/>
        </w:rPr>
      </w:pPr>
      <w:r>
        <w:rPr>
          <w:rFonts w:ascii="Times New Roman;serif" w:hAnsi="Times New Roman;serif"/>
          <w:b/>
          <w:i/>
          <w:color w:val="000000"/>
          <w:spacing w:val="0"/>
          <w:sz w:val="22"/>
        </w:rPr>
        <w:t>Other expense, net</w:t>
      </w:r>
      <w:r>
        <w:rPr>
          <w:rFonts w:ascii="Times New Roman;serif" w:hAnsi="Times New Roman;serif"/>
          <w:caps w:val="false"/>
          <w:smallCaps w:val="false"/>
          <w:color w:val="000000"/>
          <w:spacing w:val="0"/>
          <w:sz w:val="22"/>
        </w:rPr>
        <w:t xml:space="preserve"> – </w:t>
      </w:r>
      <w:r>
        <w:rPr>
          <w:rFonts w:ascii="Times New Roman;serif" w:hAnsi="Times New Roman;serif"/>
          <w:b w:val="false"/>
          <w:i w:val="false"/>
          <w:caps w:val="false"/>
          <w:smallCaps w:val="false"/>
          <w:spacing w:val="0"/>
          <w:sz w:val="22"/>
        </w:rPr>
        <w:t xml:space="preserve">Interest expense, net of interest income, increased by $15,406 or 12.4% primarily due to the increase in average borrowings and increased borrowing costs. </w:t>
      </w:r>
    </w:p>
    <w:p>
      <w:pPr>
        <w:pStyle w:val="Heading1"/>
        <w:shd w:fill="FFFFFF" w:val="clear"/>
        <w:bidi w:val="0"/>
        <w:spacing w:lineRule="auto" w:line="259"/>
        <w:jc w:val="left"/>
        <w:rPr>
          <w:rFonts w:ascii="Times New Roman;serif" w:hAnsi="Times New Roman;serif"/>
          <w:b w:val="false"/>
          <w:i w:val="false"/>
          <w:caps w:val="false"/>
          <w:smallCaps w:val="false"/>
          <w:spacing w:val="0"/>
          <w:sz w:val="22"/>
        </w:rPr>
      </w:pPr>
      <w:r>
        <w:rPr>
          <w:rFonts w:ascii="Times New Roman;serif" w:hAnsi="Times New Roman;serif"/>
          <w:b w:val="false"/>
          <w:i w:val="false"/>
          <w:caps w:val="false"/>
          <w:smallCaps w:val="false"/>
          <w:spacing w:val="0"/>
          <w:sz w:val="22"/>
        </w:rPr>
        <w:t xml:space="preserve">AFUDC increased by $1,927 or 13.0% due to the increase in the average balance of utility plant construction work in progress, to which AFUDC is applied.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color w:val="000000"/>
          <w:sz w:val="22"/>
        </w:rPr>
        <w:t xml:space="preserve">Other, </w:t>
      </w:r>
      <w:r>
        <w:rPr>
          <w:rFonts w:ascii="Times New Roman;serif" w:hAnsi="Times New Roman;serif"/>
          <w:b w:val="false"/>
          <w:i w:val="false"/>
          <w:caps w:val="false"/>
          <w:smallCaps w:val="false"/>
          <w:sz w:val="22"/>
        </w:rPr>
        <w:t>net, was an income of $1,445 in 2024 and an income of $3,596 in 2023, and largely consists of the non-service cost component of our net benefit cost for pension and post-retirement benefits, and unrealized gains and losses on investments associated with our non-qualified pension plan. The change is primarily due to the increase in the pension and post-retirement benefit non-service cost component of net periodic benefit expense in 2024. The credit arising from the expected return of plan assets assumption was lower in 2024 as compared to 2023.</w:t>
      </w:r>
    </w:p>
    <w:p>
      <w:pPr>
        <w:pStyle w:val="TextBody"/>
        <w:bidi w:val="0"/>
        <w:spacing w:lineRule="auto" w:line="259" w:before="0" w:after="100"/>
        <w:rPr>
          <w:rFonts w:ascii="Times New Roman;serif" w:hAnsi="Times New Roman;serif"/>
          <w:sz w:val="22"/>
        </w:rPr>
      </w:pPr>
      <w:r>
        <w:rPr>
          <w:rFonts w:ascii="Times New Roman;serif" w:hAnsi="Times New Roman;serif"/>
          <w:b/>
          <w:i/>
          <w:sz w:val="22"/>
        </w:rPr>
        <w:t>Provision for income tax</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The effective income tax rate for our Regulated Water segment was an expense of 16.4% in 2024, compared to an expense of 14.4% in 2023. The increase in the effective tax rate is primarily the result of changes in the jurisdictional earnings mix, decrease in the amortization of certain regulatory liabilities associated with deferred taxes, and decrease in the income tax benefit associated with the repairs tax deduction for qualifying utility infrastructure investments.</w:t>
      </w:r>
    </w:p>
    <w:p>
      <w:pPr>
        <w:pStyle w:val="TextBody"/>
        <w:bidi w:val="0"/>
        <w:spacing w:lineRule="auto" w:line="259" w:before="0" w:after="100"/>
        <w:rPr>
          <w:rFonts w:ascii="Times New Roman;serif" w:hAnsi="Times New Roman;serif"/>
          <w:sz w:val="22"/>
        </w:rPr>
      </w:pPr>
      <w:r>
        <w:rPr>
          <w:rFonts w:ascii="Times New Roman;serif" w:hAnsi="Times New Roman;serif"/>
          <w:b w:val="false"/>
          <w:i w:val="false"/>
          <w:caps w:val="false"/>
          <w:smallCaps w:val="false"/>
          <w:color w:val="000000"/>
          <w:sz w:val="22"/>
        </w:rPr>
        <w:br/>
        <w:t>‎</w:t>
      </w:r>
      <w:r>
        <w:rPr>
          <w:rFonts w:ascii="Times New Roman;serif" w:hAnsi="Times New Roman;serif"/>
          <w:caps w:val="false"/>
          <w:smallCaps w:val="false"/>
          <w:color w:val="000000"/>
          <w:sz w:val="22"/>
        </w:rPr>
        <w:t xml:space="preser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i w:val="false"/>
          <w:caps w:val="false"/>
          <w:smallCaps w:val="false"/>
          <w:sz w:val="22"/>
          <w:u w:val="single"/>
        </w:rPr>
      </w:pPr>
      <w:r>
        <w:rPr>
          <w:rFonts w:ascii="Times New Roman;serif" w:hAnsi="Times New Roman;serif"/>
          <w:b/>
          <w:i w:val="false"/>
          <w:caps w:val="false"/>
          <w:smallCaps w:val="false"/>
          <w:sz w:val="22"/>
          <w:u w:val="single"/>
        </w:rPr>
        <w:t>Regulated Natural Gas Segment</w:t>
      </w:r>
    </w:p>
    <w:p>
      <w:pPr>
        <w:pStyle w:val="Heading1"/>
        <w:bidi w:val="0"/>
        <w:spacing w:lineRule="auto" w:line="259"/>
        <w:jc w:val="left"/>
        <w:rPr>
          <w:rFonts w:ascii="Times New Roman;serif" w:hAnsi="Times New Roman;serif"/>
          <w:b w:val="false"/>
          <w:i w:val="false"/>
          <w:caps w:val="false"/>
          <w:smallCaps w:val="false"/>
          <w:spacing w:val="0"/>
          <w:sz w:val="22"/>
        </w:rPr>
      </w:pPr>
      <w:r>
        <w:rPr>
          <w:rFonts w:ascii="Times New Roman;serif" w:hAnsi="Times New Roman;serif"/>
          <w:b w:val="false"/>
          <w:i w:val="false"/>
          <w:caps w:val="false"/>
          <w:smallCaps w:val="false"/>
          <w:spacing w:val="0"/>
          <w:sz w:val="22"/>
        </w:rPr>
        <w:t>The following tables present the selected operating results and customers served for our Regulated Natural Gas segment for and as of the year ended December 31:</w:t>
      </w:r>
    </w:p>
    <w:tbl>
      <w:tblPr>
        <w:tblW w:w="10205" w:type="dxa"/>
        <w:jc w:val="left"/>
        <w:tblInd w:w="0" w:type="dxa"/>
        <w:tblLayout w:type="fixed"/>
        <w:tblCellMar>
          <w:top w:w="0" w:type="dxa"/>
          <w:left w:w="0" w:type="dxa"/>
          <w:bottom w:w="0" w:type="dxa"/>
          <w:right w:w="0" w:type="dxa"/>
        </w:tblCellMar>
      </w:tblPr>
      <w:tblGrid>
        <w:gridCol w:w="3872"/>
        <w:gridCol w:w="196"/>
        <w:gridCol w:w="1051"/>
        <w:gridCol w:w="196"/>
        <w:gridCol w:w="1051"/>
        <w:gridCol w:w="196"/>
        <w:gridCol w:w="1051"/>
        <w:gridCol w:w="196"/>
        <w:gridCol w:w="1065"/>
        <w:gridCol w:w="196"/>
        <w:gridCol w:w="1135"/>
      </w:tblGrid>
      <w:tr>
        <w:trPr/>
        <w:tc>
          <w:tcPr>
            <w:tcW w:w="3872"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65"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135" w:type="dxa"/>
            <w:tcBorders/>
            <w:shd w:fill="FFFFFF" w:val="clear"/>
            <w:vAlign w:val="center"/>
          </w:tcPr>
          <w:p>
            <w:pPr>
              <w:pStyle w:val="TableContents"/>
              <w:bidi w:val="0"/>
              <w:spacing w:before="0" w:after="283"/>
              <w:jc w:val="left"/>
              <w:rPr>
                <w:sz w:val="4"/>
                <w:szCs w:val="4"/>
              </w:rPr>
            </w:pPr>
            <w:r>
              <w:rPr>
                <w:sz w:val="4"/>
                <w:szCs w:val="4"/>
              </w:rPr>
            </w:r>
          </w:p>
        </w:tc>
      </w:tr>
      <w:tr>
        <w:trPr/>
        <w:tc>
          <w:tcPr>
            <w:tcW w:w="3872"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51"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65"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135" w:type="dxa"/>
            <w:tcBorders/>
            <w:shd w:fill="FFFFFF" w:val="clear"/>
            <w:vAlign w:val="center"/>
          </w:tcPr>
          <w:p>
            <w:pPr>
              <w:pStyle w:val="TableContents"/>
              <w:bidi w:val="0"/>
              <w:spacing w:before="0" w:after="283"/>
              <w:jc w:val="left"/>
              <w:rPr>
                <w:sz w:val="4"/>
                <w:szCs w:val="4"/>
              </w:rPr>
            </w:pPr>
            <w:r>
              <w:rPr>
                <w:sz w:val="4"/>
                <w:szCs w:val="4"/>
              </w:rPr>
            </w:r>
          </w:p>
        </w:tc>
      </w:tr>
      <w:tr>
        <w:trPr/>
        <w:tc>
          <w:tcPr>
            <w:tcW w:w="3872"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2024</w:t>
            </w:r>
          </w:p>
        </w:tc>
        <w:tc>
          <w:tcPr>
            <w:tcW w:w="1051"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2023</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2022</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2024 vs. 2023</w:t>
            </w:r>
          </w:p>
        </w:tc>
        <w:tc>
          <w:tcPr>
            <w:tcW w:w="19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35"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2023 vs. 2022</w:t>
            </w:r>
          </w:p>
        </w:tc>
      </w:tr>
      <w:tr>
        <w:trPr/>
        <w:tc>
          <w:tcPr>
            <w:tcW w:w="3872" w:type="dxa"/>
            <w:tcBorders/>
            <w:shd w:fill="FFFF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Gas utility customers:</w:t>
            </w:r>
          </w:p>
        </w:tc>
        <w:tc>
          <w:tcPr>
            <w:tcW w:w="19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65"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135"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3872"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Residential gas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685,591 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683,811 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695,198 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1,780 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13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(11,387)</w:t>
            </w:r>
          </w:p>
        </w:tc>
      </w:tr>
      <w:tr>
        <w:trPr/>
        <w:tc>
          <w:tcPr>
            <w:tcW w:w="3872"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Commercial gas</w:t>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59,296 </w:t>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59,384 </w:t>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59,684 </w:t>
            </w:r>
          </w:p>
        </w:tc>
        <w:tc>
          <w:tcPr>
            <w:tcW w:w="19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(88)</w:t>
            </w:r>
          </w:p>
        </w:tc>
        <w:tc>
          <w:tcPr>
            <w:tcW w:w="19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(300)</w:t>
            </w:r>
          </w:p>
        </w:tc>
      </w:tr>
      <w:tr>
        <w:trPr/>
        <w:tc>
          <w:tcPr>
            <w:tcW w:w="3872"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Industrial gas</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552 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551 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1,459 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35"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(908)</w:t>
            </w:r>
          </w:p>
        </w:tc>
      </w:tr>
      <w:tr>
        <w:trPr/>
        <w:tc>
          <w:tcPr>
            <w:tcW w:w="3872"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gas utility customers</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745,439 </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743,746 </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756,341 </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6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1,693 </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3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(12,595)</w:t>
            </w:r>
          </w:p>
        </w:tc>
      </w:tr>
      <w:tr>
        <w:trPr/>
        <w:tc>
          <w:tcPr>
            <w:tcW w:w="3872"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19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65"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35"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3872"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Delivered volumes - retail and transportation (thousand cubic feet)</w:t>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r>
      <w:tr>
        <w:trPr/>
        <w:tc>
          <w:tcPr>
            <w:tcW w:w="3872"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Residential gas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50,669,829 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51,698,440 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61,093,372 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(1,028,611)</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13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(9,394,932)</w:t>
            </w:r>
          </w:p>
        </w:tc>
      </w:tr>
      <w:tr>
        <w:trPr/>
        <w:tc>
          <w:tcPr>
            <w:tcW w:w="3872"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Commercial gas</w:t>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33,641,589 </w:t>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33,151,308 </w:t>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37,240,382 </w:t>
            </w:r>
          </w:p>
        </w:tc>
        <w:tc>
          <w:tcPr>
            <w:tcW w:w="19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490,281 </w:t>
            </w:r>
          </w:p>
        </w:tc>
        <w:tc>
          <w:tcPr>
            <w:tcW w:w="19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(4,089,074)</w:t>
            </w:r>
          </w:p>
        </w:tc>
      </w:tr>
      <w:tr>
        <w:trPr/>
        <w:tc>
          <w:tcPr>
            <w:tcW w:w="3872"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Industrial gas</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47,959,164 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48,323,846 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49,017,036 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(364,682)</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35"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(693,190)</w:t>
            </w:r>
          </w:p>
        </w:tc>
      </w:tr>
      <w:tr>
        <w:trPr/>
        <w:tc>
          <w:tcPr>
            <w:tcW w:w="3872"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delivered volumes</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132,270,582 </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133,173,594 </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147,350,790 </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6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(903,012)</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3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(14,177,196)</w:t>
            </w:r>
          </w:p>
        </w:tc>
      </w:tr>
      <w:tr>
        <w:trPr/>
        <w:tc>
          <w:tcPr>
            <w:tcW w:w="3872" w:type="dxa"/>
            <w:tcBorders/>
            <w:shd w:fill="CCEEFF" w:val="clear"/>
            <w:vAlign w:val="center"/>
          </w:tcPr>
          <w:p>
            <w:pPr>
              <w:pStyle w:val="TableContents"/>
              <w:bidi w:val="0"/>
              <w:spacing w:lineRule="auto" w:line="259" w:before="0" w:after="1"/>
              <w:jc w:val="left"/>
              <w:rPr>
                <w:rFonts w:ascii="Times New Roman;serif" w:hAnsi="Times New Roman;serif"/>
                <w:sz w:val="18"/>
              </w:rPr>
            </w:pPr>
            <w:r>
              <w:rPr>
                <w:rFonts w:ascii="Times New Roman;serif" w:hAnsi="Times New Roman;serif"/>
                <w:b w:val="false"/>
                <w:i w:val="false"/>
                <w:caps w:val="false"/>
                <w:smallCaps w:val="false"/>
                <w:color w:val="000000"/>
                <w:sz w:val="18"/>
              </w:rPr>
              <w:t xml:space="preserve">Heating Degree Days </w:t>
            </w:r>
            <w:r>
              <w:rPr>
                <w:rFonts w:ascii="Times New Roman;serif" w:hAnsi="Times New Roman;serif"/>
                <w:b w:val="false"/>
                <w:i w:val="false"/>
                <w:caps w:val="false"/>
                <w:smallCaps w:val="false"/>
                <w:color w:val="000000"/>
                <w:position w:val="6"/>
                <w:sz w:val="14"/>
                <w:sz w:val="18"/>
              </w:rPr>
              <w:t>(a)</w:t>
            </w:r>
          </w:p>
        </w:tc>
        <w:tc>
          <w:tcPr>
            <w:tcW w:w="19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4,288</w:t>
            </w:r>
          </w:p>
        </w:tc>
        <w:tc>
          <w:tcPr>
            <w:tcW w:w="19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4,558 </w:t>
            </w:r>
          </w:p>
        </w:tc>
        <w:tc>
          <w:tcPr>
            <w:tcW w:w="19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5,648 </w:t>
            </w:r>
          </w:p>
        </w:tc>
        <w:tc>
          <w:tcPr>
            <w:tcW w:w="19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6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(270)</w:t>
            </w:r>
          </w:p>
        </w:tc>
        <w:tc>
          <w:tcPr>
            <w:tcW w:w="19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35"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(1,090)</w:t>
            </w:r>
          </w:p>
        </w:tc>
      </w:tr>
      <w:tr>
        <w:trPr/>
        <w:tc>
          <w:tcPr>
            <w:tcW w:w="3872" w:type="dxa"/>
            <w:tcBorders/>
            <w:vAlign w:val="center"/>
          </w:tcPr>
          <w:p>
            <w:pPr>
              <w:pStyle w:val="TableContents"/>
              <w:bidi w:val="0"/>
              <w:spacing w:lineRule="auto" w:line="259" w:before="0" w:after="1"/>
              <w:jc w:val="left"/>
              <w:rPr>
                <w:rFonts w:ascii="Times New Roman;serif" w:hAnsi="Times New Roman;serif"/>
                <w:sz w:val="18"/>
              </w:rPr>
            </w:pPr>
            <w:r>
              <w:rPr>
                <w:rFonts w:ascii="Times New Roman;serif" w:hAnsi="Times New Roman;serif"/>
                <w:b w:val="false"/>
                <w:i w:val="false"/>
                <w:caps w:val="false"/>
                <w:smallCaps w:val="false"/>
                <w:color w:val="000000"/>
                <w:sz w:val="18"/>
              </w:rPr>
              <w:t xml:space="preserve">Average Heating Degree Days </w:t>
            </w:r>
            <w:r>
              <w:rPr>
                <w:rFonts w:ascii="Times New Roman;serif" w:hAnsi="Times New Roman;serif"/>
                <w:b w:val="false"/>
                <w:i w:val="false"/>
                <w:caps w:val="false"/>
                <w:smallCaps w:val="false"/>
                <w:color w:val="000000"/>
                <w:position w:val="6"/>
                <w:sz w:val="14"/>
                <w:sz w:val="18"/>
              </w:rPr>
              <w:t>(b)</w:t>
            </w:r>
          </w:p>
        </w:tc>
        <w:tc>
          <w:tcPr>
            <w:tcW w:w="196"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5,240</w:t>
            </w:r>
          </w:p>
        </w:tc>
        <w:tc>
          <w:tcPr>
            <w:tcW w:w="196"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5,427 </w:t>
            </w:r>
          </w:p>
        </w:tc>
        <w:tc>
          <w:tcPr>
            <w:tcW w:w="196"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5,438 </w:t>
            </w:r>
          </w:p>
        </w:tc>
        <w:tc>
          <w:tcPr>
            <w:tcW w:w="196"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6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(187)</w:t>
            </w:r>
          </w:p>
        </w:tc>
        <w:tc>
          <w:tcPr>
            <w:tcW w:w="196"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35"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w:t>
            </w:r>
          </w:p>
        </w:tc>
      </w:tr>
      <w:tr>
        <w:trPr/>
        <w:tc>
          <w:tcPr>
            <w:tcW w:w="3872" w:type="dxa"/>
            <w:tcBorders/>
            <w:vAlign w:val="center"/>
          </w:tcPr>
          <w:p>
            <w:pPr>
              <w:pStyle w:val="TableContents"/>
              <w:bidi w:val="0"/>
              <w:spacing w:before="0" w:after="283"/>
              <w:ind w:left="115" w:right="0" w:hanging="0"/>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3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872" w:type="dxa"/>
            <w:tcBorders/>
            <w:vAlign w:val="center"/>
          </w:tcPr>
          <w:p>
            <w:pPr>
              <w:pStyle w:val="TableContents"/>
              <w:bidi w:val="0"/>
              <w:spacing w:before="0" w:after="283"/>
              <w:jc w:val="left"/>
              <w:rPr>
                <w:sz w:val="4"/>
                <w:szCs w:val="4"/>
              </w:rPr>
            </w:pPr>
            <w:r>
              <w:rPr>
                <w:sz w:val="4"/>
                <w:szCs w:val="4"/>
              </w:rPr>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2024</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2023</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2022</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2024 vs. 2023</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5" w:type="dxa"/>
            <w:tcBorders>
              <w:bottom w:val="single" w:sz="8" w:space="0" w:color="000000"/>
            </w:tcBorders>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2023 vs. 2022</w:t>
            </w:r>
          </w:p>
        </w:tc>
      </w:tr>
      <w:tr>
        <w:trPr/>
        <w:tc>
          <w:tcPr>
            <w:tcW w:w="3872"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Operating revenues:</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35"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872"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Residential gas</w:t>
            </w:r>
          </w:p>
        </w:tc>
        <w:tc>
          <w:tcPr>
            <w:tcW w:w="19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504,426 </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519,406 </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720,490 </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6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(14,980)</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3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(201,084)</w:t>
            </w:r>
          </w:p>
        </w:tc>
      </w:tr>
      <w:tr>
        <w:trPr/>
        <w:tc>
          <w:tcPr>
            <w:tcW w:w="3872"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Commercial gas</w:t>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100,662 </w:t>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111,272 </w:t>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149,653 </w:t>
            </w:r>
          </w:p>
        </w:tc>
        <w:tc>
          <w:tcPr>
            <w:tcW w:w="19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(10,610)</w:t>
            </w:r>
          </w:p>
        </w:tc>
        <w:tc>
          <w:tcPr>
            <w:tcW w:w="19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(38,381)</w:t>
            </w:r>
          </w:p>
        </w:tc>
      </w:tr>
      <w:tr>
        <w:trPr/>
        <w:tc>
          <w:tcPr>
            <w:tcW w:w="3872"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Industrial gas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2,279 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3,232 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5,636 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(953)</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13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(2,404)</w:t>
            </w:r>
          </w:p>
        </w:tc>
      </w:tr>
      <w:tr>
        <w:trPr/>
        <w:tc>
          <w:tcPr>
            <w:tcW w:w="3872"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Gas transportation</w:t>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194,413 </w:t>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184,598 </w:t>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205,825 </w:t>
            </w:r>
          </w:p>
        </w:tc>
        <w:tc>
          <w:tcPr>
            <w:tcW w:w="19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9,815 </w:t>
            </w:r>
          </w:p>
        </w:tc>
        <w:tc>
          <w:tcPr>
            <w:tcW w:w="196"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(21,227)</w:t>
            </w:r>
          </w:p>
        </w:tc>
      </w:tr>
      <w:tr>
        <w:trPr/>
        <w:tc>
          <w:tcPr>
            <w:tcW w:w="3872"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utility</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41,211 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45,251 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1"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61,758 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5"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(4,040)</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35"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(16,507)</w:t>
            </w:r>
          </w:p>
        </w:tc>
      </w:tr>
      <w:tr>
        <w:trPr/>
        <w:tc>
          <w:tcPr>
            <w:tcW w:w="3872"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 operating revenues</w:t>
            </w:r>
          </w:p>
        </w:tc>
        <w:tc>
          <w:tcPr>
            <w:tcW w:w="196" w:type="dxa"/>
            <w:tcBorders>
              <w:top w:val="single" w:sz="8" w:space="0" w:color="000000"/>
            </w:tcBorders>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842,991 </w:t>
            </w:r>
          </w:p>
        </w:tc>
        <w:tc>
          <w:tcPr>
            <w:tcW w:w="196"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863,759 </w:t>
            </w:r>
          </w:p>
        </w:tc>
        <w:tc>
          <w:tcPr>
            <w:tcW w:w="196"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1,143,362 </w:t>
            </w:r>
          </w:p>
        </w:tc>
        <w:tc>
          <w:tcPr>
            <w:tcW w:w="196"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65"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(20,768)</w:t>
            </w:r>
          </w:p>
        </w:tc>
        <w:tc>
          <w:tcPr>
            <w:tcW w:w="196"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35"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(279,603)</w:t>
            </w:r>
          </w:p>
        </w:tc>
      </w:tr>
      <w:tr>
        <w:trPr/>
        <w:tc>
          <w:tcPr>
            <w:tcW w:w="3872"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Operating expenses: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51"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65" w:type="dxa"/>
            <w:tcBorders/>
            <w:shd w:fill="CCEEFF" w:val="clear"/>
            <w:vAlign w:val="center"/>
          </w:tcPr>
          <w:p>
            <w:pPr>
              <w:pStyle w:val="TableContents"/>
              <w:bidi w:val="0"/>
              <w:spacing w:before="0" w:after="283"/>
              <w:jc w:val="left"/>
              <w:rPr>
                <w:sz w:val="4"/>
                <w:szCs w:val="4"/>
              </w:rPr>
            </w:pPr>
            <w:r>
              <w:rPr>
                <w:sz w:val="4"/>
                <w:szCs w:val="4"/>
              </w:rPr>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135" w:type="dxa"/>
            <w:tcBorders/>
            <w:shd w:fill="CCEEFF" w:val="clear"/>
            <w:vAlign w:val="center"/>
          </w:tcPr>
          <w:p>
            <w:pPr>
              <w:pStyle w:val="TableContents"/>
              <w:bidi w:val="0"/>
              <w:spacing w:before="0" w:after="283"/>
              <w:jc w:val="left"/>
              <w:rPr>
                <w:sz w:val="4"/>
                <w:szCs w:val="4"/>
              </w:rPr>
            </w:pPr>
            <w:r>
              <w:rPr>
                <w:sz w:val="4"/>
                <w:szCs w:val="4"/>
              </w:rPr>
            </w:r>
          </w:p>
        </w:tc>
      </w:tr>
      <w:tr>
        <w:trPr/>
        <w:tc>
          <w:tcPr>
            <w:tcW w:w="3872"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Operations and maintenance expense</w:t>
            </w:r>
          </w:p>
        </w:tc>
        <w:tc>
          <w:tcPr>
            <w:tcW w:w="19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207,176 </w:t>
            </w:r>
          </w:p>
        </w:tc>
        <w:tc>
          <w:tcPr>
            <w:tcW w:w="19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209,073 </w:t>
            </w:r>
          </w:p>
        </w:tc>
        <w:tc>
          <w:tcPr>
            <w:tcW w:w="19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239,506 </w:t>
            </w:r>
          </w:p>
        </w:tc>
        <w:tc>
          <w:tcPr>
            <w:tcW w:w="19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6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(1,897)</w:t>
            </w:r>
          </w:p>
        </w:tc>
        <w:tc>
          <w:tcPr>
            <w:tcW w:w="19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3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(30,433)</w:t>
            </w:r>
          </w:p>
        </w:tc>
      </w:tr>
      <w:tr>
        <w:trPr/>
        <w:tc>
          <w:tcPr>
            <w:tcW w:w="3872"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Purchased gas</w:t>
            </w:r>
          </w:p>
        </w:tc>
        <w:tc>
          <w:tcPr>
            <w:tcW w:w="19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267,226 </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327,548 </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551,009 </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6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(60,322)</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3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(223,461)</w:t>
            </w:r>
          </w:p>
        </w:tc>
      </w:tr>
      <w:tr>
        <w:trPr/>
        <w:tc>
          <w:tcPr>
            <w:tcW w:w="3872"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Depreciation and amortization</w:t>
            </w:r>
          </w:p>
        </w:tc>
        <w:tc>
          <w:tcPr>
            <w:tcW w:w="19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135,814 </w:t>
            </w:r>
          </w:p>
        </w:tc>
        <w:tc>
          <w:tcPr>
            <w:tcW w:w="19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125,263 </w:t>
            </w:r>
          </w:p>
        </w:tc>
        <w:tc>
          <w:tcPr>
            <w:tcW w:w="19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118,955 </w:t>
            </w:r>
          </w:p>
        </w:tc>
        <w:tc>
          <w:tcPr>
            <w:tcW w:w="19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6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10,551 </w:t>
            </w:r>
          </w:p>
        </w:tc>
        <w:tc>
          <w:tcPr>
            <w:tcW w:w="19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3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6,308 </w:t>
            </w:r>
          </w:p>
        </w:tc>
      </w:tr>
      <w:tr>
        <w:trPr/>
        <w:tc>
          <w:tcPr>
            <w:tcW w:w="3872"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Taxes other than income taxes</w:t>
            </w:r>
          </w:p>
        </w:tc>
        <w:tc>
          <w:tcPr>
            <w:tcW w:w="19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22,985 </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23,846 </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22,642 </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6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(861)</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3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1,204 </w:t>
            </w:r>
          </w:p>
        </w:tc>
      </w:tr>
      <w:tr>
        <w:trPr/>
        <w:tc>
          <w:tcPr>
            <w:tcW w:w="3872"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 expense, net</w:t>
            </w:r>
          </w:p>
        </w:tc>
        <w:tc>
          <w:tcPr>
            <w:tcW w:w="19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(3,834)</w:t>
            </w:r>
          </w:p>
        </w:tc>
        <w:tc>
          <w:tcPr>
            <w:tcW w:w="19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90,819 </w:t>
            </w:r>
          </w:p>
        </w:tc>
        <w:tc>
          <w:tcPr>
            <w:tcW w:w="19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87,916 </w:t>
            </w:r>
          </w:p>
        </w:tc>
        <w:tc>
          <w:tcPr>
            <w:tcW w:w="19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6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(94,653)</w:t>
            </w:r>
          </w:p>
        </w:tc>
        <w:tc>
          <w:tcPr>
            <w:tcW w:w="19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3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2,903 </w:t>
            </w:r>
          </w:p>
        </w:tc>
      </w:tr>
      <w:tr>
        <w:trPr/>
        <w:tc>
          <w:tcPr>
            <w:tcW w:w="3872"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Income tax benefit</w:t>
            </w:r>
          </w:p>
        </w:tc>
        <w:tc>
          <w:tcPr>
            <w:tcW w:w="19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(79,993)</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(113,353)</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(61,942)</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6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33,360 </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3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(51,411)</w:t>
            </w:r>
          </w:p>
        </w:tc>
      </w:tr>
      <w:tr>
        <w:trPr/>
        <w:tc>
          <w:tcPr>
            <w:tcW w:w="3872"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Segment net income </w:t>
            </w:r>
          </w:p>
        </w:tc>
        <w:tc>
          <w:tcPr>
            <w:tcW w:w="19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293,617</w:t>
            </w:r>
          </w:p>
        </w:tc>
        <w:tc>
          <w:tcPr>
            <w:tcW w:w="19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200,563 </w:t>
            </w:r>
          </w:p>
        </w:tc>
        <w:tc>
          <w:tcPr>
            <w:tcW w:w="19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185,276 </w:t>
            </w:r>
          </w:p>
        </w:tc>
        <w:tc>
          <w:tcPr>
            <w:tcW w:w="19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6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93,054 </w:t>
            </w:r>
          </w:p>
        </w:tc>
        <w:tc>
          <w:tcPr>
            <w:tcW w:w="19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3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15,287 </w:t>
            </w:r>
          </w:p>
        </w:tc>
      </w:tr>
    </w:tbl>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position w:val="7"/>
          <w:sz w:val="16"/>
          <w:sz w:val="20"/>
        </w:rPr>
        <w:t>(a)</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 xml:space="preserve">Unit of measure reflecting temperature-sensitive natural gas consumption, calculated by subtracting the average of a day’s high and low temperatures from 65 degrees Fahrenheit; measured at Pittsburgh, PA. </w:t>
      </w:r>
    </w:p>
    <w:p>
      <w:pPr>
        <w:pStyle w:val="TextBody"/>
        <w:bidi w:val="0"/>
        <w:spacing w:lineRule="auto" w:line="259" w:before="0" w:after="120"/>
        <w:rPr>
          <w:rFonts w:ascii="Times New Roman;serif" w:hAnsi="Times New Roman;serif"/>
          <w:sz w:val="20"/>
        </w:rPr>
      </w:pPr>
      <w:r>
        <w:rPr>
          <w:rFonts w:ascii="Times New Roman;serif" w:hAnsi="Times New Roman;serif"/>
          <w:b w:val="false"/>
          <w:i w:val="false"/>
          <w:caps w:val="false"/>
          <w:smallCaps w:val="false"/>
          <w:color w:val="000000"/>
          <w:position w:val="6"/>
          <w:sz w:val="14"/>
          <w:sz w:val="18"/>
        </w:rPr>
        <w:t>(b)</w:t>
      </w:r>
      <w:r>
        <w:rPr>
          <w:rFonts w:ascii="Times New Roman;serif" w:hAnsi="Times New Roman;serif"/>
          <w:caps w:val="false"/>
          <w:smallCaps w:val="false"/>
          <w:sz w:val="20"/>
        </w:rPr>
        <w:t xml:space="preserve"> </w:t>
      </w:r>
      <w:r>
        <w:rPr>
          <w:rFonts w:ascii="Times New Roman;serif" w:hAnsi="Times New Roman;serif"/>
          <w:b w:val="false"/>
          <w:i w:val="false"/>
          <w:caps w:val="false"/>
          <w:smallCaps w:val="false"/>
          <w:sz w:val="20"/>
        </w:rPr>
        <w:t>Based on historical twenty-year average heating degree days, as calculated from data provided by the National Weather Service for the same geographic location.</w:t>
      </w:r>
    </w:p>
    <w:p>
      <w:pPr>
        <w:pStyle w:val="TextBody"/>
        <w:bidi w:val="0"/>
        <w:spacing w:lineRule="auto" w:line="259"/>
        <w:rPr>
          <w:rFonts w:ascii="Times New Roman;serif" w:hAnsi="Times New Roman;serif"/>
          <w:sz w:val="22"/>
        </w:rPr>
      </w:pPr>
      <w:r>
        <w:rPr>
          <w:rFonts w:ascii="Times New Roman;serif" w:hAnsi="Times New Roman;serif"/>
          <w:b/>
          <w:i/>
          <w:color w:val="000000"/>
          <w:sz w:val="22"/>
        </w:rPr>
        <w:t>Operating revenues</w:t>
      </w:r>
      <w:r>
        <w:rPr>
          <w:rFonts w:ascii="Times New Roman;serif" w:hAnsi="Times New Roman;serif"/>
          <w:caps w:val="false"/>
          <w:smallCaps w:val="false"/>
          <w:color w:val="000000"/>
          <w:sz w:val="22"/>
        </w:rPr>
        <w:t xml:space="preserve"> – </w:t>
      </w:r>
      <w:r>
        <w:rPr>
          <w:rFonts w:ascii="Times New Roman;serif" w:hAnsi="Times New Roman;serif"/>
          <w:b w:val="false"/>
          <w:i w:val="false"/>
          <w:caps w:val="false"/>
          <w:smallCaps w:val="false"/>
          <w:color w:val="000000"/>
          <w:sz w:val="22"/>
        </w:rPr>
        <w:t xml:space="preserve">Operating revenues from the Regulated Natural Gas segment decreased by $20,768 or 2.4% primarily due to: </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2"/>
        </w:rPr>
        <w:t xml:space="preserve">a decrease in purchased gas costs of $60,322; refer to purchased gas costs discussion below for further information; </w:t>
      </w:r>
    </w:p>
    <w:p>
      <w:pPr>
        <w:pStyle w:val="Heading1"/>
        <w:shd w:fill="FFFFFF" w:val="clear"/>
        <w:bidi w:val="0"/>
        <w:spacing w:lineRule="auto" w:line="259"/>
        <w:ind w:left="720" w:right="0" w:hanging="360"/>
        <w:jc w:val="left"/>
        <w:rPr/>
      </w:pPr>
      <w:r>
        <w:rPr>
          <w:caps w:val="false"/>
          <w:smallCaps w:val="false"/>
          <w:color w:val="000000"/>
          <w:spacing w:val="0"/>
          <w:u w:val="single"/>
        </w:rPr>
        <w:t></w:t>
      </w:r>
      <w:r>
        <w:rPr>
          <w:rFonts w:ascii="Times New Roman;serif" w:hAnsi="Times New Roman;serif"/>
          <w:b w:val="false"/>
          <w:i w:val="false"/>
          <w:caps w:val="false"/>
          <w:smallCaps w:val="false"/>
          <w:color w:val="000000"/>
          <w:spacing w:val="0"/>
          <w:sz w:val="22"/>
        </w:rPr>
        <w:t xml:space="preserve">the decrease in distribution revenues of $4,043 as a result of our sale of the assets of Peoples West Virginia; </w:t>
      </w:r>
    </w:p>
    <w:p>
      <w:pPr>
        <w:pStyle w:val="Heading1"/>
        <w:shd w:fill="FFFFFF" w:val="clear"/>
        <w:bidi w:val="0"/>
        <w:spacing w:lineRule="auto" w:line="259"/>
        <w:ind w:left="720" w:right="0" w:hanging="360"/>
        <w:jc w:val="left"/>
        <w:rPr/>
      </w:pPr>
      <w:r>
        <w:rPr>
          <w:caps w:val="false"/>
          <w:smallCaps w:val="false"/>
          <w:color w:val="000000"/>
          <w:spacing w:val="0"/>
          <w:u w:val="single"/>
        </w:rPr>
        <w:t></w:t>
      </w:r>
      <w:r>
        <w:rPr>
          <w:rFonts w:ascii="Times New Roman;serif" w:hAnsi="Times New Roman;serif"/>
          <w:b w:val="false"/>
          <w:i w:val="false"/>
          <w:caps w:val="false"/>
          <w:smallCaps w:val="false"/>
          <w:color w:val="000000"/>
          <w:spacing w:val="0"/>
          <w:sz w:val="22"/>
        </w:rPr>
        <w:t>a decrease in other utility revenues of $7,100 resulting from the sale of the Company’s interest in three non-utility local microgrid and distributed energy projects; offset by</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an increase of $32,432 due to higher rates and other surcharges;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color w:val="000000"/>
          <w:sz w:val="22"/>
        </w:rPr>
        <w:t>an increase in customer assistance surcharge of $8,140, which has an equivalent offsetting amount in operations and maintenance expense; and</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color w:val="000000"/>
          <w:sz w:val="22"/>
        </w:rPr>
        <w:t>a weather normalization adjustment of $9,243, which had the effect of increasing revenues.</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ind w:left="778" w:right="0" w:hanging="0"/>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The Regulated Natural Gas segment is subject to seasonal fluctuations with the peak usage period occurring in the heating season which generally runs from October to March.  A heating degree day (HDD) is each degree that the average of the high and low temperatures for a day is below 65 degrees Fahrenheit in a specific geographic location.  Particularly during the heating season, this measure is used to reflect the demand for natural gas needed for heating based on the extent to which the average temperature falls below a reference temperature above which no heating is required (65 degrees Fahrenheit).  During the year ended December 31, 2024, we experienced actual HDDs of 4,288 days, which was warmer by 5.9% than the actual HDDs of 4,558 days in 2023 for Pittsburgh, Pennsylvania, which we use as a proxy for our western Pennsylvania service territory. A weather normalization adjustment (“WNA”) mechanism is in place for our natural gas customers served in Kentucky, and, beginning in October 2024, for our natural gas customers in Pennsylvania. The WNA serves to minimize the effects of weather on the Company’s ability to collect revenues to cover operating expenses for its residential and small commercial natural gas customers. </w:t>
      </w:r>
    </w:p>
    <w:p>
      <w:pPr>
        <w:pStyle w:val="TextBody"/>
        <w:bidi w:val="0"/>
        <w:spacing w:lineRule="auto" w:line="259"/>
        <w:rPr>
          <w:rFonts w:ascii="Times New Roman;serif" w:hAnsi="Times New Roman;serif"/>
          <w:sz w:val="22"/>
        </w:rPr>
      </w:pPr>
      <w:r>
        <w:rPr>
          <w:rFonts w:ascii="Times New Roman;serif" w:hAnsi="Times New Roman;serif"/>
          <w:b/>
          <w:i/>
          <w:color w:val="000000"/>
          <w:sz w:val="22"/>
        </w:rPr>
        <w:t>Operating expenses –</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Operations and maintenance expense for the year ended December 31, 2024 decreased by $1,897 or 0.9% primarily due to the following:</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2"/>
        </w:rPr>
        <w:t>lower operations and maintenance expense of $12,411 as a result of our sale of the assets of Peoples West Virginia in October 2023 and our interest in three non-utility local microgrid and distributed energy projects in January 2024;</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2"/>
        </w:rPr>
        <w:t xml:space="preserve">a decrease in legal fees of $3,266; </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2"/>
        </w:rPr>
        <w:t xml:space="preserve">a decrease in transportation expense of $1,429; </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2"/>
        </w:rPr>
        <w:t>a decrease in bad debt expense of $905; offset by</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2"/>
        </w:rPr>
        <w:t>an increase in customer assistance surcharge costs of $8,140, which has an equivalent offsetting amount in revenues;</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2"/>
        </w:rPr>
        <w:t xml:space="preserve">an increase in materials and supplies of $1,805; and </w:t>
      </w:r>
    </w:p>
    <w:p>
      <w:pPr>
        <w:pStyle w:val="TextBody"/>
        <w:bidi w:val="0"/>
        <w:spacing w:lineRule="auto" w:line="259"/>
        <w:ind w:left="720" w:right="0" w:hanging="360"/>
        <w:rPr/>
      </w:pPr>
      <w:r>
        <w:rPr>
          <w:caps w:val="false"/>
          <w:smallCaps w:val="false"/>
          <w:color w:val="000000"/>
        </w:rPr>
        <w:t></w:t>
      </w:r>
      <w:r>
        <w:rPr>
          <w:rFonts w:ascii="Times New Roman;serif" w:hAnsi="Times New Roman;serif"/>
          <w:b w:val="false"/>
          <w:i w:val="false"/>
          <w:caps w:val="false"/>
          <w:smallCaps w:val="false"/>
          <w:color w:val="000000"/>
          <w:sz w:val="22"/>
        </w:rPr>
        <w:t xml:space="preserve">an increase in labor and employee benefits of $5,719 </w:t>
      </w:r>
      <w:r>
        <w:rPr>
          <w:rFonts w:ascii="Times New Roman;serif" w:hAnsi="Times New Roman;serif"/>
          <w:b w:val="false"/>
          <w:i w:val="false"/>
          <w:caps w:val="false"/>
          <w:smallCaps w:val="false"/>
          <w:sz w:val="22"/>
        </w:rPr>
        <w:t>resulting from higher salary costs, healthcare costs, and contributions to the Company’s defined contribution plan, offset by lower pension cost</w:t>
      </w:r>
      <w:r>
        <w:rPr>
          <w:rFonts w:ascii="Times New Roman;serif" w:hAnsi="Times New Roman;serif"/>
          <w:b w:val="false"/>
          <w:i w:val="false"/>
          <w:caps w:val="false"/>
          <w:smallCaps w:val="false"/>
          <w:color w:val="000000"/>
          <w:sz w:val="22"/>
        </w:rPr>
        <w:t>.</w:t>
      </w:r>
    </w:p>
    <w:p>
      <w:pPr>
        <w:pStyle w:val="TextBody"/>
        <w:bidi w:val="0"/>
        <w:spacing w:lineRule="auto" w:line="259"/>
        <w:rPr>
          <w:rFonts w:ascii="Times New Roman;serif" w:hAnsi="Times New Roman;serif"/>
          <w:b w:val="false"/>
          <w:i w:val="false"/>
          <w:caps w:val="false"/>
          <w:smallCaps w:val="false"/>
          <w:sz w:val="22"/>
        </w:rPr>
      </w:pPr>
      <w:bookmarkStart w:id="20" w:name="_Hlk157690963"/>
      <w:bookmarkEnd w:id="20"/>
      <w:r>
        <w:rPr>
          <w:rFonts w:ascii="Times New Roman;serif" w:hAnsi="Times New Roman;serif"/>
          <w:b w:val="false"/>
          <w:i w:val="false"/>
          <w:caps w:val="false"/>
          <w:smallCaps w:val="false"/>
          <w:sz w:val="22"/>
        </w:rPr>
        <w:t>Our Regulated Natural Gas segment is affected by the cost of natural gas, which is passed through to customers using a purchased gas adjustment clause and includes commodity price, transportation and storage costs. These costs are reflected in the consolidated statement of operations and comprehensive income as purchased gas expenses. Therefore, fluctuations in the cost of purchased gas impact operating revenues on dollar-for-dollar basis. Purchased gas decreased by $60,322 or 18.4% in 2024 compared to 2023. The decrease is the result of lower average cost of gas of $44,044, and lower gas usage of $10,761 due to warmer weather conditions and $5,517 due to the sale of Peoples West Virginia in October 2023 and our three non-utility local microgrid and distributed energy projects in January 2024.</w:t>
      </w:r>
    </w:p>
    <w:p>
      <w:pPr>
        <w:pStyle w:val="TextBody"/>
        <w:bidi w:val="0"/>
        <w:spacing w:lineRule="auto" w:line="259"/>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Depreciation and amortization increased by $10,551 or 8.4% primarily due to continued capital investment in pipe replacement. </w:t>
      </w:r>
    </w:p>
    <w:p>
      <w:pPr>
        <w:pStyle w:val="Heading1"/>
        <w:bidi w:val="0"/>
        <w:spacing w:lineRule="auto" w:line="259"/>
        <w:jc w:val="both"/>
        <w:rPr>
          <w:rFonts w:ascii="CG Omega W1" w:hAnsi="CG Omega W1"/>
          <w:sz w:val="22"/>
        </w:rPr>
      </w:pPr>
      <w:r>
        <w:rPr>
          <w:rFonts w:ascii="Times New Roman;serif" w:hAnsi="Times New Roman;serif"/>
          <w:b w:val="false"/>
          <w:i w:val="false"/>
          <w:caps w:val="false"/>
          <w:smallCaps w:val="false"/>
          <w:color w:val="000000"/>
          <w:spacing w:val="0"/>
          <w:sz w:val="22"/>
        </w:rPr>
        <w:t>Taxes other than income taxes decreased by $861 or 3.6% mainly due to lower sales and use taxes during the period</w:t>
      </w:r>
      <w:r>
        <w:rPr>
          <w:rFonts w:ascii="CG Omega W1" w:hAnsi="CG Omega W1"/>
          <w:b w:val="false"/>
          <w:i w:val="false"/>
          <w:caps w:val="false"/>
          <w:smallCaps w:val="false"/>
          <w:color w:val="000000"/>
          <w:spacing w:val="0"/>
          <w:sz w:val="22"/>
        </w:rPr>
        <w:t>.</w:t>
      </w:r>
    </w:p>
    <w:p>
      <w:pPr>
        <w:pStyle w:val="TextBody"/>
        <w:bidi w:val="0"/>
        <w:spacing w:lineRule="auto" w:line="259"/>
        <w:rPr>
          <w:rFonts w:ascii="Times New Roman;serif" w:hAnsi="Times New Roman;serif"/>
          <w:sz w:val="22"/>
        </w:rPr>
      </w:pPr>
      <w:r>
        <w:rPr>
          <w:rFonts w:ascii="Times New Roman;serif" w:hAnsi="Times New Roman;serif"/>
          <w:b/>
          <w:i/>
          <w:color w:val="000000"/>
          <w:sz w:val="22"/>
        </w:rPr>
        <w:t xml:space="preserve">Other expense, net </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 xml:space="preserve">Interest expense, net of interest income, increased by $668 or 0.7% for 2024 compared to 2023. </w:t>
      </w:r>
    </w:p>
    <w:p>
      <w:pPr>
        <w:pStyle w:val="TextBody"/>
        <w:bidi w:val="0"/>
        <w:spacing w:lineRule="auto" w:line="259"/>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AFUDC increased by $2,416 or 110.8% due to the increase in the average balance of utility plant construction work in progress, to which AFUDC is applied. </w:t>
      </w:r>
    </w:p>
    <w:p>
      <w:pPr>
        <w:pStyle w:val="TextBody"/>
        <w:bidi w:val="0"/>
        <w:spacing w:lineRule="auto" w:line="259"/>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Gain on sale of assets was $91,581 for the year ended December 31, 2024 and a loss on sale of assets was $559 for the year ended December 31, 2023. During the first quarter of 2024, the Company completed the sale of its interest in three non-utility local microgrid and distributed energy projects and recognized a gain of $91,236.</w:t>
      </w:r>
    </w:p>
    <w:p>
      <w:pPr>
        <w:pStyle w:val="Heading1"/>
        <w:bidi w:val="0"/>
        <w:spacing w:lineRule="auto" w:line="259"/>
        <w:jc w:val="left"/>
        <w:rPr>
          <w:rFonts w:ascii="CG Omega W1" w:hAnsi="CG Omega W1"/>
          <w:sz w:val="22"/>
        </w:rPr>
      </w:pPr>
      <w:r>
        <w:rPr>
          <w:rFonts w:ascii="Times New Roman;serif" w:hAnsi="Times New Roman;serif"/>
          <w:b/>
          <w:i/>
          <w:color w:val="000000"/>
          <w:spacing w:val="0"/>
          <w:sz w:val="22"/>
        </w:rPr>
        <w:t>Income tax benefit</w:t>
      </w:r>
      <w:r>
        <w:rPr>
          <w:rFonts w:ascii="CG Omega W1" w:hAnsi="CG Omega W1"/>
          <w:color w:val="000000"/>
          <w:spacing w:val="0"/>
          <w:sz w:val="22"/>
        </w:rPr>
        <w:t xml:space="preserve"> –</w:t>
      </w:r>
      <w:r>
        <w:rPr>
          <w:rFonts w:ascii="CG Omega W1" w:hAnsi="CG Omega W1"/>
          <w:caps w:val="false"/>
          <w:smallCaps w:val="false"/>
          <w:color w:val="000000"/>
          <w:spacing w:val="0"/>
          <w:sz w:val="22"/>
        </w:rPr>
        <w:t xml:space="preserve"> </w:t>
      </w:r>
      <w:r>
        <w:rPr>
          <w:rFonts w:ascii="Times New Roman;serif" w:hAnsi="Times New Roman;serif"/>
          <w:b w:val="false"/>
          <w:i w:val="false"/>
          <w:caps w:val="false"/>
          <w:smallCaps w:val="false"/>
          <w:color w:val="000000"/>
          <w:spacing w:val="0"/>
          <w:sz w:val="22"/>
        </w:rPr>
        <w:t xml:space="preserve">The effective income tax rate was a benefit of 37.4% in 2024, compared to a benefit of 130.0% in 2023. The decrease in the income tax benefit is primarily attributed to the gain recognized from the sale of the Company’s interest in three non-utility local microgrid and distributed energy projects in the first quarter of 2024 and a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Heading1"/>
        <w:bidi w:val="0"/>
        <w:spacing w:lineRule="auto" w:line="259"/>
        <w:jc w:val="left"/>
        <w:rPr>
          <w:rFonts w:ascii="Times New Roman;serif" w:hAnsi="Times New Roman;serif"/>
          <w:b w:val="false"/>
          <w:i w:val="false"/>
          <w:caps w:val="false"/>
          <w:smallCaps w:val="false"/>
          <w:color w:val="000000"/>
          <w:spacing w:val="0"/>
          <w:sz w:val="22"/>
        </w:rPr>
      </w:pPr>
      <w:r>
        <w:rPr>
          <w:rFonts w:ascii="Times New Roman;serif" w:hAnsi="Times New Roman;serif"/>
          <w:b w:val="false"/>
          <w:i w:val="false"/>
          <w:caps w:val="false"/>
          <w:smallCaps w:val="false"/>
          <w:color w:val="000000"/>
          <w:spacing w:val="0"/>
          <w:sz w:val="22"/>
        </w:rPr>
        <w:t>decrease in tax benefit associated with the repairs tax deduction for qualifying utility infrastructure investments in our Regulated Natural Gas segment.</w:t>
      </w:r>
    </w:p>
    <w:p>
      <w:pPr>
        <w:pStyle w:val="TextBody"/>
        <w:bidi w:val="0"/>
        <w:spacing w:lineRule="auto" w:line="259"/>
        <w:jc w:val="center"/>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 xml:space="preserve">LIQUIDITY AND CAPITAL RESOURCES </w:t>
      </w:r>
    </w:p>
    <w:p>
      <w:pPr>
        <w:pStyle w:val="TextBody"/>
        <w:bidi w:val="0"/>
        <w:spacing w:lineRule="auto" w:line="259"/>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Consolidated Cash Flow and Capital Expenditures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Net operating cash flows, dividends paid on common stock, capital expenditures, including allowances for funds used during construction, and expenditures for acquiring utility systems were as follows for the years ended December 31: </w:t>
      </w:r>
    </w:p>
    <w:tbl>
      <w:tblPr>
        <w:tblW w:w="7713" w:type="dxa"/>
        <w:jc w:val="left"/>
        <w:tblInd w:w="0" w:type="dxa"/>
        <w:tblLayout w:type="fixed"/>
        <w:tblCellMar>
          <w:top w:w="0" w:type="dxa"/>
          <w:left w:w="0" w:type="dxa"/>
          <w:bottom w:w="0" w:type="dxa"/>
          <w:right w:w="0" w:type="dxa"/>
        </w:tblCellMar>
      </w:tblPr>
      <w:tblGrid>
        <w:gridCol w:w="601"/>
        <w:gridCol w:w="448"/>
        <w:gridCol w:w="2117"/>
        <w:gridCol w:w="226"/>
        <w:gridCol w:w="886"/>
        <w:gridCol w:w="358"/>
        <w:gridCol w:w="1697"/>
        <w:gridCol w:w="269"/>
        <w:gridCol w:w="1111"/>
      </w:tblGrid>
      <w:tr>
        <w:trPr/>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448" w:type="dxa"/>
            <w:tcBorders/>
            <w:shd w:fill="FFFFFF" w:val="clear"/>
            <w:vAlign w:val="center"/>
          </w:tcPr>
          <w:p>
            <w:pPr>
              <w:pStyle w:val="TableContents"/>
              <w:bidi w:val="0"/>
              <w:spacing w:before="0" w:after="283"/>
              <w:jc w:val="left"/>
              <w:rPr>
                <w:sz w:val="4"/>
                <w:szCs w:val="4"/>
              </w:rPr>
            </w:pPr>
            <w:r>
              <w:rPr>
                <w:sz w:val="4"/>
                <w:szCs w:val="4"/>
              </w:rPr>
            </w:r>
          </w:p>
        </w:tc>
        <w:tc>
          <w:tcPr>
            <w:tcW w:w="2117"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358" w:type="dxa"/>
            <w:tcBorders/>
            <w:shd w:fill="FFFFFF" w:val="clear"/>
            <w:vAlign w:val="center"/>
          </w:tcPr>
          <w:p>
            <w:pPr>
              <w:pStyle w:val="TableContents"/>
              <w:bidi w:val="0"/>
              <w:spacing w:before="0" w:after="283"/>
              <w:jc w:val="left"/>
              <w:rPr>
                <w:sz w:val="4"/>
                <w:szCs w:val="4"/>
              </w:rPr>
            </w:pPr>
            <w:r>
              <w:rPr>
                <w:sz w:val="4"/>
                <w:szCs w:val="4"/>
              </w:rPr>
            </w:r>
          </w:p>
        </w:tc>
        <w:tc>
          <w:tcPr>
            <w:tcW w:w="1697" w:type="dxa"/>
            <w:tcBorders/>
            <w:shd w:fill="FFFFFF" w:val="clear"/>
            <w:vAlign w:val="center"/>
          </w:tcPr>
          <w:p>
            <w:pPr>
              <w:pStyle w:val="TableContents"/>
              <w:bidi w:val="0"/>
              <w:spacing w:before="0" w:after="283"/>
              <w:jc w:val="left"/>
              <w:rPr>
                <w:sz w:val="4"/>
                <w:szCs w:val="4"/>
              </w:rPr>
            </w:pPr>
            <w:r>
              <w:rPr>
                <w:sz w:val="4"/>
                <w:szCs w:val="4"/>
              </w:rPr>
            </w:r>
          </w:p>
        </w:tc>
        <w:tc>
          <w:tcPr>
            <w:tcW w:w="269"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before="0" w:after="283"/>
              <w:jc w:val="left"/>
              <w:rPr>
                <w:sz w:val="4"/>
                <w:szCs w:val="4"/>
              </w:rPr>
            </w:pPr>
            <w:r>
              <w:rPr>
                <w:sz w:val="4"/>
                <w:szCs w:val="4"/>
              </w:rPr>
            </w:r>
          </w:p>
        </w:tc>
      </w:tr>
      <w:tr>
        <w:trPr/>
        <w:tc>
          <w:tcPr>
            <w:tcW w:w="601" w:type="dxa"/>
            <w:tcBorders/>
            <w:shd w:fill="FFFFFF" w:val="clear"/>
            <w:vAlign w:val="center"/>
          </w:tcPr>
          <w:p>
            <w:pPr>
              <w:pStyle w:val="TableContents"/>
              <w:bidi w:val="0"/>
              <w:spacing w:before="0" w:after="283"/>
              <w:jc w:val="left"/>
              <w:rPr>
                <w:sz w:val="4"/>
                <w:szCs w:val="4"/>
              </w:rPr>
            </w:pPr>
            <w:r>
              <w:rPr>
                <w:sz w:val="4"/>
                <w:szCs w:val="4"/>
              </w:rPr>
            </w:r>
          </w:p>
        </w:tc>
        <w:tc>
          <w:tcPr>
            <w:tcW w:w="256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Net Operating Cash Flows</w:t>
            </w:r>
          </w:p>
        </w:tc>
        <w:tc>
          <w:tcPr>
            <w:tcW w:w="11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Dividends</w:t>
            </w:r>
          </w:p>
        </w:tc>
        <w:tc>
          <w:tcPr>
            <w:tcW w:w="205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Capital Expenditures</w:t>
            </w:r>
          </w:p>
        </w:tc>
        <w:tc>
          <w:tcPr>
            <w:tcW w:w="1380"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Acquisitions </w:t>
            </w:r>
          </w:p>
        </w:tc>
      </w:tr>
      <w:tr>
        <w:trPr/>
        <w:tc>
          <w:tcPr>
            <w:tcW w:w="60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c>
          <w:tcPr>
            <w:tcW w:w="44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11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600,306</w:t>
            </w:r>
          </w:p>
        </w:tc>
        <w:tc>
          <w:tcPr>
            <w:tcW w:w="2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288,632</w:t>
            </w:r>
          </w:p>
        </w:tc>
        <w:tc>
          <w:tcPr>
            <w:tcW w:w="35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697"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1,062,763</w:t>
            </w:r>
          </w:p>
        </w:tc>
        <w:tc>
          <w:tcPr>
            <w:tcW w:w="26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116,891</w:t>
            </w:r>
          </w:p>
        </w:tc>
      </w:tr>
      <w:tr>
        <w:trPr/>
        <w:tc>
          <w:tcPr>
            <w:tcW w:w="601"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448" w:type="dxa"/>
            <w:tcBorders/>
            <w:vAlign w:val="center"/>
          </w:tcPr>
          <w:p>
            <w:pPr>
              <w:pStyle w:val="TableContents"/>
              <w:bidi w:val="0"/>
              <w:spacing w:before="0" w:after="283"/>
              <w:jc w:val="left"/>
              <w:rPr>
                <w:sz w:val="4"/>
                <w:szCs w:val="4"/>
              </w:rPr>
            </w:pPr>
            <w:r>
              <w:rPr>
                <w:sz w:val="4"/>
                <w:szCs w:val="4"/>
              </w:rPr>
            </w:r>
          </w:p>
        </w:tc>
        <w:tc>
          <w:tcPr>
            <w:tcW w:w="211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933,587</w:t>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316,806</w:t>
            </w:r>
          </w:p>
        </w:tc>
        <w:tc>
          <w:tcPr>
            <w:tcW w:w="358"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1,199,103</w:t>
            </w:r>
          </w:p>
        </w:tc>
        <w:tc>
          <w:tcPr>
            <w:tcW w:w="26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45,303</w:t>
            </w:r>
          </w:p>
        </w:tc>
      </w:tr>
      <w:tr>
        <w:trPr/>
        <w:tc>
          <w:tcPr>
            <w:tcW w:w="601"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44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770,343</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346,392</w:t>
            </w:r>
          </w:p>
        </w:tc>
        <w:tc>
          <w:tcPr>
            <w:tcW w:w="358"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697"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1,329,747</w:t>
            </w:r>
          </w:p>
        </w:tc>
        <w:tc>
          <w:tcPr>
            <w:tcW w:w="26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665</w:t>
            </w:r>
          </w:p>
        </w:tc>
      </w:tr>
      <w:tr>
        <w:trPr/>
        <w:tc>
          <w:tcPr>
            <w:tcW w:w="601" w:type="dxa"/>
            <w:tcBorders/>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11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2,304,236</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951,830</w:t>
            </w:r>
          </w:p>
        </w:tc>
        <w:tc>
          <w:tcPr>
            <w:tcW w:w="35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69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3,591,613</w:t>
            </w:r>
          </w:p>
        </w:tc>
        <w:tc>
          <w:tcPr>
            <w:tcW w:w="26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162,859</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Net cash provided by operating activities decreased by $163,244 during the year ended December 31, 2024, when compared to the same period in 2023. Our operating cash flow can be significantly affected by changes in operating working capital, especially during periods with significant changes in natural gas commodity prices and also the timing of our natural gas inventory purchases. The net change in working capital and other assets and liabilities resulted in a decrease in cash from operations of $96,799 in 2024 and an increase in cash from operations of $157,387 in 2023. The decrease in cash flows from operations associated with working capital during 2024, when compared to 2023, was primarily due to higher gas cost collections from customers brought about by higher average gas prices in 2023. In addition, accounts receivable and unbilled receivables were higher as of December 31, 2024 as compared with the same period in 2023 due to increased billings as a result of greater heating degree days for the month of December 2024 as compared with 2023.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Included in capital expenditures for the three year period are: expenditures for the rehabilitation of existing utility systems, the expansion of our utility systems, modernization and replacement of existing treatment facilities, meters, office facilities, information technology, vehicles, and equipment. During this three year period, we received $55,259 of customer advances and contributions in aid of construction to finance new utility mains and related facilities that are not included in the capital expenditures presented in the above table. In addition, during this period, we have made repayments of debt, which includes the net effect of borrowings and repayments under our long-term revolving credit facility of $1,732,026 and have refunded $22,041 of customers’ advances for construction. Dividends increased during the past three years as a result of annual increases in the dividends declared and paid and increases in the number of shares outstanding.</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Our planned 2025 capital program, excluding the costs of new mains financed by advances and contributions in aid of construction is estimated to be approximately $1,469,000 in infrastructure improvements for the communities we serve. The 2025 capital program is expected to include approximately $1,037,000 for infrastructure rehabilitation surcharge qualified projects. Our planned 2025 capital program in Pennsylvania for our water and natural gas utilities is estimated to be approximately $1,032,000, a portion of which is expected to be eligible as a deduction for qualifying utility asset improvements for Federal income tax purposes. Our overall 2025 capital program along with $142,807 of debt repayments and $454,049 of other contractual cash obligations, as reported in the section captioned “Management’s Discussion and Analysis of Financial Condition and Results of Operations – </w:t>
      </w:r>
      <w:r>
        <w:rPr>
          <w:rFonts w:ascii="Times New Roman;serif" w:hAnsi="Times New Roman;serif"/>
          <w:b w:val="false"/>
          <w:i/>
          <w:sz w:val="22"/>
        </w:rPr>
        <w:t>Contractual Obligations</w:t>
      </w:r>
      <w:r>
        <w:rPr>
          <w:rFonts w:ascii="Times New Roman;serif" w:hAnsi="Times New Roman;serif"/>
          <w:caps w:val="false"/>
          <w:smallCaps w:val="false"/>
          <w:sz w:val="22"/>
        </w:rPr>
        <w:t>”</w:t>
      </w:r>
      <w:r>
        <w:rPr>
          <w:rFonts w:ascii="Times New Roman;serif" w:hAnsi="Times New Roman;serif"/>
          <w:b w:val="false"/>
          <w:i w:val="false"/>
          <w:caps w:val="false"/>
          <w:smallCaps w:val="false"/>
          <w:sz w:val="22"/>
        </w:rPr>
        <w:t>, has been, or is expected to be, financed through internally-generated funds, our revolving credit facilities, and the issuance of long-term debt and equity.</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Future utility construction in the period 2026 through 2027, including addressing PFAS, lead and galvanized services line replacement, and recurring programs, such as the ongoing replacement or rehabilitation of utility meters and mains, water treatment plant upgrades, storage facility renovations, pipes, service lines, and additional transmission mains to meet customer demands, excluding the costs of new mains financed by advances and contributions in aid of construction, is estimated to require aggregate expenditures of approximately $3,042,000. We anticipate that more than one half of these expenditures will require external financing. We expect to refinance $1,173,486 of long-term debt during this period as it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becomes due with funds from new issues of long-term debt, issuances of equity, internally-generated funds, and our revolving credit facilities. The estimates discussed above do not include any amounts for possible future acquisitions of utility systems or the financing necessary to support them.</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Our primary sources of liquidity are cash flows from operations (including the allowed deferral of Federal income tax payments), borrowings under various short-term and long-term credit facilities, and customer advances and contributions in aid of construction. Our cash flow from operations, or internally-generated funds, is impacted by the timing of rate relief, utility operating revenues, and changes in Federal tax laws, and accelerated tax depreciation or deductions for utility construction projects. We fund our capital and typical acquisitions through internally-generated funds, supplemented by short-term or long term credit facilities. Over time, we partially repay or pay-down our short-term lines of credit with long-term debt. The ability to finance our future construction programs, as well as our acquisition activities, depends on our ability to attract the necessary external debt and equity financing and maintain internally-generated funds. Timely rate orders permitting compensatory rates of return on invested capital will be required by our operating subsidiaries to achieve an adequate level of earnings and cash flow to enable them to secure the capital they will need to operate and to maintain satisfactory debt coverage ratios.</w:t>
      </w:r>
    </w:p>
    <w:p>
      <w:pPr>
        <w:pStyle w:val="TextBody"/>
        <w:bidi w:val="0"/>
        <w:spacing w:lineRule="auto" w:line="259"/>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 xml:space="preserve">Acquisitions </w:t>
      </w:r>
    </w:p>
    <w:p>
      <w:pPr>
        <w:pStyle w:val="TextBody"/>
        <w:bidi w:val="0"/>
        <w:spacing w:lineRule="auto" w:line="259"/>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As part of the Company’s growth-through-acquisition strategy, as of December 31, 2024, the Company has entered into purchase agreements to acquire the water or wastewater utility system assets of six municipalities and a private company for a total combined purchase price in cash of approximately $362,000.  The purchase price for these pending acquisitions is subject to certain adjustments at closing, and the pending acquisitions are subject to regulatory approvals, including the final determination of the fair value of the rate base acquired.  This includes the Company’s agreement to acquire the Delaware County Regional Water Quality Control Authority (DELCORA) for $276,000. DELCORA, a Pennsylvania sewer authority, serves approximately 198,000 equivalent dwelling units in the Philadelphia suburbs.</w:t>
      </w:r>
    </w:p>
    <w:p>
      <w:pPr>
        <w:pStyle w:val="TextBody"/>
        <w:bidi w:val="0"/>
        <w:spacing w:lineRule="auto" w:line="259"/>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Aside from DELCORA, closings for these acquisitions, which occurred or are expected to occur in 2025, are subject to the timing of the various regulatory approval processes and are expected to add approximately 15,000 equivalent retail customers in three of the states in which the Company operates.</w:t>
      </w:r>
    </w:p>
    <w:p>
      <w:pPr>
        <w:pStyle w:val="TextBody"/>
        <w:bidi w:val="0"/>
        <w:spacing w:lineRule="auto" w:line="259"/>
        <w:rPr>
          <w:rFonts w:cs="Tahoma;sans-serif"/>
          <w:bCs w:val="false"/>
          <w:iCs w:val="false"/>
          <w:caps w:val="false"/>
          <w:smallCaps w:val="false"/>
          <w:color w:val="000000"/>
          <w:szCs w:val="22"/>
        </w:rPr>
      </w:pPr>
      <w:r>
        <w:rPr>
          <w:rFonts w:cs="Tahoma;sans-serif"/>
          <w:bCs w:val="false"/>
          <w:iCs w:val="false"/>
          <w:caps w:val="false"/>
          <w:smallCaps w:val="false"/>
          <w:color w:val="000000"/>
          <w:szCs w:val="22"/>
        </w:rPr>
        <w:t>﻿</w:t>
      </w:r>
    </w:p>
    <w:p>
      <w:pPr>
        <w:pStyle w:val="TextBody"/>
        <w:bidi w:val="0"/>
        <w:spacing w:lineRule="auto" w:line="259"/>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 January 2025, the Company acquired Greenville Sanitary Authority’s wastewater utility assets, which serves approximately 2,300 customers in Greenville, Pennsylvania for $18,000.</w:t>
      </w:r>
    </w:p>
    <w:p>
      <w:pPr>
        <w:pStyle w:val="TextBody"/>
        <w:bidi w:val="0"/>
        <w:spacing w:lineRule="auto" w:line="259"/>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 October 2024, the Company acquired wastewater utility assets in Morgan County, Indiana, which serves approximately 100 customers for $500. In May 2024, the Company acquired the wastewater utility assets of Westfield HOA, which serves approximately 200 customers within Westfield Homeowners Subdivision in Glenview, Illinois for a cash purchase price of $67.</w:t>
      </w:r>
    </w:p>
    <w:p>
      <w:pPr>
        <w:pStyle w:val="TextBody"/>
        <w:bidi w:val="0"/>
        <w:spacing w:lineRule="auto" w:line="259"/>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 July 2023, the Company completed the following water utility asset acquisitions: Shenandoah Borough, Pennsylvania, which serves approximately 2,900 customers for $12,291; La Rue, an Ohio municipality, which serves approximately 300 customers for $2,253; and, Southern Oaks Water System, which serves approximately 800 customers in Texas for $3,321. In July 2023, the Company completed their acquisition of a portion of the water and wastewater utility assets of the Village of Frankfort, an Illinois municipality, which serves approximately 1,500 customers for $1,424. In June 2023, the Company acquired the wastewater utility assets of Union Rome, Ohio, which serves approximately 4,300 customers for a cash purchase price of $25,547. Additionally, in March 2023, the Company acquired the North Heidelberg Sewer Company in Berks County, Pennsylvania, which serves approximately 300 customer connections for a cash purchase price of $136.</w:t>
      </w:r>
    </w:p>
    <w:p>
      <w:pPr>
        <w:pStyle w:val="TextBody"/>
        <w:bidi w:val="0"/>
        <w:spacing w:lineRule="auto" w:line="259"/>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 November 2022, the Company acquired the water system of Oak Brook, DuPage County, Illinois, which serves 2,037 customers, for a cash purchase price of $12,500. In August 2022, the Company acquired the municipal wastewater assets of East Whiteland Township, Chester County, Pennsylvania, which serves 4,018 customers, for a cash purchase price of $54,374. In March 2022, the Company acquired the wastewater system of Lower Makefield Township, which serves 11,323 customer connections in Lower Makefield, Falls, and Middletown townships, and Yardley Borough, Bucks County, Pennsylvania, for a cash purchase price of $53,000.</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shd w:fill="FFFFFF" w:val="clear"/>
        <w:bidi w:val="0"/>
        <w:spacing w:lineRule="auto" w:line="259"/>
        <w:rPr>
          <w:rFonts w:ascii="Times New Roman;serif" w:hAnsi="Times New Roman;serif"/>
          <w:sz w:val="22"/>
        </w:rPr>
      </w:pPr>
      <w:r>
        <w:rPr>
          <w:rFonts w:ascii="Times New Roman;serif" w:hAnsi="Times New Roman;serif"/>
          <w:b w:val="false"/>
          <w:i w:val="false"/>
          <w:caps w:val="false"/>
          <w:smallCaps w:val="false"/>
          <w:color w:val="000000"/>
          <w:sz w:val="22"/>
        </w:rPr>
        <w:t xml:space="preserve">Subsequent to the August 2022 closing on the acquisition of the municipal wastewater assets of East Whiteland Township, a party filed an appeal to the Pennsylvania Public Utility Commission’s order of approval. On July 31, 2023, a decision was issued by the Pennsylvania Commonwealth Court that agreed with the party’s appeal and reversed the order which approved the acquisition. In an effort to resolve the matter, the Company pursued and is continuing to pursue certain legal actions. Management believes the final resolution of this matter is not expected to have a material adverse effect on the Company’s financial position, results of operations or cash flows. Refer to Note 2 – </w:t>
      </w:r>
      <w:r>
        <w:rPr>
          <w:rFonts w:ascii="Times New Roman;serif" w:hAnsi="Times New Roman;serif"/>
          <w:b w:val="false"/>
          <w:i/>
          <w:color w:val="000000"/>
          <w:sz w:val="22"/>
        </w:rPr>
        <w:t>Acquisitions</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 xml:space="preserve">in this Annual Report for additional information.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During the past three years, we have expended cash of $162,859 related to the acquisition of both water and wastewater utility systems. We continue to pursue the acquisition of water and wastewater utility systems and explore other utility acquisitions that may be in a new state. Our typical acquisitions are expected to be financed with short-term debt with subsequent repayment from the proceeds of long-term debt, retained earnings, or equity issuances.</w:t>
      </w:r>
    </w:p>
    <w:p>
      <w:pPr>
        <w:pStyle w:val="TextBody"/>
        <w:bidi w:val="0"/>
        <w:spacing w:lineRule="auto" w:line="259"/>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Dispositions</w:t>
      </w:r>
    </w:p>
    <w:p>
      <w:pPr>
        <w:pStyle w:val="TextBody"/>
        <w:shd w:fill="FFFFFF" w:val="clear"/>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We routinely review and evaluate areas of our business and operating divisions and, over time, may sell utility systems or portions of systems. In October 2023, the Company completed the sale of its regulated natural gas utility assets in West Virginia, which represented approximately two percent of the Company’s regulated natural gas customers. The Company initially received net cash proceeds of $39,965, subject to working capital and other adjustments. In March 2024, the Company received an additional $1,213 from the buyer. In January 2024, the Company completed the sale of its interest in three non-utility local microgrid and distributed energy projects for $165,000. This sale resulted in the recognition of a gain of $91,236 during 2024 which is included in other expense (income) in the consolidated statement of operations. These transactions are consistent with the Company’s long-term strategy of focusing on its core business and will allow the Company to prioritize the growth of its utilities in states where it has scale. The Company used the proceeds from these transactions to finance its capital expenditures and water and wastewater acquisitions, in place of external funding from equity and debt issuances. Refer to Note 3 – </w:t>
      </w:r>
      <w:r>
        <w:rPr>
          <w:rFonts w:ascii="Times New Roman;serif" w:hAnsi="Times New Roman;serif"/>
          <w:b w:val="false"/>
          <w:i/>
          <w:sz w:val="22"/>
        </w:rPr>
        <w:t>Dispositions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in this Annual Report for additional information. </w:t>
      </w:r>
    </w:p>
    <w:p>
      <w:pPr>
        <w:pStyle w:val="TextBody"/>
        <w:bidi w:val="0"/>
        <w:spacing w:lineRule="auto" w:line="259"/>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 xml:space="preserve">Sources of Capital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Since net operating cash flow plus advances and contributions in aid of construction have not been sufficient to fully fund our cash requirements including capital expenditures and our growth through acquisitions program, we issued $3,377,430 of long-term debt, and obtained other short-term borrowings during the past three years. At December 31, 2024, we have a $1,000,000 unsecured long-term revolving credit facility that expires in December 2027, of which $16,774 was designated for letter of credit usage, $570,226 was available for borrowing, and $413,000 of borrowings were outstanding at December 31, 2024. In addition, Aqua Pennsylvania has a $100,000 364-day unsecured revolving credit facility and Peoples Natural Gas has a $300,000 364-day unsecured revolving credit facility. These short-term lines of credit are subject to renewal on an annual basis. Although we believe we will be able to renew these facilities, there is no assurance that they will be renewed, or what the terms of any such renewal will be.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On August 15, 2024, the Company issued $500,000 of senior notes, less expenses of $3,015, due in 2027, with an interest rate of 4.80%. On January 8, 2024, the Company issued $500,000 of long-term debt, less expenses of $4,610, due in 2034 with an interest rate of 5.375%. The Company used the net proceeds from the issuance of these notes (1) to repay a portion of the borrowings under the Company’s existing five year unsecured revolving credit facility, and (2) for general corporate purposes.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 August 2023, the Company’s subsidiary, Aqua Pennsylvania, issued $225,000 in aggregate principal amount of first mortgage bonds. The bonds consisted of $175,000 of 5.48% first mortgage bonds due in 2053; and $50,000 of 5.56% first mortgage bonds due in 2061. In January 2023 and October 2022, Aqua Pennsylvania issued $75,000 and $125,000 of first mortgage bonds, due in 2043 and 2052, and with interest rates of 5.60% and 4.50%, respectively. The proceeds from these bonds were used to repay existing indebtedness and for general corporate purposes.</w:t>
      </w:r>
    </w:p>
    <w:p>
      <w:pPr>
        <w:pStyle w:val="TextBody"/>
        <w:bidi w:val="0"/>
        <w:spacing w:lineRule="auto" w:line="259" w:before="0" w:after="100"/>
        <w:rPr>
          <w:rFonts w:ascii="Times New Roman;serif" w:hAnsi="Times New Roman;serif"/>
          <w:sz w:val="22"/>
        </w:rPr>
      </w:pPr>
      <w:r>
        <w:rPr>
          <w:rFonts w:ascii="Times New Roman;serif" w:hAnsi="Times New Roman;serif"/>
          <w:b w:val="false"/>
          <w:i w:val="false"/>
          <w:caps w:val="false"/>
          <w:smallCaps w:val="false"/>
          <w:sz w:val="22"/>
        </w:rPr>
        <w:br/>
        <w:t>‎</w:t>
      </w:r>
      <w:r>
        <w:rPr>
          <w:rFonts w:ascii="Times New Roman;serif" w:hAnsi="Times New Roman;serif"/>
          <w:caps w:val="false"/>
          <w:smallCaps w:val="false"/>
          <w:sz w:val="22"/>
        </w:rPr>
        <w:t xml:space="preser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Heading1"/>
        <w:bidi w:val="0"/>
        <w:spacing w:lineRule="auto" w:line="259"/>
        <w:jc w:val="left"/>
        <w:rPr>
          <w:rFonts w:ascii="Times New Roman;serif" w:hAnsi="Times New Roman;serif"/>
          <w:b w:val="false"/>
          <w:i w:val="false"/>
          <w:caps w:val="false"/>
          <w:smallCaps w:val="false"/>
          <w:spacing w:val="0"/>
          <w:sz w:val="22"/>
        </w:rPr>
      </w:pPr>
      <w:r>
        <w:rPr>
          <w:rFonts w:ascii="Times New Roman;serif" w:hAnsi="Times New Roman;serif"/>
          <w:b w:val="false"/>
          <w:i w:val="false"/>
          <w:caps w:val="false"/>
          <w:smallCaps w:val="false"/>
          <w:spacing w:val="0"/>
          <w:sz w:val="22"/>
        </w:rPr>
        <w:t>On May 20, 2022, the Company issued $500,000 of long-term debt (the “2022 Senior Notes”), less expenses of $5,815, due in 2052 with an interest rate of 5.30%. The Company used the net proceeds from the issuance of 2022 Senior Notes to (1) to repay $49,700 of borrowings under Aqua Pennsylvania’s 364-day revolving credit facility and $410,000 of borrowings under the Company’s existing five year unsecured revolving credit facility, and (2) for general corporate purposes.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On August 13, 2024, the Company filed a prospectus supplement under the 2024 universal shelf registration statement relating to a new at-the-market equity sales program (“ATM”), under which it may issue and sell shares of its common stock up to an aggregate offering price of $1,000,000 (“2024 ATM”). This 2024 ATM replaced the Company’s previous ATM filed on October 14, 2022 (“2022 ATM”). During the year ended December 31, 2024, the Company issued 925,497 shares of common stock for net proceeds of $36,134 under the 2024 ATM. As of December 31, 2024, the 2024 ATM had approximately $964,000 of equity available for issuance. During the year ended December 31, 2023, the Company issued 8,938,839 shares of common stock for net proceeds of $322,983 under the 2022 ATM. During the year ended December 31, 2022, the Company issued 1,321,994 shares of common stock for net proceeds of $63,040 under the 2022 ATM. There were no common stock sales under the 2022 ATM in 2024. The Company used the net proceeds from the sales of shares through the 2022 and 2024 ATMs for working capital, capital expenditures, water and wastewater utility acquisitions, and repaying a portion of outstanding indebtedness.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On June 12, 2024, Aqua Pennsylvania and Peoples Natural Gas Companies amended the terms of its respective $100,000 and $300,000 364-day revolving credit agreements by extending the maturity dates to June 10, 2025 and revised the interest rate index from the Bloomberg Short-Term Bank Yield Index (BSBY) to the Secured Overnight Financing Rate (SOFR).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regulated water and gas business is capital intensive and requires a significant level of capital spending. Our consolidated balance sheet historically has had a negative working capital position, whereby routinely our current liabilities exceed our current assets. Management believes that internally-generated funds along with existing credit facilities and the proceeds from the issuance of long-term debt and common equity will be adequate to provide sufficient working capital to maintain normal operations and to meet our financing requirements for at least the next twelve months.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loan and debt agreements require us to comply with certain financial covenants, which among other things, subject to specific exceptions, limit the Company’s ratio of consolidated total indebtedness to consolidated total capitalization, and require a minimum level of earnings coverage over interest expense. During 2024, we were in compliance with our debt covenants under our credit facilities. Failure to comply with our debt covenants could result in an event of default, which could result in us being required to repay or refinance our borrowings before their due date, possibly limiting our future borrowings, and increasing our borrowing costs.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In March 2024, the Company filed a new universal shelf registration with the Securities and Exchange Commission (SEC) to allow for the potential future offer and sale by the Company, from time to time, in one or more public offerings, of an indeterminate amount of our common stock, preferred stock, debt securities, and other securities specified therein at indeterminate prices.  This registration statement is effective for three years and replaces a similar filing that expired in the second quarter of 2024.  During the past three years, we issued common stock and long-term debt in offerings under this shelf registration statement. Refer to Note 11 – </w:t>
      </w:r>
      <w:r>
        <w:rPr>
          <w:rFonts w:ascii="Times New Roman;serif" w:hAnsi="Times New Roman;serif"/>
          <w:b w:val="false"/>
          <w:i/>
          <w:sz w:val="22"/>
        </w:rPr>
        <w:t xml:space="preserve">Long-term Debt and Loans Payable </w:t>
      </w:r>
      <w:r>
        <w:rPr>
          <w:rFonts w:ascii="Times New Roman;serif" w:hAnsi="Times New Roman;serif"/>
          <w:b w:val="false"/>
          <w:i w:val="false"/>
          <w:caps w:val="false"/>
          <w:smallCaps w:val="false"/>
          <w:sz w:val="22"/>
        </w:rPr>
        <w:t xml:space="preserve">and Note 13 – </w:t>
      </w:r>
      <w:r>
        <w:rPr>
          <w:rFonts w:ascii="Times New Roman;serif" w:hAnsi="Times New Roman;serif"/>
          <w:b w:val="false"/>
          <w:i/>
          <w:sz w:val="22"/>
        </w:rPr>
        <w:t>Stockholders’ Equity</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in this Annual Report for further information regarding these financings.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addition, we have an acquisition shelf registration statement, which was filed with the SEC on February 27, 2015, to permit the offering from time to time of an aggregate of $500,000 of our common stock and shares of preferred stock in connection with acquisitions. The balance remaining available for use under the acquisition shelf registration as of December 31, 2024 is $487,155.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will determine the form and terms of any further securities issued under the universal shelf registration statement and the acquisition shelf registration statement at the time of issuance. </w:t>
      </w:r>
    </w:p>
    <w:p>
      <w:pPr>
        <w:pStyle w:val="TextBody"/>
        <w:bidi w:val="0"/>
        <w:spacing w:lineRule="auto" w:line="259" w:before="0" w:after="100"/>
        <w:rPr>
          <w:rFonts w:ascii="Times New Roman;serif" w:hAnsi="Times New Roman;serif"/>
          <w:sz w:val="22"/>
        </w:rPr>
      </w:pPr>
      <w:r>
        <w:rPr>
          <w:rFonts w:ascii="Times New Roman;serif" w:hAnsi="Times New Roman;serif"/>
          <w:b w:val="false"/>
          <w:i w:val="false"/>
          <w:caps w:val="false"/>
          <w:smallCaps w:val="false"/>
          <w:sz w:val="22"/>
        </w:rPr>
        <w:br/>
        <w:t>‎</w:t>
      </w:r>
      <w:r>
        <w:rPr>
          <w:rFonts w:ascii="Times New Roman;serif" w:hAnsi="Times New Roman;serif"/>
          <w:caps w:val="false"/>
          <w:smallCaps w:val="false"/>
          <w:sz w:val="22"/>
        </w:rPr>
        <w:t xml:space="preser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offer a Dividend Reinvestment and Direct Stock Purchase Plan (the Plan) that provides a convenient and economical way to purchase shares of the Company. Under the direct stock purchase portion of the Plan, shares are issued throughout the year. The dividend reinvestment portion of the Plan offers a five percent discount on the purchase of shares of common stock with reinvested dividends. As of the December 2024 dividend payment, holders of 4.0% of the common shares outstanding participated in the dividend reinvestment portion of the Plan. The shares issued under the Plan are either original issue shares or shares purchased by the Company’s transfer agent in the open-market. During the past three years, we have sold 1,232,453 original issue shares of common stock for net proceeds of $48,099 through the dividend reinvestment portion of the Plan, and we used the proceeds to invest in our operating subsidiaries, to repay short-term debt, and for general corporate purposes. In 2024, 2023, and 2022, we sold 433,688, 430,487, and 368,278 original issues shares of common stock for net proceeds of $15,476, $16,005, and $16,619, respectively, through the dividend reinvestment portion of the plan. </w:t>
      </w:r>
    </w:p>
    <w:p>
      <w:pPr>
        <w:pStyle w:val="TextBody"/>
        <w:bidi w:val="0"/>
        <w:spacing w:lineRule="auto" w:line="259"/>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Credit Risk</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As of December 31, 2024, our credit ratings remained at investment grade levels. On March 19, 2024, S&amp;P Global Ratings (“S&amp;P”) lowered its credit rating for the Company, Aqua Pennsylvania, and PNG Companies, LLC from A to A-, citing weakening financial measures as a result of inflationary pressures and our significant capital spending; and revised its outlook from negative to stable for the companies. However, as can be noted in their report, S&amp;P continues to assess our business risk profile as excellent, considering our low-risk and rate-regulated water and gas distribution operations in credit-supportive regulatory environments, our geographic and regulatory diversity, our large and stable residential and commercial customer base, and our solid and reliable operations.  On October 3, 2024, Moody’s Investors Service (“Moody’s”) affirmed the Company’s senior unsecured notes rating of Baa2 and changed its outlook from stable to negative; and, changed PNG Companies, LLC’s senior secured notes rating from Baa1 to Baa2 and maintained a negative outlook. The Company’s ability to maintain its credit rating depends, among other things, on adequate and timely rate relief, its ability to fund capital expenditures in a balanced manner using both debt and equity, and its ability to generate cash flow.  A material downgrade of our credit rating may result in the imposition of additional financial and/or other covenants, impact the market prices of equity and debt securities, increase our borrowing costs, and adversely affect our liquidity, among other things. Management continues to enhance our regulatory practices to address regulatory lag and recover capital project costs and increases in operating costs efficiently and timely through various rate-making mechanisms.</w:t>
      </w:r>
    </w:p>
    <w:p>
      <w:pPr>
        <w:pStyle w:val="TextBody"/>
        <w:bidi w:val="0"/>
        <w:spacing w:lineRule="auto" w:line="259"/>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Off-Balance Sheet Financing Arrangements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do not engage in any off-balance sheet financing arrangements. We do not have any interest in entities referred to as variable interest entities, which includes special purpose entities and other structured finance entities. </w:t>
      </w:r>
    </w:p>
    <w:p>
      <w:pPr>
        <w:pStyle w:val="TextBody"/>
        <w:bidi w:val="0"/>
        <w:spacing w:lineRule="auto" w:line="259"/>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Contractual Obligations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summarizes our contractual cash obligations as of December 31, 2024:</w:t>
      </w:r>
    </w:p>
    <w:tbl>
      <w:tblPr>
        <w:tblW w:w="10205" w:type="dxa"/>
        <w:jc w:val="left"/>
        <w:tblInd w:w="0" w:type="dxa"/>
        <w:tblLayout w:type="fixed"/>
        <w:tblCellMar>
          <w:top w:w="0" w:type="dxa"/>
          <w:left w:w="0" w:type="dxa"/>
          <w:bottom w:w="0" w:type="dxa"/>
          <w:right w:w="0" w:type="dxa"/>
        </w:tblCellMar>
      </w:tblPr>
      <w:tblGrid>
        <w:gridCol w:w="3203"/>
        <w:gridCol w:w="226"/>
        <w:gridCol w:w="1186"/>
        <w:gridCol w:w="301"/>
        <w:gridCol w:w="1183"/>
        <w:gridCol w:w="226"/>
        <w:gridCol w:w="1066"/>
        <w:gridCol w:w="226"/>
        <w:gridCol w:w="886"/>
        <w:gridCol w:w="287"/>
        <w:gridCol w:w="1415"/>
      </w:tblGrid>
      <w:tr>
        <w:trPr/>
        <w:tc>
          <w:tcPr>
            <w:tcW w:w="3203"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301" w:type="dxa"/>
            <w:tcBorders/>
            <w:shd w:fill="FFFFFF" w:val="clear"/>
            <w:vAlign w:val="center"/>
          </w:tcPr>
          <w:p>
            <w:pPr>
              <w:pStyle w:val="TableContents"/>
              <w:bidi w:val="0"/>
              <w:spacing w:before="0" w:after="283"/>
              <w:jc w:val="left"/>
              <w:rPr>
                <w:sz w:val="4"/>
                <w:szCs w:val="4"/>
              </w:rPr>
            </w:pPr>
            <w:r>
              <w:rPr>
                <w:sz w:val="4"/>
                <w:szCs w:val="4"/>
              </w:rPr>
            </w:r>
          </w:p>
        </w:tc>
        <w:tc>
          <w:tcPr>
            <w:tcW w:w="1183"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left"/>
              <w:rPr>
                <w:sz w:val="4"/>
                <w:szCs w:val="4"/>
              </w:rPr>
            </w:pPr>
            <w:r>
              <w:rPr>
                <w:sz w:val="4"/>
                <w:szCs w:val="4"/>
              </w:rPr>
            </w:r>
          </w:p>
        </w:tc>
        <w:tc>
          <w:tcPr>
            <w:tcW w:w="1415" w:type="dxa"/>
            <w:tcBorders/>
            <w:shd w:fill="FFFFFF" w:val="clear"/>
            <w:vAlign w:val="center"/>
          </w:tcPr>
          <w:p>
            <w:pPr>
              <w:pStyle w:val="TableContents"/>
              <w:bidi w:val="0"/>
              <w:spacing w:before="0" w:after="283"/>
              <w:jc w:val="left"/>
              <w:rPr>
                <w:sz w:val="4"/>
                <w:szCs w:val="4"/>
              </w:rPr>
            </w:pPr>
            <w:r>
              <w:rPr>
                <w:sz w:val="4"/>
                <w:szCs w:val="4"/>
              </w:rPr>
            </w:r>
          </w:p>
        </w:tc>
      </w:tr>
      <w:tr>
        <w:trPr/>
        <w:tc>
          <w:tcPr>
            <w:tcW w:w="3203"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5590" w:type="dxa"/>
            <w:gridSpan w:val="8"/>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Payments Due by Period</w:t>
            </w:r>
          </w:p>
        </w:tc>
      </w:tr>
      <w:tr>
        <w:trPr/>
        <w:tc>
          <w:tcPr>
            <w:tcW w:w="3203" w:type="dxa"/>
            <w:tcBorders/>
            <w:shd w:fill="FFFFFF" w:val="clear"/>
            <w:vAlign w:val="center"/>
          </w:tcPr>
          <w:p>
            <w:pPr>
              <w:pStyle w:val="TableContents"/>
              <w:bidi w:val="0"/>
              <w:spacing w:before="0" w:after="283"/>
              <w:jc w:val="left"/>
              <w:rPr>
                <w:sz w:val="4"/>
                <w:szCs w:val="4"/>
              </w:rPr>
            </w:pPr>
            <w:r>
              <w:rPr>
                <w:sz w:val="4"/>
                <w:szCs w:val="4"/>
              </w:rPr>
            </w:r>
          </w:p>
        </w:tc>
        <w:tc>
          <w:tcPr>
            <w:tcW w:w="141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w:t>
            </w:r>
          </w:p>
        </w:tc>
        <w:tc>
          <w:tcPr>
            <w:tcW w:w="1484"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Less than 1 year</w:t>
            </w:r>
          </w:p>
        </w:tc>
        <w:tc>
          <w:tcPr>
            <w:tcW w:w="129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1 - 3 years</w:t>
            </w:r>
          </w:p>
        </w:tc>
        <w:tc>
          <w:tcPr>
            <w:tcW w:w="11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3 - 5 years</w:t>
            </w:r>
          </w:p>
        </w:tc>
        <w:tc>
          <w:tcPr>
            <w:tcW w:w="170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More than 5 years</w:t>
            </w:r>
          </w:p>
        </w:tc>
      </w:tr>
      <w:tr>
        <w:trPr/>
        <w:tc>
          <w:tcPr>
            <w:tcW w:w="32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Long-term debt</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7,559,096</w:t>
            </w:r>
          </w:p>
        </w:tc>
        <w:tc>
          <w:tcPr>
            <w:tcW w:w="30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83"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142,807</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6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1,173,486</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412,869</w:t>
            </w:r>
          </w:p>
        </w:tc>
        <w:tc>
          <w:tcPr>
            <w:tcW w:w="287"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41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5,829,934</w:t>
            </w:r>
          </w:p>
        </w:tc>
      </w:tr>
      <w:tr>
        <w:trPr/>
        <w:tc>
          <w:tcPr>
            <w:tcW w:w="32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Interest on fixed-rate, long-term debt (1)</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286,400</w:t>
            </w:r>
          </w:p>
        </w:tc>
        <w:tc>
          <w:tcPr>
            <w:tcW w:w="30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6,819</w:t>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34,020</w:t>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14,693</w:t>
            </w:r>
          </w:p>
        </w:tc>
        <w:tc>
          <w:tcPr>
            <w:tcW w:w="28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230,868</w:t>
            </w:r>
          </w:p>
        </w:tc>
      </w:tr>
      <w:tr>
        <w:trPr/>
        <w:tc>
          <w:tcPr>
            <w:tcW w:w="32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leases (2)</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44,694</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9,144</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14,777</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7,946</w:t>
            </w:r>
          </w:p>
        </w:tc>
        <w:tc>
          <w:tcPr>
            <w:tcW w:w="287" w:type="dxa"/>
            <w:tcBorders/>
            <w:shd w:fill="CCEEFF" w:val="clear"/>
            <w:vAlign w:val="center"/>
          </w:tcPr>
          <w:p>
            <w:pPr>
              <w:pStyle w:val="TableContents"/>
              <w:bidi w:val="0"/>
              <w:spacing w:before="0" w:after="283"/>
              <w:jc w:val="left"/>
              <w:rPr>
                <w:sz w:val="4"/>
                <w:szCs w:val="4"/>
              </w:rPr>
            </w:pPr>
            <w:r>
              <w:rPr>
                <w:sz w:val="4"/>
                <w:szCs w:val="4"/>
              </w:rPr>
            </w:r>
          </w:p>
        </w:tc>
        <w:tc>
          <w:tcPr>
            <w:tcW w:w="141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12,827</w:t>
            </w:r>
          </w:p>
        </w:tc>
      </w:tr>
      <w:tr>
        <w:trPr/>
        <w:tc>
          <w:tcPr>
            <w:tcW w:w="32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Unconditional purchase obligations (3)</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14,049</w:t>
            </w:r>
          </w:p>
        </w:tc>
        <w:tc>
          <w:tcPr>
            <w:tcW w:w="30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5,404</w:t>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3,143</w:t>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2,475</w:t>
            </w:r>
          </w:p>
        </w:tc>
        <w:tc>
          <w:tcPr>
            <w:tcW w:w="28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3,027</w:t>
            </w:r>
          </w:p>
        </w:tc>
      </w:tr>
      <w:tr>
        <w:trPr/>
        <w:tc>
          <w:tcPr>
            <w:tcW w:w="32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Gas purchase obligations (4)</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2,148,368</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238,353</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485,193</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474,767</w:t>
            </w:r>
          </w:p>
        </w:tc>
        <w:tc>
          <w:tcPr>
            <w:tcW w:w="287" w:type="dxa"/>
            <w:tcBorders/>
            <w:shd w:fill="CCEEFF" w:val="clear"/>
            <w:vAlign w:val="center"/>
          </w:tcPr>
          <w:p>
            <w:pPr>
              <w:pStyle w:val="TableContents"/>
              <w:bidi w:val="0"/>
              <w:spacing w:before="0" w:after="283"/>
              <w:jc w:val="left"/>
              <w:rPr>
                <w:sz w:val="4"/>
                <w:szCs w:val="4"/>
              </w:rPr>
            </w:pPr>
            <w:r>
              <w:rPr>
                <w:sz w:val="4"/>
                <w:szCs w:val="4"/>
              </w:rPr>
            </w:r>
          </w:p>
        </w:tc>
        <w:tc>
          <w:tcPr>
            <w:tcW w:w="141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950,055</w:t>
            </w:r>
          </w:p>
        </w:tc>
      </w:tr>
      <w:tr>
        <w:trPr/>
        <w:tc>
          <w:tcPr>
            <w:tcW w:w="32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purchase obligations (5)</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138,438</w:t>
            </w:r>
          </w:p>
        </w:tc>
        <w:tc>
          <w:tcPr>
            <w:tcW w:w="301"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138,438</w:t>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8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32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Pension plan obligations (6)</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3,945</w:t>
            </w:r>
          </w:p>
        </w:tc>
        <w:tc>
          <w:tcPr>
            <w:tcW w:w="301" w:type="dxa"/>
            <w:tcBorders/>
            <w:shd w:fill="CCEEFF" w:val="clear"/>
            <w:vAlign w:val="center"/>
          </w:tcPr>
          <w:p>
            <w:pPr>
              <w:pStyle w:val="TableContents"/>
              <w:bidi w:val="0"/>
              <w:spacing w:before="0" w:after="283"/>
              <w:jc w:val="left"/>
              <w:rPr>
                <w:sz w:val="4"/>
                <w:szCs w:val="4"/>
              </w:rPr>
            </w:pPr>
            <w:r>
              <w:rPr>
                <w:sz w:val="4"/>
                <w:szCs w:val="4"/>
              </w:rPr>
            </w:r>
          </w:p>
        </w:tc>
        <w:tc>
          <w:tcPr>
            <w:tcW w:w="118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3,945</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87" w:type="dxa"/>
            <w:tcBorders/>
            <w:shd w:fill="CCEEFF" w:val="clear"/>
            <w:vAlign w:val="center"/>
          </w:tcPr>
          <w:p>
            <w:pPr>
              <w:pStyle w:val="TableContents"/>
              <w:bidi w:val="0"/>
              <w:spacing w:before="0" w:after="283"/>
              <w:jc w:val="left"/>
              <w:rPr>
                <w:sz w:val="4"/>
                <w:szCs w:val="4"/>
              </w:rPr>
            </w:pPr>
            <w:r>
              <w:rPr>
                <w:sz w:val="4"/>
                <w:szCs w:val="4"/>
              </w:rPr>
            </w:r>
          </w:p>
        </w:tc>
        <w:tc>
          <w:tcPr>
            <w:tcW w:w="141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32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obligations (7)</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56,661</w:t>
            </w:r>
          </w:p>
        </w:tc>
        <w:tc>
          <w:tcPr>
            <w:tcW w:w="30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3"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51,946</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2,401</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1,325</w:t>
            </w:r>
          </w:p>
        </w:tc>
        <w:tc>
          <w:tcPr>
            <w:tcW w:w="28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1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989</w:t>
            </w:r>
          </w:p>
        </w:tc>
      </w:tr>
      <w:tr>
        <w:trPr/>
        <w:tc>
          <w:tcPr>
            <w:tcW w:w="32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8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10,251,651</w:t>
            </w:r>
          </w:p>
        </w:tc>
        <w:tc>
          <w:tcPr>
            <w:tcW w:w="30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8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596,856</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6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1,713,020</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8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914,075</w:t>
            </w:r>
          </w:p>
        </w:tc>
        <w:tc>
          <w:tcPr>
            <w:tcW w:w="28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41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7,027,700</w:t>
            </w:r>
          </w:p>
        </w:tc>
      </w:tr>
    </w:tbl>
    <w:p>
      <w:pPr>
        <w:pStyle w:val="TextBody"/>
        <w:bidi w:val="0"/>
        <w:spacing w:lineRule="auto" w:line="259"/>
        <w:ind w:left="360" w:right="0" w:hanging="36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(1)Represents interest payable on fixed rate, long-term debt. Amounts reported may differ from actual due to future refinancing of debt.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caps w:val="false"/>
          <w:smallCaps w:val="false"/>
        </w:rPr>
      </w:pPr>
      <w:r>
        <w:rPr>
          <w:caps w:val="false"/>
          <w:smallCaps w:val="false"/>
        </w:rPr>
        <w:t> </w:t>
      </w:r>
    </w:p>
    <w:p>
      <w:pPr>
        <w:pStyle w:val="TextBody"/>
        <w:bidi w:val="0"/>
        <w:spacing w:lineRule="auto" w:line="259"/>
        <w:ind w:left="360" w:right="0" w:hanging="36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(2)Represents minimum lease payments for long-term operating leases of land, office facilities, office equipment, and vehicles. </w:t>
      </w:r>
    </w:p>
    <w:p>
      <w:pPr>
        <w:pStyle w:val="TextBody"/>
        <w:bidi w:val="0"/>
        <w:spacing w:lineRule="auto" w:line="259"/>
        <w:rPr>
          <w:caps w:val="false"/>
          <w:smallCaps w:val="false"/>
        </w:rPr>
      </w:pPr>
      <w:r>
        <w:rPr>
          <w:caps w:val="false"/>
          <w:smallCaps w:val="false"/>
        </w:rPr>
        <w:t> </w:t>
      </w:r>
    </w:p>
    <w:p>
      <w:pPr>
        <w:pStyle w:val="TextBody"/>
        <w:bidi w:val="0"/>
        <w:spacing w:lineRule="auto" w:line="259"/>
        <w:ind w:left="360" w:right="0" w:hanging="36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(3)Represents our commitment to purchase minimum quantities of water as stipulated in agreements with other water purveyors. We use purchased water to supplement our water supply, particularly during periods of peak customer demand. Our actual purchases may exceed the minimum required levels. </w:t>
      </w:r>
    </w:p>
    <w:p>
      <w:pPr>
        <w:pStyle w:val="TextBody"/>
        <w:bidi w:val="0"/>
        <w:spacing w:lineRule="auto" w:line="259"/>
        <w:ind w:left="360" w:right="0" w:hanging="36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(4)Represents our commitment to purchase minimum quantities of natural gas stipulated in agreements with various producers of natural gas to meet regulated customers’ natural gas requirements. </w:t>
      </w:r>
    </w:p>
    <w:p>
      <w:pPr>
        <w:pStyle w:val="TextBody"/>
        <w:bidi w:val="0"/>
        <w:spacing w:lineRule="auto" w:line="259"/>
        <w:ind w:left="360" w:right="0" w:hanging="36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(5)Represents an approximation of the open purchase orders for goods and services purchased in the ordinary course of business.</w:t>
      </w:r>
    </w:p>
    <w:p>
      <w:pPr>
        <w:pStyle w:val="TextBody"/>
        <w:bidi w:val="0"/>
        <w:spacing w:lineRule="auto" w:line="259"/>
        <w:ind w:left="360" w:right="0" w:hanging="36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(6)Represents contributions to be made to the Company’s retirement plans. </w:t>
      </w:r>
    </w:p>
    <w:p>
      <w:pPr>
        <w:pStyle w:val="TextBody"/>
        <w:bidi w:val="0"/>
        <w:spacing w:lineRule="auto" w:line="259"/>
        <w:rPr>
          <w:caps w:val="false"/>
          <w:smallCaps w:val="false"/>
        </w:rPr>
      </w:pPr>
      <w:r>
        <w:rPr>
          <w:caps w:val="false"/>
          <w:smallCaps w:val="false"/>
        </w:rPr>
        <w:t> </w:t>
      </w:r>
    </w:p>
    <w:p>
      <w:pPr>
        <w:pStyle w:val="TextBody"/>
        <w:bidi w:val="0"/>
        <w:spacing w:lineRule="auto" w:line="259"/>
        <w:ind w:left="360" w:right="0" w:hanging="36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(7)Represents expenditures estimated to be required under legal and binding contractual obligations.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 addition to the contractual obligations table above, we have the following obligations:</w:t>
      </w:r>
    </w:p>
    <w:p>
      <w:pPr>
        <w:pStyle w:val="TextBody"/>
        <w:bidi w:val="0"/>
        <w:spacing w:lineRule="auto" w:line="259"/>
        <w:ind w:left="720" w:right="0" w:hanging="360"/>
        <w:rPr/>
      </w:pPr>
      <w:r>
        <w:rPr>
          <w:caps w:val="false"/>
          <w:smallCaps w:val="false"/>
        </w:rPr>
        <w:t></w:t>
      </w:r>
      <w:r>
        <w:rPr>
          <w:rFonts w:ascii="Times New Roman;serif" w:hAnsi="Times New Roman;serif"/>
          <w:b w:val="false"/>
          <w:i/>
          <w:sz w:val="22"/>
        </w:rPr>
        <w:t>Refunds of customer’s advances for construction</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 xml:space="preserve">We pay refunds on customers’ advances for construction over a specific period of time based on operating revenues related to developer-installed utility mains or as new customers are connected to and take service from such mains. After all refunds are paid, any remaining balance is transferred to contributions in aid of construction. The refund amounts are not included in the above table because the refund amounts and timing are dependent upon several variables, including new customer connections, customer consumption levels and future rate increases, which cannot be accurately estimated. Portions of these refund amounts are payable annually through 2034 and amounts not paid by the contract expiration dates become non-refundable. </w:t>
      </w:r>
    </w:p>
    <w:p>
      <w:pPr>
        <w:pStyle w:val="TextBody"/>
        <w:bidi w:val="0"/>
        <w:spacing w:lineRule="auto" w:line="259"/>
        <w:ind w:left="720" w:right="0" w:hanging="360"/>
        <w:rPr/>
      </w:pPr>
      <w:r>
        <w:rPr>
          <w:caps w:val="false"/>
          <w:smallCaps w:val="false"/>
        </w:rPr>
        <w:t></w:t>
      </w:r>
      <w:r>
        <w:rPr>
          <w:rFonts w:ascii="Times New Roman;serif" w:hAnsi="Times New Roman;serif"/>
          <w:b w:val="false"/>
          <w:i/>
          <w:sz w:val="22"/>
        </w:rPr>
        <w:t xml:space="preserve">Asset Retirement Obligations </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We recognize asset retirement obligations associated with retirements of production, storage wells and other pipeline components at fair value, as incurred, or when sufficient information becomes available to determine a reasonable estimate of the fair value of the retirement activities to be performed. Expected obligations are not included in the above table because the amounts and timing are dependent upon several variables, which cannot be accurately estimated. </w:t>
      </w:r>
    </w:p>
    <w:p>
      <w:pPr>
        <w:pStyle w:val="TextBody"/>
        <w:bidi w:val="0"/>
        <w:spacing w:lineRule="auto" w:line="259"/>
        <w:ind w:left="720" w:right="0" w:hanging="360"/>
        <w:rPr/>
      </w:pPr>
      <w:r>
        <w:rPr>
          <w:caps w:val="false"/>
          <w:smallCaps w:val="false"/>
        </w:rPr>
        <w:t></w:t>
      </w:r>
      <w:r>
        <w:rPr>
          <w:rFonts w:ascii="Times New Roman;serif" w:hAnsi="Times New Roman;serif"/>
          <w:b w:val="false"/>
          <w:i/>
          <w:sz w:val="22"/>
        </w:rPr>
        <w:t>Uncertain tax positions –</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We have uncertain tax positions of $8,207. Although we believe our tax positions comply with applicable law, we have made judgments as to the sustainability of each uncertain tax position based on its technical merits. Due to the uncertainty of future cash outflows, if any, associated with our uncertain tax positions, we are unable to make a reasonable estimate of the timing or amounts that may be paid. See Note 7 – </w:t>
      </w:r>
      <w:r>
        <w:rPr>
          <w:rFonts w:ascii="Times New Roman;serif" w:hAnsi="Times New Roman;serif"/>
          <w:b w:val="false"/>
          <w:i/>
          <w:sz w:val="22"/>
        </w:rPr>
        <w:t xml:space="preserve">Income Taxes </w:t>
      </w:r>
      <w:r>
        <w:rPr>
          <w:rFonts w:ascii="Times New Roman;serif" w:hAnsi="Times New Roman;serif"/>
          <w:b w:val="false"/>
          <w:i w:val="false"/>
          <w:caps w:val="false"/>
          <w:smallCaps w:val="false"/>
          <w:sz w:val="22"/>
        </w:rPr>
        <w:t xml:space="preserve">in this Annual Report for further information on our uncertain tax positions.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We will fund these contractual obligations with cash flows from operations and liquidity sources held by or available to us.</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The Company is routinely involved in legal matters, including both asserted and unasserted legal claims, during the ordinary course of business. See Note 9 – </w:t>
      </w:r>
      <w:r>
        <w:rPr>
          <w:rFonts w:ascii="Times New Roman;serif" w:hAnsi="Times New Roman;serif"/>
          <w:b w:val="false"/>
          <w:i/>
          <w:sz w:val="22"/>
        </w:rPr>
        <w:t>Commitments and Contingencies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in this Annual Report for a discussion of the Company’s legal matters. It is not always possible for management to make a meaningful estimate of the potential loss or range of loss associated with such litigation. Also, unanticipated changes in circumstances and/or revisions to the assessed probability of the outcomes of legal matters could result in expenses being incurred in future periods as well as an increase in actual cash required to resolve the legal matter.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Capitalization</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summarizes our capitalization as of December 31, 2024 and 2023:</w:t>
      </w:r>
    </w:p>
    <w:tbl>
      <w:tblPr>
        <w:tblW w:w="5418" w:type="dxa"/>
        <w:jc w:val="left"/>
        <w:tblInd w:w="0" w:type="dxa"/>
        <w:tblLayout w:type="fixed"/>
        <w:tblCellMar>
          <w:top w:w="0" w:type="dxa"/>
          <w:left w:w="0" w:type="dxa"/>
          <w:bottom w:w="0" w:type="dxa"/>
          <w:right w:w="0" w:type="dxa"/>
        </w:tblCellMar>
      </w:tblPr>
      <w:tblGrid>
        <w:gridCol w:w="3721"/>
        <w:gridCol w:w="826"/>
        <w:gridCol w:w="871"/>
      </w:tblGrid>
      <w:tr>
        <w:trPr/>
        <w:tc>
          <w:tcPr>
            <w:tcW w:w="3721" w:type="dxa"/>
            <w:tcBorders/>
            <w:shd w:fill="FFFFFF" w:val="clear"/>
            <w:vAlign w:val="center"/>
          </w:tcPr>
          <w:p>
            <w:pPr>
              <w:pStyle w:val="TableContents"/>
              <w:bidi w:val="0"/>
              <w:spacing w:before="0" w:after="283"/>
              <w:jc w:val="left"/>
              <w:rPr>
                <w:sz w:val="4"/>
                <w:szCs w:val="4"/>
              </w:rPr>
            </w:pPr>
            <w:r>
              <w:rPr>
                <w:sz w:val="4"/>
                <w:szCs w:val="4"/>
              </w:rPr>
            </w:r>
          </w:p>
        </w:tc>
        <w:tc>
          <w:tcPr>
            <w:tcW w:w="826" w:type="dxa"/>
            <w:tcBorders/>
            <w:shd w:fill="FFFFFF" w:val="clear"/>
            <w:vAlign w:val="center"/>
          </w:tcPr>
          <w:p>
            <w:pPr>
              <w:pStyle w:val="TableContents"/>
              <w:bidi w:val="0"/>
              <w:spacing w:before="0" w:after="283"/>
              <w:jc w:val="left"/>
              <w:rPr>
                <w:sz w:val="4"/>
                <w:szCs w:val="4"/>
              </w:rPr>
            </w:pPr>
            <w:r>
              <w:rPr>
                <w:sz w:val="4"/>
                <w:szCs w:val="4"/>
              </w:rPr>
            </w:r>
          </w:p>
        </w:tc>
        <w:tc>
          <w:tcPr>
            <w:tcW w:w="871" w:type="dxa"/>
            <w:tcBorders/>
            <w:shd w:fill="FFFFFF" w:val="clear"/>
            <w:vAlign w:val="center"/>
          </w:tcPr>
          <w:p>
            <w:pPr>
              <w:pStyle w:val="TableContents"/>
              <w:bidi w:val="0"/>
              <w:spacing w:before="0" w:after="283"/>
              <w:jc w:val="left"/>
              <w:rPr>
                <w:sz w:val="4"/>
                <w:szCs w:val="4"/>
              </w:rPr>
            </w:pPr>
            <w:r>
              <w:rPr>
                <w:sz w:val="4"/>
                <w:szCs w:val="4"/>
              </w:rPr>
            </w:r>
          </w:p>
        </w:tc>
      </w:tr>
      <w:tr>
        <w:trPr/>
        <w:tc>
          <w:tcPr>
            <w:tcW w:w="3721" w:type="dxa"/>
            <w:tcBorders>
              <w:bottom w:val="single" w:sz="8" w:space="0" w:color="000000"/>
            </w:tcBorders>
            <w:shd w:fill="FFFFFF" w:val="clear"/>
            <w:tcMar>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December 31,</w:t>
            </w:r>
          </w:p>
        </w:tc>
        <w:tc>
          <w:tcPr>
            <w:tcW w:w="826"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871"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r>
      <w:tr>
        <w:trPr/>
        <w:tc>
          <w:tcPr>
            <w:tcW w:w="3721"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Long-term debt (1)</w:t>
            </w:r>
          </w:p>
        </w:tc>
        <w:tc>
          <w:tcPr>
            <w:tcW w:w="8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54.9%</w:t>
            </w:r>
          </w:p>
        </w:tc>
        <w:tc>
          <w:tcPr>
            <w:tcW w:w="87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54.1%</w:t>
            </w:r>
          </w:p>
        </w:tc>
      </w:tr>
      <w:tr>
        <w:trPr/>
        <w:tc>
          <w:tcPr>
            <w:tcW w:w="3721" w:type="dxa"/>
            <w:tcBorders>
              <w:bottom w:val="single" w:sz="8" w:space="0" w:color="000000"/>
            </w:tcBorders>
            <w:tcMar>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Essential Utilities stockholders' equity </w:t>
            </w:r>
          </w:p>
        </w:tc>
        <w:tc>
          <w:tcPr>
            <w:tcW w:w="82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45.1%</w:t>
            </w:r>
          </w:p>
        </w:tc>
        <w:tc>
          <w:tcPr>
            <w:tcW w:w="871"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45.9%</w:t>
            </w:r>
          </w:p>
        </w:tc>
      </w:tr>
      <w:tr>
        <w:trPr/>
        <w:tc>
          <w:tcPr>
            <w:tcW w:w="37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100.0%</w:t>
            </w:r>
          </w:p>
        </w:tc>
        <w:tc>
          <w:tcPr>
            <w:tcW w:w="87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100.0%</w:t>
            </w:r>
          </w:p>
        </w:tc>
      </w:tr>
    </w:tbl>
    <w:p>
      <w:pPr>
        <w:pStyle w:val="TextBody"/>
        <w:bidi w:val="0"/>
        <w:spacing w:lineRule="auto" w:line="259"/>
        <w:ind w:left="360" w:right="994" w:hanging="36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(1)Includes current portion, as well as our borrowings under a variable rate revolving credit agreement of $413,000 at December 31, 2024, and $720,000 at December 31, 2023.</w:t>
      </w:r>
    </w:p>
    <w:p>
      <w:pPr>
        <w:pStyle w:val="TextBody"/>
        <w:bidi w:val="0"/>
        <w:spacing w:lineRule="auto" w:line="259"/>
        <w:ind w:left="0" w:right="994" w:hanging="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Over the past two years, the changes in the capitalization ratios primarily resulted from the issuance of debt to finance our acquisitions and capital program, changes in net income, the issuance of common stock, and the declaration of dividends. </w:t>
      </w:r>
    </w:p>
    <w:p>
      <w:pPr>
        <w:pStyle w:val="TextBody"/>
        <w:bidi w:val="0"/>
        <w:spacing w:lineRule="auto" w:line="259"/>
        <w:jc w:val="center"/>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CRITICAL ACCOUNTING POLICIES AND ESTIMATES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financial condition and results of operations are impacted by the methods, assumptions, and estimates used in the application of critical accounting policies. The following accounting policies are particularly important to our financial condition or results of operations and require estimates or other judgments of matters of uncertainty. Changes in the estimates or other judgments included within these accounting policies could result in a significant change to the financial statements. We believe our most critical accounting policies include the use of regulatory assets and liabilities, revenue recognition, the valuation of our long-lived assets (which consist primarily of utility plant in service, regulatory assets, and goodwill), our accounting for post-retirement benefits, and our accounting for income taxes. We have discussed the selection and development of our critical accounting policies and estimates with the Audit Committee of the Board of Directors. </w:t>
      </w:r>
    </w:p>
    <w:p>
      <w:pPr>
        <w:pStyle w:val="TextBody"/>
        <w:bidi w:val="0"/>
        <w:spacing w:lineRule="auto" w:line="259"/>
        <w:rPr>
          <w:rFonts w:ascii="Times New Roman;serif" w:hAnsi="Times New Roman;serif"/>
          <w:sz w:val="22"/>
        </w:rPr>
      </w:pPr>
      <w:r>
        <w:rPr>
          <w:rFonts w:ascii="Times New Roman;serif" w:hAnsi="Times New Roman;serif"/>
          <w:b/>
          <w:i/>
          <w:sz w:val="22"/>
        </w:rPr>
        <w:t xml:space="preserve">Regulatory Assets and Liabilities </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We defer costs and credits on the balance sheet as regulatory assets and liabilities when it is probable that these costs and credits will be recognized in the rate-making process in a period different from when the costs and credits were incurred. These deferred amounts, both assets and liabilities, are then recognized in the consolidated statement of operations in the same period that they are reflected in our rates charged for utility service. </w:t>
      </w:r>
      <w:bookmarkStart w:id="21" w:name="_Hlk26883782"/>
      <w:bookmarkEnd w:id="21"/>
      <w:r>
        <w:rPr>
          <w:rFonts w:ascii="Times New Roman;serif" w:hAnsi="Times New Roman;serif"/>
          <w:b w:val="false"/>
          <w:i w:val="false"/>
          <w:caps w:val="false"/>
          <w:smallCaps w:val="false"/>
          <w:sz w:val="22"/>
        </w:rPr>
        <w:t>We make significant judgments and estimates to record regulatory assets and liabilities, such as for amounts related to income taxes, pension and postretirement benefits, acquisitions and capital projects. For each regulatory jurisdiction with regulated operations, we evaluate at the end of each reporting period, whether the regulatory assets and liabilities continue to meet the probable criteria for future recovery or refund. The evaluation considers factors such as regulatory orders or guidelines, in the same regulatory jurisdiction, of a specific matter or a similar matter, as provided to us in the past or to other regulated utilities. In addition, the evaluation may be impacted by changes in the regulatory environment and pending or new legislation that could impact the ability to recover costs through regulated rates. There may be multiple participants to rate or transactional regulatory proceedings who might offer different views on various aspects of such proceedings, and in these instances may challenge our prudence of business policies and practices, seek cost disallowances or request other relief.</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 the event that our assessment as to the probability of the inclusion in the rate-making process is incorrect, the associated regulatory asset or liability would be adjusted to reflect the change in our assessment or change in regulatory approval.</w:t>
      </w:r>
    </w:p>
    <w:p>
      <w:pPr>
        <w:pStyle w:val="TextBody"/>
        <w:bidi w:val="0"/>
        <w:spacing w:lineRule="auto" w:line="259"/>
        <w:rPr>
          <w:rFonts w:ascii="Times New Roman;serif" w:hAnsi="Times New Roman;serif"/>
          <w:sz w:val="22"/>
        </w:rPr>
      </w:pPr>
      <w:r>
        <w:rPr>
          <w:rFonts w:ascii="Times New Roman;serif" w:hAnsi="Times New Roman;serif"/>
          <w:b/>
          <w:i/>
          <w:sz w:val="22"/>
        </w:rPr>
        <w:t>Revenue Recognition</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 xml:space="preserve">Our utility revenues recognized in an accounting period include amounts billed to customers on a cycle basis and unbilled amounts based on estimated usage from the last billing to the end of the accounting period. The estimated usage is based on our judgment and assumptions; our actual results could differ from these estimates, which would result in operating revenues being adjusted in the period that the revision to our estimates is determined.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Virginia, North Carolina, and Kentucky, we may bill our utility customers, in certain circumstances, in accordance with a rate filing that is pending before the respective regulatory commission, which would allow interim rates before the final commission rate order is issued. The revenue recognized reflects an estimate based on our judgment of the final outcome of the commission’s ruling. We monitor the applicable facts and circumstances regularly and revise the estimate as required. The revenue billed and collected prior to the final ruling is subject to refund based on the commission’s final ruling.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sz w:val="22"/>
        </w:rPr>
      </w:pPr>
      <w:r>
        <w:rPr>
          <w:rFonts w:ascii="Times New Roman;serif" w:hAnsi="Times New Roman;serif"/>
          <w:b/>
          <w:i/>
          <w:sz w:val="22"/>
        </w:rPr>
        <w:t>Valuation of Long-Lived Assets, Goodwill and Intangible Assets</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 xml:space="preserve">We review our long-lived assets for impairment, including utility plant in service. We also review regulatory assets for the continued application of the FASB accounting guidance for regulated operations. Our review determines whether there have been changes in circumstances or events, such as regulatory disallowances, or abandonments, that have occurred that require adjustments to the carrying value of these assets. Adjustments to the carrying value of these assets would be made in instances where their inclusion in the rate-making process is not probable. For utility plant in service, we would recognize an impairment loss for any amount disallowed by the respective utility commission.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Our long-lived assets, which consist primarily of utility plant in service</w:t>
      </w:r>
      <w:r>
        <w:rPr>
          <w:rFonts w:ascii="Garamond;serif" w:hAnsi="Garamond;serif"/>
          <w:b w:val="false"/>
          <w:i w:val="false"/>
          <w:caps w:val="false"/>
          <w:smallCaps w:val="false"/>
          <w:sz w:val="22"/>
        </w:rPr>
        <w:t xml:space="preserve">, </w:t>
      </w:r>
      <w:r>
        <w:rPr>
          <w:rFonts w:ascii="Times New Roman;serif" w:hAnsi="Times New Roman;serif"/>
          <w:b w:val="false"/>
          <w:i w:val="false"/>
          <w:caps w:val="false"/>
          <w:smallCaps w:val="false"/>
          <w:sz w:val="22"/>
        </w:rPr>
        <w:t>operating lease right-of-use assets and intangible assets, are reviewed for impairment when changes in circumstances or events occur. These circumstances or events could include a decline in the market value or physical condition of a long-lived asset, an adverse change in the manner in which long-lived assets are used or planned to be used, a change in historical trends, operating cash flows associated with the long-lived assets, changes in macroeconomic conditions, industry and market conditions, or overall financial performance. When these circumstances or events occur, we determine whether it is more likely than not that the fair value of those assets is less than their carrying amount. If we determine that it is more likely than not (that is, the likelihood of more than 50 percent), we would recognize an impairment charge if it is determined that the carrying amount of an asset exceeds the sum of the undiscounted estimated cash flows. In this circumstance, we would recognize an impairment charge equal to the difference between the carrying amount and the fair value of the asset. Fair value is estimated to be the present value of future net cash flows associated with the asset, discounted using a discount rate commensurate with the risk and remaining life of the asset. This assessment requires significant management judgment and estimates that are based on budgets, general strategic business plans, historical trends and other data and relevant factors. These estimates include significant inherent uncertainties, since they involve forecasting future events. If changes in circumstances or events occur, or estimates and assumptions that were used in this review are changed, we may be required to record an impairment charge on our long-lived assets. Refer to Note 1</w:t>
      </w:r>
      <w:r>
        <w:rPr>
          <w:rFonts w:ascii="Times New Roman;serif" w:hAnsi="Times New Roman;serif"/>
          <w:sz w:val="22"/>
        </w:rPr>
        <w:t xml:space="preserve"> – </w:t>
      </w:r>
      <w:r>
        <w:rPr>
          <w:rFonts w:ascii="Times New Roman;serif" w:hAnsi="Times New Roman;serif"/>
          <w:b w:val="false"/>
          <w:i/>
          <w:sz w:val="22"/>
        </w:rPr>
        <w:t>Summary of Significant Accounting Policies –</w:t>
      </w:r>
      <w:r>
        <w:rPr>
          <w:rFonts w:ascii="Times New Roman;serif" w:hAnsi="Times New Roman;serif"/>
          <w:caps w:val="false"/>
          <w:smallCaps w:val="false"/>
          <w:sz w:val="22"/>
        </w:rPr>
        <w:t xml:space="preserve"> </w:t>
      </w:r>
      <w:r>
        <w:rPr>
          <w:rFonts w:ascii="Times New Roman;serif" w:hAnsi="Times New Roman;serif"/>
          <w:b w:val="false"/>
          <w:i/>
          <w:sz w:val="22"/>
        </w:rPr>
        <w:t xml:space="preserve">Impairment of Long-Lived Assets </w:t>
      </w:r>
      <w:r>
        <w:rPr>
          <w:rFonts w:ascii="Times New Roman;serif" w:hAnsi="Times New Roman;serif"/>
          <w:b w:val="false"/>
          <w:i w:val="false"/>
          <w:caps w:val="false"/>
          <w:smallCaps w:val="false"/>
          <w:sz w:val="22"/>
        </w:rPr>
        <w:t xml:space="preserve">in this Annual Report for additional information regarding the review of long-lived assets for impairment. </w:t>
      </w:r>
    </w:p>
    <w:p>
      <w:pPr>
        <w:pStyle w:val="TextBody"/>
        <w:shd w:fill="FFFFFF" w:val="clear"/>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We test the goodwill attributable to each of our reporting units for impairment at least annually, or more often, if circumstances indicate a possible impairment may exist. When testing goodwill for impairment, we may assess qualitative factors, including macroeconomic conditions, industry and market considerations, changes to regulatory environment, recent regulatory and legislative proceedings, cost factors, overall financial performance, and entity specific events, for some or all of our reporting units to determine whether it’s more likely than not that the fair value of a reporting unit is less than its carrying amount. Based on our assessment of the qualitative factors previously noted, or at our discretion, we may perform a quantitative goodwill impairment test by determining the fair value of a reporting unit by weighting the results from the income approach and the market approach. These valuation approaches consider a number of factors that include, but are not limited to, prospective financial information (which includes projected operating income, expected future capital expenditures, and projected regulatory rate base, among others), growth rates, terminal value, discount rates, and comparable multiples from publicly traded companies in our industry and require us to make certain assumptions and estimates regarding industry economic factors and future profitability of our business. If we perform a quantitative test and determine that the fair value of a reporting unit is less than its carrying amount, we would record an impairment loss for the amount by which a reporting unit’s carrying amount exceeds its fair value, not to exceed the carrying amount of goodwill. The assessment requires significant management judgment and estimates that are based on budgets, general strategic business plans, historical trends and other data and relevant factors. If changes in circumstances or events occur, or estimates and assumptions that were used in our impairment test change, we may be required to record an impairment charge for goodwill. Refer to Note 1 – </w:t>
      </w:r>
      <w:r>
        <w:rPr>
          <w:rFonts w:ascii="Times New Roman;serif" w:hAnsi="Times New Roman;serif"/>
          <w:b w:val="false"/>
          <w:i/>
          <w:sz w:val="22"/>
        </w:rPr>
        <w:t xml:space="preserve">Summary of Significant Accounting Policies – Goodwill </w:t>
      </w:r>
      <w:r>
        <w:rPr>
          <w:rFonts w:ascii="Times New Roman;serif" w:hAnsi="Times New Roman;serif"/>
          <w:b w:val="false"/>
          <w:i w:val="false"/>
          <w:caps w:val="false"/>
          <w:smallCaps w:val="false"/>
          <w:sz w:val="22"/>
        </w:rPr>
        <w:t xml:space="preserve">in this Annual Report for further information.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As part of the October 1, 2024 annual goodwill assessment, we elected to perform qualitative assessments for our Regulated Water, Regulated Natural Gas, and Other reporting units. Based on our analysis, we determined that it is more likely than not that the fair value of our reporting units is greater than their carrying amounts, and none of the goodwill of our reporting units was impaired.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sz w:val="22"/>
        </w:rPr>
      </w:pPr>
      <w:r>
        <w:rPr>
          <w:rFonts w:ascii="Times New Roman;serif" w:hAnsi="Times New Roman;serif"/>
          <w:b/>
          <w:i/>
          <w:sz w:val="22"/>
        </w:rPr>
        <w:t xml:space="preserve">Accounting for Post-Retirement Benefits </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We maintain a qualified and a non-qualified defined benefit pension plan and plans that provide for post-retirement benefits other than pensions. Accounting for pension and other post-retirement benefits requires an extensive use of assumptions including the discount rate, expected return on plan assets, the rate of future compensation increases received by our employees, mortality, turnover and medical costs. Each assumption is reviewed annually with assistance from our actuarial consultant, who provides guidance in establishing the assumptions. The assumptions are selected to represent the average expected experience over time and may differ in any one year from actual experience due to changes in capital markets and the overall economy. These differences will impact the amount of pension and other post-retirement benefits expense that we recognize.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Our discount rate assumption, which is used to calculate the present value of the projected benefit payments of our post-retirement benefits, was determined by selecting a hypothetical portfolio of high quality corporate bonds appropriate to match the projected benefit payments of the plans. The selected bond portfolio was derived from a universe of Aa-graded corporate bonds. The discount rate was then developed as the rate that equates the market value of the bonds purchased to the discounted value of the projected benefit payments of the plans. A decrease in the discount rate would generally increase our post-retirement benefits expense and benefit obligation. After reviewing the hypothetical portfolio of bonds, we selected a discount rate of 5.64% for our pension plan, and 5.65% for our other post-retirement benefit plans as of December 31, 2024, which represent a 47 and 56 basis-point decrease as compared to the discount rates selected at December 31, 2023, respectively. Our post-retirement benefits expense under these plans is determined using the discount rate as of the beginning of the year, which was 5.17% for our pension plan and 5.09% for our other-postretirement benefit plan for 2024</w:t>
      </w:r>
      <w:r>
        <w:rPr>
          <w:rFonts w:ascii="Times New Roman;serif" w:hAnsi="Times New Roman;serif"/>
          <w:caps w:val="false"/>
          <w:smallCaps w:val="false"/>
          <w:color w:val="000000"/>
          <w:sz w:val="22"/>
        </w:rPr>
        <w:t xml:space="preserve">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Our expected return on plan assets is determined by evaluating the asset class return expectations with our advisors as well as actual, long-term, historical results of our asset returns. The Company’s market-related value of plan assets is equal to the fair value of the plans’ assets as of the last day of its fiscal year and is a determinant for the expected return on plan assets, which is a component of post-retirement benefits expense. The allocation of our plans’ assets impacts our expected return on plan assets. As of December 31, 2024, the expected return on plan assets is based on a targeted allocation of 20% to 40% return seeking assets and 60% to 80% liability hedging assets for our pension plan, and a targeted allocation of 50% to 70% return seeking assets and 30% to 50% liability hedging assets for our other post-retirement benefit plans. Our post-retirement benefits expense increases as the expected return on plan assets decreases. We believe that our actual long-term asset allocations on average will approximate our targeted allocations. Our targeted allocations are driven by our investment strategy to earn a reasonable rate of return while maintaining risk at acceptable levels through the diversification of investments across and within various asset categories. For 2024, we used a 6.2% expected return on plan assets assumption and are currently reviewing this assumption for 2025.</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Funding requirements for qualified defined benefit pension plans are determined by government regulations and not by accounting pronouncements. In accordance with funding rules and our funding policy, during 2025 our pension contribution is expected to be $3,945. Future years’ contributions will be subject to economic conditions, plan participant data and the funding rules in effect at such time as the funding calculations are performed, though we expect future changes in the amount of contributions and expense recognized to be generally included in customer rates. </w:t>
      </w:r>
    </w:p>
    <w:p>
      <w:pPr>
        <w:pStyle w:val="TextBody"/>
        <w:bidi w:val="0"/>
        <w:spacing w:lineRule="auto" w:line="259"/>
        <w:rPr>
          <w:rFonts w:ascii="Times New Roman;serif" w:hAnsi="Times New Roman;serif"/>
          <w:sz w:val="22"/>
        </w:rPr>
      </w:pPr>
      <w:r>
        <w:rPr>
          <w:rFonts w:ascii="Times New Roman;serif" w:hAnsi="Times New Roman;serif"/>
          <w:b/>
          <w:i/>
          <w:sz w:val="22"/>
        </w:rPr>
        <w:t xml:space="preserve">Accounting for Income Taxes </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We estimate the amount of income tax payable or refundable for the current year and the deferred income tax liabilities and assets that results from estimating temporary differences resulting from the treatment of specific items, such as depreciation, for tax and financial statement reporting. Generally, these differences result in the recognition of a deferred tax asset or liability on our consolidated balance sheet and require us to make judgments regarding the probability of the ultimate tax impact of the various transactions we enter into. Based on these judgments, we may record tax reserves or adjustments to valuation allowances on deferred tax assets to reflect the expected realization of future tax benefits. Actual income taxes could vary from these estimates and changes in these estimates can increase income tax expense in the period that these changes in estimates occur.</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determination of what qualifies as a capital cost versus a tax deduction, for qualifying utility asset improvements, as it relates to our income tax accounting method, is subject to subsequent adjustment as well as IRS audits, changes in income tax laws, including regulations regarding tax-basis depreciation as it applies to our capital expenditures, or qualifying utility asset improvements, the expiration of a statute of limitations, or other unforeseen matters could impact the tax benefits that have already been recognized. We establish reserves for uncertain tax positions based upon management’s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judgment as to the sustainability of these positions. These accounting estimates related to the uncertain tax position reserve require judgments to be made as to the sustainability of each uncertain tax position based on its technical merits. We believe our tax positions comply with applicable law and that we have adequately recorded reserves as required. However, to the extent the final tax outcome of these matters is different than our estimates recorded, we would then need to adjust our tax reserves which could result in additional income tax expense or benefits in the period that this information is known.</w:t>
      </w:r>
    </w:p>
    <w:p>
      <w:pPr>
        <w:pStyle w:val="TextBody"/>
        <w:bidi w:val="0"/>
        <w:spacing w:lineRule="auto" w:line="259"/>
        <w:jc w:val="center"/>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IMPACT OF RECENT ACCOUNTING PRONOUNCEMENTS</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We describe the impact of recent accounting pronouncements in Note 1 – </w:t>
      </w:r>
      <w:r>
        <w:rPr>
          <w:rFonts w:ascii="Times New Roman;serif" w:hAnsi="Times New Roman;serif"/>
          <w:b w:val="false"/>
          <w:i/>
          <w:sz w:val="22"/>
        </w:rPr>
        <w:t>Summary of Significant Accounting Policies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in this Annual Report. </w:t>
      </w:r>
    </w:p>
    <w:tbl>
      <w:tblPr>
        <w:tblW w:w="6707" w:type="dxa"/>
        <w:jc w:val="left"/>
        <w:tblInd w:w="0" w:type="dxa"/>
        <w:tblLayout w:type="fixed"/>
        <w:tblCellMar>
          <w:top w:w="0" w:type="dxa"/>
          <w:left w:w="0" w:type="dxa"/>
          <w:bottom w:w="0" w:type="dxa"/>
          <w:right w:w="0" w:type="dxa"/>
        </w:tblCellMar>
      </w:tblPr>
      <w:tblGrid>
        <w:gridCol w:w="946"/>
        <w:gridCol w:w="5761"/>
      </w:tblGrid>
      <w:tr>
        <w:trPr/>
        <w:tc>
          <w:tcPr>
            <w:tcW w:w="946" w:type="dxa"/>
            <w:tcBorders/>
            <w:vAlign w:val="center"/>
          </w:tcPr>
          <w:p>
            <w:pPr>
              <w:pStyle w:val="TableContents"/>
              <w:bidi w:val="0"/>
              <w:spacing w:before="0" w:after="283"/>
              <w:jc w:val="left"/>
              <w:rPr>
                <w:sz w:val="4"/>
                <w:szCs w:val="4"/>
              </w:rPr>
            </w:pPr>
            <w:r>
              <w:rPr>
                <w:sz w:val="4"/>
                <w:szCs w:val="4"/>
              </w:rPr>
            </w:r>
          </w:p>
        </w:tc>
        <w:tc>
          <w:tcPr>
            <w:tcW w:w="5761"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lineRule="auto" w:line="192"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7A.</w:t>
            </w:r>
          </w:p>
        </w:tc>
        <w:tc>
          <w:tcPr>
            <w:tcW w:w="5761" w:type="dxa"/>
            <w:tcBorders/>
            <w:vAlign w:val="center"/>
          </w:tcPr>
          <w:p>
            <w:pPr>
              <w:pStyle w:val="TableContents"/>
              <w:bidi w:val="0"/>
              <w:spacing w:lineRule="auto" w:line="192" w:before="0" w:after="283"/>
              <w:jc w:val="left"/>
              <w:rPr>
                <w:rFonts w:ascii="Times New Roman;serif" w:hAnsi="Times New Roman;serif"/>
                <w:b w:val="false"/>
                <w:i/>
                <w:sz w:val="22"/>
              </w:rPr>
            </w:pPr>
            <w:r>
              <w:rPr>
                <w:rFonts w:ascii="Times New Roman;serif" w:hAnsi="Times New Roman;serif"/>
                <w:b w:val="false"/>
                <w:i/>
                <w:sz w:val="22"/>
              </w:rPr>
              <w:t>Quantitative and Qualitative Disclosures About Market Risk</w:t>
            </w:r>
            <w:bookmarkStart w:id="22" w:name="MarketRisk"/>
            <w:bookmarkEnd w:id="22"/>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We are subject to market risks in the normal course of business, including changes in interest rates, gas commodity prices and equity prices. The exposure to changes in interest rates is typically related to financings between utility rate increases, since generally our rate increases include a revenue level to allow recovery of our current cost of capital. Interest rate risk is managed through the use of a combination of long-term debt, which is at fixed interest rates; short-term debt, which is at floating interest rates; and at times in the past interest rate swap agreements. As of December 31, 2024, the debt maturities by period, in thousands of dollars, and the weighted average interest rate for long-term debt are as follows:</w:t>
      </w:r>
    </w:p>
    <w:tbl>
      <w:tblPr>
        <w:tblW w:w="10205" w:type="dxa"/>
        <w:jc w:val="left"/>
        <w:tblInd w:w="0" w:type="dxa"/>
        <w:tblLayout w:type="fixed"/>
        <w:tblCellMar>
          <w:top w:w="0" w:type="dxa"/>
          <w:left w:w="0" w:type="dxa"/>
          <w:bottom w:w="0" w:type="dxa"/>
          <w:right w:w="0" w:type="dxa"/>
        </w:tblCellMar>
      </w:tblPr>
      <w:tblGrid>
        <w:gridCol w:w="1349"/>
        <w:gridCol w:w="211"/>
        <w:gridCol w:w="853"/>
        <w:gridCol w:w="211"/>
        <w:gridCol w:w="748"/>
        <w:gridCol w:w="211"/>
        <w:gridCol w:w="1003"/>
        <w:gridCol w:w="211"/>
        <w:gridCol w:w="656"/>
        <w:gridCol w:w="211"/>
        <w:gridCol w:w="853"/>
        <w:gridCol w:w="211"/>
        <w:gridCol w:w="1003"/>
        <w:gridCol w:w="211"/>
        <w:gridCol w:w="1003"/>
        <w:gridCol w:w="211"/>
        <w:gridCol w:w="1049"/>
      </w:tblGrid>
      <w:tr>
        <w:trPr/>
        <w:tc>
          <w:tcPr>
            <w:tcW w:w="134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65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0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49" w:type="dxa"/>
            <w:tcBorders/>
            <w:shd w:fill="FFFFFF" w:val="clear"/>
            <w:vAlign w:val="center"/>
          </w:tcPr>
          <w:p>
            <w:pPr>
              <w:pStyle w:val="TableContents"/>
              <w:bidi w:val="0"/>
              <w:spacing w:before="0" w:after="283"/>
              <w:jc w:val="left"/>
              <w:rPr>
                <w:sz w:val="4"/>
                <w:szCs w:val="4"/>
              </w:rPr>
            </w:pPr>
            <w:r>
              <w:rPr>
                <w:sz w:val="4"/>
                <w:szCs w:val="4"/>
              </w:rPr>
            </w:r>
          </w:p>
        </w:tc>
      </w:tr>
      <w:tr>
        <w:trPr/>
        <w:tc>
          <w:tcPr>
            <w:tcW w:w="134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64" w:type="dxa"/>
            <w:gridSpan w:val="2"/>
            <w:tcBorders>
              <w:bottom w:val="single" w:sz="8" w:space="0" w:color="000000"/>
            </w:tcBorders>
            <w:shd w:fill="FFFFFF" w:val="clear"/>
            <w:tcMar>
              <w:bottom w:w="28" w:type="dxa"/>
            </w:tcMar>
            <w:vAlign w:val="center"/>
          </w:tcPr>
          <w:p>
            <w:pPr>
              <w:pStyle w:val="TableContents"/>
              <w:bidi w:val="0"/>
              <w:spacing w:lineRule="auto" w:line="259" w:before="0" w:after="283"/>
              <w:ind w:left="0" w:right="72" w:hanging="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2025</w:t>
            </w:r>
          </w:p>
        </w:tc>
        <w:tc>
          <w:tcPr>
            <w:tcW w:w="959" w:type="dxa"/>
            <w:gridSpan w:val="2"/>
            <w:tcBorders>
              <w:bottom w:val="single" w:sz="8" w:space="0" w:color="000000"/>
            </w:tcBorders>
            <w:shd w:fill="FFFFFF" w:val="clear"/>
            <w:tcMar>
              <w:bottom w:w="28" w:type="dxa"/>
            </w:tcMar>
            <w:vAlign w:val="center"/>
          </w:tcPr>
          <w:p>
            <w:pPr>
              <w:pStyle w:val="TableContents"/>
              <w:bidi w:val="0"/>
              <w:spacing w:lineRule="auto" w:line="259" w:before="0" w:after="283"/>
              <w:ind w:left="0" w:right="72" w:hanging="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2026</w:t>
            </w:r>
          </w:p>
        </w:tc>
        <w:tc>
          <w:tcPr>
            <w:tcW w:w="1214" w:type="dxa"/>
            <w:gridSpan w:val="2"/>
            <w:tcBorders>
              <w:bottom w:val="single" w:sz="8" w:space="0" w:color="000000"/>
            </w:tcBorders>
            <w:shd w:fill="FFFFFF" w:val="clear"/>
            <w:tcMar>
              <w:bottom w:w="28" w:type="dxa"/>
            </w:tcMar>
            <w:vAlign w:val="center"/>
          </w:tcPr>
          <w:p>
            <w:pPr>
              <w:pStyle w:val="TableContents"/>
              <w:bidi w:val="0"/>
              <w:spacing w:lineRule="auto" w:line="259" w:before="0" w:after="283"/>
              <w:ind w:left="0" w:right="72" w:hanging="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2027</w:t>
            </w:r>
          </w:p>
        </w:tc>
        <w:tc>
          <w:tcPr>
            <w:tcW w:w="86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ind w:left="0" w:right="72" w:hanging="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2028</w:t>
            </w:r>
          </w:p>
        </w:tc>
        <w:tc>
          <w:tcPr>
            <w:tcW w:w="1064" w:type="dxa"/>
            <w:gridSpan w:val="2"/>
            <w:tcBorders>
              <w:bottom w:val="single" w:sz="8" w:space="0" w:color="000000"/>
            </w:tcBorders>
            <w:shd w:fill="FFFFFF" w:val="clear"/>
            <w:tcMar>
              <w:bottom w:w="28" w:type="dxa"/>
            </w:tcMar>
            <w:vAlign w:val="center"/>
          </w:tcPr>
          <w:p>
            <w:pPr>
              <w:pStyle w:val="TableContents"/>
              <w:bidi w:val="0"/>
              <w:spacing w:lineRule="auto" w:line="259" w:before="0" w:after="283"/>
              <w:ind w:left="0" w:right="72" w:hanging="0"/>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2029</w:t>
            </w:r>
          </w:p>
        </w:tc>
        <w:tc>
          <w:tcPr>
            <w:tcW w:w="1214"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Thereafter</w:t>
            </w:r>
          </w:p>
        </w:tc>
        <w:tc>
          <w:tcPr>
            <w:tcW w:w="1214"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w:t>
            </w:r>
          </w:p>
        </w:tc>
        <w:tc>
          <w:tcPr>
            <w:tcW w:w="126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Fair Value </w:t>
            </w:r>
          </w:p>
        </w:tc>
      </w:tr>
      <w:tr>
        <w:trPr/>
        <w:tc>
          <w:tcPr>
            <w:tcW w:w="1349" w:type="dxa"/>
            <w:tcBorders>
              <w:top w:val="single" w:sz="8"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Long-term debt:</w:t>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5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0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4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349"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Fixed rate</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142,807</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24,089</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736,398</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5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8,036</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404,832</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5,829,934</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7,146,096</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4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6,018,777</w:t>
            </w:r>
          </w:p>
        </w:tc>
      </w:tr>
      <w:tr>
        <w:trPr/>
        <w:tc>
          <w:tcPr>
            <w:tcW w:w="1349"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Variable rate</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0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413,000</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6"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5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0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0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413,000</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49"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413,000</w:t>
            </w:r>
          </w:p>
        </w:tc>
      </w:tr>
      <w:tr>
        <w:trPr/>
        <w:tc>
          <w:tcPr>
            <w:tcW w:w="134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142,807</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24,089</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1,149,398</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5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8,036</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5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404,832</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5,829,934</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0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7,559,096</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4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6,431,777</w:t>
            </w:r>
          </w:p>
        </w:tc>
      </w:tr>
      <w:tr>
        <w:trPr/>
        <w:tc>
          <w:tcPr>
            <w:tcW w:w="134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Weighted average interest rate</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5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4.77%</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748"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7.27%</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5.02%</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65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3.83%</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85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3.55%</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3.94%</w:t>
            </w:r>
          </w:p>
        </w:tc>
        <w:tc>
          <w:tcPr>
            <w:tcW w:w="211"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03"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4.14%</w:t>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4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Volatile equity market conditions arising from macroeconomic dynamics, public health threats, global conflicts, and sanctions imposed in response thereto, may result in our pension and other post-retirement plans’ assets market values suffering a decline, which could increase our required cash contributions to the plans and expense in subsequent years. The Company reduces this risk through fixed income investments to manage interest rate exposures that impact the valuation of liabilities and through the diversification of investments across and within various asset categories. The Company’s risk is also reduced through its ability to recover pension and other benefit costs through rates. </w:t>
      </w:r>
    </w:p>
    <w:p>
      <w:pPr>
        <w:pStyle w:val="TextBody"/>
        <w:bidi w:val="0"/>
        <w:spacing w:lineRule="auto" w:line="259"/>
        <w:jc w:val="both"/>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From time to time, we make investments in marketable equity securities. As a result, we are exposed to the risk of changes in equity prices for the marketable equity securities. As of December 31, 2024, we have assets of, in thousands of dollars, $31,324 to fund our deferred compensation and non-qualified pension plan liabilities. The market risk of the deferred compensation plan assets are borne by the participants in the deferred compensation plan.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natural gas commodity price risk, driven mainly by price fluctuations of natural gas, is mitigated by our purchased-gas cost adjustment mechanisms, which provide a dollar-for-dollar offset to increases or decreases in the cost of natural gas and allows for recovery of purchased gas costs fluctuations on an ongoing basis without filing a rate case. We also use derivative instruments to economically hedge the cost of anticipated natural gas purchases during the winter heating months that seeks to offset the risk to our customers from upward market price volatility. These instruments include requirements contracts and spot purchase contracts to meet our regulated customers’ natural gas requirements and these instruments may have fixed or variable pricing. The variable price contracts qualify as derivative instruments; however, because the contract price is the prevailing price at the future transaction date the contract has no determinable fair value. The fixed price contracts and firm commitments to purchase a fixed quantity of gas in the future qualify for the normal purchases and normal sales exception that is allowed for contracts that are probable of delivery in the normal course of business and, as such, are accounted for under the accrual basis and not recorded at fair value in the Company’s consolidated financial statements. We also manage gas commodity price risk and supply risk by injecting natural gas into storage during the summer months and withdrawing the natural gas during the winter heating season. </w:t>
        <w:br/>
        <w:t>‎</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tbl>
      <w:tblPr>
        <w:tblW w:w="4082" w:type="dxa"/>
        <w:jc w:val="left"/>
        <w:tblInd w:w="0" w:type="dxa"/>
        <w:tblLayout w:type="fixed"/>
        <w:tblCellMar>
          <w:top w:w="0" w:type="dxa"/>
          <w:left w:w="0" w:type="dxa"/>
          <w:bottom w:w="0" w:type="dxa"/>
          <w:right w:w="0" w:type="dxa"/>
        </w:tblCellMar>
      </w:tblPr>
      <w:tblGrid>
        <w:gridCol w:w="616"/>
        <w:gridCol w:w="3466"/>
      </w:tblGrid>
      <w:tr>
        <w:trPr/>
        <w:tc>
          <w:tcPr>
            <w:tcW w:w="616"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r>
      <w:tr>
        <w:trPr/>
        <w:tc>
          <w:tcPr>
            <w:tcW w:w="6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Item 8.</w:t>
            </w:r>
          </w:p>
        </w:tc>
        <w:tc>
          <w:tcPr>
            <w:tcW w:w="3466" w:type="dxa"/>
            <w:tcBorders/>
            <w:vAlign w:val="center"/>
          </w:tcPr>
          <w:p>
            <w:pPr>
              <w:pStyle w:val="TableContents"/>
              <w:bidi w:val="0"/>
              <w:spacing w:lineRule="auto" w:line="259" w:before="0" w:after="283"/>
              <w:jc w:val="left"/>
              <w:rPr>
                <w:rFonts w:ascii="Times New Roman;serif" w:hAnsi="Times New Roman;serif"/>
                <w:b w:val="false"/>
                <w:i/>
                <w:sz w:val="18"/>
              </w:rPr>
            </w:pPr>
            <w:r>
              <w:rPr>
                <w:rFonts w:ascii="Times New Roman;serif" w:hAnsi="Times New Roman;serif"/>
                <w:b w:val="false"/>
                <w:i/>
                <w:sz w:val="18"/>
              </w:rPr>
              <w:t>Financial Statements and Supplementary Data</w:t>
            </w:r>
            <w:bookmarkStart w:id="23" w:name="FSandSupplementaryData"/>
            <w:bookmarkEnd w:id="23"/>
          </w:p>
        </w:tc>
      </w:tr>
    </w:tbl>
    <w:p>
      <w:pPr>
        <w:pStyle w:val="TextBody"/>
        <w:bidi w:val="0"/>
        <w:spacing w:lineRule="auto" w:line="259"/>
        <w:jc w:val="center"/>
        <w:rPr>
          <w:rFonts w:ascii="Times New Roman;serif" w:hAnsi="Times New Roman;serif"/>
          <w:b/>
          <w:i w:val="false"/>
          <w:caps w:val="false"/>
          <w:smallCaps w:val="false"/>
          <w:sz w:val="18"/>
        </w:rPr>
      </w:pPr>
      <w:r>
        <w:rPr>
          <w:rFonts w:ascii="Times New Roman;serif" w:hAnsi="Times New Roman;serif"/>
          <w:b/>
          <w:i w:val="false"/>
          <w:caps w:val="false"/>
          <w:smallCaps w:val="false"/>
          <w:sz w:val="18"/>
        </w:rPr>
        <w:t xml:space="preserve">Index to Consolidated Financial Statements </w:t>
      </w:r>
    </w:p>
    <w:tbl>
      <w:tblPr>
        <w:tblW w:w="7772" w:type="dxa"/>
        <w:jc w:val="left"/>
        <w:tblInd w:w="0" w:type="dxa"/>
        <w:tblLayout w:type="fixed"/>
        <w:tblCellMar>
          <w:top w:w="0" w:type="dxa"/>
          <w:left w:w="0" w:type="dxa"/>
          <w:bottom w:w="0" w:type="dxa"/>
          <w:right w:w="0" w:type="dxa"/>
        </w:tblCellMar>
      </w:tblPr>
      <w:tblGrid>
        <w:gridCol w:w="6646"/>
        <w:gridCol w:w="1126"/>
      </w:tblGrid>
      <w:tr>
        <w:trPr/>
        <w:tc>
          <w:tcPr>
            <w:tcW w:w="66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66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u w:val="single"/>
              </w:rPr>
            </w:pPr>
            <w:r>
              <w:rPr>
                <w:rFonts w:ascii="Times New Roman;serif" w:hAnsi="Times New Roman;serif"/>
                <w:b w:val="false"/>
                <w:i w:val="false"/>
                <w:caps w:val="false"/>
                <w:smallCaps w:val="false"/>
                <w:sz w:val="18"/>
                <w:u w:val="single"/>
              </w:rPr>
              <w:t>Page Number</w:t>
            </w:r>
          </w:p>
        </w:tc>
      </w:tr>
      <w:tr>
        <w:trPr/>
        <w:tc>
          <w:tcPr>
            <w:tcW w:w="6646" w:type="dxa"/>
            <w:tcBorders/>
            <w:shd w:fill="CCEEFF" w:val="clear"/>
            <w:vAlign w:val="center"/>
          </w:tcPr>
          <w:p>
            <w:pPr>
              <w:pStyle w:val="TableContents"/>
              <w:bidi w:val="0"/>
              <w:spacing w:lineRule="auto" w:line="259" w:before="0" w:after="283"/>
              <w:jc w:val="left"/>
              <w:rPr/>
            </w:pPr>
            <w:hyperlink w:anchor="Audit_Opinion">
              <w:r>
                <w:rPr>
                  <w:rStyle w:val="InternetLink"/>
                  <w:rFonts w:ascii="Times New Roman;serif" w:hAnsi="Times New Roman;serif"/>
                  <w:b w:val="false"/>
                  <w:i w:val="false"/>
                  <w:caps w:val="false"/>
                  <w:smallCaps w:val="false"/>
                  <w:color w:val="0000FF"/>
                  <w:sz w:val="18"/>
                  <w:u w:val="single"/>
                </w:rPr>
                <w:t>Report of Independent Registered Public Accounting Firm</w:t>
              </w:r>
            </w:hyperlink>
            <w:r>
              <w:rPr>
                <w:rFonts w:ascii="Times New Roman;serif" w:hAnsi="Times New Roman;serif"/>
                <w:caps w:val="false"/>
                <w:smallCaps w:val="false"/>
                <w:sz w:val="18"/>
              </w:rPr>
              <w:t xml:space="preserve"> </w:t>
            </w:r>
            <w:r>
              <w:rPr>
                <w:rFonts w:ascii="Times New Roman;serif" w:hAnsi="Times New Roman;serif"/>
                <w:b w:val="false"/>
                <w:i w:val="false"/>
                <w:caps w:val="false"/>
                <w:smallCaps w:val="false"/>
                <w:sz w:val="18"/>
              </w:rPr>
              <w:t>(PCAOB ID 238)</w:t>
            </w:r>
          </w:p>
        </w:tc>
        <w:tc>
          <w:tcPr>
            <w:tcW w:w="112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62</w:t>
            </w:r>
          </w:p>
        </w:tc>
      </w:tr>
      <w:tr>
        <w:trPr/>
        <w:tc>
          <w:tcPr>
            <w:tcW w:w="6646" w:type="dxa"/>
            <w:tcBorders/>
            <w:vAlign w:val="center"/>
          </w:tcPr>
          <w:p>
            <w:pPr>
              <w:pStyle w:val="TableContents"/>
              <w:bidi w:val="0"/>
              <w:spacing w:lineRule="auto" w:line="259" w:before="0" w:after="283"/>
              <w:jc w:val="left"/>
              <w:rPr/>
            </w:pPr>
            <w:hyperlink w:anchor="Balance_Sheet">
              <w:r>
                <w:rPr>
                  <w:rStyle w:val="InternetLink"/>
                  <w:rFonts w:ascii="Times New Roman;serif" w:hAnsi="Times New Roman;serif"/>
                  <w:b w:val="false"/>
                  <w:i w:val="false"/>
                  <w:caps w:val="false"/>
                  <w:smallCaps w:val="false"/>
                  <w:color w:val="0000FF"/>
                  <w:sz w:val="18"/>
                  <w:u w:val="single"/>
                </w:rPr>
                <w:t>Consolidated Balance Sheets – December 31, 2024 and 2023</w:t>
              </w:r>
            </w:hyperlink>
          </w:p>
        </w:tc>
        <w:tc>
          <w:tcPr>
            <w:tcW w:w="112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63</w:t>
            </w:r>
          </w:p>
        </w:tc>
      </w:tr>
      <w:tr>
        <w:trPr/>
        <w:tc>
          <w:tcPr>
            <w:tcW w:w="6646" w:type="dxa"/>
            <w:tcBorders/>
            <w:shd w:fill="CCEEFF" w:val="clear"/>
            <w:vAlign w:val="center"/>
          </w:tcPr>
          <w:p>
            <w:pPr>
              <w:pStyle w:val="TableContents"/>
              <w:bidi w:val="0"/>
              <w:spacing w:lineRule="auto" w:line="259" w:before="0" w:after="283"/>
              <w:jc w:val="left"/>
              <w:rPr/>
            </w:pPr>
            <w:hyperlink w:anchor="Income_Statement">
              <w:r>
                <w:rPr>
                  <w:rStyle w:val="InternetLink"/>
                  <w:rFonts w:ascii="Times New Roman;serif" w:hAnsi="Times New Roman;serif"/>
                  <w:b w:val="false"/>
                  <w:i w:val="false"/>
                  <w:caps w:val="false"/>
                  <w:smallCaps w:val="false"/>
                  <w:strike w:val="false"/>
                  <w:dstrike w:val="false"/>
                  <w:color w:val="0000FF"/>
                  <w:sz w:val="18"/>
                  <w:u w:val="single"/>
                  <w:effect w:val="none"/>
                </w:rPr>
                <w:t>Consolidated Statements of Operations and Comprehensive Income – 2024, 2023, and 2022</w:t>
              </w:r>
            </w:hyperlink>
          </w:p>
        </w:tc>
        <w:tc>
          <w:tcPr>
            <w:tcW w:w="112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65</w:t>
            </w:r>
          </w:p>
        </w:tc>
      </w:tr>
      <w:tr>
        <w:trPr/>
        <w:tc>
          <w:tcPr>
            <w:tcW w:w="664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6646" w:type="dxa"/>
            <w:tcBorders/>
            <w:shd w:fill="CCEEFF" w:val="clear"/>
            <w:vAlign w:val="center"/>
          </w:tcPr>
          <w:p>
            <w:pPr>
              <w:pStyle w:val="TableContents"/>
              <w:bidi w:val="0"/>
              <w:spacing w:lineRule="auto" w:line="259" w:before="0" w:after="283"/>
              <w:jc w:val="left"/>
              <w:rPr/>
            </w:pPr>
            <w:hyperlink w:anchor="consolidatedstatmentofcapitilization">
              <w:r>
                <w:rPr>
                  <w:rStyle w:val="InternetLink"/>
                  <w:rFonts w:ascii="Times New Roman;serif" w:hAnsi="Times New Roman;serif"/>
                  <w:b w:val="false"/>
                  <w:i w:val="false"/>
                  <w:caps w:val="false"/>
                  <w:smallCaps w:val="false"/>
                  <w:strike w:val="false"/>
                  <w:dstrike w:val="false"/>
                  <w:color w:val="0000FF"/>
                  <w:sz w:val="18"/>
                  <w:u w:val="single"/>
                  <w:effect w:val="none"/>
                </w:rPr>
                <w:t xml:space="preserve">Consolidated Statements of Capitalization – December 31, 2024 and 2023 </w:t>
              </w:r>
            </w:hyperlink>
          </w:p>
        </w:tc>
        <w:tc>
          <w:tcPr>
            <w:tcW w:w="112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66</w:t>
            </w:r>
          </w:p>
        </w:tc>
      </w:tr>
      <w:tr>
        <w:trPr/>
        <w:tc>
          <w:tcPr>
            <w:tcW w:w="6646" w:type="dxa"/>
            <w:tcBorders/>
            <w:vAlign w:val="center"/>
          </w:tcPr>
          <w:p>
            <w:pPr>
              <w:pStyle w:val="TableContents"/>
              <w:bidi w:val="0"/>
              <w:spacing w:lineRule="auto" w:line="259" w:before="0" w:after="283"/>
              <w:jc w:val="left"/>
              <w:rPr/>
            </w:pPr>
            <w:hyperlink w:anchor="Equity_Stmt">
              <w:r>
                <w:rPr>
                  <w:rStyle w:val="InternetLink"/>
                  <w:rFonts w:ascii="Times New Roman;serif" w:hAnsi="Times New Roman;serif"/>
                  <w:b w:val="false"/>
                  <w:i w:val="false"/>
                  <w:caps w:val="false"/>
                  <w:smallCaps w:val="false"/>
                  <w:strike w:val="false"/>
                  <w:dstrike w:val="false"/>
                  <w:color w:val="0000FF"/>
                  <w:sz w:val="18"/>
                  <w:u w:val="single"/>
                  <w:effect w:val="none"/>
                </w:rPr>
                <w:t>Consolidated Statements of Equity – December 31, 2024, 2023, and 2022</w:t>
              </w:r>
            </w:hyperlink>
          </w:p>
        </w:tc>
        <w:tc>
          <w:tcPr>
            <w:tcW w:w="112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67</w:t>
            </w:r>
          </w:p>
        </w:tc>
      </w:tr>
      <w:tr>
        <w:trPr/>
        <w:tc>
          <w:tcPr>
            <w:tcW w:w="6646" w:type="dxa"/>
            <w:tcBorders/>
            <w:shd w:fill="CCEEFF" w:val="clear"/>
            <w:vAlign w:val="center"/>
          </w:tcPr>
          <w:p>
            <w:pPr>
              <w:pStyle w:val="TableContents"/>
              <w:bidi w:val="0"/>
              <w:spacing w:lineRule="auto" w:line="259" w:before="0" w:after="283"/>
              <w:jc w:val="left"/>
              <w:rPr/>
            </w:pPr>
            <w:hyperlink w:anchor="Cash_Flow_Stmt">
              <w:r>
                <w:rPr>
                  <w:rStyle w:val="InternetLink"/>
                  <w:rFonts w:ascii="Times New Roman;serif" w:hAnsi="Times New Roman;serif"/>
                  <w:b w:val="false"/>
                  <w:i w:val="false"/>
                  <w:caps w:val="false"/>
                  <w:smallCaps w:val="false"/>
                  <w:strike w:val="false"/>
                  <w:dstrike w:val="false"/>
                  <w:color w:val="0000FF"/>
                  <w:sz w:val="18"/>
                  <w:u w:val="single"/>
                  <w:effect w:val="none"/>
                </w:rPr>
                <w:t>Consolidated Statements of Cash Flows – 2024, 2023, and 2022</w:t>
              </w:r>
            </w:hyperlink>
          </w:p>
        </w:tc>
        <w:tc>
          <w:tcPr>
            <w:tcW w:w="1126"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68</w:t>
            </w:r>
          </w:p>
        </w:tc>
      </w:tr>
      <w:tr>
        <w:trPr/>
        <w:tc>
          <w:tcPr>
            <w:tcW w:w="6646" w:type="dxa"/>
            <w:tcBorders/>
            <w:vAlign w:val="center"/>
          </w:tcPr>
          <w:p>
            <w:pPr>
              <w:pStyle w:val="TableContents"/>
              <w:bidi w:val="0"/>
              <w:spacing w:lineRule="auto" w:line="259" w:before="0" w:after="283"/>
              <w:jc w:val="left"/>
              <w:rPr/>
            </w:pPr>
            <w:hyperlink w:anchor="Footnotes">
              <w:r>
                <w:rPr>
                  <w:rStyle w:val="InternetLink"/>
                  <w:rFonts w:ascii="Times New Roman;serif" w:hAnsi="Times New Roman;serif"/>
                  <w:b w:val="false"/>
                  <w:i w:val="false"/>
                  <w:caps w:val="false"/>
                  <w:smallCaps w:val="false"/>
                  <w:strike w:val="false"/>
                  <w:dstrike w:val="false"/>
                  <w:color w:val="0000FF"/>
                  <w:sz w:val="18"/>
                  <w:u w:val="single"/>
                  <w:effect w:val="none"/>
                </w:rPr>
                <w:t xml:space="preserve">Notes to Consolidated Financial Statements </w:t>
              </w:r>
            </w:hyperlink>
          </w:p>
        </w:tc>
        <w:tc>
          <w:tcPr>
            <w:tcW w:w="1126"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18"/>
              </w:rPr>
            </w:pPr>
            <w:r>
              <w:rPr>
                <w:rFonts w:ascii="Times New Roman;serif" w:hAnsi="Times New Roman;serif"/>
                <w:b w:val="false"/>
                <w:i w:val="false"/>
                <w:caps w:val="false"/>
                <w:smallCaps w:val="false"/>
                <w:sz w:val="18"/>
              </w:rPr>
              <w:t>69</w:t>
            </w:r>
          </w:p>
        </w:tc>
      </w:tr>
    </w:tbl>
    <w:p>
      <w:pPr>
        <w:pStyle w:val="TextBody"/>
        <w:bidi w:val="0"/>
        <w:spacing w:lineRule="auto" w:line="259" w:before="0" w:after="100"/>
        <w:rPr>
          <w:rFonts w:ascii="Times New Roman;serif" w:hAnsi="Times New Roman;serif"/>
          <w:sz w:val="18"/>
        </w:rPr>
      </w:pPr>
      <w:r>
        <w:rPr>
          <w:rFonts w:ascii="Times New Roman;serif" w:hAnsi="Times New Roman;serif"/>
          <w:b w:val="false"/>
          <w:i w:val="false"/>
          <w:caps w:val="false"/>
          <w:smallCaps w:val="false"/>
          <w:sz w:val="18"/>
        </w:rPr>
        <w:br/>
        <w:t>‎</w:t>
      </w:r>
      <w:r>
        <w:rPr>
          <w:rFonts w:ascii="Times New Roman;serif" w:hAnsi="Times New Roman;serif"/>
          <w:caps w:val="false"/>
          <w:smallCaps w:val="false"/>
          <w:sz w:val="18"/>
        </w:rPr>
        <w:t xml:space="preser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Report of Independent Registered Public Accounting Firm</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 the Board of Directors and Shareholders of Essential Utilities, Inc.</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Opinions on the Financial Statements and Internal Control over Financial Reporting</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We have audited the accompanying consolidated balance sheets, including the consolidated statements of capitalization, of Essential Utilities, Inc. and its subsidiaries (the “Company”) as of December 31, 2024 and 2023, and the related consolidated statements of operations and comprehensive income, of equity and of cash flows for each of the three years in the period ended December 31, 2024, including the related notes and schedule of condensed parent company financial statements as of December 31, 2024 and 2023 and for each of the three years in the period ended December 31, 2024 appearing after the signature pages (collectively referred to as the “consolidated financial statements”). We also have audited the Company's internal control over financial reporting as of December 31, 2024, based on criteria established in </w:t>
      </w:r>
      <w:r>
        <w:rPr>
          <w:rFonts w:ascii="Times New Roman;serif" w:hAnsi="Times New Roman;serif"/>
          <w:b w:val="false"/>
          <w:i/>
          <w:color w:val="000000"/>
          <w:sz w:val="20"/>
        </w:rPr>
        <w:t>Internal Control - Integrated Framework</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(2013) issued by the Committee of Sponsoring Organizations of the Treadway Commission (COSO).</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 Also in our opinion, the Company maintained, in all material respects, effective internal control over financial reporting as of December 31, 2024, based on criteria established in </w:t>
      </w:r>
      <w:r>
        <w:rPr>
          <w:rFonts w:ascii="Times New Roman;serif" w:hAnsi="Times New Roman;serif"/>
          <w:b w:val="false"/>
          <w:i/>
          <w:color w:val="000000"/>
          <w:sz w:val="20"/>
        </w:rPr>
        <w:t>Internal Control - Integrated Framework</w:t>
      </w:r>
      <w:r>
        <w:rPr>
          <w:rFonts w:ascii="Times New Roman;serif" w:hAnsi="Times New Roman;serif"/>
          <w:caps w:val="false"/>
          <w:smallCaps w:val="false"/>
          <w:color w:val="000000"/>
          <w:sz w:val="20"/>
        </w:rPr>
        <w:t xml:space="preserve"> </w:t>
      </w:r>
      <w:r>
        <w:rPr>
          <w:rFonts w:ascii="Times New Roman;serif" w:hAnsi="Times New Roman;serif"/>
          <w:b w:val="false"/>
          <w:i w:val="false"/>
          <w:caps w:val="false"/>
          <w:smallCaps w:val="false"/>
          <w:color w:val="000000"/>
          <w:sz w:val="20"/>
        </w:rPr>
        <w:t>(2013) issued by the COSO.</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Basis for Opinions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Definition and Limitations of Internal Control over Financial Reporting</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59"/>
        <w:rPr>
          <w:rFonts w:ascii="Times New Roman;serif" w:hAnsi="Times New Roman;serif"/>
          <w:b w:val="false"/>
          <w:i/>
          <w:color w:val="000000"/>
          <w:sz w:val="20"/>
        </w:rPr>
      </w:pPr>
      <w:r>
        <w:rPr>
          <w:rFonts w:ascii="Times New Roman;serif" w:hAnsi="Times New Roman;serif"/>
          <w:b w:val="false"/>
          <w:i/>
          <w:color w:val="000000"/>
          <w:sz w:val="20"/>
        </w:rPr>
        <w:t>Accounting for the Effects of Regulatory Matters</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As described in Notes 1 and 6 to the consolidated financial statements, most of the operating companies of the Company that are regulated public utilities are subject to regulation by the utility commissions of the states in which they operate. Some of the operating companies that are regulated public utilities are also subject to rate regulation by county or city government. As of December 31, 2024, regulatory assets were $1.94 billion and regulatory liabilities were $0.77 billion. Regulated public utilities follow the accounting guidance for regulated operations, which provides for the recognition of regulatory assets and liabilities as allowed by regulators for costs or credits that are reflected in current rates or are considered probable of being included in future rates. The regulatory assets represent costs that are probable to be fully recovered from customers in future rates while regulatory liabilities represent amounts that are expected to be refunded to customers in future rates or amounts recovered from customers in advance of incurring the costs. The regulatory assets or liabilities are then relieved as the cost or credit is reflected in the Company’s rates charged for utility service. If, as a result of a change in circumstances, it is determined that a regulated operating company no longer meets the criteria to apply regulatory accounting, the operating company would have to discontinue regulatory accounting and write-off the respective regulatory assets and liabilities.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The principal considerations for our determination that performing procedures relating to accounting for the effects of regulatory matters is a critical audit matter are a high degree of auditor effort in performing procedures and evaluating audit evidence related to the probability of recovery of regulatory assets and refund of regulatory liabilities.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Addressing the matter involved performing procedures and evaluating audit evidence in connection with forming our overall opinion on the consolidated financial statements. These procedures included testing the effectiveness of controls relating to management’s assessment of regulatory proceedings, including controls over the probability of recovery of regulatory assets, refund of regulatory liabilities, and the related accounting and disclosure impacts. These procedures also included, among others (i) evaluating the reasonableness of management’s assessment regarding the probability of recovery of regulatory assets and refund of regulatory liabilities and (ii) testing, on a sample basis, regulatory assets and regulatory liabilities, based on the provisions and formulas outlined in rate orders and other regulatory proceedings and correspondence, as well as application of relevant regulatory precedents.</w:t>
      </w:r>
    </w:p>
    <w:p>
      <w:pPr>
        <w:pStyle w:val="TextBody"/>
        <w:bidi w:val="0"/>
        <w:spacing w:lineRule="auto" w:line="259"/>
        <w:rPr>
          <w:rFonts w:ascii="Times New Roman;serif" w:hAnsi="Times New Roman;serif"/>
          <w:sz w:val="20"/>
        </w:rPr>
      </w:pPr>
      <w:r>
        <w:rPr>
          <w:rFonts w:ascii="Times New Roman;serif" w:hAnsi="Times New Roman;serif"/>
          <w:b w:val="false"/>
          <w:i w:val="false"/>
          <w:caps w:val="false"/>
          <w:smallCaps w:val="false"/>
          <w:color w:val="000000"/>
          <w:sz w:val="20"/>
        </w:rPr>
        <w:t>/s/ PricewaterhouseCoopers LLP</w:t>
      </w:r>
      <w:r>
        <w:rPr>
          <w:rFonts w:ascii="Times New Roman;serif" w:hAnsi="Times New Roman;serif"/>
          <w:caps w:val="false"/>
          <w:smallCaps w:val="false"/>
          <w:color w:val="000000"/>
          <w:sz w:val="20"/>
        </w:rPr>
        <w:t xml:space="preserve"> </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Philadelphia, Pennsylvania</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February 27, 2025</w:t>
      </w:r>
    </w:p>
    <w:p>
      <w:pPr>
        <w:pStyle w:val="TextBody"/>
        <w:bidi w:val="0"/>
        <w:spacing w:lineRule="auto" w:line="259"/>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We have served as the Company’s auditor since 2000.</w:t>
      </w:r>
    </w:p>
    <w:p>
      <w:pPr>
        <w:pStyle w:val="TextBody"/>
        <w:bidi w:val="0"/>
        <w:spacing w:lineRule="auto" w:line="259"/>
        <w:jc w:val="center"/>
        <w:rPr>
          <w:caps w:val="false"/>
          <w:smallCaps w:val="false"/>
        </w:rPr>
      </w:pPr>
      <w:bookmarkStart w:id="24" w:name="Balance_Sheet"/>
      <w:bookmarkStart w:id="25" w:name="Audit_Opinion"/>
      <w:bookmarkEnd w:id="24"/>
      <w:bookmarkEnd w:id="25"/>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BALANCE SHEETS</w:t>
      </w:r>
    </w:p>
    <w:p>
      <w:pPr>
        <w:pStyle w:val="TextBody"/>
        <w:bidi w:val="0"/>
        <w:spacing w:lineRule="auto" w:line="259" w:before="0" w:after="10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tbl>
      <w:tblPr>
        <w:tblW w:w="6813" w:type="dxa"/>
        <w:jc w:val="left"/>
        <w:tblInd w:w="0" w:type="dxa"/>
        <w:tblLayout w:type="fixed"/>
        <w:tblCellMar>
          <w:top w:w="0" w:type="dxa"/>
          <w:left w:w="0" w:type="dxa"/>
          <w:bottom w:w="0" w:type="dxa"/>
          <w:right w:w="0" w:type="dxa"/>
        </w:tblCellMar>
      </w:tblPr>
      <w:tblGrid>
        <w:gridCol w:w="3901"/>
        <w:gridCol w:w="226"/>
        <w:gridCol w:w="1229"/>
        <w:gridCol w:w="226"/>
        <w:gridCol w:w="1231"/>
      </w:tblGrid>
      <w:tr>
        <w:trPr/>
        <w:tc>
          <w:tcPr>
            <w:tcW w:w="390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22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shd w:fill="FFFFFF" w:val="clear"/>
            <w:vAlign w:val="center"/>
          </w:tcPr>
          <w:p>
            <w:pPr>
              <w:pStyle w:val="TableContents"/>
              <w:bidi w:val="0"/>
              <w:spacing w:before="0" w:after="283"/>
              <w:jc w:val="left"/>
              <w:rPr>
                <w:sz w:val="4"/>
                <w:szCs w:val="4"/>
              </w:rPr>
            </w:pPr>
            <w:r>
              <w:rPr>
                <w:sz w:val="4"/>
                <w:szCs w:val="4"/>
              </w:rPr>
            </w:r>
          </w:p>
        </w:tc>
      </w:tr>
      <w:tr>
        <w:trPr/>
        <w:tc>
          <w:tcPr>
            <w:tcW w:w="3901" w:type="dxa"/>
            <w:tcBorders/>
            <w:shd w:fill="FFFFFF" w:val="clear"/>
            <w:vAlign w:val="center"/>
          </w:tcPr>
          <w:p>
            <w:pPr>
              <w:pStyle w:val="TableContents"/>
              <w:bidi w:val="0"/>
              <w:spacing w:before="0" w:after="283"/>
              <w:jc w:val="left"/>
              <w:rPr>
                <w:sz w:val="4"/>
                <w:szCs w:val="4"/>
              </w:rPr>
            </w:pPr>
            <w:r>
              <w:rPr>
                <w:sz w:val="4"/>
                <w:szCs w:val="4"/>
              </w:rPr>
            </w:r>
          </w:p>
        </w:tc>
        <w:tc>
          <w:tcPr>
            <w:tcW w:w="2912"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December 31,</w:t>
            </w:r>
          </w:p>
        </w:tc>
      </w:tr>
      <w:tr>
        <w:trPr/>
        <w:tc>
          <w:tcPr>
            <w:tcW w:w="3901" w:type="dxa"/>
            <w:tcBorders/>
            <w:shd w:fill="FFFFFF" w:val="cle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145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r>
      <w:tr>
        <w:trPr/>
        <w:tc>
          <w:tcPr>
            <w:tcW w:w="3901"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Assets</w:t>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2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39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Property, plant and equipment, at cost</w:t>
            </w:r>
          </w:p>
        </w:tc>
        <w:tc>
          <w:tcPr>
            <w:tcW w:w="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229" w:type="dxa"/>
            <w:tcBorders/>
            <w:shd w:fill="CCEEFF" w:val="cle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16,275,377</w:t>
            </w:r>
          </w:p>
        </w:tc>
        <w:tc>
          <w:tcPr>
            <w:tcW w:w="2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2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14,977,021</w:t>
            </w:r>
          </w:p>
        </w:tc>
      </w:tr>
      <w:tr>
        <w:trPr/>
        <w:tc>
          <w:tcPr>
            <w:tcW w:w="39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Less: accumulated depreciation</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9" w:type="dxa"/>
            <w:tcBorders>
              <w:bottom w:val="single" w:sz="8" w:space="0" w:color="000000"/>
            </w:tcBorders>
            <w:tcMar>
              <w:bottom w:w="2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3,131,901</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2,879,949</w:t>
            </w:r>
          </w:p>
        </w:tc>
      </w:tr>
      <w:tr>
        <w:trPr/>
        <w:tc>
          <w:tcPr>
            <w:tcW w:w="39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Net property, plant and equipment</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ind w:left="0" w:right="115" w:hanging="0"/>
              <w:jc w:val="left"/>
              <w:rPr>
                <w:sz w:val="4"/>
                <w:szCs w:val="4"/>
              </w:rPr>
            </w:pPr>
            <w:r>
              <w:rPr>
                <w:sz w:val="4"/>
                <w:szCs w:val="4"/>
              </w:rPr>
            </w:r>
          </w:p>
        </w:tc>
        <w:tc>
          <w:tcPr>
            <w:tcW w:w="122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13,143,476</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12,097,072</w:t>
            </w:r>
          </w:p>
        </w:tc>
      </w:tr>
      <w:tr>
        <w:trPr/>
        <w:tc>
          <w:tcPr>
            <w:tcW w:w="3901"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2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9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Current assets: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2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before="0" w:after="283"/>
              <w:jc w:val="left"/>
              <w:rPr>
                <w:sz w:val="4"/>
                <w:szCs w:val="4"/>
              </w:rPr>
            </w:pPr>
            <w:r>
              <w:rPr>
                <w:sz w:val="4"/>
                <w:szCs w:val="4"/>
              </w:rPr>
            </w:r>
          </w:p>
        </w:tc>
      </w:tr>
      <w:tr>
        <w:trPr/>
        <w:tc>
          <w:tcPr>
            <w:tcW w:w="390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Cash and cash equivalents</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229" w:type="dxa"/>
            <w:tcBorders/>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9,156</w:t>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4,612</w:t>
            </w:r>
          </w:p>
        </w:tc>
      </w:tr>
      <w:tr>
        <w:trPr/>
        <w:tc>
          <w:tcPr>
            <w:tcW w:w="39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Accounts receivable, net</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1229" w:type="dxa"/>
            <w:tcBorders/>
            <w:shd w:fill="CCEEFF" w:val="cle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166,522</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144,300</w:t>
            </w:r>
          </w:p>
        </w:tc>
      </w:tr>
      <w:tr>
        <w:trPr/>
        <w:tc>
          <w:tcPr>
            <w:tcW w:w="390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Unbilled revenues</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229" w:type="dxa"/>
            <w:tcBorders/>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142,310</w:t>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101,436</w:t>
            </w:r>
          </w:p>
        </w:tc>
      </w:tr>
      <w:tr>
        <w:trPr/>
        <w:tc>
          <w:tcPr>
            <w:tcW w:w="39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Inventory - materials and supplies</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1229" w:type="dxa"/>
            <w:tcBorders/>
            <w:shd w:fill="CCEEFF" w:val="cle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48,619</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47,494</w:t>
            </w:r>
          </w:p>
        </w:tc>
      </w:tr>
      <w:tr>
        <w:trPr/>
        <w:tc>
          <w:tcPr>
            <w:tcW w:w="390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Inventory - gas stored</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229" w:type="dxa"/>
            <w:tcBorders/>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45,311</w:t>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65,173</w:t>
            </w:r>
          </w:p>
        </w:tc>
      </w:tr>
      <w:tr>
        <w:trPr/>
        <w:tc>
          <w:tcPr>
            <w:tcW w:w="39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Prepayments and other current assets</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1229" w:type="dxa"/>
            <w:tcBorders/>
            <w:shd w:fill="CCEEFF" w:val="cle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41,139</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99,884</w:t>
            </w:r>
          </w:p>
        </w:tc>
      </w:tr>
      <w:tr>
        <w:trPr/>
        <w:tc>
          <w:tcPr>
            <w:tcW w:w="390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Regulatory assets</w:t>
            </w:r>
          </w:p>
        </w:tc>
        <w:tc>
          <w:tcPr>
            <w:tcW w:w="226" w:type="dxa"/>
            <w:tcBorders>
              <w:bottom w:val="single" w:sz="8" w:space="0" w:color="000000"/>
            </w:tcBorders>
            <w:tcMar>
              <w:bottom w:w="28" w:type="dxa"/>
            </w:tcMar>
            <w:vAlign w:val="center"/>
          </w:tcPr>
          <w:p>
            <w:pPr>
              <w:pStyle w:val="TableContents"/>
              <w:bidi w:val="0"/>
              <w:spacing w:before="0" w:after="283"/>
              <w:ind w:left="0" w:right="115" w:hanging="0"/>
              <w:jc w:val="left"/>
              <w:rPr>
                <w:sz w:val="4"/>
                <w:szCs w:val="4"/>
              </w:rPr>
            </w:pPr>
            <w:r>
              <w:rPr>
                <w:sz w:val="4"/>
                <w:szCs w:val="4"/>
              </w:rPr>
            </w:r>
          </w:p>
        </w:tc>
        <w:tc>
          <w:tcPr>
            <w:tcW w:w="1229" w:type="dxa"/>
            <w:tcBorders>
              <w:bottom w:val="single" w:sz="8" w:space="0" w:color="000000"/>
            </w:tcBorders>
            <w:tcMar>
              <w:bottom w:w="2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32,854</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29,080</w:t>
            </w:r>
          </w:p>
        </w:tc>
      </w:tr>
      <w:tr>
        <w:trPr/>
        <w:tc>
          <w:tcPr>
            <w:tcW w:w="39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current assets</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ind w:left="0" w:right="115" w:hanging="0"/>
              <w:jc w:val="left"/>
              <w:rPr>
                <w:sz w:val="4"/>
                <w:szCs w:val="4"/>
              </w:rPr>
            </w:pPr>
            <w:r>
              <w:rPr>
                <w:sz w:val="4"/>
                <w:szCs w:val="4"/>
              </w:rPr>
            </w:r>
          </w:p>
        </w:tc>
        <w:tc>
          <w:tcPr>
            <w:tcW w:w="1229"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485,911</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491,979</w:t>
            </w:r>
          </w:p>
        </w:tc>
      </w:tr>
      <w:tr>
        <w:trPr/>
        <w:tc>
          <w:tcPr>
            <w:tcW w:w="3901"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29" w:type="dxa"/>
            <w:tcBorders>
              <w:top w:val="single" w:sz="8" w:space="0" w:color="000000"/>
            </w:tcBorders>
            <w:tcMar>
              <w:top w:w="28" w:type="dxa"/>
            </w:tcMar>
            <w:vAlign w:val="center"/>
          </w:tcPr>
          <w:p>
            <w:pPr>
              <w:pStyle w:val="TableContents"/>
              <w:bidi w:val="0"/>
              <w:spacing w:before="0" w:after="283"/>
              <w:ind w:left="0" w:right="43" w:hanging="0"/>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9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Regulatory assets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29" w:type="dxa"/>
            <w:tcBorders/>
            <w:shd w:fill="CCEEFF" w:val="cle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1,907,786</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1,766,892</w:t>
            </w:r>
          </w:p>
        </w:tc>
      </w:tr>
      <w:tr>
        <w:trPr/>
        <w:tc>
          <w:tcPr>
            <w:tcW w:w="39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Deferred charges and other assets, net</w:t>
            </w:r>
          </w:p>
        </w:tc>
        <w:tc>
          <w:tcPr>
            <w:tcW w:w="22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112,712</w:t>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102,388</w:t>
            </w:r>
          </w:p>
        </w:tc>
      </w:tr>
      <w:tr>
        <w:trPr/>
        <w:tc>
          <w:tcPr>
            <w:tcW w:w="39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Funds restricted for construction activity</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29" w:type="dxa"/>
            <w:tcBorders/>
            <w:shd w:fill="CCEEFF" w:val="cle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1,420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1,381</w:t>
            </w:r>
          </w:p>
        </w:tc>
      </w:tr>
      <w:tr>
        <w:trPr/>
        <w:tc>
          <w:tcPr>
            <w:tcW w:w="39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Goodwill</w:t>
            </w:r>
          </w:p>
        </w:tc>
        <w:tc>
          <w:tcPr>
            <w:tcW w:w="226"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2,340,713</w:t>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2,340,738</w:t>
            </w:r>
          </w:p>
        </w:tc>
      </w:tr>
      <w:tr>
        <w:trPr/>
        <w:tc>
          <w:tcPr>
            <w:tcW w:w="39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lease right-of-use assets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29" w:type="dxa"/>
            <w:tcBorders/>
            <w:shd w:fill="CCEEFF" w:val="cle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31,263</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37,416</w:t>
            </w:r>
          </w:p>
        </w:tc>
      </w:tr>
      <w:tr>
        <w:trPr/>
        <w:tc>
          <w:tcPr>
            <w:tcW w:w="39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Intangible assets</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29" w:type="dxa"/>
            <w:tcBorders>
              <w:bottom w:val="single" w:sz="8" w:space="0" w:color="000000"/>
            </w:tcBorders>
            <w:tcMar>
              <w:bottom w:w="2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3,273</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3,593</w:t>
            </w:r>
          </w:p>
        </w:tc>
      </w:tr>
      <w:tr>
        <w:trPr/>
        <w:tc>
          <w:tcPr>
            <w:tcW w:w="39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assets</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22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18,026,554</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2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16,841,459</w:t>
            </w:r>
          </w:p>
        </w:tc>
      </w:tr>
      <w:tr>
        <w:trPr/>
        <w:tc>
          <w:tcPr>
            <w:tcW w:w="3901" w:type="dxa"/>
            <w:tcBorders/>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2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813" w:type="dxa"/>
            <w:gridSpan w:val="5"/>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See accompanying notes to consolidated financial statements.</w:t>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BALANCE SHEETS (continued)</w:t>
      </w:r>
    </w:p>
    <w:p>
      <w:pPr>
        <w:pStyle w:val="TextBody"/>
        <w:bidi w:val="0"/>
        <w:spacing w:lineRule="auto" w:line="259" w:before="0" w:after="10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36"/>
        <w:gridCol w:w="226"/>
        <w:gridCol w:w="1186"/>
        <w:gridCol w:w="226"/>
        <w:gridCol w:w="1231"/>
      </w:tblGrid>
      <w:tr>
        <w:trPr/>
        <w:tc>
          <w:tcPr>
            <w:tcW w:w="733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shd w:fill="FFFFFF" w:val="clear"/>
            <w:vAlign w:val="center"/>
          </w:tcPr>
          <w:p>
            <w:pPr>
              <w:pStyle w:val="TableContents"/>
              <w:bidi w:val="0"/>
              <w:spacing w:before="0" w:after="283"/>
              <w:jc w:val="left"/>
              <w:rPr>
                <w:sz w:val="4"/>
                <w:szCs w:val="4"/>
              </w:rPr>
            </w:pPr>
            <w:r>
              <w:rPr>
                <w:sz w:val="4"/>
                <w:szCs w:val="4"/>
              </w:rPr>
            </w:r>
          </w:p>
        </w:tc>
      </w:tr>
      <w:tr>
        <w:trPr/>
        <w:tc>
          <w:tcPr>
            <w:tcW w:w="7336" w:type="dxa"/>
            <w:tcBorders/>
            <w:shd w:fill="FFFFFF" w:val="clear"/>
            <w:vAlign w:val="center"/>
          </w:tcPr>
          <w:p>
            <w:pPr>
              <w:pStyle w:val="TableContents"/>
              <w:bidi w:val="0"/>
              <w:spacing w:before="0" w:after="283"/>
              <w:jc w:val="left"/>
              <w:rPr>
                <w:sz w:val="4"/>
                <w:szCs w:val="4"/>
              </w:rPr>
            </w:pPr>
            <w:r>
              <w:rPr>
                <w:sz w:val="4"/>
                <w:szCs w:val="4"/>
              </w:rPr>
            </w:r>
          </w:p>
        </w:tc>
        <w:tc>
          <w:tcPr>
            <w:tcW w:w="2869"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December 31,</w:t>
            </w:r>
          </w:p>
        </w:tc>
      </w:tr>
      <w:tr>
        <w:trPr/>
        <w:tc>
          <w:tcPr>
            <w:tcW w:w="733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r>
      <w:tr>
        <w:trPr/>
        <w:tc>
          <w:tcPr>
            <w:tcW w:w="7336" w:type="dxa"/>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Liabilities and Equity</w:t>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733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Essential Utilities stockholders' equity:</w:t>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shd w:fill="FFFFFF" w:val="clear"/>
            <w:vAlign w:val="center"/>
          </w:tcPr>
          <w:p>
            <w:pPr>
              <w:pStyle w:val="TableContents"/>
              <w:bidi w:val="0"/>
              <w:spacing w:before="0" w:after="283"/>
              <w:jc w:val="left"/>
              <w:rPr>
                <w:sz w:val="4"/>
                <w:szCs w:val="4"/>
              </w:rPr>
            </w:pPr>
            <w:r>
              <w:rPr>
                <w:sz w:val="4"/>
                <w:szCs w:val="4"/>
              </w:rPr>
            </w:r>
          </w:p>
        </w:tc>
      </w:tr>
      <w:tr>
        <w:trPr/>
        <w:tc>
          <w:tcPr>
            <w:tcW w:w="73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sz w:val="22"/>
              </w:rPr>
            </w:pPr>
            <w:r>
              <w:rPr>
                <w:rFonts w:ascii="Times New Roman;serif" w:hAnsi="Times New Roman;serif"/>
                <w:b w:val="false"/>
                <w:i w:val="false"/>
                <w:caps w:val="false"/>
                <w:smallCaps w:val="false"/>
                <w:color w:val="000000"/>
                <w:sz w:val="22"/>
              </w:rPr>
              <w:t>Common stock at $0.50</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par value, authorized 600,000,000</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shares, issued 278,209,660</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and 276,595,228</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as of December 31, 2024 and December 31, 2023</w:t>
            </w:r>
          </w:p>
        </w:tc>
        <w:tc>
          <w:tcPr>
            <w:tcW w:w="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139,105</w:t>
            </w:r>
          </w:p>
        </w:tc>
        <w:tc>
          <w:tcPr>
            <w:tcW w:w="2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2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138,297</w:t>
            </w:r>
          </w:p>
        </w:tc>
      </w:tr>
      <w:tr>
        <w:trPr/>
        <w:tc>
          <w:tcPr>
            <w:tcW w:w="733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Capital in excess of par value</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1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4,199,836</w:t>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4,137,696</w:t>
            </w:r>
          </w:p>
        </w:tc>
      </w:tr>
      <w:tr>
        <w:trPr/>
        <w:tc>
          <w:tcPr>
            <w:tcW w:w="73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Retained earnings</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1,949,492</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1,706,675</w:t>
            </w:r>
          </w:p>
        </w:tc>
      </w:tr>
      <w:tr>
        <w:trPr/>
        <w:tc>
          <w:tcPr>
            <w:tcW w:w="7336" w:type="dxa"/>
            <w:tcBorders/>
            <w:vAlign w:val="center"/>
          </w:tcPr>
          <w:p>
            <w:pPr>
              <w:pStyle w:val="TableContents"/>
              <w:bidi w:val="0"/>
              <w:spacing w:lineRule="auto" w:line="259" w:before="0" w:after="283"/>
              <w:ind w:left="115" w:right="0" w:hanging="0"/>
              <w:jc w:val="left"/>
              <w:rPr>
                <w:rFonts w:ascii="Times New Roman;serif" w:hAnsi="Times New Roman;serif"/>
                <w:sz w:val="22"/>
              </w:rPr>
            </w:pPr>
            <w:r>
              <w:rPr>
                <w:rFonts w:ascii="Times New Roman;serif" w:hAnsi="Times New Roman;serif"/>
                <w:b w:val="false"/>
                <w:i w:val="false"/>
                <w:caps w:val="false"/>
                <w:smallCaps w:val="false"/>
                <w:color w:val="000000"/>
                <w:sz w:val="22"/>
              </w:rPr>
              <w:t>Treasury stock, at cost, 3,386,069</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and 3,299,191</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shares as of December 31, 2024 and December 31, 2023</w:t>
            </w:r>
          </w:p>
        </w:tc>
        <w:tc>
          <w:tcPr>
            <w:tcW w:w="226" w:type="dxa"/>
            <w:tcBorders>
              <w:bottom w:val="single" w:sz="8" w:space="0" w:color="000000"/>
            </w:tcBorders>
            <w:tcMar>
              <w:bottom w:w="28" w:type="dxa"/>
            </w:tcMar>
            <w:vAlign w:val="center"/>
          </w:tcPr>
          <w:p>
            <w:pPr>
              <w:pStyle w:val="TableContents"/>
              <w:bidi w:val="0"/>
              <w:spacing w:before="0" w:after="283"/>
              <w:ind w:left="0" w:right="115" w:hanging="0"/>
              <w:jc w:val="left"/>
              <w:rPr>
                <w:sz w:val="4"/>
                <w:szCs w:val="4"/>
              </w:rPr>
            </w:pPr>
            <w:r>
              <w:rPr>
                <w:sz w:val="4"/>
                <w:szCs w:val="4"/>
              </w:rPr>
            </w:r>
          </w:p>
        </w:tc>
        <w:tc>
          <w:tcPr>
            <w:tcW w:w="118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(89,624)</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(86,485)</w:t>
            </w:r>
          </w:p>
        </w:tc>
      </w:tr>
      <w:tr>
        <w:trPr/>
        <w:tc>
          <w:tcPr>
            <w:tcW w:w="73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stockholders' equity</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6,198,809</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5,896,183</w:t>
            </w:r>
          </w:p>
        </w:tc>
      </w:tr>
      <w:tr>
        <w:trPr/>
        <w:tc>
          <w:tcPr>
            <w:tcW w:w="7336"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3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Long-term debt, excluding current portion</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7,416,289</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6,870,593</w:t>
            </w:r>
          </w:p>
        </w:tc>
      </w:tr>
      <w:tr>
        <w:trPr/>
        <w:tc>
          <w:tcPr>
            <w:tcW w:w="73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Less: debt issuance costs</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47,908</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44,508</w:t>
            </w:r>
          </w:p>
        </w:tc>
      </w:tr>
      <w:tr>
        <w:trPr/>
        <w:tc>
          <w:tcPr>
            <w:tcW w:w="73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Long-term debt, excluding current portion, net of debt issuance costs</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7,368,381</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6,826,085</w:t>
            </w:r>
          </w:p>
        </w:tc>
      </w:tr>
      <w:tr>
        <w:trPr/>
        <w:tc>
          <w:tcPr>
            <w:tcW w:w="73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Commitments and contingencies (See Note 9)</w:t>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tcMar>
              <w:top w:w="28" w:type="dxa"/>
            </w:tcMar>
            <w:vAlign w:val="center"/>
          </w:tcPr>
          <w:p>
            <w:pPr>
              <w:pStyle w:val="TableContents"/>
              <w:bidi w:val="0"/>
              <w:spacing w:lineRule="auto" w:line="259" w:before="0" w:after="283"/>
              <w:jc w:val="right"/>
              <w:rPr>
                <w:caps w:val="false"/>
                <w:smallCaps w:val="false"/>
              </w:rPr>
            </w:pPr>
            <w:r>
              <w:rPr>
                <w:caps w:val="false"/>
                <w:smallCaps w:val="false"/>
              </w:rPr>
              <w:t> </w:t>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tcBorders>
            <w:tcMar>
              <w:top w:w="28" w:type="dxa"/>
            </w:tcMar>
            <w:vAlign w:val="center"/>
          </w:tcPr>
          <w:p>
            <w:pPr>
              <w:pStyle w:val="TableContents"/>
              <w:bidi w:val="0"/>
              <w:spacing w:lineRule="auto" w:line="259" w:before="0" w:after="283"/>
              <w:jc w:val="left"/>
              <w:rPr>
                <w:caps w:val="false"/>
                <w:smallCaps w:val="false"/>
              </w:rPr>
            </w:pPr>
            <w:r>
              <w:rPr>
                <w:caps w:val="false"/>
                <w:smallCaps w:val="false"/>
              </w:rPr>
              <w:t> </w:t>
            </w:r>
          </w:p>
        </w:tc>
      </w:tr>
      <w:tr>
        <w:trPr/>
        <w:tc>
          <w:tcPr>
            <w:tcW w:w="733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before="0" w:after="283"/>
              <w:jc w:val="left"/>
              <w:rPr>
                <w:sz w:val="4"/>
                <w:szCs w:val="4"/>
              </w:rPr>
            </w:pPr>
            <w:r>
              <w:rPr>
                <w:sz w:val="4"/>
                <w:szCs w:val="4"/>
              </w:rPr>
            </w:r>
          </w:p>
        </w:tc>
      </w:tr>
      <w:tr>
        <w:trPr/>
        <w:tc>
          <w:tcPr>
            <w:tcW w:w="73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Current liabilities:</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73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Current portion of long-term debt</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142,807</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67,415</w:t>
            </w:r>
          </w:p>
        </w:tc>
      </w:tr>
      <w:tr>
        <w:trPr/>
        <w:tc>
          <w:tcPr>
            <w:tcW w:w="733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Loans payable</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1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186,542</w:t>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160,123</w:t>
            </w:r>
          </w:p>
        </w:tc>
      </w:tr>
      <w:tr>
        <w:trPr/>
        <w:tc>
          <w:tcPr>
            <w:tcW w:w="73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Accounts payable</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258,615</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221,191</w:t>
            </w:r>
          </w:p>
        </w:tc>
      </w:tr>
      <w:tr>
        <w:trPr/>
        <w:tc>
          <w:tcPr>
            <w:tcW w:w="733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Book overdraft</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1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47,714</w:t>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13,358</w:t>
            </w:r>
          </w:p>
        </w:tc>
      </w:tr>
      <w:tr>
        <w:trPr/>
        <w:tc>
          <w:tcPr>
            <w:tcW w:w="73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Accrued interest</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72,281</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53,084</w:t>
            </w:r>
          </w:p>
        </w:tc>
      </w:tr>
      <w:tr>
        <w:trPr/>
        <w:tc>
          <w:tcPr>
            <w:tcW w:w="733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Accrued taxes</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1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38,219</w:t>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40,641</w:t>
            </w:r>
          </w:p>
        </w:tc>
      </w:tr>
      <w:tr>
        <w:trPr/>
        <w:tc>
          <w:tcPr>
            <w:tcW w:w="73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Regulatory liabilities</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1,770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31,270</w:t>
            </w:r>
          </w:p>
        </w:tc>
      </w:tr>
      <w:tr>
        <w:trPr/>
        <w:tc>
          <w:tcPr>
            <w:tcW w:w="733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Dividends payable</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1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89,441</w:t>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83,929</w:t>
            </w:r>
          </w:p>
        </w:tc>
      </w:tr>
      <w:tr>
        <w:trPr/>
        <w:tc>
          <w:tcPr>
            <w:tcW w:w="73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accrued liabilities</w:t>
            </w:r>
          </w:p>
        </w:tc>
        <w:tc>
          <w:tcPr>
            <w:tcW w:w="226" w:type="dxa"/>
            <w:tcBorders>
              <w:bottom w:val="single" w:sz="8" w:space="0" w:color="000000"/>
            </w:tcBorders>
            <w:shd w:fill="CCEEFF" w:val="clear"/>
            <w:tcMar>
              <w:bottom w:w="28" w:type="dxa"/>
            </w:tcMar>
            <w:vAlign w:val="center"/>
          </w:tcPr>
          <w:p>
            <w:pPr>
              <w:pStyle w:val="TableContents"/>
              <w:bidi w:val="0"/>
              <w:spacing w:before="0" w:after="283"/>
              <w:ind w:left="0" w:right="115" w:hanging="0"/>
              <w:jc w:val="left"/>
              <w:rPr>
                <w:sz w:val="4"/>
                <w:szCs w:val="4"/>
              </w:rPr>
            </w:pPr>
            <w:r>
              <w:rPr>
                <w:sz w:val="4"/>
                <w:szCs w:val="4"/>
              </w:rPr>
            </w:r>
          </w:p>
        </w:tc>
        <w:tc>
          <w:tcPr>
            <w:tcW w:w="11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137,279</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126,916</w:t>
            </w:r>
          </w:p>
        </w:tc>
      </w:tr>
      <w:tr>
        <w:trPr/>
        <w:tc>
          <w:tcPr>
            <w:tcW w:w="73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current liabilities</w:t>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ind w:left="0" w:right="115" w:hanging="0"/>
              <w:jc w:val="left"/>
              <w:rPr>
                <w:sz w:val="4"/>
                <w:szCs w:val="4"/>
              </w:rPr>
            </w:pPr>
            <w:r>
              <w:rPr>
                <w:sz w:val="4"/>
                <w:szCs w:val="4"/>
              </w:rPr>
            </w:r>
          </w:p>
        </w:tc>
        <w:tc>
          <w:tcPr>
            <w:tcW w:w="11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974,668</w:t>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797,927</w:t>
            </w:r>
          </w:p>
        </w:tc>
      </w:tr>
      <w:tr>
        <w:trPr/>
        <w:tc>
          <w:tcPr>
            <w:tcW w:w="733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3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Deferred credits and other liabilities:</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73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Deferred income taxes and investment tax credits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1,831,868</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1,628,324</w:t>
            </w:r>
          </w:p>
        </w:tc>
      </w:tr>
      <w:tr>
        <w:trPr/>
        <w:tc>
          <w:tcPr>
            <w:tcW w:w="733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Customers' advances for construction</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1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113,323</w:t>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128,755</w:t>
            </w:r>
          </w:p>
        </w:tc>
      </w:tr>
      <w:tr>
        <w:trPr/>
        <w:tc>
          <w:tcPr>
            <w:tcW w:w="73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Regulatory liabilities</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764,745</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820,910</w:t>
            </w:r>
          </w:p>
        </w:tc>
      </w:tr>
      <w:tr>
        <w:trPr/>
        <w:tc>
          <w:tcPr>
            <w:tcW w:w="733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Asset retirement obligations</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1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860</w:t>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848</w:t>
            </w:r>
          </w:p>
        </w:tc>
      </w:tr>
      <w:tr>
        <w:trPr/>
        <w:tc>
          <w:tcPr>
            <w:tcW w:w="73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lease liabilities</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27,447</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34,425</w:t>
            </w:r>
          </w:p>
        </w:tc>
      </w:tr>
      <w:tr>
        <w:trPr/>
        <w:tc>
          <w:tcPr>
            <w:tcW w:w="733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Pension and other postretirement benefit liabilities</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1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33,680</w:t>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38,850</w:t>
            </w:r>
          </w:p>
        </w:tc>
      </w:tr>
      <w:tr>
        <w:trPr/>
        <w:tc>
          <w:tcPr>
            <w:tcW w:w="733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w:t>
            </w:r>
          </w:p>
        </w:tc>
        <w:tc>
          <w:tcPr>
            <w:tcW w:w="226" w:type="dxa"/>
            <w:tcBorders>
              <w:bottom w:val="single" w:sz="8" w:space="0" w:color="000000"/>
            </w:tcBorders>
            <w:shd w:fill="CCEEFF" w:val="clear"/>
            <w:tcMar>
              <w:bottom w:w="28" w:type="dxa"/>
            </w:tcMar>
            <w:vAlign w:val="center"/>
          </w:tcPr>
          <w:p>
            <w:pPr>
              <w:pStyle w:val="TableContents"/>
              <w:bidi w:val="0"/>
              <w:spacing w:before="0" w:after="283"/>
              <w:ind w:left="0" w:right="115" w:hanging="0"/>
              <w:jc w:val="left"/>
              <w:rPr>
                <w:sz w:val="4"/>
                <w:szCs w:val="4"/>
              </w:rPr>
            </w:pPr>
            <w:r>
              <w:rPr>
                <w:sz w:val="4"/>
                <w:szCs w:val="4"/>
              </w:rPr>
            </w:r>
          </w:p>
        </w:tc>
        <w:tc>
          <w:tcPr>
            <w:tcW w:w="118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23,928</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24,086</w:t>
            </w:r>
          </w:p>
        </w:tc>
      </w:tr>
      <w:tr>
        <w:trPr/>
        <w:tc>
          <w:tcPr>
            <w:tcW w:w="73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deferred credits and other liabilities</w:t>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ind w:left="0" w:right="115" w:hanging="0"/>
              <w:jc w:val="left"/>
              <w:rPr>
                <w:sz w:val="4"/>
                <w:szCs w:val="4"/>
              </w:rPr>
            </w:pPr>
            <w:r>
              <w:rPr>
                <w:sz w:val="4"/>
                <w:szCs w:val="4"/>
              </w:rPr>
            </w:r>
          </w:p>
        </w:tc>
        <w:tc>
          <w:tcPr>
            <w:tcW w:w="11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2,795,851</w:t>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2,676,198</w:t>
            </w:r>
          </w:p>
        </w:tc>
      </w:tr>
      <w:tr>
        <w:trPr/>
        <w:tc>
          <w:tcPr>
            <w:tcW w:w="733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73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Contributions in aid of construction</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688,845</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645,066</w:t>
            </w:r>
          </w:p>
        </w:tc>
      </w:tr>
      <w:tr>
        <w:trPr/>
        <w:tc>
          <w:tcPr>
            <w:tcW w:w="73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liabilities and equity</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8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18,026,554</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2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16,841,459</w:t>
            </w:r>
          </w:p>
        </w:tc>
      </w:tr>
      <w:tr>
        <w:trPr/>
        <w:tc>
          <w:tcPr>
            <w:tcW w:w="7336" w:type="dxa"/>
            <w:tcBorders/>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See accompanying notes to consolidated financial statements.</w:t>
            </w:r>
          </w:p>
        </w:tc>
      </w:tr>
    </w:tbl>
    <w:p>
      <w:pPr>
        <w:pStyle w:val="TextBody"/>
        <w:bidi w:val="0"/>
        <w:spacing w:lineRule="auto" w:line="259"/>
        <w:jc w:val="center"/>
        <w:rPr>
          <w:caps w:val="false"/>
          <w:smallCaps w:val="false"/>
        </w:rPr>
      </w:pPr>
      <w:bookmarkStart w:id="26" w:name="Income_Statement"/>
      <w:bookmarkEnd w:id="26"/>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OPERATIONS AND COMPREHENSIVE INCOME</w:t>
      </w:r>
    </w:p>
    <w:p>
      <w:pPr>
        <w:pStyle w:val="TextBody"/>
        <w:bidi w:val="0"/>
        <w:spacing w:lineRule="auto" w:line="259" w:before="0" w:after="10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except per share amounts)</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tbl>
      <w:tblPr>
        <w:tblW w:w="9262" w:type="dxa"/>
        <w:jc w:val="left"/>
        <w:tblInd w:w="0" w:type="dxa"/>
        <w:tblLayout w:type="fixed"/>
        <w:tblCellMar>
          <w:top w:w="0" w:type="dxa"/>
          <w:left w:w="0" w:type="dxa"/>
          <w:bottom w:w="0" w:type="dxa"/>
          <w:right w:w="0" w:type="dxa"/>
        </w:tblCellMar>
      </w:tblPr>
      <w:tblGrid>
        <w:gridCol w:w="5341"/>
        <w:gridCol w:w="226"/>
        <w:gridCol w:w="1066"/>
        <w:gridCol w:w="226"/>
        <w:gridCol w:w="1066"/>
        <w:gridCol w:w="226"/>
        <w:gridCol w:w="1111"/>
      </w:tblGrid>
      <w:tr>
        <w:trPr/>
        <w:tc>
          <w:tcPr>
            <w:tcW w:w="534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before="0" w:after="283"/>
              <w:jc w:val="left"/>
              <w:rPr>
                <w:sz w:val="4"/>
                <w:szCs w:val="4"/>
              </w:rPr>
            </w:pPr>
            <w:r>
              <w:rPr>
                <w:sz w:val="4"/>
                <w:szCs w:val="4"/>
              </w:rPr>
            </w:r>
          </w:p>
        </w:tc>
      </w:tr>
      <w:tr>
        <w:trPr/>
        <w:tc>
          <w:tcPr>
            <w:tcW w:w="5341" w:type="dxa"/>
            <w:tcBorders/>
            <w:shd w:fill="FFFFFF" w:val="clear"/>
            <w:vAlign w:val="center"/>
          </w:tcPr>
          <w:p>
            <w:pPr>
              <w:pStyle w:val="TableContents"/>
              <w:bidi w:val="0"/>
              <w:spacing w:before="0" w:after="283"/>
              <w:jc w:val="left"/>
              <w:rPr>
                <w:sz w:val="4"/>
                <w:szCs w:val="4"/>
              </w:rPr>
            </w:pPr>
            <w:r>
              <w:rPr>
                <w:sz w:val="4"/>
                <w:szCs w:val="4"/>
              </w:rPr>
            </w:r>
          </w:p>
        </w:tc>
        <w:tc>
          <w:tcPr>
            <w:tcW w:w="3921" w:type="dxa"/>
            <w:gridSpan w:val="6"/>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Years ended December 31,</w:t>
            </w:r>
          </w:p>
        </w:tc>
      </w:tr>
      <w:tr>
        <w:trPr/>
        <w:tc>
          <w:tcPr>
            <w:tcW w:w="534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53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revenues</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6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2,086,113</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6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2,053,824</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1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2,288,032</w:t>
            </w:r>
          </w:p>
        </w:tc>
      </w:tr>
      <w:tr>
        <w:trPr/>
        <w:tc>
          <w:tcPr>
            <w:tcW w:w="53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53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expenses: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before="0" w:after="283"/>
              <w:jc w:val="left"/>
              <w:rPr>
                <w:sz w:val="4"/>
                <w:szCs w:val="4"/>
              </w:rPr>
            </w:pPr>
            <w:r>
              <w:rPr>
                <w:sz w:val="4"/>
                <w:szCs w:val="4"/>
              </w:rPr>
            </w:r>
          </w:p>
        </w:tc>
      </w:tr>
      <w:tr>
        <w:trPr/>
        <w:tc>
          <w:tcPr>
            <w:tcW w:w="5341"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Operations and maintenance</w:t>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587,250</w:t>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575,518</w:t>
            </w:r>
          </w:p>
        </w:tc>
        <w:tc>
          <w:tcPr>
            <w:tcW w:w="22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613,649</w:t>
            </w:r>
          </w:p>
        </w:tc>
      </w:tr>
      <w:tr>
        <w:trPr/>
        <w:tc>
          <w:tcPr>
            <w:tcW w:w="5341"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Purchased gas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277,009</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352,306</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601,995</w:t>
            </w:r>
          </w:p>
        </w:tc>
      </w:tr>
      <w:tr>
        <w:trPr/>
        <w:tc>
          <w:tcPr>
            <w:tcW w:w="5341"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Depreciation</w:t>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363,906</w:t>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338,655</w:t>
            </w:r>
          </w:p>
        </w:tc>
        <w:tc>
          <w:tcPr>
            <w:tcW w:w="22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315,811</w:t>
            </w:r>
          </w:p>
        </w:tc>
      </w:tr>
      <w:tr>
        <w:trPr/>
        <w:tc>
          <w:tcPr>
            <w:tcW w:w="5341"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Amortization</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5,646</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5,040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5,366</w:t>
            </w:r>
          </w:p>
        </w:tc>
      </w:tr>
      <w:tr>
        <w:trPr/>
        <w:tc>
          <w:tcPr>
            <w:tcW w:w="5341"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Taxes other than income taxes</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94,634</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90,208</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90,024</w:t>
            </w:r>
          </w:p>
        </w:tc>
      </w:tr>
      <w:tr>
        <w:trPr/>
        <w:tc>
          <w:tcPr>
            <w:tcW w:w="53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operating expenses</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1,328,445</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1,361,727</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1,626,845</w:t>
            </w:r>
          </w:p>
        </w:tc>
      </w:tr>
      <w:tr>
        <w:trPr/>
        <w:tc>
          <w:tcPr>
            <w:tcW w:w="534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53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Operating income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757,668</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692,097</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661,187</w:t>
            </w:r>
          </w:p>
        </w:tc>
      </w:tr>
      <w:tr>
        <w:trPr/>
        <w:tc>
          <w:tcPr>
            <w:tcW w:w="53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expense (income):</w:t>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5341"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Interest expense</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302,467</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283,362</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238,116</w:t>
            </w:r>
          </w:p>
        </w:tc>
      </w:tr>
      <w:tr>
        <w:trPr/>
        <w:tc>
          <w:tcPr>
            <w:tcW w:w="5341"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Interest income</w:t>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(3,318)</w:t>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(3,401)</w:t>
            </w:r>
          </w:p>
        </w:tc>
        <w:tc>
          <w:tcPr>
            <w:tcW w:w="22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(3,675)</w:t>
            </w:r>
          </w:p>
        </w:tc>
      </w:tr>
      <w:tr>
        <w:trPr/>
        <w:tc>
          <w:tcPr>
            <w:tcW w:w="5341"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Allowance for funds used during construction</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(21,310)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(16,967)</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(23,665)</w:t>
            </w:r>
          </w:p>
        </w:tc>
      </w:tr>
      <w:tr>
        <w:trPr/>
        <w:tc>
          <w:tcPr>
            <w:tcW w:w="5341"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Gain on sale of other assets</w:t>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(92,224)</w:t>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(65)</w:t>
            </w:r>
          </w:p>
        </w:tc>
        <w:tc>
          <w:tcPr>
            <w:tcW w:w="22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(991)</w:t>
            </w:r>
          </w:p>
        </w:tc>
      </w:tr>
      <w:tr>
        <w:trPr/>
        <w:tc>
          <w:tcPr>
            <w:tcW w:w="5341"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Other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(1,425)</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(2,613)</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494</w:t>
            </w:r>
          </w:p>
        </w:tc>
      </w:tr>
      <w:tr>
        <w:trPr/>
        <w:tc>
          <w:tcPr>
            <w:tcW w:w="53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Income before income taxes</w:t>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573,478</w:t>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431,781</w:t>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1"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450,908</w:t>
            </w:r>
          </w:p>
        </w:tc>
      </w:tr>
      <w:tr>
        <w:trPr/>
        <w:tc>
          <w:tcPr>
            <w:tcW w:w="53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Income tax benefit</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(21,836)</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(66,445)</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(14,329)</w:t>
            </w:r>
          </w:p>
        </w:tc>
      </w:tr>
      <w:tr>
        <w:trPr/>
        <w:tc>
          <w:tcPr>
            <w:tcW w:w="53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Net income </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6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595,314</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6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498,226</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465,237</w:t>
            </w:r>
          </w:p>
        </w:tc>
      </w:tr>
      <w:tr>
        <w:trPr/>
        <w:tc>
          <w:tcPr>
            <w:tcW w:w="5341"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6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6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3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Comprehensive income</w:t>
            </w:r>
          </w:p>
        </w:tc>
        <w:tc>
          <w:tcPr>
            <w:tcW w:w="226" w:type="dxa"/>
            <w:tcBorders>
              <w:bottom w:val="double" w:sz="6" w:space="0" w:color="000000"/>
            </w:tcBorders>
            <w:tcMar>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66"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595,314</w:t>
            </w:r>
          </w:p>
        </w:tc>
        <w:tc>
          <w:tcPr>
            <w:tcW w:w="226"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66"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498,226</w:t>
            </w:r>
          </w:p>
        </w:tc>
        <w:tc>
          <w:tcPr>
            <w:tcW w:w="226"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11"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465,237</w:t>
            </w:r>
          </w:p>
        </w:tc>
      </w:tr>
      <w:tr>
        <w:trPr/>
        <w:tc>
          <w:tcPr>
            <w:tcW w:w="5341"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6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6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3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Net income per common share:</w:t>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5341"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Basic </w:t>
            </w:r>
          </w:p>
        </w:tc>
        <w:tc>
          <w:tcPr>
            <w:tcW w:w="226" w:type="dxa"/>
            <w:tcBorders>
              <w:bottom w:val="double" w:sz="6" w:space="0" w:color="000000"/>
            </w:tcBorders>
            <w:shd w:fill="CCEEFF" w:val="clear"/>
            <w:tcMar>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66" w:type="dxa"/>
            <w:tcBorders>
              <w:bottom w:val="double" w:sz="6"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2.17</w:t>
            </w:r>
          </w:p>
        </w:tc>
        <w:tc>
          <w:tcPr>
            <w:tcW w:w="226" w:type="dxa"/>
            <w:tcBorders>
              <w:bottom w:val="double" w:sz="6"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66" w:type="dxa"/>
            <w:tcBorders>
              <w:bottom w:val="double" w:sz="6"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1.86</w:t>
            </w:r>
          </w:p>
        </w:tc>
        <w:tc>
          <w:tcPr>
            <w:tcW w:w="226" w:type="dxa"/>
            <w:tcBorders>
              <w:bottom w:val="double" w:sz="6"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11" w:type="dxa"/>
            <w:tcBorders>
              <w:bottom w:val="double" w:sz="6"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1.77</w:t>
            </w:r>
          </w:p>
        </w:tc>
      </w:tr>
      <w:tr>
        <w:trPr/>
        <w:tc>
          <w:tcPr>
            <w:tcW w:w="5341"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Diluted</w:t>
            </w:r>
          </w:p>
        </w:tc>
        <w:tc>
          <w:tcPr>
            <w:tcW w:w="22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6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2.17</w:t>
            </w:r>
          </w:p>
        </w:tc>
        <w:tc>
          <w:tcPr>
            <w:tcW w:w="22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6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1.86</w:t>
            </w:r>
          </w:p>
        </w:tc>
        <w:tc>
          <w:tcPr>
            <w:tcW w:w="22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1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1.77</w:t>
            </w:r>
          </w:p>
        </w:tc>
      </w:tr>
      <w:tr>
        <w:trPr/>
        <w:tc>
          <w:tcPr>
            <w:tcW w:w="5341"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6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6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1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53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Average common shares outstanding during the period:</w:t>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53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Basic</w:t>
            </w:r>
          </w:p>
        </w:tc>
        <w:tc>
          <w:tcPr>
            <w:tcW w:w="226"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6" w:type="dxa"/>
            <w:tcBorders>
              <w:bottom w:val="double" w:sz="6"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273,914</w:t>
            </w:r>
          </w:p>
        </w:tc>
        <w:tc>
          <w:tcPr>
            <w:tcW w:w="226"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6" w:type="dxa"/>
            <w:tcBorders>
              <w:bottom w:val="double" w:sz="6"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267,171</w:t>
            </w:r>
          </w:p>
        </w:tc>
        <w:tc>
          <w:tcPr>
            <w:tcW w:w="226" w:type="dxa"/>
            <w:tcBorders>
              <w:bottom w:val="double" w:sz="6"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11" w:type="dxa"/>
            <w:tcBorders>
              <w:bottom w:val="double" w:sz="6"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262,246</w:t>
            </w:r>
          </w:p>
        </w:tc>
      </w:tr>
      <w:tr>
        <w:trPr/>
        <w:tc>
          <w:tcPr>
            <w:tcW w:w="53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Diluted</w:t>
            </w:r>
          </w:p>
        </w:tc>
        <w:tc>
          <w:tcPr>
            <w:tcW w:w="226"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6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274,421</w:t>
            </w:r>
          </w:p>
        </w:tc>
        <w:tc>
          <w:tcPr>
            <w:tcW w:w="226"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66"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267,659</w:t>
            </w:r>
          </w:p>
        </w:tc>
        <w:tc>
          <w:tcPr>
            <w:tcW w:w="226" w:type="dxa"/>
            <w:tcBorders>
              <w:top w:val="double" w:sz="6" w:space="0" w:color="000000"/>
              <w:bottom w:val="double" w:sz="6"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11" w:type="dxa"/>
            <w:tcBorders>
              <w:top w:val="double" w:sz="6"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262,868</w:t>
            </w:r>
          </w:p>
        </w:tc>
      </w:tr>
      <w:tr>
        <w:trPr/>
        <w:tc>
          <w:tcPr>
            <w:tcW w:w="5341" w:type="dxa"/>
            <w:tcBorders/>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9262" w:type="dxa"/>
            <w:gridSpan w:val="7"/>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See accompanying notes to consolidated financial statements. </w:t>
            </w:r>
          </w:p>
        </w:tc>
      </w:tr>
    </w:tbl>
    <w:p>
      <w:pPr>
        <w:pStyle w:val="TextBody"/>
        <w:bidi w:val="0"/>
        <w:spacing w:lineRule="auto" w:line="259"/>
        <w:jc w:val="center"/>
        <w:rPr>
          <w:caps w:val="false"/>
          <w:smallCaps w:val="false"/>
        </w:rPr>
      </w:pPr>
      <w:bookmarkStart w:id="27" w:name="consolidatedstatmentofcapitilization"/>
      <w:bookmarkEnd w:id="27"/>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CONSOLIDATED STATEMENTS OF CAPITALIZATION</w:t>
      </w:r>
    </w:p>
    <w:p>
      <w:pPr>
        <w:pStyle w:val="TextBody"/>
        <w:bidi w:val="0"/>
        <w:spacing w:lineRule="auto" w:line="259" w:before="0" w:after="100"/>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bookmarkStart w:id="28" w:name="OCI"/>
      <w:bookmarkEnd w:id="28"/>
    </w:p>
    <w:tbl>
      <w:tblPr>
        <w:tblW w:w="10205" w:type="dxa"/>
        <w:jc w:val="left"/>
        <w:tblInd w:w="0" w:type="dxa"/>
        <w:tblLayout w:type="fixed"/>
        <w:tblCellMar>
          <w:top w:w="0" w:type="dxa"/>
          <w:left w:w="0" w:type="dxa"/>
          <w:bottom w:w="0" w:type="dxa"/>
          <w:right w:w="0" w:type="dxa"/>
        </w:tblCellMar>
      </w:tblPr>
      <w:tblGrid>
        <w:gridCol w:w="4067"/>
        <w:gridCol w:w="3208"/>
        <w:gridCol w:w="226"/>
        <w:gridCol w:w="1186"/>
        <w:gridCol w:w="226"/>
        <w:gridCol w:w="1292"/>
      </w:tblGrid>
      <w:tr>
        <w:trPr/>
        <w:tc>
          <w:tcPr>
            <w:tcW w:w="4067" w:type="dxa"/>
            <w:tcBorders/>
            <w:shd w:fill="FFFFFF" w:val="clear"/>
            <w:vAlign w:val="center"/>
          </w:tcPr>
          <w:p>
            <w:pPr>
              <w:pStyle w:val="TableContents"/>
              <w:bidi w:val="0"/>
              <w:spacing w:before="0" w:after="283"/>
              <w:jc w:val="left"/>
              <w:rPr>
                <w:sz w:val="4"/>
                <w:szCs w:val="4"/>
              </w:rPr>
            </w:pPr>
            <w:r>
              <w:rPr>
                <w:sz w:val="4"/>
                <w:szCs w:val="4"/>
              </w:rPr>
            </w:r>
          </w:p>
        </w:tc>
        <w:tc>
          <w:tcPr>
            <w:tcW w:w="3208"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292" w:type="dxa"/>
            <w:tcBorders/>
            <w:shd w:fill="FFFFFF" w:val="clear"/>
            <w:vAlign w:val="center"/>
          </w:tcPr>
          <w:p>
            <w:pPr>
              <w:pStyle w:val="TableContents"/>
              <w:bidi w:val="0"/>
              <w:spacing w:before="0" w:after="283"/>
              <w:jc w:val="left"/>
              <w:rPr>
                <w:sz w:val="4"/>
                <w:szCs w:val="4"/>
              </w:rPr>
            </w:pPr>
            <w:r>
              <w:rPr>
                <w:sz w:val="4"/>
                <w:szCs w:val="4"/>
              </w:rPr>
            </w:r>
          </w:p>
        </w:tc>
      </w:tr>
      <w:tr>
        <w:trPr/>
        <w:tc>
          <w:tcPr>
            <w:tcW w:w="4067" w:type="dxa"/>
            <w:tcBorders/>
            <w:shd w:fill="FFFFFF" w:val="clear"/>
            <w:vAlign w:val="center"/>
          </w:tcPr>
          <w:p>
            <w:pPr>
              <w:pStyle w:val="TableContents"/>
              <w:bidi w:val="0"/>
              <w:spacing w:before="0" w:after="283"/>
              <w:jc w:val="left"/>
              <w:rPr>
                <w:sz w:val="4"/>
                <w:szCs w:val="4"/>
              </w:rPr>
            </w:pPr>
            <w:r>
              <w:rPr>
                <w:sz w:val="4"/>
                <w:szCs w:val="4"/>
              </w:rPr>
            </w:r>
          </w:p>
        </w:tc>
        <w:tc>
          <w:tcPr>
            <w:tcW w:w="3208" w:type="dxa"/>
            <w:tcBorders/>
            <w:shd w:fill="FFFFFF" w:val="clear"/>
            <w:vAlign w:val="center"/>
          </w:tcPr>
          <w:p>
            <w:pPr>
              <w:pStyle w:val="TableContents"/>
              <w:bidi w:val="0"/>
              <w:spacing w:before="0" w:after="283"/>
              <w:jc w:val="left"/>
              <w:rPr>
                <w:sz w:val="4"/>
                <w:szCs w:val="4"/>
              </w:rPr>
            </w:pPr>
            <w:r>
              <w:rPr>
                <w:sz w:val="4"/>
                <w:szCs w:val="4"/>
              </w:rPr>
            </w:r>
          </w:p>
        </w:tc>
        <w:tc>
          <w:tcPr>
            <w:tcW w:w="2930" w:type="dxa"/>
            <w:gridSpan w:val="4"/>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December 31,</w:t>
            </w:r>
          </w:p>
        </w:tc>
      </w:tr>
      <w:tr>
        <w:trPr/>
        <w:tc>
          <w:tcPr>
            <w:tcW w:w="4067" w:type="dxa"/>
            <w:tcBorders/>
            <w:shd w:fill="FFFFFF" w:val="clear"/>
            <w:vAlign w:val="center"/>
          </w:tcPr>
          <w:p>
            <w:pPr>
              <w:pStyle w:val="TableContents"/>
              <w:bidi w:val="0"/>
              <w:spacing w:before="0" w:after="283"/>
              <w:jc w:val="left"/>
              <w:rPr>
                <w:sz w:val="4"/>
                <w:szCs w:val="4"/>
              </w:rPr>
            </w:pPr>
            <w:r>
              <w:rPr>
                <w:sz w:val="4"/>
                <w:szCs w:val="4"/>
              </w:rPr>
            </w:r>
          </w:p>
        </w:tc>
        <w:tc>
          <w:tcPr>
            <w:tcW w:w="3208"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92"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r>
      <w:tr>
        <w:trPr/>
        <w:tc>
          <w:tcPr>
            <w:tcW w:w="7275" w:type="dxa"/>
            <w:gridSpan w:val="2"/>
            <w:tcBorders/>
            <w:shd w:fill="FFFF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Stockholders' equity:</w:t>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92"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7275" w:type="dxa"/>
            <w:gridSpan w:val="2"/>
            <w:tcBorders/>
            <w:shd w:fill="CCEEFF" w:val="clear"/>
            <w:vAlign w:val="center"/>
          </w:tcPr>
          <w:p>
            <w:pPr>
              <w:pStyle w:val="TableContents"/>
              <w:bidi w:val="0"/>
              <w:spacing w:lineRule="auto" w:line="259" w:before="0" w:after="1"/>
              <w:ind w:left="115" w:right="0" w:hanging="0"/>
              <w:jc w:val="left"/>
              <w:rPr>
                <w:rFonts w:ascii="Times New Roman;serif" w:hAnsi="Times New Roman;serif"/>
                <w:sz w:val="22"/>
              </w:rPr>
            </w:pPr>
            <w:r>
              <w:rPr>
                <w:rFonts w:ascii="Times New Roman;serif" w:hAnsi="Times New Roman;serif"/>
                <w:b w:val="false"/>
                <w:i w:val="false"/>
                <w:caps w:val="false"/>
                <w:smallCaps w:val="false"/>
                <w:color w:val="000000"/>
                <w:sz w:val="22"/>
              </w:rPr>
              <w:t>Common stock, $0.50</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par value</w:t>
            </w:r>
          </w:p>
        </w:tc>
        <w:tc>
          <w:tcPr>
            <w:tcW w:w="22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139,105</w:t>
            </w:r>
          </w:p>
        </w:tc>
        <w:tc>
          <w:tcPr>
            <w:tcW w:w="22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292"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138,297</w:t>
            </w:r>
            <w:r>
              <w:rPr>
                <w:rFonts w:ascii="Times New Roman;serif" w:hAnsi="Times New Roman;serif"/>
                <w:caps w:val="false"/>
                <w:smallCaps w:val="false"/>
                <w:color w:val="000000"/>
                <w:sz w:val="22"/>
              </w:rPr>
              <w:t> </w:t>
            </w:r>
          </w:p>
        </w:tc>
      </w:tr>
      <w:tr>
        <w:trPr/>
        <w:tc>
          <w:tcPr>
            <w:tcW w:w="7275" w:type="dxa"/>
            <w:gridSpan w:val="2"/>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Capital in excess of par value</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4,199,836</w:t>
            </w:r>
          </w:p>
        </w:tc>
        <w:tc>
          <w:tcPr>
            <w:tcW w:w="22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4,137,696</w:t>
            </w:r>
            <w:r>
              <w:rPr>
                <w:rFonts w:ascii="Times New Roman;serif" w:hAnsi="Times New Roman;serif"/>
                <w:caps w:val="false"/>
                <w:smallCaps w:val="false"/>
                <w:color w:val="000000"/>
                <w:sz w:val="22"/>
              </w:rPr>
              <w:t> </w:t>
            </w:r>
          </w:p>
        </w:tc>
      </w:tr>
      <w:tr>
        <w:trPr/>
        <w:tc>
          <w:tcPr>
            <w:tcW w:w="7275" w:type="dxa"/>
            <w:gridSpan w:val="2"/>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Retained earnings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1,949,492</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92"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1,706,675</w:t>
            </w:r>
            <w:r>
              <w:rPr>
                <w:rFonts w:ascii="Times New Roman;serif" w:hAnsi="Times New Roman;serif"/>
                <w:caps w:val="false"/>
                <w:smallCaps w:val="false"/>
                <w:color w:val="000000"/>
                <w:sz w:val="22"/>
              </w:rPr>
              <w:t> </w:t>
            </w:r>
          </w:p>
        </w:tc>
      </w:tr>
      <w:tr>
        <w:trPr/>
        <w:tc>
          <w:tcPr>
            <w:tcW w:w="7275" w:type="dxa"/>
            <w:gridSpan w:val="2"/>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Treasury stock, at cost</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(89,624)</w:t>
            </w:r>
          </w:p>
        </w:tc>
        <w:tc>
          <w:tcPr>
            <w:tcW w:w="22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(86,485)</w:t>
            </w:r>
          </w:p>
        </w:tc>
      </w:tr>
      <w:tr>
        <w:trPr/>
        <w:tc>
          <w:tcPr>
            <w:tcW w:w="7275" w:type="dxa"/>
            <w:gridSpan w:val="2"/>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stockholders' equity</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6,198,809</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9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5,896,183</w:t>
            </w:r>
            <w:r>
              <w:rPr>
                <w:rFonts w:ascii="Times New Roman;serif" w:hAnsi="Times New Roman;serif"/>
                <w:caps w:val="false"/>
                <w:smallCaps w:val="false"/>
                <w:color w:val="000000"/>
                <w:sz w:val="22"/>
              </w:rPr>
              <w:t> </w:t>
            </w:r>
          </w:p>
        </w:tc>
      </w:tr>
      <w:tr>
        <w:trPr/>
        <w:tc>
          <w:tcPr>
            <w:tcW w:w="4067" w:type="dxa"/>
            <w:tcBorders/>
            <w:vAlign w:val="center"/>
          </w:tcPr>
          <w:p>
            <w:pPr>
              <w:pStyle w:val="TableContents"/>
              <w:bidi w:val="0"/>
              <w:spacing w:before="0" w:after="283"/>
              <w:jc w:val="left"/>
              <w:rPr>
                <w:sz w:val="4"/>
                <w:szCs w:val="4"/>
              </w:rPr>
            </w:pPr>
            <w:r>
              <w:rPr>
                <w:sz w:val="4"/>
                <w:szCs w:val="4"/>
              </w:rPr>
            </w:r>
          </w:p>
        </w:tc>
        <w:tc>
          <w:tcPr>
            <w:tcW w:w="3208"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275" w:type="dxa"/>
            <w:gridSpan w:val="2"/>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Long-term debt of subsidiaries (substantially collateralized by utility plant):</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4067" w:type="dxa"/>
            <w:tcBorders/>
            <w:shd w:fill="CCEE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u w:val="single"/>
              </w:rPr>
            </w:pPr>
            <w:r>
              <w:rPr>
                <w:rFonts w:ascii="Times New Roman;serif" w:hAnsi="Times New Roman;serif"/>
                <w:b w:val="false"/>
                <w:i w:val="false"/>
                <w:caps w:val="false"/>
                <w:smallCaps w:val="false"/>
                <w:color w:val="000000"/>
                <w:sz w:val="22"/>
                <w:u w:val="single"/>
              </w:rPr>
              <w:t>Interest Rate Range</w:t>
            </w:r>
          </w:p>
        </w:tc>
        <w:tc>
          <w:tcPr>
            <w:tcW w:w="3208" w:type="dxa"/>
            <w:tcBorders/>
            <w:shd w:fill="CCEE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u w:val="single"/>
              </w:rPr>
            </w:pPr>
            <w:r>
              <w:rPr>
                <w:rFonts w:ascii="Times New Roman;serif" w:hAnsi="Times New Roman;serif"/>
                <w:b w:val="false"/>
                <w:i w:val="false"/>
                <w:caps w:val="false"/>
                <w:smallCaps w:val="false"/>
                <w:color w:val="000000"/>
                <w:sz w:val="22"/>
                <w:u w:val="single"/>
              </w:rPr>
              <w:t>Maturity Date Range</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92" w:type="dxa"/>
            <w:tcBorders/>
            <w:shd w:fill="CCEEFF" w:val="clear"/>
            <w:vAlign w:val="center"/>
          </w:tcPr>
          <w:p>
            <w:pPr>
              <w:pStyle w:val="TableContents"/>
              <w:bidi w:val="0"/>
              <w:spacing w:before="0" w:after="283"/>
              <w:jc w:val="left"/>
              <w:rPr>
                <w:sz w:val="4"/>
                <w:szCs w:val="4"/>
              </w:rPr>
            </w:pPr>
            <w:r>
              <w:rPr>
                <w:sz w:val="4"/>
                <w:szCs w:val="4"/>
              </w:rPr>
            </w:r>
          </w:p>
        </w:tc>
      </w:tr>
      <w:tr>
        <w:trPr/>
        <w:tc>
          <w:tcPr>
            <w:tcW w:w="4067"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0.00% to 0.99%</w:t>
            </w:r>
          </w:p>
        </w:tc>
        <w:tc>
          <w:tcPr>
            <w:tcW w:w="3208" w:type="dxa"/>
            <w:tcBorders/>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2024</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to 2053</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2,637</w:t>
            </w:r>
          </w:p>
        </w:tc>
        <w:tc>
          <w:tcPr>
            <w:tcW w:w="22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2,935</w:t>
            </w:r>
            <w:r>
              <w:rPr>
                <w:rFonts w:ascii="Times New Roman;serif" w:hAnsi="Times New Roman;serif"/>
                <w:caps w:val="false"/>
                <w:smallCaps w:val="false"/>
                <w:color w:val="000000"/>
                <w:sz w:val="22"/>
              </w:rPr>
              <w:t> </w:t>
            </w:r>
          </w:p>
        </w:tc>
      </w:tr>
      <w:tr>
        <w:trPr/>
        <w:tc>
          <w:tcPr>
            <w:tcW w:w="4067" w:type="dxa"/>
            <w:tcBorders/>
            <w:shd w:fill="CCEE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1.00% to 1.99%</w:t>
            </w:r>
          </w:p>
        </w:tc>
        <w:tc>
          <w:tcPr>
            <w:tcW w:w="3208" w:type="dxa"/>
            <w:tcBorders/>
            <w:shd w:fill="CCEEFF" w:val="clear"/>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2030</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to 2046</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11,732</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92"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7,538</w:t>
            </w:r>
            <w:r>
              <w:rPr>
                <w:rFonts w:ascii="Times New Roman;serif" w:hAnsi="Times New Roman;serif"/>
                <w:caps w:val="false"/>
                <w:smallCaps w:val="false"/>
                <w:color w:val="000000"/>
                <w:sz w:val="22"/>
              </w:rPr>
              <w:t> </w:t>
            </w:r>
          </w:p>
        </w:tc>
      </w:tr>
      <w:tr>
        <w:trPr/>
        <w:tc>
          <w:tcPr>
            <w:tcW w:w="4067"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2.00% to 2.99%</w:t>
            </w:r>
          </w:p>
        </w:tc>
        <w:tc>
          <w:tcPr>
            <w:tcW w:w="3208" w:type="dxa"/>
            <w:tcBorders/>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2024</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to 2058</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206,297</w:t>
            </w:r>
          </w:p>
        </w:tc>
        <w:tc>
          <w:tcPr>
            <w:tcW w:w="22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207,917</w:t>
            </w:r>
            <w:r>
              <w:rPr>
                <w:rFonts w:ascii="Times New Roman;serif" w:hAnsi="Times New Roman;serif"/>
                <w:caps w:val="false"/>
                <w:smallCaps w:val="false"/>
                <w:color w:val="000000"/>
                <w:sz w:val="22"/>
              </w:rPr>
              <w:t> </w:t>
            </w:r>
          </w:p>
        </w:tc>
      </w:tr>
      <w:tr>
        <w:trPr/>
        <w:tc>
          <w:tcPr>
            <w:tcW w:w="4067" w:type="dxa"/>
            <w:tcBorders/>
            <w:shd w:fill="CCEE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3.00% to 3.99%</w:t>
            </w:r>
          </w:p>
        </w:tc>
        <w:tc>
          <w:tcPr>
            <w:tcW w:w="3208" w:type="dxa"/>
            <w:tcBorders/>
            <w:shd w:fill="CCEEFF" w:val="clear"/>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2024</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to 2056</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1,258,003</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92"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1,313,932</w:t>
            </w:r>
            <w:r>
              <w:rPr>
                <w:rFonts w:ascii="Times New Roman;serif" w:hAnsi="Times New Roman;serif"/>
                <w:caps w:val="false"/>
                <w:smallCaps w:val="false"/>
                <w:color w:val="000000"/>
                <w:sz w:val="22"/>
              </w:rPr>
              <w:t> </w:t>
            </w:r>
          </w:p>
        </w:tc>
      </w:tr>
      <w:tr>
        <w:trPr/>
        <w:tc>
          <w:tcPr>
            <w:tcW w:w="4067"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4.00% to 4.99%</w:t>
            </w:r>
          </w:p>
        </w:tc>
        <w:tc>
          <w:tcPr>
            <w:tcW w:w="3208" w:type="dxa"/>
            <w:tcBorders/>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2024</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to 2059</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1,239,032</w:t>
            </w:r>
          </w:p>
        </w:tc>
        <w:tc>
          <w:tcPr>
            <w:tcW w:w="22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1,245,727</w:t>
            </w:r>
            <w:r>
              <w:rPr>
                <w:rFonts w:ascii="Times New Roman;serif" w:hAnsi="Times New Roman;serif"/>
                <w:caps w:val="false"/>
                <w:smallCaps w:val="false"/>
                <w:color w:val="000000"/>
                <w:sz w:val="22"/>
              </w:rPr>
              <w:t> </w:t>
            </w:r>
          </w:p>
        </w:tc>
      </w:tr>
      <w:tr>
        <w:trPr/>
        <w:tc>
          <w:tcPr>
            <w:tcW w:w="4067" w:type="dxa"/>
            <w:tcBorders/>
            <w:shd w:fill="CCEE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5.00% to 5.99%</w:t>
            </w:r>
          </w:p>
        </w:tc>
        <w:tc>
          <w:tcPr>
            <w:tcW w:w="3208" w:type="dxa"/>
            <w:tcBorders/>
            <w:shd w:fill="CCEEFF" w:val="clear"/>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2028</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to 2061</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312,260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92"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312,745</w:t>
            </w:r>
            <w:r>
              <w:rPr>
                <w:rFonts w:ascii="Times New Roman;serif" w:hAnsi="Times New Roman;serif"/>
                <w:caps w:val="false"/>
                <w:smallCaps w:val="false"/>
                <w:color w:val="000000"/>
                <w:sz w:val="22"/>
              </w:rPr>
              <w:t> </w:t>
            </w:r>
          </w:p>
        </w:tc>
      </w:tr>
      <w:tr>
        <w:trPr/>
        <w:tc>
          <w:tcPr>
            <w:tcW w:w="4067"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6.00% to 6.99%</w:t>
            </w:r>
          </w:p>
        </w:tc>
        <w:tc>
          <w:tcPr>
            <w:tcW w:w="3208" w:type="dxa"/>
            <w:tcBorders/>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2026</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to 2036</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31,000</w:t>
            </w:r>
          </w:p>
        </w:tc>
        <w:tc>
          <w:tcPr>
            <w:tcW w:w="22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31,000</w:t>
            </w:r>
            <w:r>
              <w:rPr>
                <w:rFonts w:ascii="Times New Roman;serif" w:hAnsi="Times New Roman;serif"/>
                <w:caps w:val="false"/>
                <w:smallCaps w:val="false"/>
                <w:color w:val="000000"/>
                <w:sz w:val="22"/>
              </w:rPr>
              <w:t> </w:t>
            </w:r>
          </w:p>
        </w:tc>
      </w:tr>
      <w:tr>
        <w:trPr/>
        <w:tc>
          <w:tcPr>
            <w:tcW w:w="4067" w:type="dxa"/>
            <w:tcBorders/>
            <w:shd w:fill="CCEE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7.00% to 7.99%</w:t>
            </w:r>
          </w:p>
        </w:tc>
        <w:tc>
          <w:tcPr>
            <w:tcW w:w="3208" w:type="dxa"/>
            <w:tcBorders/>
            <w:shd w:fill="CCEEFF" w:val="clear"/>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2025</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to 2027</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27,888</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92"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28,125</w:t>
            </w:r>
            <w:r>
              <w:rPr>
                <w:rFonts w:ascii="Times New Roman;serif" w:hAnsi="Times New Roman;serif"/>
                <w:caps w:val="false"/>
                <w:smallCaps w:val="false"/>
                <w:color w:val="000000"/>
                <w:sz w:val="22"/>
              </w:rPr>
              <w:t> </w:t>
            </w:r>
          </w:p>
        </w:tc>
      </w:tr>
      <w:tr>
        <w:trPr/>
        <w:tc>
          <w:tcPr>
            <w:tcW w:w="4067"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8.00% to 8.99%</w:t>
            </w:r>
          </w:p>
        </w:tc>
        <w:tc>
          <w:tcPr>
            <w:tcW w:w="3208"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2025</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447</w:t>
            </w:r>
          </w:p>
        </w:tc>
        <w:tc>
          <w:tcPr>
            <w:tcW w:w="22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1,289</w:t>
            </w:r>
            <w:r>
              <w:rPr>
                <w:rFonts w:ascii="Times New Roman;serif" w:hAnsi="Times New Roman;serif"/>
                <w:caps w:val="false"/>
                <w:smallCaps w:val="false"/>
                <w:color w:val="000000"/>
                <w:sz w:val="22"/>
              </w:rPr>
              <w:t> </w:t>
            </w:r>
          </w:p>
        </w:tc>
      </w:tr>
      <w:tr>
        <w:trPr/>
        <w:tc>
          <w:tcPr>
            <w:tcW w:w="4067" w:type="dxa"/>
            <w:tcBorders/>
            <w:shd w:fill="CCEE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9.00% to 9.99%</w:t>
            </w:r>
          </w:p>
        </w:tc>
        <w:tc>
          <w:tcPr>
            <w:tcW w:w="3208" w:type="dxa"/>
            <w:tcBorders/>
            <w:shd w:fill="CCEE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2026</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11,800</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11,800</w:t>
            </w:r>
            <w:r>
              <w:rPr>
                <w:rFonts w:ascii="Times New Roman;serif" w:hAnsi="Times New Roman;serif"/>
                <w:caps w:val="false"/>
                <w:smallCaps w:val="false"/>
                <w:color w:val="000000"/>
                <w:sz w:val="22"/>
              </w:rPr>
              <w:t> </w:t>
            </w:r>
          </w:p>
        </w:tc>
      </w:tr>
      <w:tr>
        <w:trPr/>
        <w:tc>
          <w:tcPr>
            <w:tcW w:w="4067" w:type="dxa"/>
            <w:tcBorders/>
            <w:vAlign w:val="center"/>
          </w:tcPr>
          <w:p>
            <w:pPr>
              <w:pStyle w:val="TableContents"/>
              <w:bidi w:val="0"/>
              <w:spacing w:before="0" w:after="283"/>
              <w:jc w:val="left"/>
              <w:rPr>
                <w:sz w:val="4"/>
                <w:szCs w:val="4"/>
              </w:rPr>
            </w:pPr>
            <w:r>
              <w:rPr>
                <w:sz w:val="4"/>
                <w:szCs w:val="4"/>
              </w:rPr>
            </w:r>
          </w:p>
        </w:tc>
        <w:tc>
          <w:tcPr>
            <w:tcW w:w="3208"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3,101,096</w:t>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3,163,008</w:t>
            </w:r>
            <w:r>
              <w:rPr>
                <w:rFonts w:ascii="Times New Roman;serif" w:hAnsi="Times New Roman;serif"/>
                <w:caps w:val="false"/>
                <w:smallCaps w:val="false"/>
                <w:color w:val="000000"/>
                <w:sz w:val="22"/>
              </w:rPr>
              <w:t> </w:t>
            </w:r>
          </w:p>
        </w:tc>
      </w:tr>
      <w:tr>
        <w:trPr/>
        <w:tc>
          <w:tcPr>
            <w:tcW w:w="4067" w:type="dxa"/>
            <w:tcBorders/>
            <w:shd w:fill="CCEEFF" w:val="clear"/>
            <w:vAlign w:val="center"/>
          </w:tcPr>
          <w:p>
            <w:pPr>
              <w:pStyle w:val="TableContents"/>
              <w:bidi w:val="0"/>
              <w:spacing w:before="0" w:after="283"/>
              <w:jc w:val="left"/>
              <w:rPr>
                <w:sz w:val="4"/>
                <w:szCs w:val="4"/>
              </w:rPr>
            </w:pPr>
            <w:r>
              <w:rPr>
                <w:sz w:val="4"/>
                <w:szCs w:val="4"/>
              </w:rPr>
            </w:r>
          </w:p>
        </w:tc>
        <w:tc>
          <w:tcPr>
            <w:tcW w:w="3208"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92" w:type="dxa"/>
            <w:tcBorders/>
            <w:shd w:fill="CCEEFF" w:val="clear"/>
            <w:vAlign w:val="center"/>
          </w:tcPr>
          <w:p>
            <w:pPr>
              <w:pStyle w:val="TableContents"/>
              <w:bidi w:val="0"/>
              <w:spacing w:before="0" w:after="283"/>
              <w:jc w:val="left"/>
              <w:rPr>
                <w:sz w:val="4"/>
                <w:szCs w:val="4"/>
              </w:rPr>
            </w:pPr>
            <w:r>
              <w:rPr>
                <w:sz w:val="4"/>
                <w:szCs w:val="4"/>
              </w:rPr>
            </w:r>
          </w:p>
        </w:tc>
      </w:tr>
      <w:tr>
        <w:trPr/>
        <w:tc>
          <w:tcPr>
            <w:tcW w:w="7275" w:type="dxa"/>
            <w:gridSpan w:val="2"/>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Notes payable to bank under revolving credit agreement, variable rate, due 2027</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413,000</w:t>
            </w:r>
          </w:p>
        </w:tc>
        <w:tc>
          <w:tcPr>
            <w:tcW w:w="22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720,000</w:t>
            </w:r>
            <w:r>
              <w:rPr>
                <w:rFonts w:ascii="Times New Roman;serif" w:hAnsi="Times New Roman;serif"/>
                <w:caps w:val="false"/>
                <w:smallCaps w:val="false"/>
                <w:color w:val="000000"/>
                <w:sz w:val="22"/>
              </w:rPr>
              <w:t> </w:t>
            </w:r>
          </w:p>
        </w:tc>
      </w:tr>
      <w:tr>
        <w:trPr/>
        <w:tc>
          <w:tcPr>
            <w:tcW w:w="7275" w:type="dxa"/>
            <w:gridSpan w:val="2"/>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Unsecured notes payable:</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4067"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Notes at 2.40% due 2031</w:t>
            </w:r>
          </w:p>
        </w:tc>
        <w:tc>
          <w:tcPr>
            <w:tcW w:w="3208"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400,000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92"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400,000</w:t>
            </w:r>
            <w:r>
              <w:rPr>
                <w:rFonts w:ascii="Times New Roman;serif" w:hAnsi="Times New Roman;serif"/>
                <w:caps w:val="false"/>
                <w:smallCaps w:val="false"/>
                <w:color w:val="000000"/>
                <w:sz w:val="22"/>
              </w:rPr>
              <w:t> </w:t>
            </w:r>
          </w:p>
        </w:tc>
      </w:tr>
      <w:tr>
        <w:trPr/>
        <w:tc>
          <w:tcPr>
            <w:tcW w:w="4067"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Notes at 2.704% due 2030</w:t>
            </w:r>
          </w:p>
        </w:tc>
        <w:tc>
          <w:tcPr>
            <w:tcW w:w="3208" w:type="dxa"/>
            <w:tcBorders/>
            <w:vAlign w:val="center"/>
          </w:tcPr>
          <w:p>
            <w:pPr>
              <w:pStyle w:val="TableContents"/>
              <w:bidi w:val="0"/>
              <w:spacing w:before="0" w:after="283"/>
              <w:ind w:left="115" w:right="0" w:hanging="0"/>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500,000</w:t>
            </w:r>
          </w:p>
        </w:tc>
        <w:tc>
          <w:tcPr>
            <w:tcW w:w="22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500,000</w:t>
            </w:r>
            <w:r>
              <w:rPr>
                <w:rFonts w:ascii="Times New Roman;serif" w:hAnsi="Times New Roman;serif"/>
                <w:caps w:val="false"/>
                <w:smallCaps w:val="false"/>
                <w:color w:val="000000"/>
                <w:sz w:val="22"/>
              </w:rPr>
              <w:t> </w:t>
            </w:r>
          </w:p>
        </w:tc>
      </w:tr>
      <w:tr>
        <w:trPr/>
        <w:tc>
          <w:tcPr>
            <w:tcW w:w="7275" w:type="dxa"/>
            <w:gridSpan w:val="2"/>
            <w:tcBorders/>
            <w:shd w:fill="CCEEFF" w:val="clear"/>
            <w:vAlign w:val="center"/>
          </w:tcPr>
          <w:p>
            <w:pPr>
              <w:pStyle w:val="TableContents"/>
              <w:bidi w:val="0"/>
              <w:spacing w:lineRule="auto" w:line="259" w:before="0" w:after="1"/>
              <w:ind w:left="115" w:right="0" w:hanging="0"/>
              <w:jc w:val="left"/>
              <w:rPr>
                <w:rFonts w:ascii="Times New Roman;serif" w:hAnsi="Times New Roman;serif"/>
                <w:sz w:val="22"/>
              </w:rPr>
            </w:pPr>
            <w:r>
              <w:rPr>
                <w:rFonts w:ascii="Times New Roman;serif" w:hAnsi="Times New Roman;serif"/>
                <w:b w:val="false"/>
                <w:i w:val="false"/>
                <w:caps w:val="false"/>
                <w:smallCaps w:val="false"/>
                <w:color w:val="000000"/>
                <w:sz w:val="22"/>
              </w:rPr>
              <w:t>Notes ranging from 3.01% to 3.59%, due 2029</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through 2050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1,125,000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92"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1,125,000</w:t>
            </w:r>
            <w:r>
              <w:rPr>
                <w:rFonts w:ascii="Times New Roman;serif" w:hAnsi="Times New Roman;serif"/>
                <w:caps w:val="false"/>
                <w:smallCaps w:val="false"/>
                <w:color w:val="000000"/>
                <w:sz w:val="22"/>
              </w:rPr>
              <w:t> </w:t>
            </w:r>
          </w:p>
        </w:tc>
      </w:tr>
      <w:tr>
        <w:trPr/>
        <w:tc>
          <w:tcPr>
            <w:tcW w:w="7275" w:type="dxa"/>
            <w:gridSpan w:val="2"/>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Notes at 4.276%, due 2049</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500,000</w:t>
            </w:r>
          </w:p>
        </w:tc>
        <w:tc>
          <w:tcPr>
            <w:tcW w:w="22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500,000</w:t>
            </w:r>
            <w:r>
              <w:rPr>
                <w:rFonts w:ascii="Times New Roman;serif" w:hAnsi="Times New Roman;serif"/>
                <w:caps w:val="false"/>
                <w:smallCaps w:val="false"/>
                <w:color w:val="000000"/>
                <w:sz w:val="22"/>
              </w:rPr>
              <w:t> </w:t>
            </w:r>
          </w:p>
        </w:tc>
      </w:tr>
      <w:tr>
        <w:trPr/>
        <w:tc>
          <w:tcPr>
            <w:tcW w:w="7275" w:type="dxa"/>
            <w:gridSpan w:val="2"/>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Notes at 4.80%, due 2027</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500,000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9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7275" w:type="dxa"/>
            <w:gridSpan w:val="2"/>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Notes at 5.30%, due 2052</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500,000</w:t>
            </w:r>
          </w:p>
        </w:tc>
        <w:tc>
          <w:tcPr>
            <w:tcW w:w="22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500,000</w:t>
            </w:r>
            <w:r>
              <w:rPr>
                <w:rFonts w:ascii="Times New Roman;serif" w:hAnsi="Times New Roman;serif"/>
                <w:caps w:val="false"/>
                <w:smallCaps w:val="false"/>
                <w:color w:val="000000"/>
                <w:sz w:val="22"/>
              </w:rPr>
              <w:t> </w:t>
            </w:r>
          </w:p>
        </w:tc>
      </w:tr>
      <w:tr>
        <w:trPr/>
        <w:tc>
          <w:tcPr>
            <w:tcW w:w="7275" w:type="dxa"/>
            <w:gridSpan w:val="2"/>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Notes at 5.375%, due 2034</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500,000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9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7275" w:type="dxa"/>
            <w:gridSpan w:val="2"/>
            <w:tcBorders/>
            <w:vAlign w:val="center"/>
          </w:tcPr>
          <w:p>
            <w:pPr>
              <w:pStyle w:val="TableContents"/>
              <w:bidi w:val="0"/>
              <w:spacing w:lineRule="auto" w:line="259" w:before="0" w:after="1"/>
              <w:ind w:left="115" w:right="0" w:hanging="0"/>
              <w:jc w:val="left"/>
              <w:rPr>
                <w:rFonts w:ascii="Times New Roman;serif" w:hAnsi="Times New Roman;serif"/>
                <w:sz w:val="22"/>
              </w:rPr>
            </w:pPr>
            <w:r>
              <w:rPr>
                <w:rFonts w:ascii="Times New Roman;serif" w:hAnsi="Times New Roman;serif"/>
                <w:b w:val="false"/>
                <w:i w:val="false"/>
                <w:caps w:val="false"/>
                <w:smallCaps w:val="false"/>
                <w:color w:val="000000"/>
                <w:sz w:val="22"/>
              </w:rPr>
              <w:t>Notes at 5.95%, due 2024</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through 2034</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20,000</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30,000</w:t>
            </w:r>
            <w:r>
              <w:rPr>
                <w:rFonts w:ascii="Times New Roman;serif" w:hAnsi="Times New Roman;serif"/>
                <w:caps w:val="false"/>
                <w:smallCaps w:val="false"/>
                <w:color w:val="000000"/>
                <w:sz w:val="22"/>
              </w:rPr>
              <w:t> </w:t>
            </w:r>
          </w:p>
        </w:tc>
      </w:tr>
      <w:tr>
        <w:trPr/>
        <w:tc>
          <w:tcPr>
            <w:tcW w:w="4067"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long-term debt</w:t>
            </w:r>
          </w:p>
        </w:tc>
        <w:tc>
          <w:tcPr>
            <w:tcW w:w="3208"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7,559,096</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92"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6,938,008</w:t>
            </w:r>
            <w:r>
              <w:rPr>
                <w:rFonts w:ascii="Times New Roman;serif" w:hAnsi="Times New Roman;serif"/>
                <w:caps w:val="false"/>
                <w:smallCaps w:val="false"/>
                <w:color w:val="000000"/>
                <w:sz w:val="22"/>
              </w:rPr>
              <w:t> </w:t>
            </w:r>
          </w:p>
        </w:tc>
      </w:tr>
      <w:tr>
        <w:trPr/>
        <w:tc>
          <w:tcPr>
            <w:tcW w:w="4067" w:type="dxa"/>
            <w:tcBorders/>
            <w:vAlign w:val="center"/>
          </w:tcPr>
          <w:p>
            <w:pPr>
              <w:pStyle w:val="TableContents"/>
              <w:bidi w:val="0"/>
              <w:spacing w:before="0" w:after="283"/>
              <w:jc w:val="left"/>
              <w:rPr>
                <w:sz w:val="4"/>
                <w:szCs w:val="4"/>
              </w:rPr>
            </w:pPr>
            <w:r>
              <w:rPr>
                <w:sz w:val="4"/>
                <w:szCs w:val="4"/>
              </w:rPr>
            </w:r>
          </w:p>
        </w:tc>
        <w:tc>
          <w:tcPr>
            <w:tcW w:w="32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7275" w:type="dxa"/>
            <w:gridSpan w:val="2"/>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Current portion of long-term debt</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142,807</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67,415</w:t>
            </w:r>
            <w:r>
              <w:rPr>
                <w:rFonts w:ascii="Times New Roman;serif" w:hAnsi="Times New Roman;serif"/>
                <w:caps w:val="false"/>
                <w:smallCaps w:val="false"/>
                <w:color w:val="000000"/>
                <w:sz w:val="22"/>
              </w:rPr>
              <w:t> </w:t>
            </w:r>
          </w:p>
        </w:tc>
      </w:tr>
      <w:tr>
        <w:trPr/>
        <w:tc>
          <w:tcPr>
            <w:tcW w:w="7275" w:type="dxa"/>
            <w:gridSpan w:val="2"/>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Long-term debt, excluding current portion</w:t>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7,416,289</w:t>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6,870,593</w:t>
            </w:r>
            <w:r>
              <w:rPr>
                <w:rFonts w:ascii="Times New Roman;serif" w:hAnsi="Times New Roman;serif"/>
                <w:caps w:val="false"/>
                <w:smallCaps w:val="false"/>
                <w:color w:val="000000"/>
                <w:sz w:val="22"/>
              </w:rPr>
              <w:t> </w:t>
            </w:r>
          </w:p>
        </w:tc>
      </w:tr>
      <w:tr>
        <w:trPr/>
        <w:tc>
          <w:tcPr>
            <w:tcW w:w="4067"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Less: debt issuance costs</w:t>
            </w:r>
          </w:p>
        </w:tc>
        <w:tc>
          <w:tcPr>
            <w:tcW w:w="3208"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47,908</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92"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44,508</w:t>
            </w:r>
            <w:r>
              <w:rPr>
                <w:rFonts w:ascii="Times New Roman;serif" w:hAnsi="Times New Roman;serif"/>
                <w:caps w:val="false"/>
                <w:smallCaps w:val="false"/>
                <w:color w:val="000000"/>
                <w:sz w:val="22"/>
              </w:rPr>
              <w:t> </w:t>
            </w:r>
          </w:p>
        </w:tc>
      </w:tr>
      <w:tr>
        <w:trPr/>
        <w:tc>
          <w:tcPr>
            <w:tcW w:w="7275" w:type="dxa"/>
            <w:gridSpan w:val="2"/>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Long-term debt, excluding current portion, net of debt issuance costs</w:t>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7,368,381</w:t>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29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6,826,085</w:t>
            </w:r>
            <w:r>
              <w:rPr>
                <w:rFonts w:ascii="Times New Roman;serif" w:hAnsi="Times New Roman;serif"/>
                <w:caps w:val="false"/>
                <w:smallCaps w:val="false"/>
                <w:color w:val="000000"/>
                <w:sz w:val="22"/>
              </w:rPr>
              <w:t> </w:t>
            </w:r>
          </w:p>
        </w:tc>
      </w:tr>
      <w:tr>
        <w:trPr/>
        <w:tc>
          <w:tcPr>
            <w:tcW w:w="4067" w:type="dxa"/>
            <w:tcBorders/>
            <w:shd w:fill="CCEEFF" w:val="clear"/>
            <w:vAlign w:val="center"/>
          </w:tcPr>
          <w:p>
            <w:pPr>
              <w:pStyle w:val="TableContents"/>
              <w:bidi w:val="0"/>
              <w:spacing w:before="0" w:after="283"/>
              <w:jc w:val="left"/>
              <w:rPr>
                <w:sz w:val="4"/>
                <w:szCs w:val="4"/>
              </w:rPr>
            </w:pPr>
            <w:r>
              <w:rPr>
                <w:sz w:val="4"/>
                <w:szCs w:val="4"/>
              </w:rPr>
            </w:r>
          </w:p>
        </w:tc>
        <w:tc>
          <w:tcPr>
            <w:tcW w:w="3208"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9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7275" w:type="dxa"/>
            <w:gridSpan w:val="2"/>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capitalization</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13,567,190</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29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12,722,268</w:t>
            </w:r>
            <w:r>
              <w:rPr>
                <w:rFonts w:ascii="Times New Roman;serif" w:hAnsi="Times New Roman;serif"/>
                <w:caps w:val="false"/>
                <w:smallCaps w:val="false"/>
                <w:color w:val="000000"/>
                <w:sz w:val="22"/>
              </w:rPr>
              <w:t> </w:t>
            </w:r>
          </w:p>
        </w:tc>
      </w:tr>
      <w:tr>
        <w:trPr/>
        <w:tc>
          <w:tcPr>
            <w:tcW w:w="4067" w:type="dxa"/>
            <w:tcBorders/>
            <w:vAlign w:val="center"/>
          </w:tcPr>
          <w:p>
            <w:pPr>
              <w:pStyle w:val="TableContents"/>
              <w:bidi w:val="0"/>
              <w:spacing w:before="0" w:after="283"/>
              <w:jc w:val="left"/>
              <w:rPr>
                <w:sz w:val="4"/>
                <w:szCs w:val="4"/>
              </w:rPr>
            </w:pPr>
            <w:r>
              <w:rPr>
                <w:sz w:val="4"/>
                <w:szCs w:val="4"/>
              </w:rPr>
            </w:r>
          </w:p>
        </w:tc>
        <w:tc>
          <w:tcPr>
            <w:tcW w:w="3208" w:type="dxa"/>
            <w:tcBorders/>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9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See accompanying notes to consolidated financial statements.</w:t>
            </w:r>
          </w:p>
        </w:tc>
      </w:tr>
    </w:tbl>
    <w:p>
      <w:pPr>
        <w:pStyle w:val="TextBody"/>
        <w:bidi w:val="0"/>
        <w:spacing w:lineRule="auto" w:line="259"/>
        <w:jc w:val="center"/>
        <w:rPr>
          <w:caps w:val="false"/>
          <w:smallCaps w:val="false"/>
        </w:rPr>
      </w:pPr>
      <w:bookmarkStart w:id="29" w:name="Equity_Stmt"/>
      <w:bookmarkEnd w:id="29"/>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CONSOLIDATED STATEMENTS OF EQUITY</w:t>
      </w:r>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 of dollars, except per share amounts)</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44"/>
        <w:gridCol w:w="196"/>
        <w:gridCol w:w="1008"/>
        <w:gridCol w:w="211"/>
        <w:gridCol w:w="1550"/>
        <w:gridCol w:w="211"/>
        <w:gridCol w:w="1172"/>
        <w:gridCol w:w="211"/>
        <w:gridCol w:w="932"/>
        <w:gridCol w:w="109"/>
        <w:gridCol w:w="211"/>
        <w:gridCol w:w="1050"/>
      </w:tblGrid>
      <w:tr>
        <w:trPr/>
        <w:tc>
          <w:tcPr>
            <w:tcW w:w="3344"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08"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550"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72"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93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50" w:type="dxa"/>
            <w:tcBorders/>
            <w:shd w:fill="FFFFFF" w:val="clear"/>
            <w:vAlign w:val="center"/>
          </w:tcPr>
          <w:p>
            <w:pPr>
              <w:pStyle w:val="TableContents"/>
              <w:bidi w:val="0"/>
              <w:spacing w:before="0" w:after="283"/>
              <w:jc w:val="left"/>
              <w:rPr>
                <w:sz w:val="4"/>
                <w:szCs w:val="4"/>
              </w:rPr>
            </w:pPr>
            <w:r>
              <w:rPr>
                <w:sz w:val="4"/>
                <w:szCs w:val="4"/>
              </w:rPr>
            </w:r>
          </w:p>
        </w:tc>
      </w:tr>
      <w:tr>
        <w:trPr/>
        <w:tc>
          <w:tcPr>
            <w:tcW w:w="3344"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1008"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Common stock</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550"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Capital in excess of par value</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72"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Retained earnings</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32"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Treasury stock</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50"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Total</w:t>
            </w:r>
          </w:p>
        </w:tc>
      </w:tr>
      <w:tr>
        <w:trPr/>
        <w:tc>
          <w:tcPr>
            <w:tcW w:w="3344"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Balance at December 31, 2021</w:t>
            </w:r>
          </w:p>
        </w:tc>
        <w:tc>
          <w:tcPr>
            <w:tcW w:w="19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08"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128,050</w:t>
            </w:r>
            <w:r>
              <w:rPr>
                <w:rFonts w:ascii="Times New Roman;serif" w:hAnsi="Times New Roman;serif"/>
                <w:caps w:val="false"/>
                <w:smallCaps w:val="false"/>
                <w:color w:val="000000"/>
                <w:sz w:val="18"/>
              </w:rPr>
              <w:t> </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550"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3,705,814</w:t>
            </w:r>
            <w:r>
              <w:rPr>
                <w:rFonts w:ascii="Times New Roman;serif" w:hAnsi="Times New Roman;serif"/>
                <w:caps w:val="false"/>
                <w:smallCaps w:val="false"/>
                <w:color w:val="000000"/>
                <w:sz w:val="18"/>
              </w:rPr>
              <w:t> </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72"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1,434,201</w:t>
            </w:r>
            <w:r>
              <w:rPr>
                <w:rFonts w:ascii="Times New Roman;serif" w:hAnsi="Times New Roman;serif"/>
                <w:caps w:val="false"/>
                <w:smallCaps w:val="false"/>
                <w:color w:val="000000"/>
                <w:sz w:val="18"/>
              </w:rPr>
              <w:t> </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32"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(83,615)</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0"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5,184,450</w:t>
            </w:r>
            <w:r>
              <w:rPr>
                <w:rFonts w:ascii="Times New Roman;serif" w:hAnsi="Times New Roman;serif"/>
                <w:caps w:val="false"/>
                <w:smallCaps w:val="false"/>
                <w:color w:val="000000"/>
                <w:sz w:val="18"/>
              </w:rPr>
              <w:t> </w:t>
            </w:r>
          </w:p>
        </w:tc>
      </w:tr>
      <w:tr>
        <w:trPr/>
        <w:tc>
          <w:tcPr>
            <w:tcW w:w="3344"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Net income </w:t>
            </w:r>
          </w:p>
        </w:tc>
        <w:tc>
          <w:tcPr>
            <w:tcW w:w="19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465,237</w:t>
            </w:r>
            <w:r>
              <w:rPr>
                <w:rFonts w:ascii="Times New Roman;serif" w:hAnsi="Times New Roman;serif"/>
                <w:caps w:val="false"/>
                <w:smallCaps w:val="false"/>
                <w:color w:val="000000"/>
                <w:sz w:val="18"/>
              </w:rPr>
              <w:t> </w:t>
            </w:r>
          </w:p>
        </w:tc>
        <w:tc>
          <w:tcPr>
            <w:tcW w:w="21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465,237</w:t>
            </w:r>
            <w:r>
              <w:rPr>
                <w:rFonts w:ascii="Times New Roman;serif" w:hAnsi="Times New Roman;serif"/>
                <w:caps w:val="false"/>
                <w:smallCaps w:val="false"/>
                <w:color w:val="000000"/>
                <w:sz w:val="18"/>
              </w:rPr>
              <w:t> </w:t>
            </w:r>
          </w:p>
        </w:tc>
      </w:tr>
      <w:tr>
        <w:trPr/>
        <w:tc>
          <w:tcPr>
            <w:tcW w:w="3344"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Dividends declared and paid ($1.1104</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per share)</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5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(288,632)</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(288,632)</w:t>
            </w:r>
          </w:p>
        </w:tc>
      </w:tr>
      <w:tr>
        <w:trPr/>
        <w:tc>
          <w:tcPr>
            <w:tcW w:w="3344" w:type="dxa"/>
            <w:tcBorders/>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Dividends of March 1, 2023 declared ($0.287</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per share)</w:t>
            </w:r>
          </w:p>
        </w:tc>
        <w:tc>
          <w:tcPr>
            <w:tcW w:w="19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(75,808)</w:t>
            </w:r>
          </w:p>
        </w:tc>
        <w:tc>
          <w:tcPr>
            <w:tcW w:w="21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(75,808)</w:t>
            </w:r>
          </w:p>
        </w:tc>
      </w:tr>
      <w:tr>
        <w:trPr/>
        <w:tc>
          <w:tcPr>
            <w:tcW w:w="3344"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Issuance of common stock from stock purchase contracts (9,029,461</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4,515</w:t>
            </w:r>
            <w:r>
              <w:rPr>
                <w:rFonts w:ascii="Times New Roman;serif" w:hAnsi="Times New Roman;serif"/>
                <w:caps w:val="false"/>
                <w:smallCaps w:val="false"/>
                <w:color w:val="000000"/>
                <w:sz w:val="18"/>
              </w:rPr>
              <w:t> </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5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(4,515)</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3344" w:type="dxa"/>
            <w:tcBorders/>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Issuance of common stock under dividend reinvestment plan (368,278</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9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184</w:t>
            </w:r>
            <w:r>
              <w:rPr>
                <w:rFonts w:ascii="Times New Roman;serif" w:hAnsi="Times New Roman;serif"/>
                <w:caps w:val="false"/>
                <w:smallCaps w:val="false"/>
                <w:color w:val="000000"/>
                <w:sz w:val="18"/>
              </w:rPr>
              <w:t> </w:t>
            </w:r>
          </w:p>
        </w:tc>
        <w:tc>
          <w:tcPr>
            <w:tcW w:w="21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16,435</w:t>
            </w:r>
            <w:r>
              <w:rPr>
                <w:rFonts w:ascii="Times New Roman;serif" w:hAnsi="Times New Roman;serif"/>
                <w:caps w:val="false"/>
                <w:smallCaps w:val="false"/>
                <w:color w:val="000000"/>
                <w:sz w:val="18"/>
              </w:rPr>
              <w:t> </w:t>
            </w:r>
          </w:p>
        </w:tc>
        <w:tc>
          <w:tcPr>
            <w:tcW w:w="21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16,619</w:t>
            </w:r>
            <w:r>
              <w:rPr>
                <w:rFonts w:ascii="Times New Roman;serif" w:hAnsi="Times New Roman;serif"/>
                <w:caps w:val="false"/>
                <w:smallCaps w:val="false"/>
                <w:color w:val="000000"/>
                <w:sz w:val="18"/>
              </w:rPr>
              <w:t> </w:t>
            </w:r>
          </w:p>
        </w:tc>
      </w:tr>
      <w:tr>
        <w:trPr/>
        <w:tc>
          <w:tcPr>
            <w:tcW w:w="3344"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Issuance of common stock from at-the-market sale agreements (1,321,994</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661</w:t>
            </w:r>
            <w:r>
              <w:rPr>
                <w:rFonts w:ascii="Times New Roman;serif" w:hAnsi="Times New Roman;serif"/>
                <w:caps w:val="false"/>
                <w:smallCaps w:val="false"/>
                <w:color w:val="000000"/>
                <w:sz w:val="18"/>
              </w:rPr>
              <w:t> </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550"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62,379</w:t>
            </w:r>
            <w:r>
              <w:rPr>
                <w:rFonts w:ascii="Times New Roman;serif" w:hAnsi="Times New Roman;serif"/>
                <w:caps w:val="false"/>
                <w:smallCaps w:val="false"/>
                <w:color w:val="000000"/>
                <w:sz w:val="18"/>
              </w:rPr>
              <w:t> </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63,040</w:t>
            </w:r>
            <w:r>
              <w:rPr>
                <w:rFonts w:ascii="Times New Roman;serif" w:hAnsi="Times New Roman;serif"/>
                <w:caps w:val="false"/>
                <w:smallCaps w:val="false"/>
                <w:color w:val="000000"/>
                <w:sz w:val="18"/>
              </w:rPr>
              <w:t> </w:t>
            </w:r>
          </w:p>
        </w:tc>
      </w:tr>
      <w:tr>
        <w:trPr/>
        <w:tc>
          <w:tcPr>
            <w:tcW w:w="3344" w:type="dxa"/>
            <w:tcBorders/>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Repurchase of stock (25,037</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 xml:space="preserve">shares) </w:t>
            </w:r>
          </w:p>
        </w:tc>
        <w:tc>
          <w:tcPr>
            <w:tcW w:w="19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(1,192)</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(1,192)</w:t>
            </w:r>
          </w:p>
        </w:tc>
      </w:tr>
      <w:tr>
        <w:trPr/>
        <w:tc>
          <w:tcPr>
            <w:tcW w:w="3344"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Equity compensation plan (81,516</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41</w:t>
            </w:r>
            <w:r>
              <w:rPr>
                <w:rFonts w:ascii="Times New Roman;serif" w:hAnsi="Times New Roman;serif"/>
                <w:caps w:val="false"/>
                <w:smallCaps w:val="false"/>
                <w:color w:val="000000"/>
                <w:sz w:val="18"/>
              </w:rPr>
              <w:t> </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5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(41)</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3344" w:type="dxa"/>
            <w:tcBorders/>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Exercise of stock options (69,684</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9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35</w:t>
            </w:r>
            <w:r>
              <w:rPr>
                <w:rFonts w:ascii="Times New Roman;serif" w:hAnsi="Times New Roman;serif"/>
                <w:caps w:val="false"/>
                <w:smallCaps w:val="false"/>
                <w:color w:val="000000"/>
                <w:sz w:val="18"/>
              </w:rPr>
              <w:t> </w:t>
            </w:r>
          </w:p>
        </w:tc>
        <w:tc>
          <w:tcPr>
            <w:tcW w:w="21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2,440</w:t>
            </w:r>
            <w:r>
              <w:rPr>
                <w:rFonts w:ascii="Times New Roman;serif" w:hAnsi="Times New Roman;serif"/>
                <w:caps w:val="false"/>
                <w:smallCaps w:val="false"/>
                <w:color w:val="000000"/>
                <w:sz w:val="18"/>
              </w:rPr>
              <w:t> </w:t>
            </w:r>
          </w:p>
        </w:tc>
        <w:tc>
          <w:tcPr>
            <w:tcW w:w="21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2,475</w:t>
            </w:r>
            <w:r>
              <w:rPr>
                <w:rFonts w:ascii="Times New Roman;serif" w:hAnsi="Times New Roman;serif"/>
                <w:caps w:val="false"/>
                <w:smallCaps w:val="false"/>
                <w:color w:val="000000"/>
                <w:sz w:val="18"/>
              </w:rPr>
              <w:t> </w:t>
            </w:r>
          </w:p>
        </w:tc>
      </w:tr>
      <w:tr>
        <w:trPr/>
        <w:tc>
          <w:tcPr>
            <w:tcW w:w="3344"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Stock-based compensation</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550"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12,094</w:t>
            </w:r>
            <w:r>
              <w:rPr>
                <w:rFonts w:ascii="Times New Roman;serif" w:hAnsi="Times New Roman;serif"/>
                <w:caps w:val="false"/>
                <w:smallCaps w:val="false"/>
                <w:color w:val="000000"/>
                <w:sz w:val="18"/>
              </w:rPr>
              <w:t> </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(667)</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11,427</w:t>
            </w:r>
            <w:r>
              <w:rPr>
                <w:rFonts w:ascii="Times New Roman;serif" w:hAnsi="Times New Roman;serif"/>
                <w:caps w:val="false"/>
                <w:smallCaps w:val="false"/>
                <w:color w:val="000000"/>
                <w:sz w:val="18"/>
              </w:rPr>
              <w:t> </w:t>
            </w:r>
          </w:p>
        </w:tc>
      </w:tr>
      <w:tr>
        <w:trPr/>
        <w:tc>
          <w:tcPr>
            <w:tcW w:w="3344"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08"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50"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(1,344)</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2"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2"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1,114</w:t>
            </w:r>
            <w:r>
              <w:rPr>
                <w:rFonts w:ascii="Times New Roman;serif" w:hAnsi="Times New Roman;serif"/>
                <w:caps w:val="false"/>
                <w:smallCaps w:val="false"/>
                <w:color w:val="000000"/>
                <w:sz w:val="18"/>
              </w:rPr>
              <w:t> </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0"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(230)</w:t>
            </w:r>
          </w:p>
        </w:tc>
      </w:tr>
      <w:tr>
        <w:trPr/>
        <w:tc>
          <w:tcPr>
            <w:tcW w:w="3344"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Balance at December 31, 2022</w:t>
            </w:r>
          </w:p>
        </w:tc>
        <w:tc>
          <w:tcPr>
            <w:tcW w:w="196"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08"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133,486</w:t>
            </w:r>
            <w:r>
              <w:rPr>
                <w:rFonts w:ascii="Times New Roman;serif" w:hAnsi="Times New Roman;serif"/>
                <w:caps w:val="false"/>
                <w:smallCaps w:val="false"/>
                <w:color w:val="000000"/>
                <w:sz w:val="18"/>
              </w:rPr>
              <w:t> </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550"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3,793,262</w:t>
            </w:r>
            <w:r>
              <w:rPr>
                <w:rFonts w:ascii="Times New Roman;serif" w:hAnsi="Times New Roman;serif"/>
                <w:caps w:val="false"/>
                <w:smallCaps w:val="false"/>
                <w:color w:val="000000"/>
                <w:sz w:val="18"/>
              </w:rPr>
              <w:t> </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72"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1,534,331</w:t>
            </w:r>
            <w:r>
              <w:rPr>
                <w:rFonts w:ascii="Times New Roman;serif" w:hAnsi="Times New Roman;serif"/>
                <w:caps w:val="false"/>
                <w:smallCaps w:val="false"/>
                <w:color w:val="000000"/>
                <w:sz w:val="18"/>
              </w:rPr>
              <w:t> </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32"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(83,693)</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0"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5,377,386</w:t>
            </w:r>
            <w:r>
              <w:rPr>
                <w:rFonts w:ascii="Times New Roman;serif" w:hAnsi="Times New Roman;serif"/>
                <w:caps w:val="false"/>
                <w:smallCaps w:val="false"/>
                <w:color w:val="000000"/>
                <w:sz w:val="18"/>
              </w:rPr>
              <w:t> </w:t>
            </w:r>
          </w:p>
        </w:tc>
      </w:tr>
      <w:tr>
        <w:trPr/>
        <w:tc>
          <w:tcPr>
            <w:tcW w:w="3344"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Net income </w:t>
            </w:r>
          </w:p>
        </w:tc>
        <w:tc>
          <w:tcPr>
            <w:tcW w:w="19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498,226</w:t>
            </w:r>
            <w:r>
              <w:rPr>
                <w:rFonts w:ascii="Times New Roman;serif" w:hAnsi="Times New Roman;serif"/>
                <w:caps w:val="false"/>
                <w:smallCaps w:val="false"/>
                <w:color w:val="000000"/>
                <w:sz w:val="18"/>
              </w:rPr>
              <w:t> </w:t>
            </w:r>
          </w:p>
        </w:tc>
        <w:tc>
          <w:tcPr>
            <w:tcW w:w="21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498,226</w:t>
            </w:r>
            <w:r>
              <w:rPr>
                <w:rFonts w:ascii="Times New Roman;serif" w:hAnsi="Times New Roman;serif"/>
                <w:caps w:val="false"/>
                <w:smallCaps w:val="false"/>
                <w:color w:val="000000"/>
                <w:sz w:val="18"/>
              </w:rPr>
              <w:t> </w:t>
            </w:r>
          </w:p>
        </w:tc>
      </w:tr>
      <w:tr>
        <w:trPr/>
        <w:tc>
          <w:tcPr>
            <w:tcW w:w="3344"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Dividends declared and paid ($1.1882</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per share)</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5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(240,999)</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(240,999)</w:t>
            </w:r>
          </w:p>
        </w:tc>
      </w:tr>
      <w:tr>
        <w:trPr/>
        <w:tc>
          <w:tcPr>
            <w:tcW w:w="3344" w:type="dxa"/>
            <w:tcBorders/>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Dividends of March 1, 2024 declared ($0.3071</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per share)</w:t>
            </w:r>
          </w:p>
        </w:tc>
        <w:tc>
          <w:tcPr>
            <w:tcW w:w="19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(83,929)</w:t>
            </w:r>
          </w:p>
        </w:tc>
        <w:tc>
          <w:tcPr>
            <w:tcW w:w="21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(83,929)</w:t>
            </w:r>
          </w:p>
        </w:tc>
      </w:tr>
      <w:tr>
        <w:trPr/>
        <w:tc>
          <w:tcPr>
            <w:tcW w:w="3344"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Issuance of common stock under dividend reinvestment plan (430,487</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215</w:t>
            </w:r>
            <w:r>
              <w:rPr>
                <w:rFonts w:ascii="Times New Roman;serif" w:hAnsi="Times New Roman;serif"/>
                <w:caps w:val="false"/>
                <w:smallCaps w:val="false"/>
                <w:color w:val="000000"/>
                <w:sz w:val="18"/>
              </w:rPr>
              <w:t> </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550"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15,790</w:t>
            </w:r>
            <w:r>
              <w:rPr>
                <w:rFonts w:ascii="Times New Roman;serif" w:hAnsi="Times New Roman;serif"/>
                <w:caps w:val="false"/>
                <w:smallCaps w:val="false"/>
                <w:color w:val="000000"/>
                <w:sz w:val="18"/>
              </w:rPr>
              <w:t> </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16,005</w:t>
            </w:r>
            <w:r>
              <w:rPr>
                <w:rFonts w:ascii="Times New Roman;serif" w:hAnsi="Times New Roman;serif"/>
                <w:caps w:val="false"/>
                <w:smallCaps w:val="false"/>
                <w:color w:val="000000"/>
                <w:sz w:val="18"/>
              </w:rPr>
              <w:t> </w:t>
            </w:r>
          </w:p>
        </w:tc>
      </w:tr>
      <w:tr>
        <w:trPr/>
        <w:tc>
          <w:tcPr>
            <w:tcW w:w="3344" w:type="dxa"/>
            <w:tcBorders/>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Issuance of common stock from at-the-market sale agreements (8,938,839</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9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4,470</w:t>
            </w:r>
            <w:r>
              <w:rPr>
                <w:rFonts w:ascii="Times New Roman;serif" w:hAnsi="Times New Roman;serif"/>
                <w:caps w:val="false"/>
                <w:smallCaps w:val="false"/>
                <w:color w:val="000000"/>
                <w:sz w:val="18"/>
              </w:rPr>
              <w:t> </w:t>
            </w:r>
          </w:p>
        </w:tc>
        <w:tc>
          <w:tcPr>
            <w:tcW w:w="21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318,513</w:t>
            </w:r>
            <w:r>
              <w:rPr>
                <w:rFonts w:ascii="Times New Roman;serif" w:hAnsi="Times New Roman;serif"/>
                <w:caps w:val="false"/>
                <w:smallCaps w:val="false"/>
                <w:color w:val="000000"/>
                <w:sz w:val="18"/>
              </w:rPr>
              <w:t> </w:t>
            </w:r>
          </w:p>
        </w:tc>
        <w:tc>
          <w:tcPr>
            <w:tcW w:w="21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322,983</w:t>
            </w:r>
            <w:r>
              <w:rPr>
                <w:rFonts w:ascii="Times New Roman;serif" w:hAnsi="Times New Roman;serif"/>
                <w:caps w:val="false"/>
                <w:smallCaps w:val="false"/>
                <w:color w:val="000000"/>
                <w:sz w:val="18"/>
              </w:rPr>
              <w:t> </w:t>
            </w:r>
          </w:p>
        </w:tc>
      </w:tr>
      <w:tr>
        <w:trPr/>
        <w:tc>
          <w:tcPr>
            <w:tcW w:w="3344"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Repurchase of stock (89,785</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 xml:space="preserve">shares)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5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(3,981)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(3,981)</w:t>
            </w:r>
          </w:p>
        </w:tc>
      </w:tr>
      <w:tr>
        <w:trPr/>
        <w:tc>
          <w:tcPr>
            <w:tcW w:w="3344" w:type="dxa"/>
            <w:tcBorders/>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Equity compensation plan (244,407</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9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122</w:t>
            </w:r>
            <w:r>
              <w:rPr>
                <w:rFonts w:ascii="Times New Roman;serif" w:hAnsi="Times New Roman;serif"/>
                <w:caps w:val="false"/>
                <w:smallCaps w:val="false"/>
                <w:color w:val="000000"/>
                <w:sz w:val="18"/>
              </w:rPr>
              <w:t> </w:t>
            </w:r>
          </w:p>
        </w:tc>
        <w:tc>
          <w:tcPr>
            <w:tcW w:w="21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(122)</w:t>
            </w:r>
          </w:p>
        </w:tc>
        <w:tc>
          <w:tcPr>
            <w:tcW w:w="21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3344"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Exercise of stock options (8,174</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4</w:t>
            </w:r>
            <w:r>
              <w:rPr>
                <w:rFonts w:ascii="Times New Roman;serif" w:hAnsi="Times New Roman;serif"/>
                <w:caps w:val="false"/>
                <w:smallCaps w:val="false"/>
                <w:color w:val="000000"/>
                <w:sz w:val="18"/>
              </w:rPr>
              <w:t> </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550"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283</w:t>
            </w:r>
            <w:r>
              <w:rPr>
                <w:rFonts w:ascii="Times New Roman;serif" w:hAnsi="Times New Roman;serif"/>
                <w:caps w:val="false"/>
                <w:smallCaps w:val="false"/>
                <w:color w:val="000000"/>
                <w:sz w:val="18"/>
              </w:rPr>
              <w:t> </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287</w:t>
            </w:r>
            <w:r>
              <w:rPr>
                <w:rFonts w:ascii="Times New Roman;serif" w:hAnsi="Times New Roman;serif"/>
                <w:caps w:val="false"/>
                <w:smallCaps w:val="false"/>
                <w:color w:val="000000"/>
                <w:sz w:val="18"/>
              </w:rPr>
              <w:t> </w:t>
            </w:r>
          </w:p>
        </w:tc>
      </w:tr>
      <w:tr>
        <w:trPr/>
        <w:tc>
          <w:tcPr>
            <w:tcW w:w="3344"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Stock-based compensation</w:t>
            </w:r>
          </w:p>
        </w:tc>
        <w:tc>
          <w:tcPr>
            <w:tcW w:w="19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11,330</w:t>
            </w:r>
            <w:r>
              <w:rPr>
                <w:rFonts w:ascii="Times New Roman;serif" w:hAnsi="Times New Roman;serif"/>
                <w:caps w:val="false"/>
                <w:smallCaps w:val="false"/>
                <w:color w:val="000000"/>
                <w:sz w:val="18"/>
              </w:rPr>
              <w:t> </w:t>
            </w:r>
          </w:p>
        </w:tc>
        <w:tc>
          <w:tcPr>
            <w:tcW w:w="21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(954)</w:t>
            </w:r>
          </w:p>
        </w:tc>
        <w:tc>
          <w:tcPr>
            <w:tcW w:w="21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10,376</w:t>
            </w:r>
          </w:p>
        </w:tc>
      </w:tr>
      <w:tr>
        <w:trPr/>
        <w:tc>
          <w:tcPr>
            <w:tcW w:w="3344"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08"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50"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(1,360)</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72"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32"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1,189</w:t>
            </w:r>
            <w:r>
              <w:rPr>
                <w:rFonts w:ascii="Times New Roman;serif" w:hAnsi="Times New Roman;serif"/>
                <w:caps w:val="false"/>
                <w:smallCaps w:val="false"/>
                <w:color w:val="000000"/>
                <w:sz w:val="18"/>
              </w:rPr>
              <w:t> </w:t>
            </w:r>
          </w:p>
        </w:tc>
        <w:tc>
          <w:tcPr>
            <w:tcW w:w="10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50"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(171)</w:t>
            </w:r>
          </w:p>
        </w:tc>
      </w:tr>
      <w:tr>
        <w:trPr/>
        <w:tc>
          <w:tcPr>
            <w:tcW w:w="3344"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Balance at December 31, 2023</w:t>
            </w:r>
          </w:p>
        </w:tc>
        <w:tc>
          <w:tcPr>
            <w:tcW w:w="196" w:type="dxa"/>
            <w:tcBorders>
              <w:top w:val="single" w:sz="8" w:space="0" w:color="000000"/>
            </w:tcBorders>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08"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138,297</w:t>
            </w:r>
            <w:r>
              <w:rPr>
                <w:rFonts w:ascii="Times New Roman;serif" w:hAnsi="Times New Roman;serif"/>
                <w:caps w:val="false"/>
                <w:smallCaps w:val="false"/>
                <w:color w:val="000000"/>
                <w:sz w:val="18"/>
              </w:rPr>
              <w:t> </w:t>
            </w:r>
          </w:p>
        </w:tc>
        <w:tc>
          <w:tcPr>
            <w:tcW w:w="211"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550"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4,137,696</w:t>
            </w:r>
            <w:r>
              <w:rPr>
                <w:rFonts w:ascii="Times New Roman;serif" w:hAnsi="Times New Roman;serif"/>
                <w:caps w:val="false"/>
                <w:smallCaps w:val="false"/>
                <w:color w:val="000000"/>
                <w:sz w:val="18"/>
              </w:rPr>
              <w:t> </w:t>
            </w:r>
          </w:p>
        </w:tc>
        <w:tc>
          <w:tcPr>
            <w:tcW w:w="211"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172"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1,706,675</w:t>
            </w:r>
            <w:r>
              <w:rPr>
                <w:rFonts w:ascii="Times New Roman;serif" w:hAnsi="Times New Roman;serif"/>
                <w:caps w:val="false"/>
                <w:smallCaps w:val="false"/>
                <w:color w:val="000000"/>
                <w:sz w:val="18"/>
              </w:rPr>
              <w:t> </w:t>
            </w:r>
          </w:p>
        </w:tc>
        <w:tc>
          <w:tcPr>
            <w:tcW w:w="211"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32"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(86,485)</w:t>
            </w:r>
          </w:p>
        </w:tc>
        <w:tc>
          <w:tcPr>
            <w:tcW w:w="109"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50"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5,896,183</w:t>
            </w:r>
          </w:p>
        </w:tc>
      </w:tr>
      <w:tr>
        <w:trPr/>
        <w:tc>
          <w:tcPr>
            <w:tcW w:w="3344"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Net income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5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595,314</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595,314</w:t>
            </w:r>
          </w:p>
        </w:tc>
      </w:tr>
      <w:tr>
        <w:trPr/>
        <w:tc>
          <w:tcPr>
            <w:tcW w:w="3344" w:type="dxa"/>
            <w:tcBorders/>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Dividends declared and paid ($1.2652</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per share)</w:t>
            </w:r>
          </w:p>
        </w:tc>
        <w:tc>
          <w:tcPr>
            <w:tcW w:w="19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(262,462)</w:t>
            </w:r>
          </w:p>
        </w:tc>
        <w:tc>
          <w:tcPr>
            <w:tcW w:w="21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(262,462)</w:t>
            </w:r>
          </w:p>
        </w:tc>
      </w:tr>
      <w:tr>
        <w:trPr/>
        <w:tc>
          <w:tcPr>
            <w:tcW w:w="3344"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Dividends of March 1, 2025 declared ($0.3255</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per share)</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5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(89,441)</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(89,441)</w:t>
            </w:r>
          </w:p>
        </w:tc>
      </w:tr>
      <w:tr>
        <w:trPr/>
        <w:tc>
          <w:tcPr>
            <w:tcW w:w="3344" w:type="dxa"/>
            <w:tcBorders/>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Issuance of common stock under dividend reinvestment plan (433,688</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9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217</w:t>
            </w:r>
          </w:p>
        </w:tc>
        <w:tc>
          <w:tcPr>
            <w:tcW w:w="21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15,259</w:t>
            </w:r>
          </w:p>
        </w:tc>
        <w:tc>
          <w:tcPr>
            <w:tcW w:w="21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15,476</w:t>
            </w:r>
          </w:p>
        </w:tc>
      </w:tr>
      <w:tr>
        <w:trPr/>
        <w:tc>
          <w:tcPr>
            <w:tcW w:w="3344"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Issuance of common stock from at-the-market sale agreements (925,497</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463</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5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35,671</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36,134</w:t>
            </w:r>
          </w:p>
        </w:tc>
      </w:tr>
      <w:tr>
        <w:trPr/>
        <w:tc>
          <w:tcPr>
            <w:tcW w:w="3344" w:type="dxa"/>
            <w:tcBorders/>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Repurchase of stock (111,955</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 xml:space="preserve">shares) </w:t>
            </w:r>
          </w:p>
        </w:tc>
        <w:tc>
          <w:tcPr>
            <w:tcW w:w="19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(4,048)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(4,048)</w:t>
            </w:r>
          </w:p>
        </w:tc>
      </w:tr>
      <w:tr>
        <w:trPr/>
        <w:tc>
          <w:tcPr>
            <w:tcW w:w="3344"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Equity compensation plan (185,927</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93</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5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(93)</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r>
      <w:tr>
        <w:trPr/>
        <w:tc>
          <w:tcPr>
            <w:tcW w:w="3344" w:type="dxa"/>
            <w:tcBorders/>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Exercise of stock options (69,320</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shares)</w:t>
            </w:r>
          </w:p>
        </w:tc>
        <w:tc>
          <w:tcPr>
            <w:tcW w:w="196"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35</w:t>
            </w:r>
          </w:p>
        </w:tc>
        <w:tc>
          <w:tcPr>
            <w:tcW w:w="211"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2,436</w:t>
            </w:r>
          </w:p>
        </w:tc>
        <w:tc>
          <w:tcPr>
            <w:tcW w:w="211"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2,471</w:t>
            </w:r>
          </w:p>
        </w:tc>
      </w:tr>
      <w:tr>
        <w:trPr/>
        <w:tc>
          <w:tcPr>
            <w:tcW w:w="3344"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Stock-based compensation</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5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9,781</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(594)</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93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9,187</w:t>
            </w:r>
          </w:p>
        </w:tc>
      </w:tr>
      <w:tr>
        <w:trPr/>
        <w:tc>
          <w:tcPr>
            <w:tcW w:w="3344"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08"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50"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(914)</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2"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2"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909</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50"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w:t>
            </w:r>
          </w:p>
        </w:tc>
      </w:tr>
      <w:tr>
        <w:trPr/>
        <w:tc>
          <w:tcPr>
            <w:tcW w:w="3344"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Balance at December 31, 2024</w:t>
            </w:r>
          </w:p>
        </w:tc>
        <w:tc>
          <w:tcPr>
            <w:tcW w:w="19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100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139,105</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5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4,199,836</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7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1,949,492</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93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(89,624)</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5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6,198,809</w:t>
            </w:r>
          </w:p>
        </w:tc>
      </w:tr>
      <w:tr>
        <w:trPr/>
        <w:tc>
          <w:tcPr>
            <w:tcW w:w="3344" w:type="dxa"/>
            <w:tcBorders/>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0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55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7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3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1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50"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See accompanying notes to consolidated financial statements. </w:t>
            </w:r>
          </w:p>
        </w:tc>
      </w:tr>
    </w:tbl>
    <w:p>
      <w:pPr>
        <w:pStyle w:val="TextBody"/>
        <w:bidi w:val="0"/>
        <w:spacing w:lineRule="auto" w:line="259"/>
        <w:jc w:val="center"/>
        <w:rPr>
          <w:caps w:val="false"/>
          <w:smallCaps w:val="false"/>
        </w:rPr>
      </w:pPr>
      <w:bookmarkStart w:id="30" w:name="Cash_Flow_Stmt"/>
      <w:bookmarkEnd w:id="30"/>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CONSOLIDATED STATEMENTS OF CASH FLOWS</w:t>
      </w:r>
    </w:p>
    <w:p>
      <w:pPr>
        <w:pStyle w:val="TextBody"/>
        <w:bidi w:val="0"/>
        <w:spacing w:lineRule="auto" w:line="259"/>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 thousands of dollars, except per share amounts)</w:t>
      </w:r>
    </w:p>
    <w:p>
      <w:pPr>
        <w:pStyle w:val="TextBody"/>
        <w:bidi w:val="0"/>
        <w:spacing w:lineRule="auto" w:line="259"/>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75"/>
        <w:gridCol w:w="331"/>
        <w:gridCol w:w="920"/>
        <w:gridCol w:w="196"/>
        <w:gridCol w:w="920"/>
        <w:gridCol w:w="196"/>
        <w:gridCol w:w="967"/>
      </w:tblGrid>
      <w:tr>
        <w:trPr/>
        <w:tc>
          <w:tcPr>
            <w:tcW w:w="6675"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920" w:type="dxa"/>
            <w:tcBorders/>
            <w:shd w:fill="FFFFFF" w:val="clear"/>
            <w:vAlign w:val="center"/>
          </w:tcPr>
          <w:p>
            <w:pPr>
              <w:pStyle w:val="TableContents"/>
              <w:bidi w:val="0"/>
              <w:spacing w:before="0" w:after="283"/>
              <w:jc w:val="left"/>
              <w:rPr>
                <w:sz w:val="4"/>
                <w:szCs w:val="4"/>
              </w:rPr>
            </w:pPr>
            <w:r>
              <w:rPr>
                <w:sz w:val="4"/>
                <w:szCs w:val="4"/>
              </w:rPr>
            </w:r>
          </w:p>
        </w:tc>
        <w:tc>
          <w:tcPr>
            <w:tcW w:w="196" w:type="dxa"/>
            <w:tcBorders/>
            <w:shd w:fill="FFFFFF" w:val="clear"/>
            <w:vAlign w:val="center"/>
          </w:tcPr>
          <w:p>
            <w:pPr>
              <w:pStyle w:val="TableContents"/>
              <w:bidi w:val="0"/>
              <w:spacing w:before="0" w:after="283"/>
              <w:jc w:val="left"/>
              <w:rPr>
                <w:sz w:val="4"/>
                <w:szCs w:val="4"/>
              </w:rPr>
            </w:pPr>
            <w:r>
              <w:rPr>
                <w:sz w:val="4"/>
                <w:szCs w:val="4"/>
              </w:rPr>
            </w:r>
          </w:p>
        </w:tc>
        <w:tc>
          <w:tcPr>
            <w:tcW w:w="967" w:type="dxa"/>
            <w:tcBorders/>
            <w:shd w:fill="FFFFFF" w:val="clear"/>
            <w:vAlign w:val="center"/>
          </w:tcPr>
          <w:p>
            <w:pPr>
              <w:pStyle w:val="TableContents"/>
              <w:bidi w:val="0"/>
              <w:spacing w:before="0" w:after="283"/>
              <w:jc w:val="left"/>
              <w:rPr>
                <w:sz w:val="4"/>
                <w:szCs w:val="4"/>
              </w:rPr>
            </w:pPr>
            <w:r>
              <w:rPr>
                <w:sz w:val="4"/>
                <w:szCs w:val="4"/>
              </w:rPr>
            </w:r>
          </w:p>
        </w:tc>
      </w:tr>
      <w:tr>
        <w:trPr/>
        <w:tc>
          <w:tcPr>
            <w:tcW w:w="6675" w:type="dxa"/>
            <w:tcBorders/>
            <w:shd w:fill="FFFFFF" w:val="clear"/>
            <w:vAlign w:val="center"/>
          </w:tcPr>
          <w:p>
            <w:pPr>
              <w:pStyle w:val="TableContents"/>
              <w:bidi w:val="0"/>
              <w:spacing w:before="0" w:after="283"/>
              <w:jc w:val="left"/>
              <w:rPr>
                <w:sz w:val="4"/>
                <w:szCs w:val="4"/>
              </w:rPr>
            </w:pPr>
            <w:r>
              <w:rPr>
                <w:sz w:val="4"/>
                <w:szCs w:val="4"/>
              </w:rPr>
            </w:r>
          </w:p>
        </w:tc>
        <w:tc>
          <w:tcPr>
            <w:tcW w:w="3530" w:type="dxa"/>
            <w:gridSpan w:val="6"/>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Years ended December 31,</w:t>
            </w:r>
          </w:p>
        </w:tc>
      </w:tr>
      <w:tr>
        <w:trPr/>
        <w:tc>
          <w:tcPr>
            <w:tcW w:w="6675"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2024</w:t>
            </w:r>
          </w:p>
        </w:tc>
        <w:tc>
          <w:tcPr>
            <w:tcW w:w="19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2023</w:t>
            </w:r>
          </w:p>
        </w:tc>
        <w:tc>
          <w:tcPr>
            <w:tcW w:w="19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6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2022</w:t>
            </w:r>
          </w:p>
        </w:tc>
      </w:tr>
      <w:tr>
        <w:trPr/>
        <w:tc>
          <w:tcPr>
            <w:tcW w:w="6675" w:type="dxa"/>
            <w:tcBorders/>
            <w:shd w:fill="FFFF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Cash flows from operating activities:</w:t>
            </w:r>
          </w:p>
        </w:tc>
        <w:tc>
          <w:tcPr>
            <w:tcW w:w="33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67"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6675"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Net income </w:t>
            </w:r>
          </w:p>
        </w:tc>
        <w:tc>
          <w:tcPr>
            <w:tcW w:w="33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595,314</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498,226</w:t>
            </w:r>
            <w:r>
              <w:rPr>
                <w:rFonts w:ascii="Times New Roman;serif" w:hAnsi="Times New Roman;serif"/>
                <w:caps w:val="false"/>
                <w:smallCaps w:val="false"/>
                <w:color w:val="000000"/>
                <w:sz w:val="18"/>
              </w:rPr>
              <w:t> </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67"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465,237</w:t>
            </w:r>
            <w:r>
              <w:rPr>
                <w:rFonts w:ascii="Times New Roman;serif" w:hAnsi="Times New Roman;serif"/>
                <w:caps w:val="false"/>
                <w:smallCaps w:val="false"/>
                <w:color w:val="000000"/>
                <w:sz w:val="18"/>
              </w:rPr>
              <w:t> </w:t>
            </w:r>
          </w:p>
        </w:tc>
      </w:tr>
      <w:tr>
        <w:trPr/>
        <w:tc>
          <w:tcPr>
            <w:tcW w:w="6675"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Adjustments to reconcile net income to net cash flows from operating activities:</w:t>
            </w:r>
          </w:p>
        </w:tc>
        <w:tc>
          <w:tcPr>
            <w:tcW w:w="33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6675"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 xml:space="preserve">Depreciation and amortization </w:t>
            </w:r>
          </w:p>
        </w:tc>
        <w:tc>
          <w:tcPr>
            <w:tcW w:w="331"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369,552</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343,695</w:t>
            </w:r>
            <w:r>
              <w:rPr>
                <w:rFonts w:ascii="Times New Roman;serif" w:hAnsi="Times New Roman;serif"/>
                <w:caps w:val="false"/>
                <w:smallCaps w:val="false"/>
                <w:color w:val="000000"/>
                <w:sz w:val="18"/>
              </w:rPr>
              <w:t>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7"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321,177</w:t>
            </w:r>
            <w:r>
              <w:rPr>
                <w:rFonts w:ascii="Times New Roman;serif" w:hAnsi="Times New Roman;serif"/>
                <w:caps w:val="false"/>
                <w:smallCaps w:val="false"/>
                <w:color w:val="000000"/>
                <w:sz w:val="18"/>
              </w:rPr>
              <w:t> </w:t>
            </w:r>
          </w:p>
        </w:tc>
      </w:tr>
      <w:tr>
        <w:trPr/>
        <w:tc>
          <w:tcPr>
            <w:tcW w:w="6675"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Deferred income taxes</w:t>
            </w:r>
          </w:p>
        </w:tc>
        <w:tc>
          <w:tcPr>
            <w:tcW w:w="331" w:type="dxa"/>
            <w:tcBorders/>
            <w:vAlign w:val="center"/>
          </w:tcPr>
          <w:p>
            <w:pPr>
              <w:pStyle w:val="TableContents"/>
              <w:bidi w:val="0"/>
              <w:spacing w:before="0" w:after="283"/>
              <w:ind w:left="0" w:right="115" w:hanging="0"/>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(27,756)</w:t>
            </w:r>
          </w:p>
        </w:tc>
        <w:tc>
          <w:tcPr>
            <w:tcW w:w="1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(79,845)</w:t>
            </w:r>
          </w:p>
        </w:tc>
        <w:tc>
          <w:tcPr>
            <w:tcW w:w="19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(23,045)</w:t>
            </w:r>
          </w:p>
        </w:tc>
      </w:tr>
      <w:tr>
        <w:trPr/>
        <w:tc>
          <w:tcPr>
            <w:tcW w:w="6675"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Provision for doubtful accounts</w:t>
            </w:r>
          </w:p>
        </w:tc>
        <w:tc>
          <w:tcPr>
            <w:tcW w:w="331"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21,865</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23,209</w:t>
            </w:r>
            <w:r>
              <w:rPr>
                <w:rFonts w:ascii="Times New Roman;serif" w:hAnsi="Times New Roman;serif"/>
                <w:caps w:val="false"/>
                <w:smallCaps w:val="false"/>
                <w:color w:val="000000"/>
                <w:sz w:val="18"/>
              </w:rPr>
              <w:t>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7"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27,631</w:t>
            </w:r>
            <w:r>
              <w:rPr>
                <w:rFonts w:ascii="Times New Roman;serif" w:hAnsi="Times New Roman;serif"/>
                <w:caps w:val="false"/>
                <w:smallCaps w:val="false"/>
                <w:color w:val="000000"/>
                <w:sz w:val="18"/>
              </w:rPr>
              <w:t> </w:t>
            </w:r>
          </w:p>
        </w:tc>
      </w:tr>
      <w:tr>
        <w:trPr/>
        <w:tc>
          <w:tcPr>
            <w:tcW w:w="6675"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Stock-based compensation</w:t>
            </w:r>
          </w:p>
        </w:tc>
        <w:tc>
          <w:tcPr>
            <w:tcW w:w="331" w:type="dxa"/>
            <w:tcBorders/>
            <w:vAlign w:val="center"/>
          </w:tcPr>
          <w:p>
            <w:pPr>
              <w:pStyle w:val="TableContents"/>
              <w:bidi w:val="0"/>
              <w:spacing w:before="0" w:after="283"/>
              <w:ind w:left="0" w:right="115" w:hanging="0"/>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9,785</w:t>
            </w:r>
          </w:p>
        </w:tc>
        <w:tc>
          <w:tcPr>
            <w:tcW w:w="1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11,323</w:t>
            </w:r>
            <w:r>
              <w:rPr>
                <w:rFonts w:ascii="Times New Roman;serif" w:hAnsi="Times New Roman;serif"/>
                <w:caps w:val="false"/>
                <w:smallCaps w:val="false"/>
                <w:color w:val="000000"/>
                <w:sz w:val="18"/>
              </w:rPr>
              <w:t> </w:t>
            </w:r>
          </w:p>
        </w:tc>
        <w:tc>
          <w:tcPr>
            <w:tcW w:w="19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12,206</w:t>
            </w:r>
            <w:r>
              <w:rPr>
                <w:rFonts w:ascii="Times New Roman;serif" w:hAnsi="Times New Roman;serif"/>
                <w:caps w:val="false"/>
                <w:smallCaps w:val="false"/>
                <w:color w:val="000000"/>
                <w:sz w:val="18"/>
              </w:rPr>
              <w:t> </w:t>
            </w:r>
          </w:p>
        </w:tc>
      </w:tr>
      <w:tr>
        <w:trPr/>
        <w:tc>
          <w:tcPr>
            <w:tcW w:w="6675"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Gain on sale of utility system and other assets</w:t>
            </w:r>
          </w:p>
        </w:tc>
        <w:tc>
          <w:tcPr>
            <w:tcW w:w="331"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(92,224)</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(65)</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7"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(991)</w:t>
            </w:r>
          </w:p>
        </w:tc>
      </w:tr>
      <w:tr>
        <w:trPr/>
        <w:tc>
          <w:tcPr>
            <w:tcW w:w="6675"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change in receivables, deferred purchased gas costs, inventory and prepayments</w:t>
            </w:r>
          </w:p>
        </w:tc>
        <w:tc>
          <w:tcPr>
            <w:tcW w:w="331" w:type="dxa"/>
            <w:tcBorders/>
            <w:vAlign w:val="center"/>
          </w:tcPr>
          <w:p>
            <w:pPr>
              <w:pStyle w:val="TableContents"/>
              <w:bidi w:val="0"/>
              <w:spacing w:before="0" w:after="283"/>
              <w:ind w:left="0" w:right="115" w:hanging="0"/>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(103,335)</w:t>
            </w:r>
          </w:p>
        </w:tc>
        <w:tc>
          <w:tcPr>
            <w:tcW w:w="1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189,989</w:t>
            </w:r>
            <w:r>
              <w:rPr>
                <w:rFonts w:ascii="Times New Roman;serif" w:hAnsi="Times New Roman;serif"/>
                <w:caps w:val="false"/>
                <w:smallCaps w:val="false"/>
                <w:color w:val="000000"/>
                <w:sz w:val="18"/>
              </w:rPr>
              <w:t> </w:t>
            </w:r>
          </w:p>
        </w:tc>
        <w:tc>
          <w:tcPr>
            <w:tcW w:w="19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(223,335)</w:t>
            </w:r>
          </w:p>
        </w:tc>
      </w:tr>
      <w:tr>
        <w:trPr/>
        <w:tc>
          <w:tcPr>
            <w:tcW w:w="6675"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change in payables, accrued interest, accrued taxes and other accrued liabilities</w:t>
            </w:r>
          </w:p>
        </w:tc>
        <w:tc>
          <w:tcPr>
            <w:tcW w:w="331"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26,963</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(14,559)</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7"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53,761</w:t>
            </w:r>
            <w:r>
              <w:rPr>
                <w:rFonts w:ascii="Times New Roman;serif" w:hAnsi="Times New Roman;serif"/>
                <w:caps w:val="false"/>
                <w:smallCaps w:val="false"/>
                <w:color w:val="000000"/>
                <w:sz w:val="18"/>
              </w:rPr>
              <w:t> </w:t>
            </w:r>
          </w:p>
        </w:tc>
      </w:tr>
      <w:tr>
        <w:trPr/>
        <w:tc>
          <w:tcPr>
            <w:tcW w:w="6675"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Pension and other postretirement benefits contributions</w:t>
            </w:r>
          </w:p>
        </w:tc>
        <w:tc>
          <w:tcPr>
            <w:tcW w:w="331" w:type="dxa"/>
            <w:tcBorders/>
            <w:vAlign w:val="center"/>
          </w:tcPr>
          <w:p>
            <w:pPr>
              <w:pStyle w:val="TableContents"/>
              <w:bidi w:val="0"/>
              <w:spacing w:before="0" w:after="283"/>
              <w:ind w:left="0" w:right="115" w:hanging="0"/>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(9,394)</w:t>
            </w:r>
          </w:p>
        </w:tc>
        <w:tc>
          <w:tcPr>
            <w:tcW w:w="1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(20,343)</w:t>
            </w:r>
          </w:p>
        </w:tc>
        <w:tc>
          <w:tcPr>
            <w:tcW w:w="19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(22,027)</w:t>
            </w:r>
          </w:p>
        </w:tc>
      </w:tr>
      <w:tr>
        <w:trPr/>
        <w:tc>
          <w:tcPr>
            <w:tcW w:w="6675"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w:t>
            </w:r>
          </w:p>
        </w:tc>
        <w:tc>
          <w:tcPr>
            <w:tcW w:w="331" w:type="dxa"/>
            <w:tcBorders>
              <w:bottom w:val="single" w:sz="8" w:space="0" w:color="000000"/>
            </w:tcBorders>
            <w:shd w:fill="CCEEFF" w:val="clear"/>
            <w:tcMar>
              <w:bottom w:w="28" w:type="dxa"/>
            </w:tcMar>
            <w:vAlign w:val="center"/>
          </w:tcPr>
          <w:p>
            <w:pPr>
              <w:pStyle w:val="TableContents"/>
              <w:bidi w:val="0"/>
              <w:spacing w:before="0" w:after="283"/>
              <w:ind w:left="0" w:right="115" w:hanging="0"/>
              <w:jc w:val="left"/>
              <w:rPr>
                <w:sz w:val="4"/>
                <w:szCs w:val="4"/>
              </w:rPr>
            </w:pPr>
            <w:r>
              <w:rPr>
                <w:sz w:val="4"/>
                <w:szCs w:val="4"/>
              </w:rPr>
            </w:r>
          </w:p>
        </w:tc>
        <w:tc>
          <w:tcPr>
            <w:tcW w:w="920"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(20,427)</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(18,043)</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7"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(10,308)</w:t>
            </w:r>
          </w:p>
        </w:tc>
      </w:tr>
      <w:tr>
        <w:trPr/>
        <w:tc>
          <w:tcPr>
            <w:tcW w:w="6675"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cash flows from operating activities</w:t>
            </w:r>
          </w:p>
        </w:tc>
        <w:tc>
          <w:tcPr>
            <w:tcW w:w="331"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770,343</w:t>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933,587</w:t>
            </w:r>
            <w:r>
              <w:rPr>
                <w:rFonts w:ascii="Times New Roman;serif" w:hAnsi="Times New Roman;serif"/>
                <w:caps w:val="false"/>
                <w:smallCaps w:val="false"/>
                <w:color w:val="000000"/>
                <w:sz w:val="18"/>
              </w:rPr>
              <w:t> </w:t>
            </w:r>
          </w:p>
        </w:tc>
        <w:tc>
          <w:tcPr>
            <w:tcW w:w="19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67"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600,306</w:t>
            </w:r>
            <w:r>
              <w:rPr>
                <w:rFonts w:ascii="Times New Roman;serif" w:hAnsi="Times New Roman;serif"/>
                <w:caps w:val="false"/>
                <w:smallCaps w:val="false"/>
                <w:color w:val="000000"/>
                <w:sz w:val="18"/>
              </w:rPr>
              <w:t> </w:t>
            </w:r>
          </w:p>
        </w:tc>
      </w:tr>
      <w:tr>
        <w:trPr/>
        <w:tc>
          <w:tcPr>
            <w:tcW w:w="6675"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Cash flows from investing activities:</w:t>
            </w:r>
          </w:p>
        </w:tc>
        <w:tc>
          <w:tcPr>
            <w:tcW w:w="3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675"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sz w:val="18"/>
              </w:rPr>
            </w:pPr>
            <w:r>
              <w:rPr>
                <w:rFonts w:ascii="Times New Roman;serif" w:hAnsi="Times New Roman;serif"/>
                <w:b w:val="false"/>
                <w:i w:val="false"/>
                <w:caps w:val="false"/>
                <w:smallCaps w:val="false"/>
                <w:color w:val="000000"/>
                <w:sz w:val="18"/>
              </w:rPr>
              <w:t>Property, plant and equipment additions, including the debt component of allowance for funds used during construction of $7,372, $5,241</w:t>
            </w:r>
            <w:r>
              <w:rPr>
                <w:rFonts w:ascii="Times New Roman;serif" w:hAnsi="Times New Roman;serif"/>
                <w:caps w:val="false"/>
                <w:smallCaps w:val="false"/>
                <w:color w:val="000000"/>
                <w:sz w:val="18"/>
              </w:rPr>
              <w:t xml:space="preserve"> </w:t>
            </w:r>
            <w:r>
              <w:rPr>
                <w:rFonts w:ascii="Times New Roman;serif" w:hAnsi="Times New Roman;serif"/>
                <w:b w:val="false"/>
                <w:i w:val="false"/>
                <w:caps w:val="false"/>
                <w:smallCaps w:val="false"/>
                <w:color w:val="000000"/>
                <w:sz w:val="18"/>
              </w:rPr>
              <w:t>and $6,047</w:t>
            </w:r>
          </w:p>
        </w:tc>
        <w:tc>
          <w:tcPr>
            <w:tcW w:w="331" w:type="dxa"/>
            <w:tcBorders/>
            <w:shd w:fill="CCEEFF" w:val="clear"/>
            <w:vAlign w:val="center"/>
          </w:tcPr>
          <w:p>
            <w:pPr>
              <w:pStyle w:val="TableContents"/>
              <w:bidi w:val="0"/>
              <w:spacing w:before="0" w:after="283"/>
              <w:ind w:left="0" w:right="245" w:hanging="0"/>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(1,329,747)</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(1,199,103)</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7"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(1,062,763)</w:t>
            </w:r>
          </w:p>
        </w:tc>
      </w:tr>
      <w:tr>
        <w:trPr/>
        <w:tc>
          <w:tcPr>
            <w:tcW w:w="6675"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Acquisitions of utility systems and other, net</w:t>
            </w:r>
          </w:p>
        </w:tc>
        <w:tc>
          <w:tcPr>
            <w:tcW w:w="331" w:type="dxa"/>
            <w:tcBorders/>
            <w:vAlign w:val="center"/>
          </w:tcPr>
          <w:p>
            <w:pPr>
              <w:pStyle w:val="TableContents"/>
              <w:bidi w:val="0"/>
              <w:spacing w:before="0" w:after="283"/>
              <w:ind w:left="0" w:right="115" w:hanging="0"/>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(665)</w:t>
            </w:r>
          </w:p>
        </w:tc>
        <w:tc>
          <w:tcPr>
            <w:tcW w:w="1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(45,303)</w:t>
            </w:r>
          </w:p>
        </w:tc>
        <w:tc>
          <w:tcPr>
            <w:tcW w:w="19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(116,891)</w:t>
            </w:r>
          </w:p>
        </w:tc>
      </w:tr>
      <w:tr>
        <w:trPr/>
        <w:tc>
          <w:tcPr>
            <w:tcW w:w="6675"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proceeds from the sale of utility systems and other assets</w:t>
            </w:r>
          </w:p>
        </w:tc>
        <w:tc>
          <w:tcPr>
            <w:tcW w:w="331"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167,470</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41,758</w:t>
            </w:r>
            <w:r>
              <w:rPr>
                <w:rFonts w:ascii="Times New Roman;serif" w:hAnsi="Times New Roman;serif"/>
                <w:caps w:val="false"/>
                <w:smallCaps w:val="false"/>
                <w:color w:val="000000"/>
                <w:sz w:val="18"/>
              </w:rPr>
              <w:t>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7"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1,081</w:t>
            </w:r>
            <w:r>
              <w:rPr>
                <w:rFonts w:ascii="Times New Roman;serif" w:hAnsi="Times New Roman;serif"/>
                <w:caps w:val="false"/>
                <w:smallCaps w:val="false"/>
                <w:color w:val="000000"/>
                <w:sz w:val="18"/>
              </w:rPr>
              <w:t> </w:t>
            </w:r>
          </w:p>
        </w:tc>
      </w:tr>
      <w:tr>
        <w:trPr/>
        <w:tc>
          <w:tcPr>
            <w:tcW w:w="6675"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w:t>
            </w:r>
          </w:p>
        </w:tc>
        <w:tc>
          <w:tcPr>
            <w:tcW w:w="331" w:type="dxa"/>
            <w:tcBorders>
              <w:bottom w:val="single" w:sz="8" w:space="0" w:color="000000"/>
            </w:tcBorders>
            <w:tcMar>
              <w:bottom w:w="28" w:type="dxa"/>
            </w:tcMar>
            <w:vAlign w:val="center"/>
          </w:tcPr>
          <w:p>
            <w:pPr>
              <w:pStyle w:val="TableContents"/>
              <w:bidi w:val="0"/>
              <w:spacing w:before="0" w:after="283"/>
              <w:ind w:left="0" w:right="115" w:hanging="0"/>
              <w:jc w:val="left"/>
              <w:rPr>
                <w:sz w:val="4"/>
                <w:szCs w:val="4"/>
              </w:rPr>
            </w:pPr>
            <w:r>
              <w:rPr>
                <w:sz w:val="4"/>
                <w:szCs w:val="4"/>
              </w:rPr>
            </w:r>
          </w:p>
        </w:tc>
        <w:tc>
          <w:tcPr>
            <w:tcW w:w="920"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(339)</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(19,080)</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7"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271</w:t>
            </w:r>
            <w:r>
              <w:rPr>
                <w:rFonts w:ascii="Times New Roman;serif" w:hAnsi="Times New Roman;serif"/>
                <w:caps w:val="false"/>
                <w:smallCaps w:val="false"/>
                <w:color w:val="000000"/>
                <w:sz w:val="18"/>
              </w:rPr>
              <w:t> </w:t>
            </w:r>
          </w:p>
        </w:tc>
      </w:tr>
      <w:tr>
        <w:trPr/>
        <w:tc>
          <w:tcPr>
            <w:tcW w:w="6675"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cash flows used in investing activities</w:t>
            </w:r>
          </w:p>
        </w:tc>
        <w:tc>
          <w:tcPr>
            <w:tcW w:w="3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(1,163,281)</w:t>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(1,221,728)</w:t>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(1,178,302)</w:t>
            </w:r>
          </w:p>
        </w:tc>
      </w:tr>
      <w:tr>
        <w:trPr/>
        <w:tc>
          <w:tcPr>
            <w:tcW w:w="6675"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Cash flows from financing activities:</w:t>
            </w:r>
          </w:p>
        </w:tc>
        <w:tc>
          <w:tcPr>
            <w:tcW w:w="3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7"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675"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Customers' advances and contributions in aid of construction</w:t>
            </w:r>
          </w:p>
        </w:tc>
        <w:tc>
          <w:tcPr>
            <w:tcW w:w="331"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19,563</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23,982</w:t>
            </w:r>
            <w:r>
              <w:rPr>
                <w:rFonts w:ascii="Times New Roman;serif" w:hAnsi="Times New Roman;serif"/>
                <w:caps w:val="false"/>
                <w:smallCaps w:val="false"/>
                <w:color w:val="000000"/>
                <w:sz w:val="18"/>
              </w:rPr>
              <w:t>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7"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11,714</w:t>
            </w:r>
            <w:r>
              <w:rPr>
                <w:rFonts w:ascii="Times New Roman;serif" w:hAnsi="Times New Roman;serif"/>
                <w:caps w:val="false"/>
                <w:smallCaps w:val="false"/>
                <w:color w:val="000000"/>
                <w:sz w:val="18"/>
              </w:rPr>
              <w:t> </w:t>
            </w:r>
          </w:p>
        </w:tc>
      </w:tr>
      <w:tr>
        <w:trPr/>
        <w:tc>
          <w:tcPr>
            <w:tcW w:w="6675"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Repayments of customers' advances</w:t>
            </w:r>
          </w:p>
        </w:tc>
        <w:tc>
          <w:tcPr>
            <w:tcW w:w="331" w:type="dxa"/>
            <w:tcBorders/>
            <w:vAlign w:val="center"/>
          </w:tcPr>
          <w:p>
            <w:pPr>
              <w:pStyle w:val="TableContents"/>
              <w:bidi w:val="0"/>
              <w:spacing w:before="0" w:after="283"/>
              <w:ind w:left="0" w:right="115" w:hanging="0"/>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(8,564)</w:t>
            </w:r>
          </w:p>
        </w:tc>
        <w:tc>
          <w:tcPr>
            <w:tcW w:w="1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(8,471)</w:t>
            </w:r>
          </w:p>
        </w:tc>
        <w:tc>
          <w:tcPr>
            <w:tcW w:w="19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(5,006)</w:t>
            </w:r>
          </w:p>
        </w:tc>
      </w:tr>
      <w:tr>
        <w:trPr/>
        <w:tc>
          <w:tcPr>
            <w:tcW w:w="6675"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proceeds (repayments) of short-term debt</w:t>
            </w:r>
          </w:p>
        </w:tc>
        <w:tc>
          <w:tcPr>
            <w:tcW w:w="331"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26,418</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(68,377)</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7"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163,500</w:t>
            </w:r>
            <w:r>
              <w:rPr>
                <w:rFonts w:ascii="Times New Roman;serif" w:hAnsi="Times New Roman;serif"/>
                <w:caps w:val="false"/>
                <w:smallCaps w:val="false"/>
                <w:color w:val="000000"/>
                <w:sz w:val="18"/>
              </w:rPr>
              <w:t> </w:t>
            </w:r>
          </w:p>
        </w:tc>
      </w:tr>
      <w:tr>
        <w:trPr/>
        <w:tc>
          <w:tcPr>
            <w:tcW w:w="6675"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Proceeds from long-term debt</w:t>
            </w:r>
          </w:p>
        </w:tc>
        <w:tc>
          <w:tcPr>
            <w:tcW w:w="331" w:type="dxa"/>
            <w:tcBorders/>
            <w:vAlign w:val="center"/>
          </w:tcPr>
          <w:p>
            <w:pPr>
              <w:pStyle w:val="TableContents"/>
              <w:bidi w:val="0"/>
              <w:spacing w:before="0" w:after="283"/>
              <w:ind w:left="0" w:right="115" w:hanging="0"/>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1,649,546</w:t>
            </w:r>
          </w:p>
        </w:tc>
        <w:tc>
          <w:tcPr>
            <w:tcW w:w="1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1,207,619</w:t>
            </w:r>
            <w:r>
              <w:rPr>
                <w:rFonts w:ascii="Times New Roman;serif" w:hAnsi="Times New Roman;serif"/>
                <w:caps w:val="false"/>
                <w:smallCaps w:val="false"/>
                <w:color w:val="000000"/>
                <w:sz w:val="18"/>
              </w:rPr>
              <w:t> </w:t>
            </w:r>
          </w:p>
        </w:tc>
        <w:tc>
          <w:tcPr>
            <w:tcW w:w="19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1,646,742</w:t>
            </w:r>
            <w:r>
              <w:rPr>
                <w:rFonts w:ascii="Times New Roman;serif" w:hAnsi="Times New Roman;serif"/>
                <w:caps w:val="false"/>
                <w:smallCaps w:val="false"/>
                <w:color w:val="000000"/>
                <w:sz w:val="18"/>
              </w:rPr>
              <w:t> </w:t>
            </w:r>
          </w:p>
        </w:tc>
      </w:tr>
      <w:tr>
        <w:trPr/>
        <w:tc>
          <w:tcPr>
            <w:tcW w:w="6675"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Repayments of long-term debt</w:t>
            </w:r>
          </w:p>
        </w:tc>
        <w:tc>
          <w:tcPr>
            <w:tcW w:w="331"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(1,027,473)</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(876,379)</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7"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(977,175)</w:t>
            </w:r>
          </w:p>
        </w:tc>
      </w:tr>
      <w:tr>
        <w:trPr/>
        <w:tc>
          <w:tcPr>
            <w:tcW w:w="6675"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Change in cash overdraft position</w:t>
            </w:r>
          </w:p>
        </w:tc>
        <w:tc>
          <w:tcPr>
            <w:tcW w:w="331" w:type="dxa"/>
            <w:tcBorders/>
            <w:vAlign w:val="center"/>
          </w:tcPr>
          <w:p>
            <w:pPr>
              <w:pStyle w:val="TableContents"/>
              <w:bidi w:val="0"/>
              <w:spacing w:before="0" w:after="283"/>
              <w:ind w:left="0" w:right="115" w:hanging="0"/>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34,356</w:t>
            </w:r>
          </w:p>
        </w:tc>
        <w:tc>
          <w:tcPr>
            <w:tcW w:w="1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(15,336)</w:t>
            </w:r>
          </w:p>
        </w:tc>
        <w:tc>
          <w:tcPr>
            <w:tcW w:w="19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(53,028)</w:t>
            </w:r>
          </w:p>
        </w:tc>
      </w:tr>
      <w:tr>
        <w:trPr/>
        <w:tc>
          <w:tcPr>
            <w:tcW w:w="6675"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Proceeds from issuance of common stock under dividend reinvestment plan</w:t>
            </w:r>
          </w:p>
        </w:tc>
        <w:tc>
          <w:tcPr>
            <w:tcW w:w="331"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15,476</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16,005</w:t>
            </w:r>
            <w:r>
              <w:rPr>
                <w:rFonts w:ascii="Times New Roman;serif" w:hAnsi="Times New Roman;serif"/>
                <w:caps w:val="false"/>
                <w:smallCaps w:val="false"/>
                <w:color w:val="000000"/>
                <w:sz w:val="18"/>
              </w:rPr>
              <w:t>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7"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16,619</w:t>
            </w:r>
            <w:r>
              <w:rPr>
                <w:rFonts w:ascii="Times New Roman;serif" w:hAnsi="Times New Roman;serif"/>
                <w:caps w:val="false"/>
                <w:smallCaps w:val="false"/>
                <w:color w:val="000000"/>
                <w:sz w:val="18"/>
              </w:rPr>
              <w:t> </w:t>
            </w:r>
          </w:p>
        </w:tc>
      </w:tr>
      <w:tr>
        <w:trPr/>
        <w:tc>
          <w:tcPr>
            <w:tcW w:w="6675"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Proceeds from issuance of common stock from at-the-market sale agreement</w:t>
            </w:r>
          </w:p>
        </w:tc>
        <w:tc>
          <w:tcPr>
            <w:tcW w:w="331" w:type="dxa"/>
            <w:tcBorders/>
            <w:vAlign w:val="center"/>
          </w:tcPr>
          <w:p>
            <w:pPr>
              <w:pStyle w:val="TableContents"/>
              <w:bidi w:val="0"/>
              <w:spacing w:before="0" w:after="283"/>
              <w:ind w:left="0" w:right="115" w:hanging="0"/>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36,134</w:t>
            </w:r>
          </w:p>
        </w:tc>
        <w:tc>
          <w:tcPr>
            <w:tcW w:w="1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322,983</w:t>
            </w:r>
            <w:r>
              <w:rPr>
                <w:rFonts w:ascii="Times New Roman;serif" w:hAnsi="Times New Roman;serif"/>
                <w:caps w:val="false"/>
                <w:smallCaps w:val="false"/>
                <w:color w:val="000000"/>
                <w:sz w:val="18"/>
              </w:rPr>
              <w:t> </w:t>
            </w:r>
          </w:p>
        </w:tc>
        <w:tc>
          <w:tcPr>
            <w:tcW w:w="19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63,040</w:t>
            </w:r>
            <w:r>
              <w:rPr>
                <w:rFonts w:ascii="Times New Roman;serif" w:hAnsi="Times New Roman;serif"/>
                <w:caps w:val="false"/>
                <w:smallCaps w:val="false"/>
                <w:color w:val="000000"/>
                <w:sz w:val="18"/>
              </w:rPr>
              <w:t> </w:t>
            </w:r>
          </w:p>
        </w:tc>
      </w:tr>
      <w:tr>
        <w:trPr/>
        <w:tc>
          <w:tcPr>
            <w:tcW w:w="6675"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Proceeds from exercised stock options</w:t>
            </w:r>
          </w:p>
        </w:tc>
        <w:tc>
          <w:tcPr>
            <w:tcW w:w="331"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2,471</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287</w:t>
            </w:r>
            <w:r>
              <w:rPr>
                <w:rFonts w:ascii="Times New Roman;serif" w:hAnsi="Times New Roman;serif"/>
                <w:caps w:val="false"/>
                <w:smallCaps w:val="false"/>
                <w:color w:val="000000"/>
                <w:sz w:val="18"/>
              </w:rPr>
              <w:t> </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7"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2,475</w:t>
            </w:r>
            <w:r>
              <w:rPr>
                <w:rFonts w:ascii="Times New Roman;serif" w:hAnsi="Times New Roman;serif"/>
                <w:caps w:val="false"/>
                <w:smallCaps w:val="false"/>
                <w:color w:val="000000"/>
                <w:sz w:val="18"/>
              </w:rPr>
              <w:t> </w:t>
            </w:r>
          </w:p>
        </w:tc>
      </w:tr>
      <w:tr>
        <w:trPr/>
        <w:tc>
          <w:tcPr>
            <w:tcW w:w="6675"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Repurchase of common stock</w:t>
            </w:r>
          </w:p>
        </w:tc>
        <w:tc>
          <w:tcPr>
            <w:tcW w:w="331" w:type="dxa"/>
            <w:tcBorders/>
            <w:vAlign w:val="center"/>
          </w:tcPr>
          <w:p>
            <w:pPr>
              <w:pStyle w:val="TableContents"/>
              <w:bidi w:val="0"/>
              <w:spacing w:before="0" w:after="283"/>
              <w:ind w:left="0" w:right="115" w:hanging="0"/>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(4,048)</w:t>
            </w:r>
          </w:p>
        </w:tc>
        <w:tc>
          <w:tcPr>
            <w:tcW w:w="1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(3,981)</w:t>
            </w:r>
          </w:p>
        </w:tc>
        <w:tc>
          <w:tcPr>
            <w:tcW w:w="19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(1,192)</w:t>
            </w:r>
          </w:p>
        </w:tc>
      </w:tr>
      <w:tr>
        <w:trPr/>
        <w:tc>
          <w:tcPr>
            <w:tcW w:w="6675"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Dividends paid on common stock</w:t>
            </w:r>
          </w:p>
        </w:tc>
        <w:tc>
          <w:tcPr>
            <w:tcW w:w="331"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(346,392)</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(316,806)</w:t>
            </w:r>
          </w:p>
        </w:tc>
        <w:tc>
          <w:tcPr>
            <w:tcW w:w="196" w:type="dxa"/>
            <w:tcBorders/>
            <w:shd w:fill="CCEEFF" w:val="clear"/>
            <w:vAlign w:val="center"/>
          </w:tcPr>
          <w:p>
            <w:pPr>
              <w:pStyle w:val="TableContents"/>
              <w:bidi w:val="0"/>
              <w:spacing w:before="0" w:after="283"/>
              <w:jc w:val="left"/>
              <w:rPr>
                <w:sz w:val="4"/>
                <w:szCs w:val="4"/>
              </w:rPr>
            </w:pPr>
            <w:r>
              <w:rPr>
                <w:sz w:val="4"/>
                <w:szCs w:val="4"/>
              </w:rPr>
            </w:r>
          </w:p>
        </w:tc>
        <w:tc>
          <w:tcPr>
            <w:tcW w:w="967"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(288,632)</w:t>
            </w:r>
          </w:p>
        </w:tc>
      </w:tr>
      <w:tr>
        <w:trPr/>
        <w:tc>
          <w:tcPr>
            <w:tcW w:w="6675"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Other</w:t>
            </w:r>
          </w:p>
        </w:tc>
        <w:tc>
          <w:tcPr>
            <w:tcW w:w="331" w:type="dxa"/>
            <w:tcBorders>
              <w:bottom w:val="single" w:sz="8" w:space="0" w:color="000000"/>
            </w:tcBorders>
            <w:tcMar>
              <w:bottom w:w="28" w:type="dxa"/>
            </w:tcMar>
            <w:vAlign w:val="center"/>
          </w:tcPr>
          <w:p>
            <w:pPr>
              <w:pStyle w:val="TableContents"/>
              <w:bidi w:val="0"/>
              <w:spacing w:before="0" w:after="283"/>
              <w:ind w:left="0" w:right="115" w:hanging="0"/>
              <w:jc w:val="left"/>
              <w:rPr>
                <w:sz w:val="4"/>
                <w:szCs w:val="4"/>
              </w:rPr>
            </w:pPr>
            <w:r>
              <w:rPr>
                <w:sz w:val="4"/>
                <w:szCs w:val="4"/>
              </w:rPr>
            </w:r>
          </w:p>
        </w:tc>
        <w:tc>
          <w:tcPr>
            <w:tcW w:w="920"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(5)</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(171)</w:t>
            </w:r>
          </w:p>
        </w:tc>
        <w:tc>
          <w:tcPr>
            <w:tcW w:w="19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7"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(230)</w:t>
            </w:r>
          </w:p>
        </w:tc>
      </w:tr>
      <w:tr>
        <w:trPr/>
        <w:tc>
          <w:tcPr>
            <w:tcW w:w="6675"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cash flows from financing activities</w:t>
            </w:r>
          </w:p>
        </w:tc>
        <w:tc>
          <w:tcPr>
            <w:tcW w:w="3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397,482</w:t>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281,355</w:t>
            </w:r>
            <w:r>
              <w:rPr>
                <w:rFonts w:ascii="Times New Roman;serif" w:hAnsi="Times New Roman;serif"/>
                <w:caps w:val="false"/>
                <w:smallCaps w:val="false"/>
                <w:color w:val="000000"/>
                <w:sz w:val="18"/>
              </w:rPr>
              <w:t> </w:t>
            </w:r>
          </w:p>
        </w:tc>
        <w:tc>
          <w:tcPr>
            <w:tcW w:w="19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67"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578,827</w:t>
            </w:r>
            <w:r>
              <w:rPr>
                <w:rFonts w:ascii="Times New Roman;serif" w:hAnsi="Times New Roman;serif"/>
                <w:caps w:val="false"/>
                <w:smallCaps w:val="false"/>
                <w:color w:val="000000"/>
                <w:sz w:val="18"/>
              </w:rPr>
              <w:t> </w:t>
            </w:r>
          </w:p>
        </w:tc>
      </w:tr>
      <w:tr>
        <w:trPr/>
        <w:tc>
          <w:tcPr>
            <w:tcW w:w="6675"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Net increase (decrease) in cash and cash equivalents</w:t>
            </w:r>
          </w:p>
        </w:tc>
        <w:tc>
          <w:tcPr>
            <w:tcW w:w="3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4,544</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20"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(6,786)</w:t>
            </w:r>
          </w:p>
        </w:tc>
        <w:tc>
          <w:tcPr>
            <w:tcW w:w="19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7" w:type="dxa"/>
            <w:tcBorders>
              <w:top w:val="single" w:sz="8" w:space="0" w:color="000000"/>
            </w:tcBorders>
            <w:tcMar>
              <w:top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831</w:t>
            </w:r>
            <w:r>
              <w:rPr>
                <w:rFonts w:ascii="Times New Roman;serif" w:hAnsi="Times New Roman;serif"/>
                <w:caps w:val="false"/>
                <w:smallCaps w:val="false"/>
                <w:color w:val="000000"/>
                <w:sz w:val="18"/>
              </w:rPr>
              <w:t> </w:t>
            </w:r>
          </w:p>
        </w:tc>
      </w:tr>
      <w:tr>
        <w:trPr/>
        <w:tc>
          <w:tcPr>
            <w:tcW w:w="6675"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Cash and cash equivalents at beginning of year</w:t>
            </w:r>
          </w:p>
        </w:tc>
        <w:tc>
          <w:tcPr>
            <w:tcW w:w="33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4,612</w:t>
            </w:r>
            <w:r>
              <w:rPr>
                <w:rFonts w:ascii="Times New Roman;serif" w:hAnsi="Times New Roman;serif"/>
                <w:caps w:val="false"/>
                <w:smallCaps w:val="false"/>
                <w:color w:val="000000"/>
                <w:sz w:val="18"/>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20"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11,398</w:t>
            </w:r>
            <w:r>
              <w:rPr>
                <w:rFonts w:ascii="Times New Roman;serif" w:hAnsi="Times New Roman;serif"/>
                <w:caps w:val="false"/>
                <w:smallCaps w:val="false"/>
                <w:color w:val="000000"/>
                <w:sz w:val="18"/>
              </w:rPr>
              <w:t> </w:t>
            </w:r>
          </w:p>
        </w:tc>
        <w:tc>
          <w:tcPr>
            <w:tcW w:w="19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67"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10,567</w:t>
            </w:r>
            <w:r>
              <w:rPr>
                <w:rFonts w:ascii="Times New Roman;serif" w:hAnsi="Times New Roman;serif"/>
                <w:caps w:val="false"/>
                <w:smallCaps w:val="false"/>
                <w:color w:val="000000"/>
                <w:sz w:val="18"/>
              </w:rPr>
              <w:t> </w:t>
            </w:r>
          </w:p>
        </w:tc>
      </w:tr>
      <w:tr>
        <w:trPr/>
        <w:tc>
          <w:tcPr>
            <w:tcW w:w="6675"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Cash and cash equivalents at end of year</w:t>
            </w:r>
          </w:p>
        </w:tc>
        <w:tc>
          <w:tcPr>
            <w:tcW w:w="33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2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9,156</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2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4,612</w:t>
            </w:r>
            <w:r>
              <w:rPr>
                <w:rFonts w:ascii="Times New Roman;serif" w:hAnsi="Times New Roman;serif"/>
                <w:caps w:val="false"/>
                <w:smallCaps w:val="false"/>
                <w:color w:val="000000"/>
                <w:sz w:val="18"/>
              </w:rPr>
              <w:t> </w:t>
            </w:r>
          </w:p>
        </w:tc>
        <w:tc>
          <w:tcPr>
            <w:tcW w:w="19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6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11,398</w:t>
            </w:r>
            <w:r>
              <w:rPr>
                <w:rFonts w:ascii="Times New Roman;serif" w:hAnsi="Times New Roman;serif"/>
                <w:caps w:val="false"/>
                <w:smallCaps w:val="false"/>
                <w:color w:val="000000"/>
                <w:sz w:val="18"/>
              </w:rPr>
              <w:t> </w:t>
            </w:r>
          </w:p>
        </w:tc>
      </w:tr>
      <w:tr>
        <w:trPr/>
        <w:tc>
          <w:tcPr>
            <w:tcW w:w="6675" w:type="dxa"/>
            <w:tcBorders/>
            <w:shd w:fill="CCEEFF" w:val="clear"/>
            <w:vAlign w:val="center"/>
          </w:tcPr>
          <w:p>
            <w:pPr>
              <w:pStyle w:val="TableContents"/>
              <w:bidi w:val="0"/>
              <w:spacing w:before="0" w:after="283"/>
              <w:jc w:val="left"/>
              <w:rPr>
                <w:sz w:val="4"/>
                <w:szCs w:val="4"/>
              </w:rPr>
            </w:pPr>
            <w:r>
              <w:rPr>
                <w:sz w:val="4"/>
                <w:szCs w:val="4"/>
              </w:rPr>
            </w:r>
          </w:p>
        </w:tc>
        <w:tc>
          <w:tcPr>
            <w:tcW w:w="33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20"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20"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9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67"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675"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Cash paid during the year for:</w:t>
            </w:r>
          </w:p>
        </w:tc>
        <w:tc>
          <w:tcPr>
            <w:tcW w:w="33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6675"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Interest, net of amounts capitalized</w:t>
            </w:r>
          </w:p>
        </w:tc>
        <w:tc>
          <w:tcPr>
            <w:tcW w:w="33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275,898</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272,532</w:t>
            </w:r>
            <w:r>
              <w:rPr>
                <w:rFonts w:ascii="Times New Roman;serif" w:hAnsi="Times New Roman;serif"/>
                <w:caps w:val="false"/>
                <w:smallCaps w:val="false"/>
                <w:color w:val="000000"/>
                <w:sz w:val="18"/>
              </w:rPr>
              <w:t> </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67"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225,820</w:t>
            </w:r>
            <w:r>
              <w:rPr>
                <w:rFonts w:ascii="Times New Roman;serif" w:hAnsi="Times New Roman;serif"/>
                <w:caps w:val="false"/>
                <w:smallCaps w:val="false"/>
                <w:color w:val="000000"/>
                <w:sz w:val="18"/>
              </w:rPr>
              <w:t> </w:t>
            </w:r>
          </w:p>
        </w:tc>
      </w:tr>
      <w:tr>
        <w:trPr/>
        <w:tc>
          <w:tcPr>
            <w:tcW w:w="6675"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Income taxes</w:t>
            </w:r>
          </w:p>
        </w:tc>
        <w:tc>
          <w:tcPr>
            <w:tcW w:w="33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6,698</w:t>
            </w:r>
          </w:p>
        </w:tc>
        <w:tc>
          <w:tcPr>
            <w:tcW w:w="1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7,839</w:t>
            </w:r>
            <w:r>
              <w:rPr>
                <w:rFonts w:ascii="Times New Roman;serif" w:hAnsi="Times New Roman;serif"/>
                <w:caps w:val="false"/>
                <w:smallCaps w:val="false"/>
                <w:color w:val="000000"/>
                <w:sz w:val="18"/>
              </w:rPr>
              <w:t> </w:t>
            </w:r>
          </w:p>
        </w:tc>
        <w:tc>
          <w:tcPr>
            <w:tcW w:w="19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11,269</w:t>
            </w:r>
            <w:r>
              <w:rPr>
                <w:rFonts w:ascii="Times New Roman;serif" w:hAnsi="Times New Roman;serif"/>
                <w:caps w:val="false"/>
                <w:smallCaps w:val="false"/>
                <w:color w:val="000000"/>
                <w:sz w:val="18"/>
              </w:rPr>
              <w:t> </w:t>
            </w:r>
          </w:p>
        </w:tc>
      </w:tr>
      <w:tr>
        <w:trPr/>
        <w:tc>
          <w:tcPr>
            <w:tcW w:w="6675"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Non-cash investing activities:</w:t>
            </w:r>
          </w:p>
        </w:tc>
        <w:tc>
          <w:tcPr>
            <w:tcW w:w="33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6675"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Property, plant and equipment additions purchased at the period end, but not yet paid</w:t>
            </w:r>
          </w:p>
        </w:tc>
        <w:tc>
          <w:tcPr>
            <w:tcW w:w="33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135,331</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20"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102,770</w:t>
            </w:r>
            <w:r>
              <w:rPr>
                <w:rFonts w:ascii="Times New Roman;serif" w:hAnsi="Times New Roman;serif"/>
                <w:caps w:val="false"/>
                <w:smallCaps w:val="false"/>
                <w:color w:val="000000"/>
                <w:sz w:val="18"/>
              </w:rPr>
              <w:t> </w:t>
            </w:r>
          </w:p>
        </w:tc>
        <w:tc>
          <w:tcPr>
            <w:tcW w:w="19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w:t>
            </w:r>
          </w:p>
        </w:tc>
        <w:tc>
          <w:tcPr>
            <w:tcW w:w="967" w:type="dxa"/>
            <w:tcBorders/>
            <w:shd w:fill="CCEEFF" w:val="clear"/>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102,129</w:t>
            </w:r>
            <w:r>
              <w:rPr>
                <w:rFonts w:ascii="Times New Roman;serif" w:hAnsi="Times New Roman;serif"/>
                <w:caps w:val="false"/>
                <w:smallCaps w:val="false"/>
                <w:color w:val="000000"/>
                <w:sz w:val="18"/>
              </w:rPr>
              <w:t> </w:t>
            </w:r>
          </w:p>
        </w:tc>
      </w:tr>
      <w:tr>
        <w:trPr/>
        <w:tc>
          <w:tcPr>
            <w:tcW w:w="6675"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Non-cash utility property contributions</w:t>
            </w:r>
          </w:p>
        </w:tc>
        <w:tc>
          <w:tcPr>
            <w:tcW w:w="33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38,840</w:t>
            </w:r>
          </w:p>
        </w:tc>
        <w:tc>
          <w:tcPr>
            <w:tcW w:w="1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56,297</w:t>
            </w:r>
            <w:r>
              <w:rPr>
                <w:rFonts w:ascii="Times New Roman;serif" w:hAnsi="Times New Roman;serif"/>
                <w:caps w:val="false"/>
                <w:smallCaps w:val="false"/>
                <w:color w:val="000000"/>
                <w:sz w:val="18"/>
              </w:rPr>
              <w:t> </w:t>
            </w:r>
          </w:p>
        </w:tc>
        <w:tc>
          <w:tcPr>
            <w:tcW w:w="19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lineRule="auto" w:line="259" w:before="0" w:after="1"/>
              <w:jc w:val="right"/>
              <w:rPr>
                <w:rFonts w:ascii="Times New Roman;serif" w:hAnsi="Times New Roman;serif"/>
                <w:sz w:val="18"/>
              </w:rPr>
            </w:pPr>
            <w:r>
              <w:rPr>
                <w:rFonts w:ascii="Times New Roman;serif" w:hAnsi="Times New Roman;serif"/>
                <w:b w:val="false"/>
                <w:i w:val="false"/>
                <w:caps w:val="false"/>
                <w:smallCaps w:val="false"/>
                <w:color w:val="000000"/>
                <w:sz w:val="18"/>
              </w:rPr>
              <w:t>35,698</w:t>
            </w:r>
            <w:r>
              <w:rPr>
                <w:rFonts w:ascii="Times New Roman;serif" w:hAnsi="Times New Roman;serif"/>
                <w:caps w:val="false"/>
                <w:smallCaps w:val="false"/>
                <w:color w:val="000000"/>
                <w:sz w:val="18"/>
              </w:rPr>
              <w:t> </w:t>
            </w:r>
          </w:p>
        </w:tc>
      </w:tr>
      <w:tr>
        <w:trPr/>
        <w:tc>
          <w:tcPr>
            <w:tcW w:w="6675" w:type="dxa"/>
            <w:tcBorders/>
            <w:vAlign w:val="center"/>
          </w:tcPr>
          <w:p>
            <w:pPr>
              <w:pStyle w:val="TableContents"/>
              <w:bidi w:val="0"/>
              <w:spacing w:before="0" w:after="283"/>
              <w:ind w:left="115" w:right="0" w:hanging="0"/>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r>
        <w:trPr/>
        <w:tc>
          <w:tcPr>
            <w:tcW w:w="6675"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18"/>
              </w:rPr>
            </w:pPr>
            <w:r>
              <w:rPr>
                <w:rFonts w:ascii="Times New Roman;serif" w:hAnsi="Times New Roman;serif"/>
                <w:b w:val="false"/>
                <w:i w:val="false"/>
                <w:caps w:val="false"/>
                <w:smallCaps w:val="false"/>
                <w:color w:val="000000"/>
                <w:sz w:val="18"/>
              </w:rPr>
              <w:t>See accompanying notes to consolidated financial statements.</w:t>
            </w:r>
          </w:p>
        </w:tc>
        <w:tc>
          <w:tcPr>
            <w:tcW w:w="331"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18"/>
        </w:rPr>
        <w:t xml:space="preserve">Refer to Note 15 – </w:t>
      </w:r>
      <w:r>
        <w:rPr>
          <w:rFonts w:ascii="Times New Roman;serif" w:hAnsi="Times New Roman;serif"/>
          <w:b w:val="false"/>
          <w:i/>
          <w:sz w:val="18"/>
        </w:rPr>
        <w:t>Employee Stock and Incentive Plan</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18"/>
        </w:rPr>
        <w:t>for a description of non-cash activities</w:t>
      </w:r>
      <w:r>
        <w:rPr>
          <w:rFonts w:ascii="Times New Roman;serif" w:hAnsi="Times New Roman;serif"/>
          <w:b w:val="false"/>
          <w:i w:val="false"/>
          <w:caps w:val="false"/>
          <w:smallCaps w:val="false"/>
          <w:sz w:val="22"/>
        </w:rPr>
        <w:t>.</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t xml:space="preserve">Note 1 – </w:t>
      </w:r>
      <w:r>
        <w:rPr>
          <w:rFonts w:ascii="Times New Roman;serif" w:hAnsi="Times New Roman;serif"/>
          <w:b/>
          <w:i/>
          <w:sz w:val="22"/>
        </w:rPr>
        <w:t>Summary of Significant Accounting Policies</w:t>
      </w:r>
      <w:bookmarkStart w:id="31" w:name="Footnotes"/>
      <w:bookmarkEnd w:id="31"/>
    </w:p>
    <w:p>
      <w:pPr>
        <w:pStyle w:val="TextBody"/>
        <w:bidi w:val="0"/>
        <w:spacing w:lineRule="auto" w:line="259"/>
        <w:rPr>
          <w:rFonts w:ascii="Times New Roman;serif" w:hAnsi="Times New Roman;serif"/>
          <w:sz w:val="22"/>
        </w:rPr>
      </w:pPr>
      <w:r>
        <w:rPr>
          <w:rFonts w:ascii="Times New Roman;serif" w:hAnsi="Times New Roman;serif"/>
          <w:b/>
          <w:i/>
          <w:sz w:val="22"/>
        </w:rPr>
        <w:t>Nature of Operations</w:t>
      </w:r>
      <w:r>
        <w:rPr>
          <w:rFonts w:ascii="Times New Roman;serif" w:hAnsi="Times New Roman;serif"/>
          <w:caps w:val="false"/>
          <w:smallCaps w:val="false"/>
          <w:sz w:val="22"/>
        </w:rPr>
        <w:t xml:space="preserve"> </w:t>
      </w:r>
      <w:r>
        <w:rPr>
          <w:rFonts w:ascii="Times New Roman;serif" w:hAnsi="Times New Roman;serif"/>
          <w:sz w:val="22"/>
        </w:rPr>
        <w:t>─</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Essential Utilities, Inc. (“Essential Utilities,” the “Company,” “we,” “our”, or “us”) is the holding company for regulated utilities providing water, wastewater, or natural gas services concentrated in Pennsylvania, Ohio, Texas, Illinois, North Carolina, New Jersey, Indiana, Virginia, and Kentucky under the Aqua and Peoples brands. One of our largest operating subsidiaries is Aqua Pennsylvania, Inc., which accounted for approximately 55% of our Regulated Water segment’s operating revenues and approximately 67% of our Regulated Water segment’s income for 2024. Aqua Pennsylvania’s service territory is located in the suburban areas north and west of the City of Philadelphia and in 27</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other counties in Pennsylvania. The Company’s other regulated water or wastewater utility subsidiaries provide similar services in seven</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additional states. Our Peoples subsidiaries provide natural gas service to approximately 745,000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customers in western Pennsylvania and Kentucky.</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Approximately 95% of the total number of natural gas utility customers we serve are in western Pennsylvania. The Company also operates market-based activities, conducted through its non-regulated subsidiaries, that provide utility service line protection solutions and repair services to households and gas marketing and production activities.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In October 2023, the Company closed on the sale of its regulated natural gas utility assets in West Virginia. In January 2024, the Company closed on the sale of its interest in three non-utility local microgrid and distributed energy projects. These transactions are consistent with the Company’s long-term strategy of focusing on its core business and will allow the Company to prioritize the growth of its utilities in states where it has scale. See Note 3 – </w:t>
      </w:r>
      <w:r>
        <w:rPr>
          <w:rFonts w:ascii="Times New Roman;serif" w:hAnsi="Times New Roman;serif"/>
          <w:b w:val="false"/>
          <w:i/>
          <w:sz w:val="22"/>
        </w:rPr>
        <w:t>Dispositions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for further information.</w:t>
      </w:r>
      <w:r>
        <w:rPr>
          <w:rFonts w:ascii="Times New Roman;serif" w:hAnsi="Times New Roman;serif"/>
          <w:caps w:val="false"/>
          <w:smallCaps w:val="false"/>
          <w:sz w:val="22"/>
        </w:rPr>
        <w:t xml:space="preserve"> </w:t>
      </w:r>
    </w:p>
    <w:p>
      <w:pPr>
        <w:pStyle w:val="TextBody"/>
        <w:bidi w:val="0"/>
        <w:spacing w:lineRule="auto" w:line="259"/>
        <w:rPr>
          <w:rFonts w:ascii="Times New Roman;serif" w:hAnsi="Times New Roman;serif"/>
          <w:sz w:val="22"/>
        </w:rPr>
      </w:pPr>
      <w:r>
        <w:rPr>
          <w:rFonts w:ascii="Times New Roman;serif" w:hAnsi="Times New Roman;serif"/>
          <w:b/>
          <w:i/>
          <w:sz w:val="22"/>
        </w:rPr>
        <w:t>Regulation</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 xml:space="preserve">Most of the operating companies that are regulated public utilities are subject to regulation by the utility commissions of the states in which they operate. The respective utility commissions have jurisdiction with respect to rates, service, accounting procedures, issuance of securities, acquisitions and other matters. Some of the operating companies that are regulated public utilities are subject to rate regulation by county or city government. Regulated public utilities follow the Financial Accounting Standards Board’s (“FASB”) accounting guidance for regulated operations, which provides for the recognition of regulatory assets and liabilities as allowed by regulators for costs or credits that are reflected in current rates or are considered probable of being included in future rates. Costs, for which the Company has received or expects to receive prospective rate recovery, are deferred as a regulatory asset and amortized over the period of rate recovery in accordance with the FASB’s accounting guidance for regulated operations. Conversely, excess recovery of costs or amounts collected in rates to recover costs expected to be incurred in the future or to be refunded in the future are recorded as regulatory liabilities. The regulatory assets or liabilities are then relieved as the cost or credit is reflected in Company’s rates charged for utility service. If, as a result of a change in circumstances, it is determined that a regulated operating company no longer meets the criteria to apply regulatory accounting, the operating company would have to discontinue regulatory accounting and write-off the respective regulatory assets and liabilities. See Note 6 - </w:t>
      </w:r>
      <w:r>
        <w:rPr>
          <w:rFonts w:ascii="Times New Roman;serif" w:hAnsi="Times New Roman;serif"/>
          <w:b w:val="false"/>
          <w:i/>
          <w:sz w:val="22"/>
        </w:rPr>
        <w:t>Regulatory Assets and Liabilities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for further information.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Company makes significant judgments and estimates to record regulatory assets and liabilities. For each regulatory jurisdiction with regulated operations, the Company evaluates at the end of each reporting period, whether the regulatory assets and liabilities continue to meet the probable criteria for future recovery or refund. The evaluation considers factors such as regulatory orders or guidelines, in the same regulatory jurisdiction, of a specific matter or a similar matter, as provided to the Company in the past or to other regulated utilities. In addition, the evaluation may be impacted by changes in the regulatory environment and pending or new legislation that could impact the ability to recover costs through regulated rates. There may be multiple participants to rate or transactional regulatory proceedings who might offer different views on various aspects of such proceedings, and in these instances, may challenge the prudence of our business policies and practices, seek cost disallowances or request other relief.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rPr>
          <w:rFonts w:ascii="Times New Roman;serif" w:hAnsi="Times New Roman;serif"/>
          <w:sz w:val="22"/>
        </w:rPr>
      </w:pPr>
      <w:r>
        <w:rPr>
          <w:rFonts w:ascii="Times New Roman;serif" w:hAnsi="Times New Roman;serif"/>
          <w:b/>
          <w:i/>
          <w:sz w:val="22"/>
        </w:rPr>
        <w:t>Use of Estimates in Preparation of Consolidated Financial Statements</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The preparation of consolidated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most significant estimates include the application of regulatory accounting principles and estimation of regulatory assets and liabilities, estimates used in impairment testing of goodwill and other long-lived assets, allowance for doubtful accounts, unbilled revenues, pension and other post-retirement benefit obligations, and income taxes. Actual results could differ from those estimates.</w:t>
      </w:r>
    </w:p>
    <w:p>
      <w:pPr>
        <w:pStyle w:val="TextBody"/>
        <w:bidi w:val="0"/>
        <w:spacing w:lineRule="auto" w:line="259"/>
        <w:rPr>
          <w:rFonts w:ascii="Times New Roman;serif" w:hAnsi="Times New Roman;serif"/>
          <w:sz w:val="22"/>
        </w:rPr>
      </w:pPr>
      <w:r>
        <w:rPr>
          <w:rFonts w:ascii="Times New Roman;serif" w:hAnsi="Times New Roman;serif"/>
          <w:b/>
          <w:i/>
          <w:sz w:val="22"/>
        </w:rPr>
        <w:t>Basis of Presentation</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 xml:space="preserve">The consolidated financial statements include the accounts of the Company and its subsidiaries. All intercompany accounts and transactions have been eliminated. </w:t>
      </w:r>
    </w:p>
    <w:p>
      <w:pPr>
        <w:pStyle w:val="TextBody"/>
        <w:bidi w:val="0"/>
        <w:spacing w:lineRule="auto" w:line="259"/>
        <w:rPr>
          <w:rFonts w:ascii="Times New Roman;serif" w:hAnsi="Times New Roman;serif"/>
          <w:sz w:val="22"/>
        </w:rPr>
      </w:pPr>
      <w:r>
        <w:rPr>
          <w:rFonts w:ascii="Times New Roman;serif" w:hAnsi="Times New Roman;serif"/>
          <w:b/>
          <w:i/>
          <w:sz w:val="22"/>
        </w:rPr>
        <w:t>Property, Plant and Equipment and Depreciation</w:t>
      </w:r>
      <w:r>
        <w:rPr>
          <w:rFonts w:ascii="Times New Roman;serif" w:hAnsi="Times New Roman;serif"/>
          <w:caps w:val="false"/>
          <w:smallCaps w:val="false"/>
          <w:sz w:val="22"/>
        </w:rPr>
        <w:t xml:space="preserve"> </w:t>
      </w:r>
      <w:r>
        <w:rPr>
          <w:rFonts w:ascii="Times New Roman;serif" w:hAnsi="Times New Roman;serif"/>
          <w:sz w:val="22"/>
        </w:rPr>
        <w:t>─</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Property, plant and equipment consist primarily of utility plant. The cost of additions includes contracted cost, direct labor and fringe benefits, materials, overheads, and for additions meeting certain criteria, allowance for funds used during construction. Utility systems acquired are typically recorded at estimated original cost of utility plant when first devoted to utility service and the applicable depreciation is recorded to accumulated depreciation. Further, utility systems acquired under fair value regulations would be recorded based on the valuation of the utility plant as approved by the respective utility commission. The difference between the estimated original cost, less applicable accumulated depreciation, and the purchase price may be recorded as an acquisition adjustment within utility plant as permitted by the applicable regulatory jurisdiction. At December 31, 2024 and 2023, utility plant includes a net credit acquisition adjustment of $5,627</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$6,444, respectively, which is generally being amortized from 10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to 53</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years. Amortization of the acquisition adjustments totaled $787</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 2024, $2,103</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 2023, and $2,788</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in 2022.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Utility expenditures for maintenance and repairs, including major maintenance projects and minor renewals, are charged to operating expenses when incurred in accordance with the system of accounts prescribed by the utility commissions of the states in which the company operates. The cost of new units of property and betterments are capitalized. Utility expenditures for water main cleaning and relining of pipes are deferred and are presented in net property, plant and equipment in accordance with the FASB’s accounting guidance for regulated operations. As of December 31, 2024, $1,635</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of these costs have been incurred since the last respective rate proceeding and are considered probable of being included in future rates.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The cost of software upgrades and enhancements are capitalized if they result in added functionality, which enables the software to perform tasks it was previously incapable of performing. Information technology costs associated with major system installations, conversions and improvements, such as software training, data conversion and business process reengineering costs, are deferred as a regulatory asset if it is probable that such costs are recoverable in future rates. If these costs are not deferred, then these costs are charged to operating expenses when incurred. As of December 31, 2024, $18,107</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of these costs have been deferred since the last respective rate proceeding as a regulatory asset, and the deferral is reported as a component of net property, plant and equipment.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When units of utility property are replaced, retired or abandoned, the recorded value thereof is credited to the asset account and such value, together with the net cost of removal, is charged to accumulated depreciation. To the extent the Company anticipates recovery of the cost of removal or other retirement costs through rates after the retirement costs are incurred, a regulatory asset is recorded as those costs are incurred. In some cases, the Company recovers retirement costs through rates during the life of the associated asset and before the costs are incurred. These amounts, which are not yet utilized, result in a regulatory liability being reported based on the amounts previously recovered through customer rates.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straight-line remaining life method is used to compute depreciation on utility plant. Generally, the straight-line method is used with respect to transportation and mechanical equipment, office equipment and laboratory equipment.</w:t>
      </w:r>
    </w:p>
    <w:p>
      <w:pPr>
        <w:pStyle w:val="TextBody"/>
        <w:bidi w:val="0"/>
        <w:spacing w:lineRule="auto" w:line="259"/>
        <w:rPr>
          <w:rFonts w:ascii="Times New Roman;serif" w:hAnsi="Times New Roman;serif"/>
          <w:sz w:val="22"/>
        </w:rPr>
      </w:pPr>
      <w:r>
        <w:rPr>
          <w:rFonts w:ascii="Times New Roman;serif" w:hAnsi="Times New Roman;serif"/>
          <w:b/>
          <w:i/>
          <w:sz w:val="22"/>
        </w:rPr>
        <w:t>Impairment of Long-Lived Assets</w:t>
      </w:r>
      <w:r>
        <w:rPr>
          <w:rFonts w:ascii="Times New Roman;serif" w:hAnsi="Times New Roman;serif"/>
          <w:caps w:val="false"/>
          <w:smallCaps w:val="false"/>
          <w:sz w:val="22"/>
        </w:rPr>
        <w:t xml:space="preserve"> </w:t>
      </w:r>
      <w:r>
        <w:rPr>
          <w:rFonts w:ascii="Garamond;serif" w:hAnsi="Garamond;serif"/>
          <w:b w:val="false"/>
          <w:i w:val="false"/>
          <w:caps w:val="false"/>
          <w:smallCaps w:val="false"/>
          <w:sz w:val="22"/>
        </w:rPr>
        <w:t>-</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Long-lived assets of the Company, which consist primarily of utility plant in service, operating lease right-of-use assets and intangible assets, are reviewed for impairment when changes in circumstances or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events occur. These circumstances or events could include a decline in the market value or physical condition of a long-lived asset, an adverse change in the manner in which long-lived assets are used or planned to be used, a change in historical trends, operating cash flows associated with the long-lived assets, changes in macroeconomic conditions, industry and market conditions, or overall financial performance. When these circumstances or events occur, the Company determines whether it is more likely than not that the fair value of those assets is less than their carrying amount. If the Company determines that it is more likely than not (that is, the likelihood of more than 50 percent), the Company would recognize an impairment charge if it is determined that the carrying amount of an asset exceeds the sum of the undiscounted estimated cash flows. In this circumstance, the Company would recognize an impairment charge equal to the difference between the carrying amount and the fair value of the asset. Fair value is estimated to be the present value of future net cash flows associated with the asset, discounted using a discount rate commensurate with the risk and remaining life of the asset. During the year ended December 31, 2022, the Company recorded an impairment loss to write down a portion of the operating lease right-of-use asset for office space not used in operations to fair value. Refer to Note 10 – </w:t>
      </w:r>
      <w:r>
        <w:rPr>
          <w:rFonts w:ascii="Times New Roman;serif" w:hAnsi="Times New Roman;serif"/>
          <w:b w:val="false"/>
          <w:i/>
          <w:sz w:val="22"/>
        </w:rPr>
        <w:t>Leases</w:t>
      </w:r>
      <w:r>
        <w:rPr>
          <w:rFonts w:ascii="Times New Roman;serif" w:hAnsi="Times New Roman;serif"/>
          <w:b w:val="false"/>
          <w:i w:val="false"/>
          <w:caps w:val="false"/>
          <w:smallCaps w:val="false"/>
          <w:sz w:val="22"/>
        </w:rPr>
        <w:t xml:space="preserve">, for further details.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Regulatory assets are reviewed for the continued application of the FASB accounting guidance for regulated operations. The Company’s review determines whether there have been changes in circumstances or events, such as regulatory disallowances, or abandonments, that have occurred that require adjustments to the carrying value of these assets. Adjustments to the carrying value of these assets would be made in instances where their inclusion in the rate-making process is unlikely. For utility plant in service, we would recognize an impairment loss for any amount disallowed by the respective utility commission. </w:t>
      </w:r>
    </w:p>
    <w:p>
      <w:pPr>
        <w:pStyle w:val="TextBody"/>
        <w:bidi w:val="0"/>
        <w:spacing w:lineRule="auto" w:line="259"/>
        <w:rPr>
          <w:rFonts w:ascii="Times New Roman;serif" w:hAnsi="Times New Roman;serif"/>
          <w:sz w:val="22"/>
        </w:rPr>
      </w:pPr>
      <w:r>
        <w:rPr>
          <w:rFonts w:ascii="Times New Roman;serif" w:hAnsi="Times New Roman;serif"/>
          <w:b/>
          <w:i/>
          <w:sz w:val="22"/>
        </w:rPr>
        <w:t>Allowance for Funds Used During Construction</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The allowance for funds used during construction (“AFUDC”) represents the capitalized cost of funds used to finance the construction of utility plant. In general, AFUDC is applied to construction projects requiring more than one month to complete. No AFUDC is applied to projects funded by customer advances for construction, contributions in aid of construction, or applicable state-revolving fund loans. AFUDC includes the net cost of borrowed funds and a rate of return on other funds when used and is recovered through rates as the utility plant is depreciated. The amount of AFUDC related to equity funds in 2024 was $13,938, 2023 was $11,726, and 2022 was $17,618. No</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interest was capitalized by our market-based businesses.</w:t>
      </w:r>
    </w:p>
    <w:p>
      <w:pPr>
        <w:pStyle w:val="TextBody"/>
        <w:bidi w:val="0"/>
        <w:spacing w:lineRule="auto" w:line="259" w:before="0" w:after="100"/>
        <w:jc w:val="both"/>
        <w:rPr>
          <w:rFonts w:ascii="Times New Roman;serif" w:hAnsi="Times New Roman;serif"/>
          <w:sz w:val="22"/>
        </w:rPr>
      </w:pPr>
      <w:r>
        <w:rPr>
          <w:rFonts w:ascii="Times New Roman;serif" w:hAnsi="Times New Roman;serif"/>
          <w:b/>
          <w:i/>
          <w:sz w:val="22"/>
        </w:rPr>
        <w:t>Lease Accounting</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 xml:space="preserve">The Company evaluates the contracts it enters into to determine whether such contracts contain leases. A contract contains a lease if the contract conveys the right to control the use of identified property, plant or equipment for a period of time in exchange for consideration. We enter into operating lease contracts for the right to utilize certain land, office facilities, office equipment, and vehicles from third parties. For contracts that extend for a period greater than 12 months, we recognize a right of use asset and a corresponding lease liability on our consolidated balance sheet. The present value of each lease is based on the future minimum lease payments in accordance with Accounting Standards Codification (“ASC”) 842 and is determined by discounting these payments using an incremental borrowing rate or the rate implicit in the lease, if available. </w:t>
      </w:r>
    </w:p>
    <w:p>
      <w:pPr>
        <w:pStyle w:val="TextBody"/>
        <w:bidi w:val="0"/>
        <w:spacing w:lineRule="auto" w:line="259"/>
        <w:rPr>
          <w:rFonts w:ascii="Times New Roman;serif" w:hAnsi="Times New Roman;serif"/>
          <w:sz w:val="22"/>
        </w:rPr>
      </w:pPr>
      <w:bookmarkStart w:id="32" w:name="_Hlk190414211"/>
      <w:bookmarkEnd w:id="32"/>
      <w:r>
        <w:rPr>
          <w:rFonts w:ascii="Times New Roman;serif" w:hAnsi="Times New Roman;serif"/>
          <w:b/>
          <w:i/>
          <w:sz w:val="22"/>
        </w:rPr>
        <w:t>Recognition of Revenues</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 xml:space="preserve">The Company recognizes revenue as utility services are provided to our customers, which happens over time as the services are delivered and the performance obligation is satisfied. The Company’s utility revenues recognized in an accounting period includes amounts billed to customers on a cycle basis and unbilled amounts based on estimated usage from the last billing to the end of the accounting period. Unbilled amounts are calculated by deriving estimates based on average customer usage. The Company’s actual results could differ from these estimates, which would result in operating revenues being adjusted in the period that the revision to our estimates are determined.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Generally, payment is due within 30 days once a bill is issued to a customer. Sales tax and other taxes we collect on behalf of government authorities, concurrent with our revenue-producing activities, are primarily excluded from revenue. The following table presents our revenues disaggregated by major source and customer class for the years ended December 31:</w:t>
      </w:r>
    </w:p>
    <w:tbl>
      <w:tblPr>
        <w:tblW w:w="10066" w:type="dxa"/>
        <w:jc w:val="left"/>
        <w:tblInd w:w="0" w:type="dxa"/>
        <w:tblLayout w:type="fixed"/>
        <w:tblCellMar>
          <w:top w:w="0" w:type="dxa"/>
          <w:left w:w="0" w:type="dxa"/>
          <w:bottom w:w="0" w:type="dxa"/>
          <w:right w:w="0" w:type="dxa"/>
        </w:tblCellMar>
      </w:tblPr>
      <w:tblGrid>
        <w:gridCol w:w="3436"/>
        <w:gridCol w:w="247"/>
        <w:gridCol w:w="1178"/>
        <w:gridCol w:w="372"/>
        <w:gridCol w:w="1503"/>
        <w:gridCol w:w="375"/>
        <w:gridCol w:w="1515"/>
        <w:gridCol w:w="302"/>
        <w:gridCol w:w="1138"/>
      </w:tblGrid>
      <w:tr>
        <w:trPr/>
        <w:tc>
          <w:tcPr>
            <w:tcW w:w="3436" w:type="dxa"/>
            <w:tcBorders/>
            <w:shd w:fill="FFFFFF" w:val="clear"/>
            <w:vAlign w:val="center"/>
          </w:tcPr>
          <w:p>
            <w:pPr>
              <w:pStyle w:val="TableContents"/>
              <w:bidi w:val="0"/>
              <w:spacing w:before="0" w:after="283"/>
              <w:jc w:val="left"/>
              <w:rPr>
                <w:sz w:val="4"/>
                <w:szCs w:val="4"/>
              </w:rPr>
            </w:pPr>
            <w:r>
              <w:rPr>
                <w:sz w:val="4"/>
                <w:szCs w:val="4"/>
              </w:rPr>
            </w:r>
          </w:p>
        </w:tc>
        <w:tc>
          <w:tcPr>
            <w:tcW w:w="247" w:type="dxa"/>
            <w:tcBorders/>
            <w:shd w:fill="FFFFFF" w:val="clear"/>
            <w:vAlign w:val="center"/>
          </w:tcPr>
          <w:p>
            <w:pPr>
              <w:pStyle w:val="TableContents"/>
              <w:bidi w:val="0"/>
              <w:spacing w:before="0" w:after="283"/>
              <w:jc w:val="left"/>
              <w:rPr>
                <w:sz w:val="4"/>
                <w:szCs w:val="4"/>
              </w:rPr>
            </w:pPr>
            <w:r>
              <w:rPr>
                <w:sz w:val="4"/>
                <w:szCs w:val="4"/>
              </w:rPr>
            </w:r>
          </w:p>
        </w:tc>
        <w:tc>
          <w:tcPr>
            <w:tcW w:w="1178" w:type="dxa"/>
            <w:tcBorders/>
            <w:shd w:fill="FFFFFF" w:val="clear"/>
            <w:vAlign w:val="center"/>
          </w:tcPr>
          <w:p>
            <w:pPr>
              <w:pStyle w:val="TableContents"/>
              <w:bidi w:val="0"/>
              <w:spacing w:before="0" w:after="283"/>
              <w:jc w:val="left"/>
              <w:rPr>
                <w:sz w:val="4"/>
                <w:szCs w:val="4"/>
              </w:rPr>
            </w:pPr>
            <w:r>
              <w:rPr>
                <w:sz w:val="4"/>
                <w:szCs w:val="4"/>
              </w:rPr>
            </w:r>
          </w:p>
        </w:tc>
        <w:tc>
          <w:tcPr>
            <w:tcW w:w="372" w:type="dxa"/>
            <w:tcBorders/>
            <w:shd w:fill="FFFFFF" w:val="clear"/>
            <w:vAlign w:val="center"/>
          </w:tcPr>
          <w:p>
            <w:pPr>
              <w:pStyle w:val="TableContents"/>
              <w:bidi w:val="0"/>
              <w:spacing w:before="0" w:after="283"/>
              <w:jc w:val="left"/>
              <w:rPr>
                <w:sz w:val="4"/>
                <w:szCs w:val="4"/>
              </w:rPr>
            </w:pPr>
            <w:r>
              <w:rPr>
                <w:sz w:val="4"/>
                <w:szCs w:val="4"/>
              </w:rPr>
            </w:r>
          </w:p>
        </w:tc>
        <w:tc>
          <w:tcPr>
            <w:tcW w:w="1503" w:type="dxa"/>
            <w:tcBorders/>
            <w:shd w:fill="FFFFFF" w:val="clear"/>
            <w:vAlign w:val="center"/>
          </w:tcPr>
          <w:p>
            <w:pPr>
              <w:pStyle w:val="TableContents"/>
              <w:bidi w:val="0"/>
              <w:spacing w:before="0" w:after="283"/>
              <w:jc w:val="left"/>
              <w:rPr>
                <w:sz w:val="4"/>
                <w:szCs w:val="4"/>
              </w:rPr>
            </w:pPr>
            <w:r>
              <w:rPr>
                <w:sz w:val="4"/>
                <w:szCs w:val="4"/>
              </w:rPr>
            </w:r>
          </w:p>
        </w:tc>
        <w:tc>
          <w:tcPr>
            <w:tcW w:w="375" w:type="dxa"/>
            <w:tcBorders/>
            <w:shd w:fill="FFFFFF" w:val="clear"/>
            <w:vAlign w:val="center"/>
          </w:tcPr>
          <w:p>
            <w:pPr>
              <w:pStyle w:val="TableContents"/>
              <w:bidi w:val="0"/>
              <w:spacing w:before="0" w:after="283"/>
              <w:jc w:val="left"/>
              <w:rPr>
                <w:sz w:val="4"/>
                <w:szCs w:val="4"/>
              </w:rPr>
            </w:pPr>
            <w:r>
              <w:rPr>
                <w:sz w:val="4"/>
                <w:szCs w:val="4"/>
              </w:rPr>
            </w:r>
          </w:p>
        </w:tc>
        <w:tc>
          <w:tcPr>
            <w:tcW w:w="1515" w:type="dxa"/>
            <w:tcBorders/>
            <w:shd w:fill="FFFFFF" w:val="clear"/>
            <w:vAlign w:val="center"/>
          </w:tcPr>
          <w:p>
            <w:pPr>
              <w:pStyle w:val="TableContents"/>
              <w:bidi w:val="0"/>
              <w:spacing w:before="0" w:after="283"/>
              <w:jc w:val="left"/>
              <w:rPr>
                <w:sz w:val="4"/>
                <w:szCs w:val="4"/>
              </w:rPr>
            </w:pPr>
            <w:r>
              <w:rPr>
                <w:sz w:val="4"/>
                <w:szCs w:val="4"/>
              </w:rPr>
            </w:r>
          </w:p>
        </w:tc>
        <w:tc>
          <w:tcPr>
            <w:tcW w:w="302" w:type="dxa"/>
            <w:tcBorders/>
            <w:shd w:fill="FFFFFF" w:val="clear"/>
            <w:vAlign w:val="center"/>
          </w:tcPr>
          <w:p>
            <w:pPr>
              <w:pStyle w:val="TableContents"/>
              <w:bidi w:val="0"/>
              <w:spacing w:before="0" w:after="283"/>
              <w:jc w:val="left"/>
              <w:rPr>
                <w:sz w:val="4"/>
                <w:szCs w:val="4"/>
              </w:rPr>
            </w:pPr>
            <w:r>
              <w:rPr>
                <w:sz w:val="4"/>
                <w:szCs w:val="4"/>
              </w:rPr>
            </w:r>
          </w:p>
        </w:tc>
        <w:tc>
          <w:tcPr>
            <w:tcW w:w="1138" w:type="dxa"/>
            <w:tcBorders/>
            <w:shd w:fill="FFFFFF" w:val="clear"/>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before="0" w:after="283"/>
              <w:jc w:val="left"/>
              <w:rPr>
                <w:sz w:val="4"/>
                <w:szCs w:val="4"/>
              </w:rPr>
            </w:pPr>
            <w:r>
              <w:rPr>
                <w:sz w:val="4"/>
                <w:szCs w:val="4"/>
              </w:rPr>
            </w:r>
          </w:p>
        </w:tc>
        <w:tc>
          <w:tcPr>
            <w:tcW w:w="247" w:type="dxa"/>
            <w:tcBorders/>
            <w:shd w:fill="FFFFFF" w:val="clear"/>
            <w:vAlign w:val="center"/>
          </w:tcPr>
          <w:p>
            <w:pPr>
              <w:pStyle w:val="TableContents"/>
              <w:bidi w:val="0"/>
              <w:spacing w:before="0" w:after="283"/>
              <w:jc w:val="left"/>
              <w:rPr>
                <w:sz w:val="4"/>
                <w:szCs w:val="4"/>
              </w:rPr>
            </w:pPr>
            <w:r>
              <w:rPr>
                <w:sz w:val="4"/>
                <w:szCs w:val="4"/>
              </w:rPr>
            </w:r>
          </w:p>
        </w:tc>
        <w:tc>
          <w:tcPr>
            <w:tcW w:w="1178" w:type="dxa"/>
            <w:tcBorders/>
            <w:shd w:fill="FFFFFF" w:val="clear"/>
            <w:vAlign w:val="center"/>
          </w:tcPr>
          <w:p>
            <w:pPr>
              <w:pStyle w:val="TableContents"/>
              <w:bidi w:val="0"/>
              <w:spacing w:before="0" w:after="283"/>
              <w:jc w:val="left"/>
              <w:rPr>
                <w:sz w:val="4"/>
                <w:szCs w:val="4"/>
              </w:rPr>
            </w:pPr>
            <w:r>
              <w:rPr>
                <w:sz w:val="4"/>
                <w:szCs w:val="4"/>
              </w:rPr>
            </w:r>
          </w:p>
        </w:tc>
        <w:tc>
          <w:tcPr>
            <w:tcW w:w="372" w:type="dxa"/>
            <w:tcBorders/>
            <w:shd w:fill="FFFFFF" w:val="clear"/>
            <w:vAlign w:val="center"/>
          </w:tcPr>
          <w:p>
            <w:pPr>
              <w:pStyle w:val="TableContents"/>
              <w:bidi w:val="0"/>
              <w:spacing w:before="0" w:after="283"/>
              <w:jc w:val="left"/>
              <w:rPr>
                <w:sz w:val="4"/>
                <w:szCs w:val="4"/>
              </w:rPr>
            </w:pPr>
            <w:r>
              <w:rPr>
                <w:sz w:val="4"/>
                <w:szCs w:val="4"/>
              </w:rPr>
            </w:r>
          </w:p>
        </w:tc>
        <w:tc>
          <w:tcPr>
            <w:tcW w:w="1503" w:type="dxa"/>
            <w:tcBorders/>
            <w:shd w:fill="FFFFFF" w:val="clear"/>
            <w:vAlign w:val="center"/>
          </w:tcPr>
          <w:p>
            <w:pPr>
              <w:pStyle w:val="TableContents"/>
              <w:bidi w:val="0"/>
              <w:spacing w:before="0" w:after="283"/>
              <w:jc w:val="left"/>
              <w:rPr>
                <w:sz w:val="4"/>
                <w:szCs w:val="4"/>
              </w:rPr>
            </w:pPr>
            <w:r>
              <w:rPr>
                <w:sz w:val="4"/>
                <w:szCs w:val="4"/>
              </w:rPr>
            </w:r>
          </w:p>
        </w:tc>
        <w:tc>
          <w:tcPr>
            <w:tcW w:w="375" w:type="dxa"/>
            <w:tcBorders/>
            <w:shd w:fill="FFFFFF" w:val="clear"/>
            <w:vAlign w:val="center"/>
          </w:tcPr>
          <w:p>
            <w:pPr>
              <w:pStyle w:val="TableContents"/>
              <w:bidi w:val="0"/>
              <w:spacing w:before="0" w:after="283"/>
              <w:jc w:val="left"/>
              <w:rPr>
                <w:sz w:val="4"/>
                <w:szCs w:val="4"/>
              </w:rPr>
            </w:pPr>
            <w:r>
              <w:rPr>
                <w:sz w:val="4"/>
                <w:szCs w:val="4"/>
              </w:rPr>
            </w:r>
          </w:p>
        </w:tc>
        <w:tc>
          <w:tcPr>
            <w:tcW w:w="1515" w:type="dxa"/>
            <w:tcBorders/>
            <w:shd w:fill="FFFFFF" w:val="clear"/>
            <w:vAlign w:val="center"/>
          </w:tcPr>
          <w:p>
            <w:pPr>
              <w:pStyle w:val="TableContents"/>
              <w:bidi w:val="0"/>
              <w:spacing w:before="0" w:after="283"/>
              <w:jc w:val="left"/>
              <w:rPr>
                <w:sz w:val="4"/>
                <w:szCs w:val="4"/>
              </w:rPr>
            </w:pPr>
            <w:r>
              <w:rPr>
                <w:sz w:val="4"/>
                <w:szCs w:val="4"/>
              </w:rPr>
            </w:r>
          </w:p>
        </w:tc>
        <w:tc>
          <w:tcPr>
            <w:tcW w:w="302" w:type="dxa"/>
            <w:tcBorders/>
            <w:shd w:fill="FFFFFF" w:val="clear"/>
            <w:vAlign w:val="center"/>
          </w:tcPr>
          <w:p>
            <w:pPr>
              <w:pStyle w:val="TableContents"/>
              <w:bidi w:val="0"/>
              <w:spacing w:before="0" w:after="283"/>
              <w:jc w:val="left"/>
              <w:rPr>
                <w:sz w:val="4"/>
                <w:szCs w:val="4"/>
              </w:rPr>
            </w:pPr>
            <w:r>
              <w:rPr>
                <w:sz w:val="4"/>
                <w:szCs w:val="4"/>
              </w:rPr>
            </w:r>
          </w:p>
        </w:tc>
        <w:tc>
          <w:tcPr>
            <w:tcW w:w="1138" w:type="dxa"/>
            <w:tcBorders/>
            <w:shd w:fill="FFFFFF" w:val="clear"/>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lineRule="auto" w:line="259" w:before="0" w:after="1"/>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2024</w:t>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Water Revenues</w:t>
            </w:r>
          </w:p>
        </w:tc>
        <w:tc>
          <w:tcPr>
            <w:tcW w:w="1875"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Wastewater Revenues</w:t>
            </w:r>
          </w:p>
        </w:tc>
        <w:tc>
          <w:tcPr>
            <w:tcW w:w="1890"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Natural Gas Revenues</w:t>
            </w:r>
          </w:p>
        </w:tc>
        <w:tc>
          <w:tcPr>
            <w:tcW w:w="1440"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Revenues</w:t>
            </w:r>
          </w:p>
        </w:tc>
      </w:tr>
      <w:tr>
        <w:trPr/>
        <w:tc>
          <w:tcPr>
            <w:tcW w:w="3436" w:type="dxa"/>
            <w:tcBorders/>
            <w:shd w:fill="FFFF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Revenues from contracts with customers:</w:t>
            </w:r>
          </w:p>
        </w:tc>
        <w:tc>
          <w:tcPr>
            <w:tcW w:w="247"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7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50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515"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3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343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Residential </w:t>
            </w:r>
          </w:p>
        </w:tc>
        <w:tc>
          <w:tcPr>
            <w:tcW w:w="247"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7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662,909</w:t>
            </w:r>
          </w:p>
        </w:tc>
        <w:tc>
          <w:tcPr>
            <w:tcW w:w="37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146,849</w:t>
            </w:r>
          </w:p>
        </w:tc>
        <w:tc>
          <w:tcPr>
            <w:tcW w:w="37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15"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504,426</w:t>
            </w:r>
          </w:p>
        </w:tc>
        <w:tc>
          <w:tcPr>
            <w:tcW w:w="30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3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3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Commercial </w:t>
            </w:r>
          </w:p>
        </w:tc>
        <w:tc>
          <w:tcPr>
            <w:tcW w:w="24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186,534</w:t>
            </w:r>
          </w:p>
        </w:tc>
        <w:tc>
          <w:tcPr>
            <w:tcW w:w="37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36,951</w:t>
            </w:r>
          </w:p>
        </w:tc>
        <w:tc>
          <w:tcPr>
            <w:tcW w:w="37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100,662</w:t>
            </w:r>
          </w:p>
        </w:tc>
        <w:tc>
          <w:tcPr>
            <w:tcW w:w="30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3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Fire protection</w:t>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42,409</w:t>
            </w:r>
          </w:p>
        </w:tc>
        <w:tc>
          <w:tcPr>
            <w:tcW w:w="372" w:type="dxa"/>
            <w:tcBorders/>
            <w:shd w:fill="CCEEFF" w:val="clear"/>
            <w:vAlign w:val="center"/>
          </w:tcPr>
          <w:p>
            <w:pPr>
              <w:pStyle w:val="TableContents"/>
              <w:bidi w:val="0"/>
              <w:spacing w:before="0" w:after="283"/>
              <w:jc w:val="left"/>
              <w:rPr>
                <w:sz w:val="4"/>
                <w:szCs w:val="4"/>
              </w:rPr>
            </w:pPr>
            <w:r>
              <w:rPr>
                <w:sz w:val="4"/>
                <w:szCs w:val="4"/>
              </w:rPr>
            </w:r>
          </w:p>
        </w:tc>
        <w:tc>
          <w:tcPr>
            <w:tcW w:w="150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75" w:type="dxa"/>
            <w:tcBorders/>
            <w:shd w:fill="CCEEFF" w:val="clear"/>
            <w:vAlign w:val="center"/>
          </w:tcPr>
          <w:p>
            <w:pPr>
              <w:pStyle w:val="TableContents"/>
              <w:bidi w:val="0"/>
              <w:spacing w:before="0" w:after="283"/>
              <w:jc w:val="left"/>
              <w:rPr>
                <w:sz w:val="4"/>
                <w:szCs w:val="4"/>
              </w:rPr>
            </w:pPr>
            <w:r>
              <w:rPr>
                <w:sz w:val="4"/>
                <w:szCs w:val="4"/>
              </w:rPr>
            </w:r>
          </w:p>
        </w:tc>
        <w:tc>
          <w:tcPr>
            <w:tcW w:w="1515"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02" w:type="dxa"/>
            <w:tcBorders/>
            <w:shd w:fill="CCEEFF" w:val="clear"/>
            <w:vAlign w:val="center"/>
          </w:tcPr>
          <w:p>
            <w:pPr>
              <w:pStyle w:val="TableContents"/>
              <w:bidi w:val="0"/>
              <w:spacing w:before="0" w:after="283"/>
              <w:jc w:val="left"/>
              <w:rPr>
                <w:sz w:val="4"/>
                <w:szCs w:val="4"/>
              </w:rPr>
            </w:pPr>
            <w:r>
              <w:rPr>
                <w:sz w:val="4"/>
                <w:szCs w:val="4"/>
              </w:rPr>
            </w:r>
          </w:p>
        </w:tc>
        <w:tc>
          <w:tcPr>
            <w:tcW w:w="113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3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Industrial</w:t>
            </w:r>
          </w:p>
        </w:tc>
        <w:tc>
          <w:tcPr>
            <w:tcW w:w="24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34,831</w:t>
            </w:r>
          </w:p>
        </w:tc>
        <w:tc>
          <w:tcPr>
            <w:tcW w:w="37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2,724</w:t>
            </w:r>
          </w:p>
        </w:tc>
        <w:tc>
          <w:tcPr>
            <w:tcW w:w="37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2,279</w:t>
            </w:r>
          </w:p>
        </w:tc>
        <w:tc>
          <w:tcPr>
            <w:tcW w:w="30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3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Gas transportation &amp; storage</w:t>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72" w:type="dxa"/>
            <w:tcBorders/>
            <w:shd w:fill="CCEEFF" w:val="clear"/>
            <w:vAlign w:val="center"/>
          </w:tcPr>
          <w:p>
            <w:pPr>
              <w:pStyle w:val="TableContents"/>
              <w:bidi w:val="0"/>
              <w:spacing w:before="0" w:after="283"/>
              <w:jc w:val="left"/>
              <w:rPr>
                <w:sz w:val="4"/>
                <w:szCs w:val="4"/>
              </w:rPr>
            </w:pPr>
            <w:r>
              <w:rPr>
                <w:sz w:val="4"/>
                <w:szCs w:val="4"/>
              </w:rPr>
            </w:r>
          </w:p>
        </w:tc>
        <w:tc>
          <w:tcPr>
            <w:tcW w:w="150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75" w:type="dxa"/>
            <w:tcBorders/>
            <w:shd w:fill="CCEEFF" w:val="clear"/>
            <w:vAlign w:val="center"/>
          </w:tcPr>
          <w:p>
            <w:pPr>
              <w:pStyle w:val="TableContents"/>
              <w:bidi w:val="0"/>
              <w:spacing w:before="0" w:after="283"/>
              <w:jc w:val="left"/>
              <w:rPr>
                <w:sz w:val="4"/>
                <w:szCs w:val="4"/>
              </w:rPr>
            </w:pPr>
            <w:r>
              <w:rPr>
                <w:sz w:val="4"/>
                <w:szCs w:val="4"/>
              </w:rPr>
            </w:r>
          </w:p>
        </w:tc>
        <w:tc>
          <w:tcPr>
            <w:tcW w:w="1515"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194,413</w:t>
            </w:r>
          </w:p>
        </w:tc>
        <w:tc>
          <w:tcPr>
            <w:tcW w:w="302" w:type="dxa"/>
            <w:tcBorders/>
            <w:shd w:fill="CCEEFF" w:val="clear"/>
            <w:vAlign w:val="center"/>
          </w:tcPr>
          <w:p>
            <w:pPr>
              <w:pStyle w:val="TableContents"/>
              <w:bidi w:val="0"/>
              <w:spacing w:before="0" w:after="283"/>
              <w:jc w:val="left"/>
              <w:rPr>
                <w:sz w:val="4"/>
                <w:szCs w:val="4"/>
              </w:rPr>
            </w:pPr>
            <w:r>
              <w:rPr>
                <w:sz w:val="4"/>
                <w:szCs w:val="4"/>
              </w:rPr>
            </w:r>
          </w:p>
        </w:tc>
        <w:tc>
          <w:tcPr>
            <w:tcW w:w="113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3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water</w:t>
            </w:r>
          </w:p>
        </w:tc>
        <w:tc>
          <w:tcPr>
            <w:tcW w:w="24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80,964</w:t>
            </w:r>
          </w:p>
        </w:tc>
        <w:tc>
          <w:tcPr>
            <w:tcW w:w="37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7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0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3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wastewater</w:t>
            </w:r>
          </w:p>
        </w:tc>
        <w:tc>
          <w:tcPr>
            <w:tcW w:w="247" w:type="dxa"/>
            <w:tcBorders/>
            <w:shd w:fill="CCEEFF" w:val="clear"/>
            <w:vAlign w:val="center"/>
          </w:tcPr>
          <w:p>
            <w:pPr>
              <w:pStyle w:val="TableContents"/>
              <w:bidi w:val="0"/>
              <w:spacing w:before="0" w:after="283"/>
              <w:jc w:val="left"/>
              <w:rPr>
                <w:sz w:val="4"/>
                <w:szCs w:val="4"/>
              </w:rPr>
            </w:pPr>
            <w:r>
              <w:rPr>
                <w:sz w:val="4"/>
                <w:szCs w:val="4"/>
              </w:rPr>
            </w:r>
          </w:p>
        </w:tc>
        <w:tc>
          <w:tcPr>
            <w:tcW w:w="117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72" w:type="dxa"/>
            <w:tcBorders/>
            <w:shd w:fill="CCEEFF" w:val="clear"/>
            <w:vAlign w:val="center"/>
          </w:tcPr>
          <w:p>
            <w:pPr>
              <w:pStyle w:val="TableContents"/>
              <w:bidi w:val="0"/>
              <w:spacing w:before="0" w:after="283"/>
              <w:jc w:val="left"/>
              <w:rPr>
                <w:sz w:val="4"/>
                <w:szCs w:val="4"/>
              </w:rPr>
            </w:pPr>
            <w:r>
              <w:rPr>
                <w:sz w:val="4"/>
                <w:szCs w:val="4"/>
              </w:rPr>
            </w:r>
          </w:p>
        </w:tc>
        <w:tc>
          <w:tcPr>
            <w:tcW w:w="150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12,898</w:t>
            </w:r>
          </w:p>
        </w:tc>
        <w:tc>
          <w:tcPr>
            <w:tcW w:w="375" w:type="dxa"/>
            <w:tcBorders/>
            <w:shd w:fill="CCEEFF" w:val="clear"/>
            <w:vAlign w:val="center"/>
          </w:tcPr>
          <w:p>
            <w:pPr>
              <w:pStyle w:val="TableContents"/>
              <w:bidi w:val="0"/>
              <w:spacing w:before="0" w:after="283"/>
              <w:jc w:val="left"/>
              <w:rPr>
                <w:sz w:val="4"/>
                <w:szCs w:val="4"/>
              </w:rPr>
            </w:pPr>
            <w:r>
              <w:rPr>
                <w:sz w:val="4"/>
                <w:szCs w:val="4"/>
              </w:rPr>
            </w:r>
          </w:p>
        </w:tc>
        <w:tc>
          <w:tcPr>
            <w:tcW w:w="1515"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02" w:type="dxa"/>
            <w:tcBorders/>
            <w:shd w:fill="CCEEFF" w:val="clear"/>
            <w:vAlign w:val="center"/>
          </w:tcPr>
          <w:p>
            <w:pPr>
              <w:pStyle w:val="TableContents"/>
              <w:bidi w:val="0"/>
              <w:spacing w:before="0" w:after="283"/>
              <w:jc w:val="left"/>
              <w:rPr>
                <w:sz w:val="4"/>
                <w:szCs w:val="4"/>
              </w:rPr>
            </w:pPr>
            <w:r>
              <w:rPr>
                <w:sz w:val="4"/>
                <w:szCs w:val="4"/>
              </w:rPr>
            </w:r>
          </w:p>
        </w:tc>
        <w:tc>
          <w:tcPr>
            <w:tcW w:w="113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3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utility</w:t>
            </w:r>
          </w:p>
        </w:tc>
        <w:tc>
          <w:tcPr>
            <w:tcW w:w="24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8"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7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03"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15"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30,436</w:t>
            </w:r>
          </w:p>
        </w:tc>
        <w:tc>
          <w:tcPr>
            <w:tcW w:w="30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8"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11,226</w:t>
            </w:r>
          </w:p>
        </w:tc>
      </w:tr>
      <w:tr>
        <w:trPr/>
        <w:tc>
          <w:tcPr>
            <w:tcW w:w="343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Revenues from contracts with customers</w:t>
            </w:r>
          </w:p>
        </w:tc>
        <w:tc>
          <w:tcPr>
            <w:tcW w:w="24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78"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1,007,647</w:t>
            </w:r>
          </w:p>
        </w:tc>
        <w:tc>
          <w:tcPr>
            <w:tcW w:w="37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03"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199,422</w:t>
            </w:r>
          </w:p>
        </w:tc>
        <w:tc>
          <w:tcPr>
            <w:tcW w:w="37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15"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832,216</w:t>
            </w:r>
          </w:p>
        </w:tc>
        <w:tc>
          <w:tcPr>
            <w:tcW w:w="30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38"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11,226</w:t>
            </w:r>
          </w:p>
        </w:tc>
      </w:tr>
      <w:tr>
        <w:trPr/>
        <w:tc>
          <w:tcPr>
            <w:tcW w:w="343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Alternative revenue program</w:t>
            </w:r>
          </w:p>
        </w:tc>
        <w:tc>
          <w:tcPr>
            <w:tcW w:w="24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3,850</w:t>
            </w:r>
          </w:p>
        </w:tc>
        <w:tc>
          <w:tcPr>
            <w:tcW w:w="37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lineRule="auto" w:line="259" w:before="0"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(265)</w:t>
            </w:r>
          </w:p>
        </w:tc>
        <w:tc>
          <w:tcPr>
            <w:tcW w:w="37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10,775</w:t>
            </w:r>
          </w:p>
        </w:tc>
        <w:tc>
          <w:tcPr>
            <w:tcW w:w="30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3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and eliminations</w:t>
            </w:r>
          </w:p>
        </w:tc>
        <w:tc>
          <w:tcPr>
            <w:tcW w:w="247"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78"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7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03"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7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15"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38"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21,242</w:t>
            </w:r>
          </w:p>
        </w:tc>
      </w:tr>
      <w:tr>
        <w:trPr/>
        <w:tc>
          <w:tcPr>
            <w:tcW w:w="343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Consolidated</w:t>
            </w:r>
          </w:p>
        </w:tc>
        <w:tc>
          <w:tcPr>
            <w:tcW w:w="24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7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1,011,497</w:t>
            </w:r>
          </w:p>
        </w:tc>
        <w:tc>
          <w:tcPr>
            <w:tcW w:w="37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199,157</w:t>
            </w:r>
          </w:p>
        </w:tc>
        <w:tc>
          <w:tcPr>
            <w:tcW w:w="37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1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842,991</w:t>
            </w:r>
          </w:p>
        </w:tc>
        <w:tc>
          <w:tcPr>
            <w:tcW w:w="30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3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32,468</w:t>
            </w:r>
          </w:p>
        </w:tc>
      </w:tr>
    </w:tbl>
    <w:tbl>
      <w:tblPr>
        <w:tblW w:w="10066" w:type="dxa"/>
        <w:jc w:val="left"/>
        <w:tblInd w:w="0" w:type="dxa"/>
        <w:tblLayout w:type="fixed"/>
        <w:tblCellMar>
          <w:top w:w="0" w:type="dxa"/>
          <w:left w:w="0" w:type="dxa"/>
          <w:bottom w:w="0" w:type="dxa"/>
          <w:right w:w="0" w:type="dxa"/>
        </w:tblCellMar>
      </w:tblPr>
      <w:tblGrid>
        <w:gridCol w:w="3436"/>
        <w:gridCol w:w="282"/>
        <w:gridCol w:w="1143"/>
        <w:gridCol w:w="372"/>
        <w:gridCol w:w="1503"/>
        <w:gridCol w:w="375"/>
        <w:gridCol w:w="1515"/>
        <w:gridCol w:w="302"/>
        <w:gridCol w:w="1138"/>
      </w:tblGrid>
      <w:tr>
        <w:trPr/>
        <w:tc>
          <w:tcPr>
            <w:tcW w:w="3436" w:type="dxa"/>
            <w:tcBorders/>
            <w:shd w:fill="FFFFFF" w:val="clear"/>
            <w:vAlign w:val="center"/>
          </w:tcPr>
          <w:p>
            <w:pPr>
              <w:pStyle w:val="TableContents"/>
              <w:bidi w:val="0"/>
              <w:spacing w:before="0" w:after="283"/>
              <w:jc w:val="left"/>
              <w:rPr>
                <w:sz w:val="4"/>
                <w:szCs w:val="4"/>
              </w:rPr>
            </w:pPr>
            <w:r>
              <w:rPr>
                <w:sz w:val="4"/>
                <w:szCs w:val="4"/>
              </w:rPr>
            </w:r>
          </w:p>
        </w:tc>
        <w:tc>
          <w:tcPr>
            <w:tcW w:w="282" w:type="dxa"/>
            <w:tcBorders/>
            <w:shd w:fill="FFFFFF" w:val="clear"/>
            <w:vAlign w:val="center"/>
          </w:tcPr>
          <w:p>
            <w:pPr>
              <w:pStyle w:val="TableContents"/>
              <w:bidi w:val="0"/>
              <w:spacing w:before="0" w:after="283"/>
              <w:jc w:val="left"/>
              <w:rPr>
                <w:sz w:val="4"/>
                <w:szCs w:val="4"/>
              </w:rPr>
            </w:pPr>
            <w:r>
              <w:rPr>
                <w:sz w:val="4"/>
                <w:szCs w:val="4"/>
              </w:rPr>
            </w:r>
          </w:p>
        </w:tc>
        <w:tc>
          <w:tcPr>
            <w:tcW w:w="1143" w:type="dxa"/>
            <w:tcBorders/>
            <w:shd w:fill="FFFFFF" w:val="clear"/>
            <w:vAlign w:val="center"/>
          </w:tcPr>
          <w:p>
            <w:pPr>
              <w:pStyle w:val="TableContents"/>
              <w:bidi w:val="0"/>
              <w:spacing w:before="0" w:after="283"/>
              <w:jc w:val="left"/>
              <w:rPr>
                <w:sz w:val="4"/>
                <w:szCs w:val="4"/>
              </w:rPr>
            </w:pPr>
            <w:r>
              <w:rPr>
                <w:sz w:val="4"/>
                <w:szCs w:val="4"/>
              </w:rPr>
            </w:r>
          </w:p>
        </w:tc>
        <w:tc>
          <w:tcPr>
            <w:tcW w:w="372" w:type="dxa"/>
            <w:tcBorders/>
            <w:shd w:fill="FFFFFF" w:val="clear"/>
            <w:vAlign w:val="center"/>
          </w:tcPr>
          <w:p>
            <w:pPr>
              <w:pStyle w:val="TableContents"/>
              <w:bidi w:val="0"/>
              <w:spacing w:before="0" w:after="283"/>
              <w:jc w:val="left"/>
              <w:rPr>
                <w:sz w:val="4"/>
                <w:szCs w:val="4"/>
              </w:rPr>
            </w:pPr>
            <w:r>
              <w:rPr>
                <w:sz w:val="4"/>
                <w:szCs w:val="4"/>
              </w:rPr>
            </w:r>
          </w:p>
        </w:tc>
        <w:tc>
          <w:tcPr>
            <w:tcW w:w="1503" w:type="dxa"/>
            <w:tcBorders/>
            <w:shd w:fill="FFFFFF" w:val="clear"/>
            <w:vAlign w:val="center"/>
          </w:tcPr>
          <w:p>
            <w:pPr>
              <w:pStyle w:val="TableContents"/>
              <w:bidi w:val="0"/>
              <w:spacing w:before="0" w:after="283"/>
              <w:jc w:val="left"/>
              <w:rPr>
                <w:sz w:val="4"/>
                <w:szCs w:val="4"/>
              </w:rPr>
            </w:pPr>
            <w:r>
              <w:rPr>
                <w:sz w:val="4"/>
                <w:szCs w:val="4"/>
              </w:rPr>
            </w:r>
          </w:p>
        </w:tc>
        <w:tc>
          <w:tcPr>
            <w:tcW w:w="375" w:type="dxa"/>
            <w:tcBorders/>
            <w:shd w:fill="FFFFFF" w:val="clear"/>
            <w:vAlign w:val="center"/>
          </w:tcPr>
          <w:p>
            <w:pPr>
              <w:pStyle w:val="TableContents"/>
              <w:bidi w:val="0"/>
              <w:spacing w:before="0" w:after="283"/>
              <w:jc w:val="left"/>
              <w:rPr>
                <w:sz w:val="4"/>
                <w:szCs w:val="4"/>
              </w:rPr>
            </w:pPr>
            <w:r>
              <w:rPr>
                <w:sz w:val="4"/>
                <w:szCs w:val="4"/>
              </w:rPr>
            </w:r>
          </w:p>
        </w:tc>
        <w:tc>
          <w:tcPr>
            <w:tcW w:w="1515" w:type="dxa"/>
            <w:tcBorders/>
            <w:shd w:fill="FFFFFF" w:val="clear"/>
            <w:vAlign w:val="center"/>
          </w:tcPr>
          <w:p>
            <w:pPr>
              <w:pStyle w:val="TableContents"/>
              <w:bidi w:val="0"/>
              <w:spacing w:before="0" w:after="283"/>
              <w:jc w:val="left"/>
              <w:rPr>
                <w:sz w:val="4"/>
                <w:szCs w:val="4"/>
              </w:rPr>
            </w:pPr>
            <w:r>
              <w:rPr>
                <w:sz w:val="4"/>
                <w:szCs w:val="4"/>
              </w:rPr>
            </w:r>
          </w:p>
        </w:tc>
        <w:tc>
          <w:tcPr>
            <w:tcW w:w="302" w:type="dxa"/>
            <w:tcBorders/>
            <w:shd w:fill="FFFFFF" w:val="clear"/>
            <w:vAlign w:val="center"/>
          </w:tcPr>
          <w:p>
            <w:pPr>
              <w:pStyle w:val="TableContents"/>
              <w:bidi w:val="0"/>
              <w:spacing w:before="0" w:after="283"/>
              <w:jc w:val="left"/>
              <w:rPr>
                <w:sz w:val="4"/>
                <w:szCs w:val="4"/>
              </w:rPr>
            </w:pPr>
            <w:r>
              <w:rPr>
                <w:sz w:val="4"/>
                <w:szCs w:val="4"/>
              </w:rPr>
            </w:r>
          </w:p>
        </w:tc>
        <w:tc>
          <w:tcPr>
            <w:tcW w:w="1138" w:type="dxa"/>
            <w:tcBorders/>
            <w:shd w:fill="FFFFFF" w:val="clear"/>
            <w:vAlign w:val="center"/>
          </w:tcPr>
          <w:p>
            <w:pPr>
              <w:pStyle w:val="TableContents"/>
              <w:bidi w:val="0"/>
              <w:spacing w:before="0" w:after="283"/>
              <w:jc w:val="left"/>
              <w:rPr>
                <w:sz w:val="4"/>
                <w:szCs w:val="4"/>
              </w:rPr>
            </w:pPr>
            <w:r>
              <w:rPr>
                <w:sz w:val="4"/>
                <w:szCs w:val="4"/>
              </w:rPr>
            </w:r>
          </w:p>
        </w:tc>
      </w:tr>
      <w:tr>
        <w:trPr/>
        <w:tc>
          <w:tcPr>
            <w:tcW w:w="3436" w:type="dxa"/>
            <w:tcBorders/>
            <w:shd w:fill="FFFFFF" w:val="clear"/>
            <w:vAlign w:val="center"/>
          </w:tcPr>
          <w:p>
            <w:pPr>
              <w:pStyle w:val="TableContents"/>
              <w:bidi w:val="0"/>
              <w:spacing w:lineRule="auto" w:line="259" w:before="0" w:after="1"/>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2023</w:t>
            </w:r>
          </w:p>
        </w:tc>
        <w:tc>
          <w:tcPr>
            <w:tcW w:w="1425"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Water Revenues</w:t>
            </w:r>
          </w:p>
        </w:tc>
        <w:tc>
          <w:tcPr>
            <w:tcW w:w="1875"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Wastewater Revenues</w:t>
            </w:r>
          </w:p>
        </w:tc>
        <w:tc>
          <w:tcPr>
            <w:tcW w:w="1890"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Natural Gas Revenues</w:t>
            </w:r>
          </w:p>
        </w:tc>
        <w:tc>
          <w:tcPr>
            <w:tcW w:w="1440"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Revenues</w:t>
            </w:r>
          </w:p>
        </w:tc>
      </w:tr>
      <w:tr>
        <w:trPr/>
        <w:tc>
          <w:tcPr>
            <w:tcW w:w="3436" w:type="dxa"/>
            <w:tcBorders/>
            <w:shd w:fill="FFFF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Revenues from contracts with customers:</w:t>
            </w:r>
          </w:p>
        </w:tc>
        <w:tc>
          <w:tcPr>
            <w:tcW w:w="282"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4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50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515"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3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343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Residential </w:t>
            </w:r>
          </w:p>
        </w:tc>
        <w:tc>
          <w:tcPr>
            <w:tcW w:w="282"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4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641,351</w:t>
            </w:r>
          </w:p>
        </w:tc>
        <w:tc>
          <w:tcPr>
            <w:tcW w:w="37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139,188</w:t>
            </w:r>
          </w:p>
        </w:tc>
        <w:tc>
          <w:tcPr>
            <w:tcW w:w="37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15"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519,406</w:t>
            </w:r>
          </w:p>
        </w:tc>
        <w:tc>
          <w:tcPr>
            <w:tcW w:w="30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3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3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Commercial </w:t>
            </w:r>
          </w:p>
        </w:tc>
        <w:tc>
          <w:tcPr>
            <w:tcW w:w="28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180,731</w:t>
            </w:r>
          </w:p>
        </w:tc>
        <w:tc>
          <w:tcPr>
            <w:tcW w:w="37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35,530</w:t>
            </w:r>
          </w:p>
        </w:tc>
        <w:tc>
          <w:tcPr>
            <w:tcW w:w="37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111,272</w:t>
            </w:r>
          </w:p>
        </w:tc>
        <w:tc>
          <w:tcPr>
            <w:tcW w:w="30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3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Fire protection</w:t>
            </w:r>
          </w:p>
        </w:tc>
        <w:tc>
          <w:tcPr>
            <w:tcW w:w="282" w:type="dxa"/>
            <w:tcBorders/>
            <w:shd w:fill="CCEEFF" w:val="clear"/>
            <w:vAlign w:val="center"/>
          </w:tcPr>
          <w:p>
            <w:pPr>
              <w:pStyle w:val="TableContents"/>
              <w:bidi w:val="0"/>
              <w:spacing w:before="0" w:after="283"/>
              <w:jc w:val="left"/>
              <w:rPr>
                <w:sz w:val="4"/>
                <w:szCs w:val="4"/>
              </w:rPr>
            </w:pPr>
            <w:r>
              <w:rPr>
                <w:sz w:val="4"/>
                <w:szCs w:val="4"/>
              </w:rPr>
            </w:r>
          </w:p>
        </w:tc>
        <w:tc>
          <w:tcPr>
            <w:tcW w:w="114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41,257</w:t>
            </w:r>
          </w:p>
        </w:tc>
        <w:tc>
          <w:tcPr>
            <w:tcW w:w="372" w:type="dxa"/>
            <w:tcBorders/>
            <w:shd w:fill="CCEEFF" w:val="clear"/>
            <w:vAlign w:val="center"/>
          </w:tcPr>
          <w:p>
            <w:pPr>
              <w:pStyle w:val="TableContents"/>
              <w:bidi w:val="0"/>
              <w:spacing w:before="0" w:after="283"/>
              <w:jc w:val="left"/>
              <w:rPr>
                <w:sz w:val="4"/>
                <w:szCs w:val="4"/>
              </w:rPr>
            </w:pPr>
            <w:r>
              <w:rPr>
                <w:sz w:val="4"/>
                <w:szCs w:val="4"/>
              </w:rPr>
            </w:r>
          </w:p>
        </w:tc>
        <w:tc>
          <w:tcPr>
            <w:tcW w:w="150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75" w:type="dxa"/>
            <w:tcBorders/>
            <w:shd w:fill="CCEEFF" w:val="clear"/>
            <w:vAlign w:val="center"/>
          </w:tcPr>
          <w:p>
            <w:pPr>
              <w:pStyle w:val="TableContents"/>
              <w:bidi w:val="0"/>
              <w:spacing w:before="0" w:after="283"/>
              <w:jc w:val="left"/>
              <w:rPr>
                <w:sz w:val="4"/>
                <w:szCs w:val="4"/>
              </w:rPr>
            </w:pPr>
            <w:r>
              <w:rPr>
                <w:sz w:val="4"/>
                <w:szCs w:val="4"/>
              </w:rPr>
            </w:r>
          </w:p>
        </w:tc>
        <w:tc>
          <w:tcPr>
            <w:tcW w:w="1515"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02" w:type="dxa"/>
            <w:tcBorders/>
            <w:shd w:fill="CCEEFF" w:val="clear"/>
            <w:vAlign w:val="center"/>
          </w:tcPr>
          <w:p>
            <w:pPr>
              <w:pStyle w:val="TableContents"/>
              <w:bidi w:val="0"/>
              <w:spacing w:before="0" w:after="283"/>
              <w:jc w:val="left"/>
              <w:rPr>
                <w:sz w:val="4"/>
                <w:szCs w:val="4"/>
              </w:rPr>
            </w:pPr>
            <w:r>
              <w:rPr>
                <w:sz w:val="4"/>
                <w:szCs w:val="4"/>
              </w:rPr>
            </w:r>
          </w:p>
        </w:tc>
        <w:tc>
          <w:tcPr>
            <w:tcW w:w="113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3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Industrial</w:t>
            </w:r>
          </w:p>
        </w:tc>
        <w:tc>
          <w:tcPr>
            <w:tcW w:w="28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33,949</w:t>
            </w:r>
          </w:p>
        </w:tc>
        <w:tc>
          <w:tcPr>
            <w:tcW w:w="37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2,087</w:t>
            </w:r>
          </w:p>
        </w:tc>
        <w:tc>
          <w:tcPr>
            <w:tcW w:w="37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3,232</w:t>
            </w:r>
          </w:p>
        </w:tc>
        <w:tc>
          <w:tcPr>
            <w:tcW w:w="30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3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Gas transportation &amp; storage</w:t>
            </w:r>
          </w:p>
        </w:tc>
        <w:tc>
          <w:tcPr>
            <w:tcW w:w="282" w:type="dxa"/>
            <w:tcBorders/>
            <w:shd w:fill="CCEEFF" w:val="clear"/>
            <w:vAlign w:val="center"/>
          </w:tcPr>
          <w:p>
            <w:pPr>
              <w:pStyle w:val="TableContents"/>
              <w:bidi w:val="0"/>
              <w:spacing w:before="0" w:after="283"/>
              <w:jc w:val="left"/>
              <w:rPr>
                <w:sz w:val="4"/>
                <w:szCs w:val="4"/>
              </w:rPr>
            </w:pPr>
            <w:r>
              <w:rPr>
                <w:sz w:val="4"/>
                <w:szCs w:val="4"/>
              </w:rPr>
            </w:r>
          </w:p>
        </w:tc>
        <w:tc>
          <w:tcPr>
            <w:tcW w:w="114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72" w:type="dxa"/>
            <w:tcBorders/>
            <w:shd w:fill="CCEEFF" w:val="clear"/>
            <w:vAlign w:val="center"/>
          </w:tcPr>
          <w:p>
            <w:pPr>
              <w:pStyle w:val="TableContents"/>
              <w:bidi w:val="0"/>
              <w:spacing w:before="0" w:after="283"/>
              <w:jc w:val="left"/>
              <w:rPr>
                <w:sz w:val="4"/>
                <w:szCs w:val="4"/>
              </w:rPr>
            </w:pPr>
            <w:r>
              <w:rPr>
                <w:sz w:val="4"/>
                <w:szCs w:val="4"/>
              </w:rPr>
            </w:r>
          </w:p>
        </w:tc>
        <w:tc>
          <w:tcPr>
            <w:tcW w:w="150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75" w:type="dxa"/>
            <w:tcBorders/>
            <w:shd w:fill="CCEEFF" w:val="clear"/>
            <w:vAlign w:val="center"/>
          </w:tcPr>
          <w:p>
            <w:pPr>
              <w:pStyle w:val="TableContents"/>
              <w:bidi w:val="0"/>
              <w:spacing w:before="0" w:after="283"/>
              <w:jc w:val="left"/>
              <w:rPr>
                <w:sz w:val="4"/>
                <w:szCs w:val="4"/>
              </w:rPr>
            </w:pPr>
            <w:r>
              <w:rPr>
                <w:sz w:val="4"/>
                <w:szCs w:val="4"/>
              </w:rPr>
            </w:r>
          </w:p>
        </w:tc>
        <w:tc>
          <w:tcPr>
            <w:tcW w:w="1515"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184,598</w:t>
            </w:r>
          </w:p>
        </w:tc>
        <w:tc>
          <w:tcPr>
            <w:tcW w:w="302" w:type="dxa"/>
            <w:tcBorders/>
            <w:shd w:fill="CCEEFF" w:val="clear"/>
            <w:vAlign w:val="center"/>
          </w:tcPr>
          <w:p>
            <w:pPr>
              <w:pStyle w:val="TableContents"/>
              <w:bidi w:val="0"/>
              <w:spacing w:before="0" w:after="283"/>
              <w:jc w:val="left"/>
              <w:rPr>
                <w:sz w:val="4"/>
                <w:szCs w:val="4"/>
              </w:rPr>
            </w:pPr>
            <w:r>
              <w:rPr>
                <w:sz w:val="4"/>
                <w:szCs w:val="4"/>
              </w:rPr>
            </w:r>
          </w:p>
        </w:tc>
        <w:tc>
          <w:tcPr>
            <w:tcW w:w="113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3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water</w:t>
            </w:r>
          </w:p>
        </w:tc>
        <w:tc>
          <w:tcPr>
            <w:tcW w:w="28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51,527</w:t>
            </w:r>
          </w:p>
        </w:tc>
        <w:tc>
          <w:tcPr>
            <w:tcW w:w="37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7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0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3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wastewater</w:t>
            </w:r>
          </w:p>
        </w:tc>
        <w:tc>
          <w:tcPr>
            <w:tcW w:w="282" w:type="dxa"/>
            <w:tcBorders/>
            <w:shd w:fill="CCEEFF" w:val="clear"/>
            <w:vAlign w:val="center"/>
          </w:tcPr>
          <w:p>
            <w:pPr>
              <w:pStyle w:val="TableContents"/>
              <w:bidi w:val="0"/>
              <w:spacing w:before="0" w:after="283"/>
              <w:jc w:val="left"/>
              <w:rPr>
                <w:sz w:val="4"/>
                <w:szCs w:val="4"/>
              </w:rPr>
            </w:pPr>
            <w:r>
              <w:rPr>
                <w:sz w:val="4"/>
                <w:szCs w:val="4"/>
              </w:rPr>
            </w:r>
          </w:p>
        </w:tc>
        <w:tc>
          <w:tcPr>
            <w:tcW w:w="114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72" w:type="dxa"/>
            <w:tcBorders/>
            <w:shd w:fill="CCEEFF" w:val="clear"/>
            <w:vAlign w:val="center"/>
          </w:tcPr>
          <w:p>
            <w:pPr>
              <w:pStyle w:val="TableContents"/>
              <w:bidi w:val="0"/>
              <w:spacing w:before="0" w:after="283"/>
              <w:jc w:val="left"/>
              <w:rPr>
                <w:sz w:val="4"/>
                <w:szCs w:val="4"/>
              </w:rPr>
            </w:pPr>
            <w:r>
              <w:rPr>
                <w:sz w:val="4"/>
                <w:szCs w:val="4"/>
              </w:rPr>
            </w:r>
          </w:p>
        </w:tc>
        <w:tc>
          <w:tcPr>
            <w:tcW w:w="150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10,589</w:t>
            </w:r>
          </w:p>
        </w:tc>
        <w:tc>
          <w:tcPr>
            <w:tcW w:w="375" w:type="dxa"/>
            <w:tcBorders/>
            <w:shd w:fill="CCEEFF" w:val="clear"/>
            <w:vAlign w:val="center"/>
          </w:tcPr>
          <w:p>
            <w:pPr>
              <w:pStyle w:val="TableContents"/>
              <w:bidi w:val="0"/>
              <w:spacing w:before="0" w:after="283"/>
              <w:jc w:val="left"/>
              <w:rPr>
                <w:sz w:val="4"/>
                <w:szCs w:val="4"/>
              </w:rPr>
            </w:pPr>
            <w:r>
              <w:rPr>
                <w:sz w:val="4"/>
                <w:szCs w:val="4"/>
              </w:rPr>
            </w:r>
          </w:p>
        </w:tc>
        <w:tc>
          <w:tcPr>
            <w:tcW w:w="1515"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02" w:type="dxa"/>
            <w:tcBorders/>
            <w:shd w:fill="CCEEFF" w:val="clear"/>
            <w:vAlign w:val="center"/>
          </w:tcPr>
          <w:p>
            <w:pPr>
              <w:pStyle w:val="TableContents"/>
              <w:bidi w:val="0"/>
              <w:spacing w:before="0" w:after="283"/>
              <w:jc w:val="left"/>
              <w:rPr>
                <w:sz w:val="4"/>
                <w:szCs w:val="4"/>
              </w:rPr>
            </w:pPr>
            <w:r>
              <w:rPr>
                <w:sz w:val="4"/>
                <w:szCs w:val="4"/>
              </w:rPr>
            </w:r>
          </w:p>
        </w:tc>
        <w:tc>
          <w:tcPr>
            <w:tcW w:w="113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3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utility</w:t>
            </w:r>
          </w:p>
        </w:tc>
        <w:tc>
          <w:tcPr>
            <w:tcW w:w="28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43"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7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03"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7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15"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43,163</w:t>
            </w:r>
          </w:p>
        </w:tc>
        <w:tc>
          <w:tcPr>
            <w:tcW w:w="302"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8"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14,863</w:t>
            </w:r>
          </w:p>
        </w:tc>
      </w:tr>
      <w:tr>
        <w:trPr/>
        <w:tc>
          <w:tcPr>
            <w:tcW w:w="343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Revenues from contracts with customers</w:t>
            </w:r>
          </w:p>
        </w:tc>
        <w:tc>
          <w:tcPr>
            <w:tcW w:w="28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43"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948,815</w:t>
            </w:r>
          </w:p>
        </w:tc>
        <w:tc>
          <w:tcPr>
            <w:tcW w:w="37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03"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187,394</w:t>
            </w:r>
          </w:p>
        </w:tc>
        <w:tc>
          <w:tcPr>
            <w:tcW w:w="375"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15"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861,671</w:t>
            </w:r>
          </w:p>
        </w:tc>
        <w:tc>
          <w:tcPr>
            <w:tcW w:w="30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38"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14,863</w:t>
            </w:r>
          </w:p>
        </w:tc>
      </w:tr>
      <w:tr>
        <w:trPr/>
        <w:tc>
          <w:tcPr>
            <w:tcW w:w="343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Alternative revenue program</w:t>
            </w:r>
          </w:p>
        </w:tc>
        <w:tc>
          <w:tcPr>
            <w:tcW w:w="28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2,236</w:t>
            </w:r>
          </w:p>
        </w:tc>
        <w:tc>
          <w:tcPr>
            <w:tcW w:w="372"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lineRule="auto" w:line="259" w:before="0"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w:t>
            </w:r>
          </w:p>
        </w:tc>
        <w:tc>
          <w:tcPr>
            <w:tcW w:w="375"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2,088</w:t>
            </w:r>
          </w:p>
        </w:tc>
        <w:tc>
          <w:tcPr>
            <w:tcW w:w="302"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3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and eliminations</w:t>
            </w:r>
          </w:p>
        </w:tc>
        <w:tc>
          <w:tcPr>
            <w:tcW w:w="28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43"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7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03"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75"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15"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02"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38"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36,689</w:t>
            </w:r>
          </w:p>
        </w:tc>
      </w:tr>
      <w:tr>
        <w:trPr/>
        <w:tc>
          <w:tcPr>
            <w:tcW w:w="343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Consolidated</w:t>
            </w:r>
          </w:p>
        </w:tc>
        <w:tc>
          <w:tcPr>
            <w:tcW w:w="28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4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951,051</w:t>
            </w:r>
          </w:p>
        </w:tc>
        <w:tc>
          <w:tcPr>
            <w:tcW w:w="37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187,462</w:t>
            </w:r>
          </w:p>
        </w:tc>
        <w:tc>
          <w:tcPr>
            <w:tcW w:w="37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1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863,759</w:t>
            </w:r>
          </w:p>
        </w:tc>
        <w:tc>
          <w:tcPr>
            <w:tcW w:w="30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3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51,552</w:t>
            </w:r>
          </w:p>
        </w:tc>
      </w:tr>
    </w:tbl>
    <w:tbl>
      <w:tblPr>
        <w:tblW w:w="10205" w:type="dxa"/>
        <w:jc w:val="left"/>
        <w:tblInd w:w="0" w:type="dxa"/>
        <w:tblLayout w:type="fixed"/>
        <w:tblCellMar>
          <w:top w:w="0" w:type="dxa"/>
          <w:left w:w="0" w:type="dxa"/>
          <w:bottom w:w="0" w:type="dxa"/>
          <w:right w:w="0" w:type="dxa"/>
        </w:tblCellMar>
      </w:tblPr>
      <w:tblGrid>
        <w:gridCol w:w="3400"/>
        <w:gridCol w:w="280"/>
        <w:gridCol w:w="1138"/>
        <w:gridCol w:w="369"/>
        <w:gridCol w:w="1492"/>
        <w:gridCol w:w="326"/>
        <w:gridCol w:w="1552"/>
        <w:gridCol w:w="211"/>
        <w:gridCol w:w="1437"/>
      </w:tblGrid>
      <w:tr>
        <w:trPr/>
        <w:tc>
          <w:tcPr>
            <w:tcW w:w="3400" w:type="dxa"/>
            <w:tcBorders/>
            <w:shd w:fill="FFFFFF" w:val="clear"/>
            <w:vAlign w:val="center"/>
          </w:tcPr>
          <w:p>
            <w:pPr>
              <w:pStyle w:val="TableContents"/>
              <w:bidi w:val="0"/>
              <w:spacing w:before="0" w:after="283"/>
              <w:jc w:val="left"/>
              <w:rPr>
                <w:sz w:val="4"/>
                <w:szCs w:val="4"/>
              </w:rPr>
            </w:pPr>
            <w:r>
              <w:rPr>
                <w:sz w:val="4"/>
                <w:szCs w:val="4"/>
              </w:rPr>
            </w:r>
          </w:p>
        </w:tc>
        <w:tc>
          <w:tcPr>
            <w:tcW w:w="280" w:type="dxa"/>
            <w:tcBorders/>
            <w:shd w:fill="FFFFFF" w:val="clear"/>
            <w:vAlign w:val="center"/>
          </w:tcPr>
          <w:p>
            <w:pPr>
              <w:pStyle w:val="TableContents"/>
              <w:bidi w:val="0"/>
              <w:spacing w:before="0" w:after="283"/>
              <w:jc w:val="left"/>
              <w:rPr>
                <w:sz w:val="4"/>
                <w:szCs w:val="4"/>
              </w:rPr>
            </w:pPr>
            <w:r>
              <w:rPr>
                <w:sz w:val="4"/>
                <w:szCs w:val="4"/>
              </w:rPr>
            </w:r>
          </w:p>
        </w:tc>
        <w:tc>
          <w:tcPr>
            <w:tcW w:w="1138" w:type="dxa"/>
            <w:tcBorders/>
            <w:shd w:fill="FFFFFF" w:val="clear"/>
            <w:vAlign w:val="center"/>
          </w:tcPr>
          <w:p>
            <w:pPr>
              <w:pStyle w:val="TableContents"/>
              <w:bidi w:val="0"/>
              <w:spacing w:before="0" w:after="283"/>
              <w:jc w:val="left"/>
              <w:rPr>
                <w:sz w:val="4"/>
                <w:szCs w:val="4"/>
              </w:rPr>
            </w:pPr>
            <w:r>
              <w:rPr>
                <w:sz w:val="4"/>
                <w:szCs w:val="4"/>
              </w:rPr>
            </w:r>
          </w:p>
        </w:tc>
        <w:tc>
          <w:tcPr>
            <w:tcW w:w="369" w:type="dxa"/>
            <w:tcBorders/>
            <w:shd w:fill="FFFFFF" w:val="clear"/>
            <w:vAlign w:val="center"/>
          </w:tcPr>
          <w:p>
            <w:pPr>
              <w:pStyle w:val="TableContents"/>
              <w:bidi w:val="0"/>
              <w:spacing w:before="0" w:after="283"/>
              <w:jc w:val="left"/>
              <w:rPr>
                <w:sz w:val="4"/>
                <w:szCs w:val="4"/>
              </w:rPr>
            </w:pPr>
            <w:r>
              <w:rPr>
                <w:sz w:val="4"/>
                <w:szCs w:val="4"/>
              </w:rPr>
            </w:r>
          </w:p>
        </w:tc>
        <w:tc>
          <w:tcPr>
            <w:tcW w:w="1492" w:type="dxa"/>
            <w:tcBorders/>
            <w:shd w:fill="FFFFFF" w:val="clear"/>
            <w:vAlign w:val="center"/>
          </w:tcPr>
          <w:p>
            <w:pPr>
              <w:pStyle w:val="TableContents"/>
              <w:bidi w:val="0"/>
              <w:spacing w:before="0" w:after="283"/>
              <w:jc w:val="left"/>
              <w:rPr>
                <w:sz w:val="4"/>
                <w:szCs w:val="4"/>
              </w:rPr>
            </w:pPr>
            <w:r>
              <w:rPr>
                <w:sz w:val="4"/>
                <w:szCs w:val="4"/>
              </w:rPr>
            </w:r>
          </w:p>
        </w:tc>
        <w:tc>
          <w:tcPr>
            <w:tcW w:w="326" w:type="dxa"/>
            <w:tcBorders/>
            <w:shd w:fill="FFFFFF" w:val="clear"/>
            <w:vAlign w:val="center"/>
          </w:tcPr>
          <w:p>
            <w:pPr>
              <w:pStyle w:val="TableContents"/>
              <w:bidi w:val="0"/>
              <w:spacing w:before="0" w:after="283"/>
              <w:jc w:val="left"/>
              <w:rPr>
                <w:sz w:val="4"/>
                <w:szCs w:val="4"/>
              </w:rPr>
            </w:pPr>
            <w:r>
              <w:rPr>
                <w:sz w:val="4"/>
                <w:szCs w:val="4"/>
              </w:rPr>
            </w:r>
          </w:p>
        </w:tc>
        <w:tc>
          <w:tcPr>
            <w:tcW w:w="1552"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437" w:type="dxa"/>
            <w:tcBorders/>
            <w:shd w:fill="FFFFFF" w:val="clear"/>
            <w:vAlign w:val="center"/>
          </w:tcPr>
          <w:p>
            <w:pPr>
              <w:pStyle w:val="TableContents"/>
              <w:bidi w:val="0"/>
              <w:spacing w:before="0" w:after="283"/>
              <w:jc w:val="left"/>
              <w:rPr>
                <w:sz w:val="4"/>
                <w:szCs w:val="4"/>
              </w:rPr>
            </w:pPr>
            <w:r>
              <w:rPr>
                <w:sz w:val="4"/>
                <w:szCs w:val="4"/>
              </w:rPr>
            </w:r>
          </w:p>
        </w:tc>
      </w:tr>
      <w:tr>
        <w:trPr/>
        <w:tc>
          <w:tcPr>
            <w:tcW w:w="3400" w:type="dxa"/>
            <w:tcBorders/>
            <w:shd w:fill="FFFFFF" w:val="clear"/>
            <w:vAlign w:val="center"/>
          </w:tcPr>
          <w:p>
            <w:pPr>
              <w:pStyle w:val="TableContents"/>
              <w:bidi w:val="0"/>
              <w:spacing w:lineRule="auto" w:line="259" w:before="0" w:after="1"/>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2022</w:t>
            </w:r>
          </w:p>
        </w:tc>
        <w:tc>
          <w:tcPr>
            <w:tcW w:w="1418"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Water Revenues</w:t>
            </w:r>
          </w:p>
        </w:tc>
        <w:tc>
          <w:tcPr>
            <w:tcW w:w="1861"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Wastewater Revenues</w:t>
            </w:r>
          </w:p>
        </w:tc>
        <w:tc>
          <w:tcPr>
            <w:tcW w:w="1878"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Natural Gas Revenues</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437"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Revenues</w:t>
            </w:r>
          </w:p>
        </w:tc>
      </w:tr>
      <w:tr>
        <w:trPr/>
        <w:tc>
          <w:tcPr>
            <w:tcW w:w="3400" w:type="dxa"/>
            <w:tcBorders/>
            <w:shd w:fill="FFFF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Revenues from contracts with customers:</w:t>
            </w:r>
          </w:p>
        </w:tc>
        <w:tc>
          <w:tcPr>
            <w:tcW w:w="280"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3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492"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552"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437"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3400"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Residential </w:t>
            </w:r>
          </w:p>
        </w:tc>
        <w:tc>
          <w:tcPr>
            <w:tcW w:w="280"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3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607,473</w:t>
            </w:r>
          </w:p>
        </w:tc>
        <w:tc>
          <w:tcPr>
            <w:tcW w:w="369"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92"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122,612</w:t>
            </w:r>
          </w:p>
        </w:tc>
        <w:tc>
          <w:tcPr>
            <w:tcW w:w="32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52"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720,490</w:t>
            </w:r>
          </w:p>
        </w:tc>
        <w:tc>
          <w:tcPr>
            <w:tcW w:w="21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37"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00"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Commercial </w:t>
            </w:r>
          </w:p>
        </w:tc>
        <w:tc>
          <w:tcPr>
            <w:tcW w:w="28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168,460</w:t>
            </w:r>
          </w:p>
        </w:tc>
        <w:tc>
          <w:tcPr>
            <w:tcW w:w="36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30,340</w:t>
            </w:r>
          </w:p>
        </w:tc>
        <w:tc>
          <w:tcPr>
            <w:tcW w:w="32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149,653</w:t>
            </w:r>
          </w:p>
        </w:tc>
        <w:tc>
          <w:tcPr>
            <w:tcW w:w="21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00"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Fire protection</w:t>
            </w:r>
          </w:p>
        </w:tc>
        <w:tc>
          <w:tcPr>
            <w:tcW w:w="280" w:type="dxa"/>
            <w:tcBorders/>
            <w:shd w:fill="CCEEFF" w:val="clear"/>
            <w:vAlign w:val="center"/>
          </w:tcPr>
          <w:p>
            <w:pPr>
              <w:pStyle w:val="TableContents"/>
              <w:bidi w:val="0"/>
              <w:spacing w:before="0" w:after="283"/>
              <w:jc w:val="left"/>
              <w:rPr>
                <w:sz w:val="4"/>
                <w:szCs w:val="4"/>
              </w:rPr>
            </w:pPr>
            <w:r>
              <w:rPr>
                <w:sz w:val="4"/>
                <w:szCs w:val="4"/>
              </w:rPr>
            </w:r>
          </w:p>
        </w:tc>
        <w:tc>
          <w:tcPr>
            <w:tcW w:w="113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38,970</w:t>
            </w:r>
          </w:p>
        </w:tc>
        <w:tc>
          <w:tcPr>
            <w:tcW w:w="369" w:type="dxa"/>
            <w:tcBorders/>
            <w:shd w:fill="CCEEFF" w:val="clear"/>
            <w:vAlign w:val="center"/>
          </w:tcPr>
          <w:p>
            <w:pPr>
              <w:pStyle w:val="TableContents"/>
              <w:bidi w:val="0"/>
              <w:spacing w:before="0" w:after="283"/>
              <w:jc w:val="left"/>
              <w:rPr>
                <w:sz w:val="4"/>
                <w:szCs w:val="4"/>
              </w:rPr>
            </w:pPr>
            <w:r>
              <w:rPr>
                <w:sz w:val="4"/>
                <w:szCs w:val="4"/>
              </w:rPr>
            </w:r>
          </w:p>
        </w:tc>
        <w:tc>
          <w:tcPr>
            <w:tcW w:w="1492"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26" w:type="dxa"/>
            <w:tcBorders/>
            <w:shd w:fill="CCEEFF" w:val="clear"/>
            <w:vAlign w:val="center"/>
          </w:tcPr>
          <w:p>
            <w:pPr>
              <w:pStyle w:val="TableContents"/>
              <w:bidi w:val="0"/>
              <w:spacing w:before="0" w:after="283"/>
              <w:jc w:val="left"/>
              <w:rPr>
                <w:sz w:val="4"/>
                <w:szCs w:val="4"/>
              </w:rPr>
            </w:pPr>
            <w:r>
              <w:rPr>
                <w:sz w:val="4"/>
                <w:szCs w:val="4"/>
              </w:rPr>
            </w:r>
          </w:p>
        </w:tc>
        <w:tc>
          <w:tcPr>
            <w:tcW w:w="1552"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437"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00"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Industrial</w:t>
            </w:r>
          </w:p>
        </w:tc>
        <w:tc>
          <w:tcPr>
            <w:tcW w:w="28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32,581</w:t>
            </w:r>
          </w:p>
        </w:tc>
        <w:tc>
          <w:tcPr>
            <w:tcW w:w="36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1,755</w:t>
            </w:r>
          </w:p>
        </w:tc>
        <w:tc>
          <w:tcPr>
            <w:tcW w:w="32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5,636</w:t>
            </w:r>
          </w:p>
        </w:tc>
        <w:tc>
          <w:tcPr>
            <w:tcW w:w="21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00"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Gas transportation &amp; storage</w:t>
            </w:r>
          </w:p>
        </w:tc>
        <w:tc>
          <w:tcPr>
            <w:tcW w:w="280" w:type="dxa"/>
            <w:tcBorders/>
            <w:shd w:fill="CCEEFF" w:val="clear"/>
            <w:vAlign w:val="center"/>
          </w:tcPr>
          <w:p>
            <w:pPr>
              <w:pStyle w:val="TableContents"/>
              <w:bidi w:val="0"/>
              <w:spacing w:before="0" w:after="283"/>
              <w:jc w:val="left"/>
              <w:rPr>
                <w:sz w:val="4"/>
                <w:szCs w:val="4"/>
              </w:rPr>
            </w:pPr>
            <w:r>
              <w:rPr>
                <w:sz w:val="4"/>
                <w:szCs w:val="4"/>
              </w:rPr>
            </w:r>
          </w:p>
        </w:tc>
        <w:tc>
          <w:tcPr>
            <w:tcW w:w="113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69" w:type="dxa"/>
            <w:tcBorders/>
            <w:shd w:fill="CCEEFF" w:val="clear"/>
            <w:vAlign w:val="center"/>
          </w:tcPr>
          <w:p>
            <w:pPr>
              <w:pStyle w:val="TableContents"/>
              <w:bidi w:val="0"/>
              <w:spacing w:before="0" w:after="283"/>
              <w:jc w:val="left"/>
              <w:rPr>
                <w:sz w:val="4"/>
                <w:szCs w:val="4"/>
              </w:rPr>
            </w:pPr>
            <w:r>
              <w:rPr>
                <w:sz w:val="4"/>
                <w:szCs w:val="4"/>
              </w:rPr>
            </w:r>
          </w:p>
        </w:tc>
        <w:tc>
          <w:tcPr>
            <w:tcW w:w="1492"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26" w:type="dxa"/>
            <w:tcBorders/>
            <w:shd w:fill="CCEEFF" w:val="clear"/>
            <w:vAlign w:val="center"/>
          </w:tcPr>
          <w:p>
            <w:pPr>
              <w:pStyle w:val="TableContents"/>
              <w:bidi w:val="0"/>
              <w:spacing w:before="0" w:after="283"/>
              <w:jc w:val="left"/>
              <w:rPr>
                <w:sz w:val="4"/>
                <w:szCs w:val="4"/>
              </w:rPr>
            </w:pPr>
            <w:r>
              <w:rPr>
                <w:sz w:val="4"/>
                <w:szCs w:val="4"/>
              </w:rPr>
            </w:r>
          </w:p>
        </w:tc>
        <w:tc>
          <w:tcPr>
            <w:tcW w:w="1552"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205,825</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437"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00"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water</w:t>
            </w:r>
          </w:p>
        </w:tc>
        <w:tc>
          <w:tcPr>
            <w:tcW w:w="28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55,389</w:t>
            </w:r>
          </w:p>
        </w:tc>
        <w:tc>
          <w:tcPr>
            <w:tcW w:w="36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2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00"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wastewater</w:t>
            </w:r>
          </w:p>
        </w:tc>
        <w:tc>
          <w:tcPr>
            <w:tcW w:w="280" w:type="dxa"/>
            <w:tcBorders/>
            <w:shd w:fill="CCEEFF" w:val="clear"/>
            <w:vAlign w:val="center"/>
          </w:tcPr>
          <w:p>
            <w:pPr>
              <w:pStyle w:val="TableContents"/>
              <w:bidi w:val="0"/>
              <w:spacing w:before="0" w:after="283"/>
              <w:jc w:val="left"/>
              <w:rPr>
                <w:sz w:val="4"/>
                <w:szCs w:val="4"/>
              </w:rPr>
            </w:pPr>
            <w:r>
              <w:rPr>
                <w:sz w:val="4"/>
                <w:szCs w:val="4"/>
              </w:rPr>
            </w:r>
          </w:p>
        </w:tc>
        <w:tc>
          <w:tcPr>
            <w:tcW w:w="113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69" w:type="dxa"/>
            <w:tcBorders/>
            <w:shd w:fill="CCEEFF" w:val="clear"/>
            <w:vAlign w:val="center"/>
          </w:tcPr>
          <w:p>
            <w:pPr>
              <w:pStyle w:val="TableContents"/>
              <w:bidi w:val="0"/>
              <w:spacing w:before="0" w:after="283"/>
              <w:jc w:val="left"/>
              <w:rPr>
                <w:sz w:val="4"/>
                <w:szCs w:val="4"/>
              </w:rPr>
            </w:pPr>
            <w:r>
              <w:rPr>
                <w:sz w:val="4"/>
                <w:szCs w:val="4"/>
              </w:rPr>
            </w:r>
          </w:p>
        </w:tc>
        <w:tc>
          <w:tcPr>
            <w:tcW w:w="1492"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10,676</w:t>
            </w:r>
          </w:p>
        </w:tc>
        <w:tc>
          <w:tcPr>
            <w:tcW w:w="326" w:type="dxa"/>
            <w:tcBorders/>
            <w:shd w:fill="CCEEFF" w:val="clear"/>
            <w:vAlign w:val="center"/>
          </w:tcPr>
          <w:p>
            <w:pPr>
              <w:pStyle w:val="TableContents"/>
              <w:bidi w:val="0"/>
              <w:spacing w:before="0" w:after="283"/>
              <w:jc w:val="left"/>
              <w:rPr>
                <w:sz w:val="4"/>
                <w:szCs w:val="4"/>
              </w:rPr>
            </w:pPr>
            <w:r>
              <w:rPr>
                <w:sz w:val="4"/>
                <w:szCs w:val="4"/>
              </w:rPr>
            </w:r>
          </w:p>
        </w:tc>
        <w:tc>
          <w:tcPr>
            <w:tcW w:w="1552"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437"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00"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utility</w:t>
            </w:r>
          </w:p>
        </w:tc>
        <w:tc>
          <w:tcPr>
            <w:tcW w:w="28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38"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6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92"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552"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61,393</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37"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11,478</w:t>
            </w:r>
          </w:p>
        </w:tc>
      </w:tr>
      <w:tr>
        <w:trPr/>
        <w:tc>
          <w:tcPr>
            <w:tcW w:w="3400"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Revenues from contracts with customers</w:t>
            </w:r>
          </w:p>
        </w:tc>
        <w:tc>
          <w:tcPr>
            <w:tcW w:w="280"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38"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902,873</w:t>
            </w:r>
          </w:p>
        </w:tc>
        <w:tc>
          <w:tcPr>
            <w:tcW w:w="36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92"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165,383</w:t>
            </w:r>
          </w:p>
        </w:tc>
        <w:tc>
          <w:tcPr>
            <w:tcW w:w="3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552"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1,142,997</w:t>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37"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11,478</w:t>
            </w:r>
          </w:p>
        </w:tc>
      </w:tr>
      <w:tr>
        <w:trPr/>
        <w:tc>
          <w:tcPr>
            <w:tcW w:w="3400"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Alternative revenue program</w:t>
            </w:r>
          </w:p>
        </w:tc>
        <w:tc>
          <w:tcPr>
            <w:tcW w:w="280"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3,309</w:t>
            </w:r>
          </w:p>
        </w:tc>
        <w:tc>
          <w:tcPr>
            <w:tcW w:w="369" w:type="dxa"/>
            <w:tcBorders/>
            <w:vAlign w:val="center"/>
          </w:tcPr>
          <w:p>
            <w:pPr>
              <w:pStyle w:val="TableContents"/>
              <w:bidi w:val="0"/>
              <w:spacing w:before="0" w:after="283"/>
              <w:jc w:val="left"/>
              <w:rPr>
                <w:sz w:val="4"/>
                <w:szCs w:val="4"/>
              </w:rPr>
            </w:pPr>
            <w:r>
              <w:rPr>
                <w:sz w:val="4"/>
                <w:szCs w:val="4"/>
              </w:rPr>
            </w:r>
          </w:p>
        </w:tc>
        <w:tc>
          <w:tcPr>
            <w:tcW w:w="1492" w:type="dxa"/>
            <w:tcBorders/>
            <w:vAlign w:val="center"/>
          </w:tcPr>
          <w:p>
            <w:pPr>
              <w:pStyle w:val="TableContents"/>
              <w:bidi w:val="0"/>
              <w:spacing w:lineRule="auto" w:line="259" w:before="0" w:after="1"/>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w:t>
            </w:r>
          </w:p>
        </w:tc>
        <w:tc>
          <w:tcPr>
            <w:tcW w:w="326"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365</w:t>
            </w:r>
          </w:p>
        </w:tc>
        <w:tc>
          <w:tcPr>
            <w:tcW w:w="21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3400"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and eliminations</w:t>
            </w:r>
          </w:p>
        </w:tc>
        <w:tc>
          <w:tcPr>
            <w:tcW w:w="280"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38"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69"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492"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552"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437"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61,698</w:t>
            </w:r>
          </w:p>
        </w:tc>
      </w:tr>
      <w:tr>
        <w:trPr/>
        <w:tc>
          <w:tcPr>
            <w:tcW w:w="3400"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Consolidated</w:t>
            </w:r>
          </w:p>
        </w:tc>
        <w:tc>
          <w:tcPr>
            <w:tcW w:w="280"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3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906,182</w:t>
            </w:r>
          </w:p>
        </w:tc>
        <w:tc>
          <w:tcPr>
            <w:tcW w:w="369"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9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165,312</w:t>
            </w:r>
          </w:p>
        </w:tc>
        <w:tc>
          <w:tcPr>
            <w:tcW w:w="3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5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1,143,362</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3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73,176</w:t>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2"/>
        </w:rPr>
      </w:pPr>
      <w:r>
        <w:rPr>
          <w:rFonts w:ascii="Times New Roman;serif" w:hAnsi="Times New Roman;serif"/>
          <w:b/>
          <w:i/>
          <w:sz w:val="22"/>
        </w:rPr>
        <w:t>Revenues from Contracts with Customers</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These revenues are composed of four main categories: water, wastewater, natural gas, and other. Water revenues represent revenues earned for supplying customers with water service. Wastewater revenues represent revenues earned for treating wastewater and releasing it into the environment. Natural gas revenues represent revenues earned for the gas commodity and delivery of natural gas to customers. Other revenues are associated fees that relate to our utility businesses but are not water, wastewater, or natural gas revenues. Refer to the description below for a discussion of the performance obligation for each of these revenue streams.</w:t>
      </w:r>
    </w:p>
    <w:p>
      <w:pPr>
        <w:pStyle w:val="TextBody"/>
        <w:bidi w:val="0"/>
        <w:spacing w:lineRule="auto" w:line="259" w:before="0" w:after="100"/>
        <w:rPr>
          <w:caps w:val="false"/>
          <w:smallCaps w:val="false"/>
        </w:rPr>
      </w:pPr>
      <w:r>
        <w:rPr>
          <w:caps w:val="false"/>
          <w:smallCaps w:val="false"/>
        </w:rPr>
        <w:t> </w:t>
      </w:r>
    </w:p>
    <w:p>
      <w:pPr>
        <w:pStyle w:val="TextBody"/>
        <w:bidi w:val="0"/>
        <w:spacing w:lineRule="auto" w:line="259" w:before="0" w:after="120"/>
        <w:ind w:left="720" w:right="0" w:hanging="360"/>
        <w:rPr/>
      </w:pPr>
      <w:r>
        <w:rPr>
          <w:caps w:val="false"/>
          <w:smallCaps w:val="false"/>
        </w:rPr>
        <w:t></w:t>
      </w:r>
      <w:r>
        <w:rPr>
          <w:rFonts w:ascii="Times New Roman;serif" w:hAnsi="Times New Roman;serif"/>
          <w:b w:val="false"/>
          <w:i w:val="false"/>
          <w:caps w:val="false"/>
          <w:smallCaps w:val="false"/>
          <w:sz w:val="22"/>
        </w:rPr>
        <w:t xml:space="preserve">Tariff Revenues – These revenues are categorized by customer class: residential, commercial, fire protection, industrial, gas transportation, other water, and other wastewater. The rates that generate these revenues are approved by the respective state utility commission, and revenues are billed cyclically and accrued for when unbilled. The regulated natural gas rates are set and adjusted for increases or decreases in our purchased gas costs through purchased gas adjustment mechanisms. Purchased gas adjustment mechanisms provide us with a means to recover purchased gas costs on an ongoing basis without filing a rate case. Other water and other wastewater revenues consists primarily of fines, penalties, surcharges, and availability lot fees. Our performance obligation for tariff revenues is to provide potable water, wastewater treatment service, or delivery and sale of natural gas to customers. This performance obligation is satisfied over time as the services are rendered. The amounts that the Company has a right to invoice for tariff revenues reflect the right to consideration from the customers in an amount that corresponds directly with the value transferred to the customer for the performance completed to date. </w:t>
      </w:r>
    </w:p>
    <w:p>
      <w:pPr>
        <w:pStyle w:val="TextBody"/>
        <w:bidi w:val="0"/>
        <w:spacing w:lineRule="auto" w:line="259"/>
        <w:rPr>
          <w:caps w:val="false"/>
          <w:smallCaps w:val="false"/>
        </w:rPr>
      </w:pPr>
      <w:r>
        <w:rPr>
          <w:caps w:val="false"/>
          <w:smallCaps w:val="false"/>
        </w:rPr>
        <w:t>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Other Utility Revenues – Other utility revenues represent revenues earned primarily from: antenna revenues, which represents fees received from telecommunication operators that have put cellular antennas on our water towers; operation and maintenance and billing contracts, which represent fees earned from municipalities for our operation of their water or wastewater treatment services or performing billing services; and fees earned from developers for accessing our water mains, miscellaneous service revenue from gas distribution operations, gas processing and handling revenue, sales of natural gas at market-based rates and contracted fixed prices, sales of gas purchased from third parties, and other gas marketing activities. The performance obligations vary for these revenues, but all are primarily recognized over time as the service is delivered. </w:t>
      </w:r>
    </w:p>
    <w:p>
      <w:pPr>
        <w:pStyle w:val="TextBody"/>
        <w:bidi w:val="0"/>
        <w:spacing w:lineRule="auto" w:line="259"/>
        <w:ind w:left="720" w:right="0" w:hanging="0"/>
        <w:rPr>
          <w:caps w:val="false"/>
          <w:smallCaps w:val="false"/>
        </w:rPr>
      </w:pPr>
      <w:r>
        <w:rPr>
          <w:caps w:val="false"/>
          <w:smallCaps w:val="false"/>
        </w:rPr>
        <w:t>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Alternative Revenue Program:</w:t>
      </w:r>
    </w:p>
    <w:p>
      <w:pPr>
        <w:pStyle w:val="TextBody"/>
        <w:bidi w:val="0"/>
        <w:spacing w:lineRule="auto" w:line="259"/>
        <w:ind w:left="1440" w:right="0" w:hanging="360"/>
        <w:rPr>
          <w:rFonts w:ascii="Times New Roman;serif" w:hAnsi="Times New Roman;serif"/>
          <w:sz w:val="22"/>
        </w:rPr>
      </w:pPr>
      <w:r>
        <w:rPr>
          <w:rFonts w:ascii="Courier New" w:hAnsi="Courier New"/>
          <w:b w:val="false"/>
          <w:i w:val="false"/>
          <w:caps w:val="false"/>
          <w:smallCaps w:val="false"/>
          <w:color w:val="000000"/>
          <w:sz w:val="22"/>
        </w:rPr>
        <w:t>o</w:t>
      </w:r>
      <w:r>
        <w:rPr>
          <w:rFonts w:ascii="Times New Roman;serif" w:hAnsi="Times New Roman;serif"/>
          <w:b w:val="false"/>
          <w:i w:val="false"/>
          <w:caps w:val="false"/>
          <w:smallCaps w:val="false"/>
          <w:sz w:val="22"/>
        </w:rPr>
        <w:t xml:space="preserve">Water / Wastewater Revenues – These revenues represent the difference between the actual billed utility volumetric water and wastewater revenues for Aqua Illinois and the revenues set in the last Aqua Illinois rate case. In accordance with the Illinois Commerce Commission, we recognize revenues based on the target amount established in the last rate case, and then record either a regulatory asset or liability based on the cumulative annual difference between the target and actual amounts billed, which results in either a payment from customers or a refund due to customers. The cumulative annual difference is either refunded to customers or collected from customers over a nine-month period. </w:t>
      </w:r>
    </w:p>
    <w:p>
      <w:pPr>
        <w:pStyle w:val="TextBody"/>
        <w:bidi w:val="0"/>
        <w:spacing w:lineRule="auto" w:line="259"/>
        <w:ind w:left="1440" w:right="0" w:hanging="360"/>
        <w:rPr>
          <w:rFonts w:ascii="Garamond;serif" w:hAnsi="Garamond;serif"/>
          <w:sz w:val="22"/>
        </w:rPr>
      </w:pPr>
      <w:r>
        <w:rPr>
          <w:rFonts w:ascii="Courier New" w:hAnsi="Courier New"/>
          <w:b w:val="false"/>
          <w:i w:val="false"/>
          <w:caps w:val="false"/>
          <w:smallCaps w:val="false"/>
          <w:color w:val="000000"/>
          <w:sz w:val="22"/>
        </w:rPr>
        <w:t>o</w:t>
      </w:r>
      <w:r>
        <w:rPr>
          <w:rFonts w:ascii="Times New Roman;serif" w:hAnsi="Times New Roman;serif"/>
          <w:b w:val="false"/>
          <w:i w:val="false"/>
          <w:caps w:val="false"/>
          <w:smallCaps w:val="false"/>
          <w:sz w:val="22"/>
        </w:rPr>
        <w:t xml:space="preserve">Natural Gas Revenues – These revenues represent the weather-normalization adjustment (“WNA”) mechanism in place for our natural gas customers served in Kentucky and, beginning in October 2024, for our natural gas customers in Pennsylvania. The WNA serves to minimize the effects of weather on the Company’s results for its residential and small commercial natural gas customers. This regulatory mechanism adjusts revenues earned for the variance between actual and normal weather and can have either positive (warmer than normal) or negative (colder than normal) effects on revenues. </w:t>
      </w:r>
      <w:bookmarkStart w:id="33" w:name="_Hlk190413673"/>
      <w:bookmarkEnd w:id="33"/>
      <w:r>
        <w:rPr>
          <w:rFonts w:ascii="Times New Roman;serif" w:hAnsi="Times New Roman;serif"/>
          <w:b w:val="false"/>
          <w:i w:val="false"/>
          <w:caps w:val="false"/>
          <w:smallCaps w:val="false"/>
          <w:sz w:val="22"/>
        </w:rPr>
        <w:t xml:space="preserve">Customer bills are adjusted in the heating season billing months, with rates adjusted for the difference between actual revenues and revenues calculated under this mechanism billed to the customers. </w:t>
      </w:r>
    </w:p>
    <w:p>
      <w:pPr>
        <w:pStyle w:val="TextBody"/>
        <w:bidi w:val="0"/>
        <w:spacing w:lineRule="auto" w:line="259"/>
        <w:ind w:left="720" w:right="0" w:hanging="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These revenue programs represent a contract between the utility and its regulators, not customers, and therefore are not within the scope of the FASB’s accounting guidance for recognizing revenue from contracts with customers.</w:t>
      </w:r>
    </w:p>
    <w:p>
      <w:pPr>
        <w:pStyle w:val="TextBody"/>
        <w:bidi w:val="0"/>
        <w:spacing w:lineRule="auto" w:line="259"/>
        <w:ind w:left="720" w:right="0" w:hanging="0"/>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 xml:space="preserve">Other and Eliminations – Other and eliminations consist of market-based revenues, which are earned through our non-regulated natural gas operations and Aqua Resources, and intercompany activities for revenue billed between our subsidiaries. Our non-regulated natural gas operations consist of utility service line protection solutions and repair services for households and the operation of gas marketing and production entities. Revenue is recognized and the performance obligation is satisfied over time as the service is delivered. Aqua Resources earned revenues and continues to earn revenue through third-party water and sewer service line protection and repair services. For the service line protection business, the performance obligations are allowing the use of our logo to a third-party water and sewer service line repair provider. Revenues are primarily recognized over time as service is delivered. </w:t>
      </w:r>
    </w:p>
    <w:p>
      <w:pPr>
        <w:pStyle w:val="TextBody"/>
        <w:bidi w:val="0"/>
        <w:spacing w:lineRule="auto" w:line="259"/>
        <w:rPr>
          <w:rFonts w:ascii="Times New Roman;serif" w:hAnsi="Times New Roman;serif"/>
          <w:sz w:val="22"/>
        </w:rPr>
      </w:pPr>
      <w:r>
        <w:rPr>
          <w:rFonts w:ascii="Times New Roman;serif" w:hAnsi="Times New Roman;serif"/>
          <w:b/>
          <w:i/>
          <w:sz w:val="22"/>
        </w:rPr>
        <w:t>Cash and Cash Equivalents</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 xml:space="preserve">The Company considers all highly liquid investments with an original maturity of three months or less, which are not restricted for construction activity, to be cash equivalents.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Under our cash management system, checks issued but not yet presented to banks would result in a negative bank balance or a book overdraft. The Company funds its book overdraft from its line of credit and operating cash flows. The balance of the book overdraft is reported as book overdraft, and the change in the book overdraft balance is reported as cash flows from financing activities, due to our ability to fund the overdraft with the Company’s credit facility. </w:t>
      </w:r>
    </w:p>
    <w:p>
      <w:pPr>
        <w:pStyle w:val="TextBody"/>
        <w:bidi w:val="0"/>
        <w:spacing w:lineRule="auto" w:line="259"/>
        <w:rPr>
          <w:rFonts w:ascii="Times New Roman;serif" w:hAnsi="Times New Roman;serif"/>
          <w:sz w:val="22"/>
        </w:rPr>
      </w:pPr>
      <w:bookmarkStart w:id="34" w:name="OLE_LINK1"/>
      <w:bookmarkStart w:id="35" w:name="_Hlk190413591"/>
      <w:bookmarkEnd w:id="34"/>
      <w:bookmarkEnd w:id="35"/>
      <w:r>
        <w:rPr>
          <w:rFonts w:ascii="Times New Roman;serif" w:hAnsi="Times New Roman;serif"/>
          <w:b/>
          <w:i/>
          <w:sz w:val="22"/>
        </w:rPr>
        <w:t>Accounts Receivable</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Accounts receivable are recorded at the invoiced amounts, which consists of billed and unbilled revenues. The allowance for doubtful accounts is the Company’s best estimate of the amount of probable credit losses in our existing accounts receivable and is determined based on lifetime expected credit losses, the aging of account balances, and consideration of current and expected future conditions. The Company reviews the allowance for doubtful accounts quarterly. Account balances are written off against the allowance when it is probable the receivable will not be recovered. When utility customers request extended payment terms, credit is extended based on regulatory guidelines, and collateral is not required.</w:t>
      </w:r>
    </w:p>
    <w:p>
      <w:pPr>
        <w:pStyle w:val="TextBody"/>
        <w:bidi w:val="0"/>
        <w:spacing w:lineRule="auto" w:line="259"/>
        <w:rPr>
          <w:rFonts w:ascii="Times New Roman;serif" w:hAnsi="Times New Roman;serif"/>
          <w:sz w:val="22"/>
        </w:rPr>
      </w:pPr>
      <w:r>
        <w:rPr>
          <w:rFonts w:ascii="Times New Roman;serif" w:hAnsi="Times New Roman;serif"/>
          <w:b/>
          <w:i/>
          <w:sz w:val="22"/>
        </w:rPr>
        <w:t>Inventories – Materials and Supplies</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 xml:space="preserve">Inventories are stated at the lower of cost or net realizable value. Cost is determined using the first-in, first-out method. </w:t>
      </w:r>
    </w:p>
    <w:p>
      <w:pPr>
        <w:pStyle w:val="TextBody"/>
        <w:bidi w:val="0"/>
        <w:spacing w:lineRule="auto" w:line="259"/>
        <w:rPr>
          <w:rFonts w:ascii="Times New Roman;serif" w:hAnsi="Times New Roman;serif"/>
          <w:sz w:val="22"/>
        </w:rPr>
      </w:pPr>
      <w:r>
        <w:rPr>
          <w:rFonts w:ascii="Times New Roman;serif" w:hAnsi="Times New Roman;serif"/>
          <w:b/>
          <w:i/>
          <w:sz w:val="22"/>
        </w:rPr>
        <w:t>Inventory – Gas Stored</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 xml:space="preserve">The Company accounts for gas in storage inventory using the weighted average cost of gas method. </w:t>
      </w:r>
    </w:p>
    <w:p>
      <w:pPr>
        <w:pStyle w:val="TextBody"/>
        <w:bidi w:val="0"/>
        <w:spacing w:lineRule="auto" w:line="259"/>
        <w:rPr>
          <w:rFonts w:ascii="Times New Roman;serif" w:hAnsi="Times New Roman;serif"/>
          <w:sz w:val="22"/>
        </w:rPr>
      </w:pPr>
      <w:r>
        <w:rPr>
          <w:rFonts w:ascii="Times New Roman;serif" w:hAnsi="Times New Roman;serif"/>
          <w:b/>
          <w:i/>
          <w:sz w:val="22"/>
        </w:rPr>
        <w:t>Goodwill</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 xml:space="preserve">Goodwill represents the excess cost over the fair value of net tangible and identifiable intangible assets acquired through acquisitions. Goodwill is not amortized but is tested for impairment annually, or more often, if circumstances indicate a possible impairment may exist. When testing goodwill for impairment, we may assess qualitative factors, including macroeconomic conditions, industry and market considerations, changes to regulatory environment, recent regulatory and legislative proceedings, cost factors, overall financial performance, and entity specific events, for some or all of our reporting units to determine whether it’s more likely than not that the fair value of a reporting unit is less than its carrying amount. Alternatively, based on our assessment of the qualitative factors previously noted or at our discretion, we may perform a quantitative goodwill impairment test by determining the fair value of a reporting unit. If we perform a quantitative test and determine that the fair value of a reporting unit is less than its carrying amount, we would record an impairment loss for the amount by which a reporting unit’s carrying amount exceeds its fair value, not to exceed the reporting unit’s carrying amount of goodwill.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Impairment testing for goodwill is done at the reporting unit level. A reporting unit is an operating segment or one level below an operating segment (also known as a component). A component of an operating segment is a reporting unit if the component constitutes a business for which discrete financial information is available, and segment management regularly reviews the operating results of that component. We assigned assets and liabilities to each reporting unit based on either specific identification or by using judgment for the remaining assets and liabilities that are not specific to a reporting unit. Goodwill was assigned to the reporting units based on a combination of specific identification and relative fair values.</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Determining the fair value of our reporting units involves the use of significant estimates and assumptions and considerable management judgment. We base our fair value estimates on assumptions we believe to be reasonable at the time, but such assumptions are subject to inherent uncertainty. We estimated the fair value of reporting units by weighting results from the market approach and the income approach. These valuation approaches consider a number of factors that include, but are not limited to, prospective financial information, growth rates, terminal value, discount rates, and comparable multiples from publicly traded companies in our industry. Changes in market conditions, changes in the regulatory environment, pending or new legislation that could impact the ability to recover costs through regulated rates or other factors outside of our control, could cause us to change key assumptions and our judgment about a reporting unit’s prospects. Similarly, in a specific period, a reporting unit could significantly underperform relative to its historical or projected future operating results. Either situation could result in a meaningfully different estimate of the fair value of our reporting units, and a consequent future impairment charge.</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During the fourth quarter of 2024, as part of the annual goodwill assessment as of October 1, 2024, we elected to perform qualitative goodwill impairment assessments on the goodwill attributable to our Regulated Natural Gas, our Regulated Water, and Other reporting units. Based on our analysis, we determined that none of the goodwill of our reporting units were impaired.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summarizes the changes in the Company’s goodwill:</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940"/>
        <w:gridCol w:w="226"/>
        <w:gridCol w:w="1445"/>
        <w:gridCol w:w="226"/>
        <w:gridCol w:w="1827"/>
        <w:gridCol w:w="226"/>
        <w:gridCol w:w="706"/>
        <w:gridCol w:w="226"/>
        <w:gridCol w:w="1383"/>
      </w:tblGrid>
      <w:tr>
        <w:trPr/>
        <w:tc>
          <w:tcPr>
            <w:tcW w:w="3940"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45"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827"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383" w:type="dxa"/>
            <w:tcBorders/>
            <w:shd w:fill="FFFFFF" w:val="clear"/>
            <w:vAlign w:val="center"/>
          </w:tcPr>
          <w:p>
            <w:pPr>
              <w:pStyle w:val="TableContents"/>
              <w:bidi w:val="0"/>
              <w:spacing w:before="0" w:after="283"/>
              <w:jc w:val="left"/>
              <w:rPr>
                <w:sz w:val="4"/>
                <w:szCs w:val="4"/>
              </w:rPr>
            </w:pPr>
            <w:r>
              <w:rPr>
                <w:sz w:val="4"/>
                <w:szCs w:val="4"/>
              </w:rPr>
            </w:r>
          </w:p>
        </w:tc>
      </w:tr>
      <w:tr>
        <w:trPr/>
        <w:tc>
          <w:tcPr>
            <w:tcW w:w="3940"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45"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827"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383" w:type="dxa"/>
            <w:tcBorders/>
            <w:shd w:fill="FFFFFF" w:val="clear"/>
            <w:vAlign w:val="center"/>
          </w:tcPr>
          <w:p>
            <w:pPr>
              <w:pStyle w:val="TableContents"/>
              <w:bidi w:val="0"/>
              <w:spacing w:before="0" w:after="283"/>
              <w:jc w:val="left"/>
              <w:rPr>
                <w:sz w:val="4"/>
                <w:szCs w:val="4"/>
              </w:rPr>
            </w:pPr>
            <w:r>
              <w:rPr>
                <w:sz w:val="4"/>
                <w:szCs w:val="4"/>
              </w:rPr>
            </w:r>
          </w:p>
        </w:tc>
      </w:tr>
      <w:tr>
        <w:trPr/>
        <w:tc>
          <w:tcPr>
            <w:tcW w:w="3940"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445"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Regulated Water</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827"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Regulated Natural Gas</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Consolidated</w:t>
            </w:r>
          </w:p>
        </w:tc>
      </w:tr>
      <w:tr>
        <w:trPr/>
        <w:tc>
          <w:tcPr>
            <w:tcW w:w="3940" w:type="dxa"/>
            <w:tcBorders/>
            <w:shd w:fill="FFFF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Balance at December 31, 2022</w:t>
            </w:r>
          </w:p>
        </w:tc>
        <w:tc>
          <w:tcPr>
            <w:tcW w:w="226" w:type="dxa"/>
            <w:tcBorders>
              <w:top w:val="single" w:sz="8" w:space="0" w:color="000000"/>
            </w:tcBorders>
            <w:shd w:fill="FFFFFF" w:val="clear"/>
            <w:tcMar>
              <w:top w:w="28" w:type="dxa"/>
            </w:tcMar>
            <w:vAlign w:val="center"/>
          </w:tcPr>
          <w:p>
            <w:pPr>
              <w:pStyle w:val="TableContents"/>
              <w:bidi w:val="0"/>
              <w:spacing w:lineRule="auto" w:line="259" w:before="0" w:after="1"/>
              <w:jc w:val="both"/>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445" w:type="dxa"/>
            <w:tcBorders>
              <w:top w:val="single" w:sz="8" w:space="0" w:color="000000"/>
            </w:tcBorders>
            <w:shd w:fill="FFFF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58,504</w:t>
            </w:r>
          </w:p>
        </w:tc>
        <w:tc>
          <w:tcPr>
            <w:tcW w:w="226" w:type="dxa"/>
            <w:tcBorders>
              <w:top w:val="single" w:sz="8" w:space="0" w:color="000000"/>
            </w:tcBorders>
            <w:shd w:fill="FFFF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827" w:type="dxa"/>
            <w:tcBorders>
              <w:top w:val="single" w:sz="8" w:space="0" w:color="000000"/>
            </w:tcBorders>
            <w:shd w:fill="FFFFFF" w:val="clear"/>
            <w:tcMar>
              <w:top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2,277,447</w:t>
            </w:r>
            <w:r>
              <w:rPr>
                <w:rFonts w:ascii="Times New Roman;serif" w:hAnsi="Times New Roman;serif"/>
                <w:caps w:val="false"/>
                <w:smallCaps w:val="false"/>
                <w:color w:val="000000"/>
                <w:sz w:val="22"/>
              </w:rPr>
              <w:t> </w:t>
            </w:r>
          </w:p>
        </w:tc>
        <w:tc>
          <w:tcPr>
            <w:tcW w:w="226" w:type="dxa"/>
            <w:tcBorders>
              <w:top w:val="single" w:sz="8" w:space="0" w:color="000000"/>
            </w:tcBorders>
            <w:shd w:fill="FFFF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6" w:type="dxa"/>
            <w:tcBorders>
              <w:top w:val="single" w:sz="8" w:space="0" w:color="000000"/>
            </w:tcBorders>
            <w:shd w:fill="FFFFFF" w:val="clear"/>
            <w:tcMar>
              <w:top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4,841</w:t>
            </w:r>
            <w:r>
              <w:rPr>
                <w:rFonts w:ascii="Times New Roman;serif" w:hAnsi="Times New Roman;serif"/>
                <w:caps w:val="false"/>
                <w:smallCaps w:val="false"/>
                <w:color w:val="000000"/>
                <w:sz w:val="22"/>
              </w:rPr>
              <w:t> </w:t>
            </w:r>
          </w:p>
        </w:tc>
        <w:tc>
          <w:tcPr>
            <w:tcW w:w="226" w:type="dxa"/>
            <w:tcBorders>
              <w:top w:val="single" w:sz="8" w:space="0" w:color="000000"/>
            </w:tcBorders>
            <w:shd w:fill="FFFF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383" w:type="dxa"/>
            <w:tcBorders>
              <w:top w:val="single" w:sz="8" w:space="0" w:color="000000"/>
            </w:tcBorders>
            <w:shd w:fill="FFFF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2,340,792</w:t>
            </w:r>
          </w:p>
        </w:tc>
      </w:tr>
      <w:tr>
        <w:trPr/>
        <w:tc>
          <w:tcPr>
            <w:tcW w:w="3940"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Goodwill acquired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44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827"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383"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3940"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Reclassifications to utility plant acquisition adjustment</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45"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(54)</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827"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(54)</w:t>
            </w:r>
          </w:p>
        </w:tc>
      </w:tr>
      <w:tr>
        <w:trPr/>
        <w:tc>
          <w:tcPr>
            <w:tcW w:w="3940"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Balance at December 31, 2023</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445"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58,450</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827"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2,277,447</w:t>
            </w:r>
            <w:r>
              <w:rPr>
                <w:rFonts w:ascii="Times New Roman;serif" w:hAnsi="Times New Roman;serif"/>
                <w:caps w:val="false"/>
                <w:smallCaps w:val="false"/>
                <w:color w:val="000000"/>
                <w:sz w:val="22"/>
              </w:rPr>
              <w:t> </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4,841</w:t>
            </w:r>
            <w:r>
              <w:rPr>
                <w:rFonts w:ascii="Times New Roman;serif" w:hAnsi="Times New Roman;serif"/>
                <w:caps w:val="false"/>
                <w:smallCaps w:val="false"/>
                <w:color w:val="000000"/>
                <w:sz w:val="22"/>
              </w:rPr>
              <w:t> </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383"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2,340,738</w:t>
            </w:r>
          </w:p>
        </w:tc>
      </w:tr>
      <w:tr>
        <w:trPr/>
        <w:tc>
          <w:tcPr>
            <w:tcW w:w="3940"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Goodwill acquired </w:t>
            </w:r>
          </w:p>
        </w:tc>
        <w:tc>
          <w:tcPr>
            <w:tcW w:w="226"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vAlign w:val="center"/>
          </w:tcPr>
          <w:p>
            <w:pPr>
              <w:pStyle w:val="TableContents"/>
              <w:bidi w:val="0"/>
              <w:spacing w:before="0" w:after="283"/>
              <w:jc w:val="left"/>
              <w:rPr>
                <w:sz w:val="4"/>
                <w:szCs w:val="4"/>
              </w:rPr>
            </w:pPr>
            <w:r>
              <w:rPr>
                <w:sz w:val="4"/>
                <w:szCs w:val="4"/>
              </w:rPr>
            </w:r>
          </w:p>
        </w:tc>
        <w:tc>
          <w:tcPr>
            <w:tcW w:w="1827"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3940"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Reclassifications to utility plant acquisition adjustment</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445"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(25)</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827"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06"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383"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(25)</w:t>
            </w:r>
          </w:p>
        </w:tc>
      </w:tr>
      <w:tr>
        <w:trPr/>
        <w:tc>
          <w:tcPr>
            <w:tcW w:w="3940"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Balance at December 31, 2024</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both"/>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44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58,425</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827"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2,277,447</w:t>
            </w:r>
            <w:r>
              <w:rPr>
                <w:rFonts w:ascii="Times New Roman;serif" w:hAnsi="Times New Roman;serif"/>
                <w:caps w:val="false"/>
                <w:smallCaps w:val="false"/>
                <w:color w:val="000000"/>
                <w:sz w:val="22"/>
              </w:rPr>
              <w:t> </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4,841</w:t>
            </w:r>
            <w:r>
              <w:rPr>
                <w:rFonts w:ascii="Times New Roman;serif" w:hAnsi="Times New Roman;serif"/>
                <w:caps w:val="false"/>
                <w:smallCaps w:val="false"/>
                <w:color w:val="000000"/>
                <w:sz w:val="22"/>
              </w:rPr>
              <w:t> </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38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2,340,713</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reclassification of goodwill to utility plant acquisition adjustment results from either a regulatory order or a mechanism approved by the applicable utility commission. A regulatory order may provide for the one-time transfer of certain acquired goodwill. The mechanism provides for the transfer over time, and the recovery through customer rates, of goodwill associated with some acquisitions upon achieving specific objectives. </w:t>
      </w:r>
    </w:p>
    <w:p>
      <w:pPr>
        <w:pStyle w:val="TextBody"/>
        <w:bidi w:val="0"/>
        <w:spacing w:lineRule="auto" w:line="259"/>
        <w:rPr>
          <w:rFonts w:ascii="Times New Roman;serif" w:hAnsi="Times New Roman;serif"/>
          <w:sz w:val="22"/>
        </w:rPr>
      </w:pPr>
      <w:r>
        <w:rPr>
          <w:rFonts w:ascii="Times New Roman;serif" w:hAnsi="Times New Roman;serif"/>
          <w:b/>
          <w:i/>
          <w:sz w:val="22"/>
        </w:rPr>
        <w:t>Intangible assets</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The Company’s intangible assets consist of customer relationships for our non-regulated natural gas operations and non-compete agreements with certain former employees of Peoples. These intangible assets are amortized on a straight-line basis over their estimated useful lives of fifteen years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for the customer relationships and five years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for the non-compete agreements.</w:t>
      </w:r>
    </w:p>
    <w:p>
      <w:pPr>
        <w:pStyle w:val="TextBody"/>
        <w:bidi w:val="0"/>
        <w:spacing w:lineRule="auto" w:line="259"/>
        <w:rPr>
          <w:rFonts w:ascii="Times New Roman;serif" w:hAnsi="Times New Roman;serif"/>
          <w:sz w:val="22"/>
        </w:rPr>
      </w:pPr>
      <w:r>
        <w:rPr>
          <w:rFonts w:ascii="Times New Roman;serif" w:hAnsi="Times New Roman;serif"/>
          <w:b/>
          <w:i/>
          <w:sz w:val="22"/>
        </w:rPr>
        <w:t>Derivative Instruments</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 xml:space="preserve">The Company’s natural gas commodity price risk, driven mainly by price fluctuations of natural gas, is mitigated by its purchased-gas cost adjustment mechanisms. The Company also uses derivative instruments to economically hedge the cost of anticipated natural gas purchases during the winter heating months that seeks to offset the risk to the Company’s utility customers from upward market price volatility. These strategies include requirements contracts, spot purchase contracts and underground storage to meet regulated customers’ natural gas requirements that may have fixed or variable pricing. The variable price contracts qualify as derivative instruments; however, because the contract price is the prevailing price at the future transaction date the contract has no determinable fair value. The fixed price contracts and firm commitments to purchase a fixed quantity of gas in the future qualify for the normal purchases and normal sales exception that is allowed for contracts that are probable of delivery in the normal course of business and, as such, are accounted for under the accrual basis and are not recorded at fair value in the Company’s consolidated financial statements.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2"/>
        </w:rPr>
      </w:pPr>
      <w:r>
        <w:rPr>
          <w:rFonts w:ascii="Times New Roman;serif" w:hAnsi="Times New Roman;serif"/>
          <w:b/>
          <w:i/>
          <w:sz w:val="22"/>
        </w:rPr>
        <w:t xml:space="preserve">Deferred Charges and Other Assets </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Deferred charges and other assets consist primarily of assets held to compensate employees in the future who participate in the Company’s deferred compensation plan, and prepaid pension and other post-retirement benefit plans assets, which amounted to $31,324</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$45,983</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as of December 31, 2024; and $26,442</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$43,025</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as of December 31, 2023, respectively. The assets of the deferred compensation plan are invested in mutual funds which are carried on the consolidated balance sheet at fair market value, and changes in fair value are included in other expense (income), refer to Note 12 </w:t>
      </w:r>
      <w:r>
        <w:rPr>
          <w:rFonts w:ascii="Times New Roman;serif" w:hAnsi="Times New Roman;serif"/>
          <w:sz w:val="22"/>
        </w:rPr>
        <w:t xml:space="preserve">– </w:t>
      </w:r>
      <w:r>
        <w:rPr>
          <w:rFonts w:ascii="Times New Roman;serif" w:hAnsi="Times New Roman;serif"/>
          <w:b w:val="false"/>
          <w:i/>
          <w:sz w:val="22"/>
        </w:rPr>
        <w:t>Fair Value of Financial Instruments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for further details. Refer to Note 16 – </w:t>
      </w:r>
      <w:r>
        <w:rPr>
          <w:rFonts w:ascii="Times New Roman;serif" w:hAnsi="Times New Roman;serif"/>
          <w:b w:val="false"/>
          <w:i/>
          <w:sz w:val="22"/>
        </w:rPr>
        <w:t>Pension Plans and Other Post-Retirement Benefit Plans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for further information on the prepaid pension and other post-retirement benefit plan assets.</w:t>
      </w:r>
    </w:p>
    <w:p>
      <w:pPr>
        <w:pStyle w:val="TextBody"/>
        <w:bidi w:val="0"/>
        <w:spacing w:lineRule="auto" w:line="259"/>
        <w:rPr>
          <w:rFonts w:ascii="Times New Roman;serif" w:hAnsi="Times New Roman;serif"/>
          <w:sz w:val="22"/>
        </w:rPr>
      </w:pPr>
      <w:r>
        <w:rPr>
          <w:rFonts w:ascii="Times New Roman;serif" w:hAnsi="Times New Roman;serif"/>
          <w:b/>
          <w:i/>
          <w:sz w:val="22"/>
        </w:rPr>
        <w:t>Income Taxes</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The Company accounts for some income and expense items in different time periods for financial and tax reporting purposes. Deferred income taxes are provided on specific temporary differences between the tax basis of the assets and liabilities, and the amounts at which they are carried in the consolidated financial statements. The income tax effect of temporary differences not currently included in rates is recorded as deferred taxes with an offsetting regulatory asset or liability. These deferred income taxes are based on the enacted tax rates expected to be in effect when such temporary differences are projected to reverse. Valuation allowances are established when necessary to reduce deferred tax assets to the amount more likely than not to be realized. Investment tax credits are deferred and amortized over the estimated useful lives of the related properties. Judgment is required in evaluating the Company’s Federal and state tax positions. Despite management’s belief that the Company’s tax return positions are fully supportable, the Company establishes reserves when it believes that its tax positions are likely to be challenged and it may not fully prevail in these challenges. The Company’s provision for income taxes includes interest, penalties and reserves for uncertain tax positions.</w:t>
      </w:r>
    </w:p>
    <w:p>
      <w:pPr>
        <w:pStyle w:val="TextBody"/>
        <w:bidi w:val="0"/>
        <w:spacing w:lineRule="auto" w:line="259"/>
        <w:rPr>
          <w:rFonts w:ascii="Times New Roman;serif" w:hAnsi="Times New Roman;serif"/>
          <w:sz w:val="22"/>
        </w:rPr>
      </w:pPr>
      <w:r>
        <w:rPr>
          <w:rFonts w:ascii="Times New Roman;serif" w:hAnsi="Times New Roman;serif"/>
          <w:b/>
          <w:i/>
          <w:sz w:val="22"/>
        </w:rPr>
        <w:t xml:space="preserve">Customers’ Advances for Construction and Contributions in Aid of Construction </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Utility mains, other utility property or, in some instances, cash advances to reimburse the Company for its costs to construct utility mains or other utility property, are contributed to the Company by customers, real estate developers and builders in order to extend utility service to their properties. The value of these contributions is recorded as customers’ advances for construction. Over time, the amount of non-cash contributed property will vary based on the timing of the contribution of the non-cash property and the volume of non-cash contributed property received in connection with development in our service territories. The Company makes refunds on these advances over a specific period of time based on operating revenues related to the property, or as new customers are connected to and take service from the applicable water main. After all refunds are made, any remaining balance is transferred to contributions in aid of construction for our regulated water business. Contributions in aid of construction include direct non-refundable contributions and the portion of customers' advances for construction that become non-refundable. For our regulated gas business, non-refundable contributions are netted against the cost of the related utility mains or other utility property.</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Based on regulatory conventions in states where the Company operates, generally our subsidiaries depreciate contributed property and amortize contributions in aid of construction at the composite rate of the related property. Contributions in aid of construction and customers’ advances for construction are deducted from the Company’s rate base for rate-making purposes, and therefore, no return is earned on contributed property.</w:t>
      </w:r>
    </w:p>
    <w:p>
      <w:pPr>
        <w:pStyle w:val="TextBody"/>
        <w:bidi w:val="0"/>
        <w:spacing w:lineRule="auto" w:line="259"/>
        <w:rPr>
          <w:rFonts w:ascii="Times New Roman;serif" w:hAnsi="Times New Roman;serif"/>
          <w:sz w:val="22"/>
        </w:rPr>
      </w:pPr>
      <w:r>
        <w:rPr>
          <w:rFonts w:ascii="Times New Roman;serif" w:hAnsi="Times New Roman;serif"/>
          <w:b/>
          <w:i/>
          <w:sz w:val="22"/>
        </w:rPr>
        <w:t>Stock-Based Compensation</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 xml:space="preserve">The Company records compensation expense in the financial statements for stock-based awards based on the grant date fair value of those awards. Stock-based compensation expense includes an estimate for pre-vesting forfeitures and is recognized over the requisite service periods of the awards on either a straight-line basis, or the graded vesting method, which is generally commensurate with the vesting term.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2"/>
        </w:rPr>
      </w:pPr>
      <w:r>
        <w:rPr>
          <w:rFonts w:ascii="Times New Roman;serif" w:hAnsi="Times New Roman;serif"/>
          <w:b/>
          <w:i/>
          <w:sz w:val="22"/>
        </w:rPr>
        <w:t>Fair Value Measurements</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The Company follows the FASB’s accounting guidance for fair value measurements and disclosures, which defines fair value and establishes a framework for using fair value to measure assets and liabilities. That framework provides a fair value hierarchy that prioritizes the inputs to valuation techniques used to measure fair value. The hierarchy gives highest priority to unadjusted quoted prices in active markets for identical assets or liabilities (Level 1 measurements) and the lowest priority to unobservable inputs (Level 3 measurements). The three levels of the fair value hierarchy are as follows: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Level 1: unadjusted quoted prices in active markets for identical assets or liabilities that the Company has the ability to access;</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Level 2: inputs other than Level 1 that are observable, either directly or indirectly, such as quoted market prices in active markets for similar assets or liabilities, quoted prices for identical or similar assets or liabilities in non-active markets, or other inputs that are observable or can be corroborated by observable market data for substantially the full term of the assets or liabilities; or</w:t>
      </w:r>
    </w:p>
    <w:p>
      <w:pPr>
        <w:pStyle w:val="TextBody"/>
        <w:bidi w:val="0"/>
        <w:spacing w:lineRule="auto" w:line="259"/>
        <w:rPr>
          <w:caps w:val="false"/>
          <w:smallCaps w:val="false"/>
        </w:rPr>
      </w:pPr>
      <w:r>
        <w:rPr>
          <w:caps w:val="false"/>
          <w:smallCaps w:val="false"/>
        </w:rPr>
        <w:t> </w:t>
      </w:r>
    </w:p>
    <w:p>
      <w:pPr>
        <w:pStyle w:val="TextBody"/>
        <w:bidi w:val="0"/>
        <w:spacing w:lineRule="auto" w:line="259"/>
        <w:ind w:left="720" w:right="0" w:hanging="360"/>
        <w:rPr/>
      </w:pPr>
      <w:r>
        <w:rPr>
          <w:caps w:val="false"/>
          <w:smallCaps w:val="false"/>
        </w:rPr>
        <w:t></w:t>
      </w:r>
      <w:r>
        <w:rPr>
          <w:rFonts w:ascii="Times New Roman;serif" w:hAnsi="Times New Roman;serif"/>
          <w:b w:val="false"/>
          <w:i w:val="false"/>
          <w:caps w:val="false"/>
          <w:smallCaps w:val="false"/>
          <w:sz w:val="22"/>
        </w:rPr>
        <w:t>Level 3: inputs that are unobservable and significant to the fair value measurement.</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Additionally, assets that are measured at fair value using the net asset value (“NAV”) per share practical expedient are not classified in the fair value hierarchy. There have been no changes in the valuation techniques used to measure fair value or asset or liability transfers between the levels of the fair value hierarchy for the years ended December 31, 2024 and 2023.</w:t>
      </w:r>
    </w:p>
    <w:p>
      <w:pPr>
        <w:pStyle w:val="TextBody"/>
        <w:bidi w:val="0"/>
        <w:spacing w:lineRule="auto" w:line="259"/>
        <w:rPr>
          <w:rFonts w:ascii="Times New Roman;serif" w:hAnsi="Times New Roman;serif"/>
          <w:b/>
          <w:i/>
          <w:sz w:val="22"/>
        </w:rPr>
      </w:pPr>
      <w:r>
        <w:rPr>
          <w:rFonts w:ascii="Times New Roman;serif" w:hAnsi="Times New Roman;serif"/>
          <w:b/>
          <w:i/>
          <w:sz w:val="22"/>
        </w:rPr>
        <w:t xml:space="preserve">Recent Accounting Pronouncements ─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Pronouncements to be adopted upon the effective date:</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In November 2024, the FASB issued ASU 2024-03, “</w:t>
      </w:r>
      <w:r>
        <w:rPr>
          <w:rFonts w:ascii="Times New Roman;serif" w:hAnsi="Times New Roman;serif"/>
          <w:b w:val="false"/>
          <w:i/>
          <w:sz w:val="22"/>
        </w:rPr>
        <w:t>Income Statement Reporting–Comprehensive Income–Expense Disaggregation Disclosures (Subtopic 220-40), Disaggregation of Income Statement Expenses</w:t>
      </w:r>
      <w:r>
        <w:rPr>
          <w:rFonts w:ascii="Times New Roman;serif" w:hAnsi="Times New Roman;serif"/>
          <w:caps w:val="false"/>
          <w:smallCaps w:val="false"/>
          <w:sz w:val="22"/>
        </w:rPr>
        <w:t>”</w:t>
      </w:r>
      <w:r>
        <w:rPr>
          <w:rFonts w:ascii="Times New Roman;serif" w:hAnsi="Times New Roman;serif"/>
          <w:b w:val="false"/>
          <w:i w:val="false"/>
          <w:caps w:val="false"/>
          <w:smallCaps w:val="false"/>
          <w:sz w:val="22"/>
        </w:rPr>
        <w:t>. The standard update improves the disclosures about a public business entity’s expenses by requiring more detailed information about the types of expenses (including purchases of inventory, employee compensation, depreciation and amortization) included within income statement expense captions. The guidance will be effective for annual reporting periods beginning after December 15, 2026, and interim reporting periods beginning after December 15, 2027. Early adoption is permitted. The standard updates are to be applied prospectively with the option for retrospective application. The Company is currently evaluating the impact of adoption of the standard update on its financial statement disclosures.</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color w:val="000000"/>
          <w:sz w:val="22"/>
        </w:rPr>
        <w:t xml:space="preserve">In December 2023, the FASB issued ASU 2023-09, </w:t>
      </w:r>
      <w:r>
        <w:rPr>
          <w:rFonts w:ascii="Times New Roman;serif" w:hAnsi="Times New Roman;serif"/>
          <w:b w:val="false"/>
          <w:i/>
          <w:color w:val="000000"/>
          <w:sz w:val="22"/>
        </w:rPr>
        <w:t>"Income Taxes (</w:t>
      </w:r>
      <w:r>
        <w:rPr>
          <w:rFonts w:ascii="Times New Roman;serif" w:hAnsi="Times New Roman;serif"/>
          <w:b w:val="false"/>
          <w:i w:val="false"/>
          <w:caps w:val="false"/>
          <w:smallCaps w:val="false"/>
          <w:sz w:val="22"/>
        </w:rPr>
        <w:t>Topic 740</w:t>
      </w:r>
      <w:r>
        <w:rPr>
          <w:rFonts w:ascii="Times New Roman;serif" w:hAnsi="Times New Roman;serif"/>
          <w:b w:val="false"/>
          <w:i/>
          <w:color w:val="000000"/>
          <w:sz w:val="22"/>
        </w:rPr>
        <w:t>): Improvements to Income Tax Disclosures".  </w:t>
      </w:r>
      <w:r>
        <w:rPr>
          <w:rFonts w:ascii="Times New Roman;serif" w:hAnsi="Times New Roman;serif"/>
          <w:b w:val="false"/>
          <w:i w:val="false"/>
          <w:caps w:val="false"/>
          <w:smallCaps w:val="false"/>
          <w:color w:val="000000"/>
          <w:sz w:val="22"/>
        </w:rPr>
        <w:t>The ASU enhances the transparency and decision usefulness of income tax disclosures and is effective for annual periods beginning after December 15, 2024 on a prospective basis. Early adoption is permitted. The Company plans to adopt the standard in its 2025 annual report on Form 10-K. The Company does </w:t>
      </w:r>
      <w:r>
        <w:rPr>
          <w:rFonts w:ascii="Times New Roman;serif" w:hAnsi="Times New Roman;serif"/>
          <w:b w:val="false"/>
          <w:i w:val="false"/>
          <w:caps w:val="false"/>
          <w:smallCaps w:val="false"/>
          <w:sz w:val="22"/>
        </w:rPr>
        <w:t>not</w:t>
      </w:r>
      <w:r>
        <w:rPr>
          <w:rFonts w:ascii="Times New Roman;serif" w:hAnsi="Times New Roman;serif"/>
          <w:caps w:val="false"/>
          <w:smallCaps w:val="false"/>
          <w:color w:val="000000"/>
          <w:sz w:val="22"/>
        </w:rPr>
        <w:t> </w:t>
      </w:r>
      <w:r>
        <w:rPr>
          <w:rFonts w:ascii="Times New Roman;serif" w:hAnsi="Times New Roman;serif"/>
          <w:b w:val="false"/>
          <w:i w:val="false"/>
          <w:caps w:val="false"/>
          <w:smallCaps w:val="false"/>
          <w:color w:val="000000"/>
          <w:sz w:val="22"/>
        </w:rPr>
        <w:t>expect this ASU to have a significant impact to its current disclosures.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March 2024, the U.S. Securities and Exchange Commission (SEC) issued its final climate disclosure rule, which requires the disclosure of Scope 1 and Scope 2 greenhouse gas emissions and other climate-related topics in annual reports and registration statements, when material. A number of petitions have been filed in federal courts seeking to challenge the SEC’s climate disclosure rule. As a result, in April 2024, the SEC placed a pause on its implementation of the new rule. We are evaluating the impact of the new rule and, depending on the outcome of the proceedings, will include the required disclosures once it becomes effective.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Pronouncements adopted during the fiscal year:</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color w:val="000000"/>
          <w:sz w:val="22"/>
        </w:rPr>
        <w:t>In November 2023, the FASB issued ASU 2023-07 </w:t>
      </w:r>
      <w:r>
        <w:rPr>
          <w:rFonts w:ascii="Times New Roman;serif" w:hAnsi="Times New Roman;serif"/>
          <w:b w:val="false"/>
          <w:i/>
          <w:color w:val="000000"/>
          <w:sz w:val="22"/>
        </w:rPr>
        <w:t>Segment Reporting - Improving Reportable Segment Disclosures (Topic 280)</w:t>
      </w:r>
      <w:r>
        <w:rPr>
          <w:rFonts w:ascii="Times New Roman;serif" w:hAnsi="Times New Roman;serif"/>
          <w:b w:val="false"/>
          <w:i w:val="false"/>
          <w:caps w:val="false"/>
          <w:smallCaps w:val="false"/>
          <w:color w:val="000000"/>
          <w:sz w:val="22"/>
        </w:rPr>
        <w:t>.  The update is intended to improve reportable segment disclosure requirements, primarily through enhanced disclosures about significant expenses. The ASU requires disclosures to include significant segment expenses that are regularly provided to the chief operating decision maker (CODM), a description of other segment items by reportable segment, and any addi</w:t>
      </w:r>
      <w:r>
        <w:rPr>
          <w:rFonts w:ascii="Times New Roman;serif" w:hAnsi="Times New Roman;serif"/>
          <w:b w:val="false"/>
          <w:i w:val="false"/>
          <w:caps w:val="false"/>
          <w:smallCaps w:val="false"/>
          <w:sz w:val="22"/>
        </w:rPr>
        <w:t>tional measures of a segment's profit or loss used by the CODM when deciding how to allocate resources. The ASU also requires certain annual disclosures currently required by Topic 280 to be included in interim periods. The update is effective for fiscal years beginning after December 15, 2023, and interim periods within fiscal years beginning after December 15, 2024, with early adoption permitted, and requires retrospective application to all prior periods presented in the financial statements. The Company adopted the updated provisions in this 2024 annual report on Form 10-K.</w:t>
      </w:r>
    </w:p>
    <w:p>
      <w:pPr>
        <w:pStyle w:val="TextBody"/>
        <w:bidi w:val="0"/>
        <w:spacing w:lineRule="auto" w:line="259"/>
        <w:rPr>
          <w:rFonts w:ascii="Arial;sans-serif" w:hAnsi="Arial;sans-serif"/>
          <w:sz w:val="22"/>
        </w:rPr>
      </w:pPr>
      <w:r>
        <w:rPr>
          <w:rFonts w:ascii="Times New Roman;serif" w:hAnsi="Times New Roman;serif"/>
          <w:b w:val="false"/>
          <w:i w:val="false"/>
          <w:caps w:val="false"/>
          <w:smallCaps w:val="false"/>
          <w:sz w:val="22"/>
        </w:rPr>
        <w:t>Recently issued accounting standards or pronouncements not disclosed above have been excluded as they are not relevant to the Company</w:t>
      </w:r>
      <w:r>
        <w:rPr>
          <w:rFonts w:ascii="Arial;sans-serif" w:hAnsi="Arial;sans-serif"/>
          <w:b w:val="false"/>
          <w:i w:val="false"/>
          <w:caps w:val="false"/>
          <w:smallCaps w:val="false"/>
          <w:color w:val="000000"/>
          <w:sz w:val="18"/>
        </w:rPr>
        <w:t>.</w:t>
      </w:r>
      <w:r>
        <w:rPr>
          <w:rFonts w:ascii="Arial;sans-serif" w:hAnsi="Arial;sans-serif"/>
          <w:caps w:val="false"/>
          <w:smallCaps w:val="false"/>
          <w:color w:val="000000"/>
          <w:sz w:val="22"/>
        </w:rPr>
        <w:t>   </w:t>
      </w:r>
    </w:p>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t xml:space="preserve">Note 2 – </w:t>
      </w:r>
      <w:r>
        <w:rPr>
          <w:rFonts w:ascii="Times New Roman;serif" w:hAnsi="Times New Roman;serif"/>
          <w:b/>
          <w:i/>
          <w:sz w:val="22"/>
        </w:rPr>
        <w:t>Acquisitions</w:t>
      </w:r>
    </w:p>
    <w:p>
      <w:pPr>
        <w:pStyle w:val="TextBody"/>
        <w:bidi w:val="0"/>
        <w:spacing w:lineRule="auto" w:line="259"/>
        <w:rPr>
          <w:rFonts w:ascii="Times New Roman;serif" w:hAnsi="Times New Roman;serif"/>
          <w:b/>
          <w:i/>
          <w:sz w:val="22"/>
        </w:rPr>
      </w:pPr>
      <w:r>
        <w:rPr>
          <w:rFonts w:ascii="Times New Roman;serif" w:hAnsi="Times New Roman;serif"/>
          <w:b/>
          <w:i/>
          <w:sz w:val="22"/>
        </w:rPr>
        <w:t>Water and Wastewater Utility Acquisitions – Completed</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color w:val="000000"/>
          <w:sz w:val="22"/>
        </w:rPr>
        <w:t>In January 2025, the Company acquired Greenville Sanitary Authority’s wastewater utility assets, which serves approximately 2,300</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customers in Greenville, Pennsylvania for $18,000.</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color w:val="000000"/>
          <w:sz w:val="22"/>
          <w:shd w:fill="FFFFFF" w:val="clear"/>
        </w:rPr>
        <w:t>In October 2024, the Company acquired wastewater utility assets in Morgan County, Indiana, which serve approximately 100</w:t>
      </w:r>
      <w:r>
        <w:rPr>
          <w:rFonts w:ascii="Times New Roman;serif" w:hAnsi="Times New Roman;serif"/>
          <w:caps w:val="false"/>
          <w:smallCaps w:val="false"/>
          <w:color w:val="000000"/>
          <w:sz w:val="22"/>
          <w:shd w:fill="FFFFFF" w:val="clear"/>
        </w:rPr>
        <w:t xml:space="preserve"> </w:t>
      </w:r>
      <w:r>
        <w:rPr>
          <w:rFonts w:ascii="Times New Roman;serif" w:hAnsi="Times New Roman;serif"/>
          <w:b w:val="false"/>
          <w:i w:val="false"/>
          <w:caps w:val="false"/>
          <w:smallCaps w:val="false"/>
          <w:color w:val="000000"/>
          <w:sz w:val="22"/>
          <w:shd w:fill="FFFFFF" w:val="clear"/>
        </w:rPr>
        <w:t>customers for $500.</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color w:val="000000"/>
          <w:sz w:val="22"/>
          <w:shd w:fill="FFFFFF" w:val="clear"/>
        </w:rPr>
        <w:t>In May 2024, the Company acquired the wastewater utility assets of Westfield HOA, which serves approximately 200</w:t>
      </w:r>
      <w:r>
        <w:rPr>
          <w:rFonts w:ascii="Times New Roman;serif" w:hAnsi="Times New Roman;serif"/>
          <w:caps w:val="false"/>
          <w:smallCaps w:val="false"/>
          <w:color w:val="000000"/>
          <w:sz w:val="22"/>
          <w:shd w:fill="FFFFFF" w:val="clear"/>
        </w:rPr>
        <w:t xml:space="preserve"> </w:t>
      </w:r>
      <w:r>
        <w:rPr>
          <w:rFonts w:ascii="Times New Roman;serif" w:hAnsi="Times New Roman;serif"/>
          <w:b w:val="false"/>
          <w:i w:val="false"/>
          <w:caps w:val="false"/>
          <w:smallCaps w:val="false"/>
          <w:color w:val="000000"/>
          <w:sz w:val="22"/>
          <w:shd w:fill="FFFFFF" w:val="clear"/>
        </w:rPr>
        <w:t>customers within Westfield Homeowners Subdivision in Glenview, Illinois for a cash purchase price of $67.</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color w:val="000000"/>
          <w:sz w:val="22"/>
          <w:shd w:fill="FFFFFF" w:val="clear"/>
        </w:rPr>
        <w:t>In July 2023, the Company completed the following water utility asset acquisitions: Shenandoah Borough, Pennsylvania, which serves approximately 2,900</w:t>
      </w:r>
      <w:r>
        <w:rPr>
          <w:rFonts w:ascii="Times New Roman;serif" w:hAnsi="Times New Roman;serif"/>
          <w:caps w:val="false"/>
          <w:smallCaps w:val="false"/>
          <w:color w:val="000000"/>
          <w:sz w:val="22"/>
          <w:shd w:fill="FFFFFF" w:val="clear"/>
        </w:rPr>
        <w:t xml:space="preserve"> </w:t>
      </w:r>
      <w:r>
        <w:rPr>
          <w:rFonts w:ascii="Times New Roman;serif" w:hAnsi="Times New Roman;serif"/>
          <w:b w:val="false"/>
          <w:i w:val="false"/>
          <w:caps w:val="false"/>
          <w:smallCaps w:val="false"/>
          <w:color w:val="000000"/>
          <w:sz w:val="22"/>
          <w:shd w:fill="FFFFFF" w:val="clear"/>
        </w:rPr>
        <w:t>customers for $12,291; La Rue, an Ohio municipality, which serves approximately 300</w:t>
      </w:r>
      <w:r>
        <w:rPr>
          <w:rFonts w:ascii="Times New Roman;serif" w:hAnsi="Times New Roman;serif"/>
          <w:caps w:val="false"/>
          <w:smallCaps w:val="false"/>
          <w:color w:val="000000"/>
          <w:sz w:val="22"/>
          <w:shd w:fill="FFFFFF" w:val="clear"/>
        </w:rPr>
        <w:t xml:space="preserve"> </w:t>
      </w:r>
      <w:r>
        <w:rPr>
          <w:rFonts w:ascii="Times New Roman;serif" w:hAnsi="Times New Roman;serif"/>
          <w:b w:val="false"/>
          <w:i w:val="false"/>
          <w:caps w:val="false"/>
          <w:smallCaps w:val="false"/>
          <w:color w:val="000000"/>
          <w:sz w:val="22"/>
          <w:shd w:fill="FFFFFF" w:val="clear"/>
        </w:rPr>
        <w:t>customers for $2,253; and, Southern Oaks Water System, which serves approximately 800</w:t>
      </w:r>
      <w:r>
        <w:rPr>
          <w:rFonts w:ascii="Times New Roman;serif" w:hAnsi="Times New Roman;serif"/>
          <w:caps w:val="false"/>
          <w:smallCaps w:val="false"/>
          <w:color w:val="000000"/>
          <w:sz w:val="22"/>
          <w:shd w:fill="FFFFFF" w:val="clear"/>
        </w:rPr>
        <w:t xml:space="preserve"> </w:t>
      </w:r>
      <w:r>
        <w:rPr>
          <w:rFonts w:ascii="Times New Roman;serif" w:hAnsi="Times New Roman;serif"/>
          <w:b w:val="false"/>
          <w:i w:val="false"/>
          <w:caps w:val="false"/>
          <w:smallCaps w:val="false"/>
          <w:color w:val="000000"/>
          <w:sz w:val="22"/>
          <w:shd w:fill="FFFFFF" w:val="clear"/>
        </w:rPr>
        <w:t>customers in Texas for $3,321. Additionally, in July 2023, the Company completed their acquisition of a portion of the water and wastewater utility assets of the Village of Frankfort, an Illinois municipality, which serves approximately 1,500</w:t>
      </w:r>
      <w:r>
        <w:rPr>
          <w:rFonts w:ascii="Times New Roman;serif" w:hAnsi="Times New Roman;serif"/>
          <w:caps w:val="false"/>
          <w:smallCaps w:val="false"/>
          <w:color w:val="000000"/>
          <w:sz w:val="22"/>
          <w:shd w:fill="FFFFFF" w:val="clear"/>
        </w:rPr>
        <w:t xml:space="preserve"> </w:t>
      </w:r>
      <w:r>
        <w:rPr>
          <w:rFonts w:ascii="Times New Roman;serif" w:hAnsi="Times New Roman;serif"/>
          <w:b w:val="false"/>
          <w:i w:val="false"/>
          <w:caps w:val="false"/>
          <w:smallCaps w:val="false"/>
          <w:color w:val="000000"/>
          <w:sz w:val="22"/>
          <w:shd w:fill="FFFFFF" w:val="clear"/>
        </w:rPr>
        <w:t>customers for $1,424.</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color w:val="000000"/>
          <w:sz w:val="22"/>
          <w:shd w:fill="FFFFFF" w:val="clear"/>
        </w:rPr>
        <w:t>In June 2023, the Company acquired the wastewater utility assets of Union Rome, Ohio, which serves approximately 4,300</w:t>
      </w:r>
      <w:r>
        <w:rPr>
          <w:rFonts w:ascii="Times New Roman;serif" w:hAnsi="Times New Roman;serif"/>
          <w:caps w:val="false"/>
          <w:smallCaps w:val="false"/>
          <w:color w:val="000000"/>
          <w:sz w:val="22"/>
          <w:shd w:fill="FFFFFF" w:val="clear"/>
        </w:rPr>
        <w:t xml:space="preserve"> </w:t>
      </w:r>
      <w:r>
        <w:rPr>
          <w:rFonts w:ascii="Times New Roman;serif" w:hAnsi="Times New Roman;serif"/>
          <w:b w:val="false"/>
          <w:i w:val="false"/>
          <w:caps w:val="false"/>
          <w:smallCaps w:val="false"/>
          <w:color w:val="000000"/>
          <w:sz w:val="22"/>
          <w:shd w:fill="FFFFFF" w:val="clear"/>
        </w:rPr>
        <w:t>customers for a cash purchase price of $25,547.</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color w:val="000000"/>
          <w:sz w:val="22"/>
          <w:shd w:fill="FFFFFF" w:val="clear"/>
        </w:rPr>
        <w:t>In March 2023, the Company acquired the North Heidelberg Sewer Company in Berks County, Pennsylvania, which serves approximately 300</w:t>
      </w:r>
      <w:r>
        <w:rPr>
          <w:rFonts w:ascii="Times New Roman;serif" w:hAnsi="Times New Roman;serif"/>
          <w:caps w:val="false"/>
          <w:smallCaps w:val="false"/>
          <w:color w:val="000000"/>
          <w:sz w:val="22"/>
          <w:shd w:fill="FFFFFF" w:val="clear"/>
        </w:rPr>
        <w:t xml:space="preserve"> </w:t>
      </w:r>
      <w:r>
        <w:rPr>
          <w:rFonts w:ascii="Times New Roman;serif" w:hAnsi="Times New Roman;serif"/>
          <w:b w:val="false"/>
          <w:i w:val="false"/>
          <w:caps w:val="false"/>
          <w:smallCaps w:val="false"/>
          <w:color w:val="000000"/>
          <w:sz w:val="22"/>
          <w:shd w:fill="FFFFFF" w:val="clear"/>
        </w:rPr>
        <w:t>customer connections for a cash purchase price of $136.</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In November 2022, the Company acquired certain water utility assets of Oak Brook, Illinois, which serve 2,037</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customers for a cash purchase price of $12,500.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In March 2022, the Company acquired the wastewater system of Lower Makefield Township, which serves 11,323</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customer connections in Lower Makefield, Falls, and Middletown townships, and Yardley Borough, Bucks County, Pennsylvania, for a cash purchase price of $53,000. </w:t>
      </w:r>
    </w:p>
    <w:p>
      <w:pPr>
        <w:pStyle w:val="TextBody"/>
        <w:bidi w:val="0"/>
        <w:spacing w:lineRule="auto" w:line="259"/>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The operating revenues included in the consolidated financial statements of the Company during the period owned by the Company for these utility systems acquired in 2024 are $32.</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The operating revenues included in the consolidated financial statements of the Company during the period owned by the Company for these utility systems acquired in 2023 were $7,715</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 2024 and $3,290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 2023.</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The operating revenues included in the consolidated financial statements of the Company during the period owned by the Company for the utility systems acquired in 2022 were $19,013</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 2024, $18,039</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 2023 and $11,393</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 2022.</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purchase price allocation for these acquisitions consisted primarily of property, plant and equipment. The pro forma effect of the utility systems acquired is not material either individually or collectively to the Company’s results of operations.</w:t>
      </w:r>
    </w:p>
    <w:p>
      <w:pPr>
        <w:pStyle w:val="TextBody"/>
        <w:bidi w:val="0"/>
        <w:spacing w:lineRule="auto" w:line="259"/>
        <w:rPr>
          <w:rFonts w:ascii="Times New Roman;serif" w:hAnsi="Times New Roman;serif"/>
          <w:b/>
          <w:i/>
          <w:sz w:val="22"/>
        </w:rPr>
      </w:pPr>
      <w:r>
        <w:rPr>
          <w:rFonts w:ascii="Times New Roman;serif" w:hAnsi="Times New Roman;serif"/>
          <w:b/>
          <w:i/>
          <w:sz w:val="22"/>
        </w:rPr>
        <w:t>Water and Wastewater Utility Acquisitions – Pending Completion</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In October 2024, the Company entered into a purchase agreement to acquire Integra Water Texas, LLC’s wastewater system assets in Bastrop County, Texas, which serves approximately 1,100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customers for $4,400.</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In August 2024, the Company entered into a purchase agreement to acquire the Village of Midvale’s water system in Ohio, which serves approximately 900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customers for $2,950.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In June 2024, the Company entered into a purchase agreement to acquire private water and wastewater utility assets in Harris County, Texas, which serves approximately 400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equivalent retail customers for $1,125.</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color w:val="000000"/>
          <w:sz w:val="22"/>
        </w:rPr>
        <w:t>In December 2023, the Company entered into a purchase agreement to acquire North Versailles wastewater assets in North Versailles Township, Pennsylvania which serves approximately 4,400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2"/>
        </w:rPr>
        <w:t>customers for between $25,000</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2"/>
        </w:rPr>
        <w:t>and $30,000. In August 2024, the purchase agreement was terminated mutually by the Company and the Authority.</w:t>
      </w:r>
      <w:r>
        <w:rPr>
          <w:rFonts w:ascii="Times New Roman;serif" w:hAnsi="Times New Roman;serif"/>
          <w:caps w:val="false"/>
          <w:smallCaps w:val="false"/>
          <w:sz w:val="24"/>
        </w:rPr>
        <w:t xml:space="preserve">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color w:val="000000"/>
          <w:sz w:val="22"/>
        </w:rPr>
        <w:t>In September 2023, the Company entered into a purchase agreement to acquire Greenville Municipal Water Authority’s water system in Greenville, Pennsylvania which serves approximately 3,000</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customers for $18,000.</w:t>
      </w:r>
    </w:p>
    <w:p>
      <w:pPr>
        <w:pStyle w:val="TextBody"/>
        <w:shd w:fill="FFFFFF" w:val="clear"/>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In October 2021, the Company entered into a purchase agreement to acquire the wastewater utility assets of the City of Beaver Falls, Pennsylvania which consists of approximately 7,600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customers for $41,250.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purchase price for each of these pending acquisitions is subject to certain adjustments at closing, and is subject to regulatory approval, including the final determination of the fair value of the rate base acquired. We plan to finance the purchase price of these acquisitions by utilizing our revolving credit facility until permanent debt and common equity are secured. These pending acquisitions are expected to close in 2025. Closing for our utility acquisitions are subject to the timing of the respective regulatory approval processes. </w:t>
      </w:r>
    </w:p>
    <w:p>
      <w:pPr>
        <w:pStyle w:val="TextBody"/>
        <w:bidi w:val="0"/>
        <w:spacing w:lineRule="auto" w:line="259"/>
        <w:rPr>
          <w:rFonts w:ascii="Times New Roman;serif" w:hAnsi="Times New Roman;serif"/>
          <w:b w:val="false"/>
          <w:i/>
          <w:sz w:val="22"/>
          <w:u w:val="single"/>
        </w:rPr>
      </w:pPr>
      <w:bookmarkStart w:id="36" w:name="_Hlk183042354"/>
      <w:bookmarkEnd w:id="36"/>
      <w:r>
        <w:rPr>
          <w:rFonts w:ascii="Times New Roman;serif" w:hAnsi="Times New Roman;serif"/>
          <w:b w:val="false"/>
          <w:i/>
          <w:sz w:val="22"/>
          <w:u w:val="single"/>
        </w:rPr>
        <w:t>East Whiteland Purchase Agreement</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On July 29, 2022, the Pennsylvania Public Utility Commission issued an order (the “PUC Order”) approving the Company’s acquisition of the municipal wastewater assets of East Whiteland Township, Chester County, Pennsylvania, which serves 4,018</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customers (the “East Whiteland Wastewater Assets”). On August 12, 2022, the Company acquired the East Whiteland Wastewater Assets for a cash purchase price of $54,374. Subsequently on August 25, 2022, the Office of Consumer Advocate (“OCA”) filed an appeal of the PUC Order to the Pennsylvania Commonwealth Court. On July 31, 2023, a decision was issued by the Pennsylvania Commonwealth Court, in which the Pennsylvania Commonwealth Court agreed with the OCA and reversed the PUC order which approved the acquisition. On September 26, 2023, the Pennsylvania Commonwealth Court denied our motion for reargument. On October 26, 2023, the Company, the Pennsylvania Public Utility Commission, and East Whiteland Township filed an appeal to the Pennsylvania Supreme Court. East Whiteland Township filed to Supplement its Petition for Allowance of Appeal on January 2, 2024. On January 16, 2024, the Company, the OCA and the PUC filed Answers to East Whiteland Township’s Petition. On June 14, 2024, the Pennsylvania Supreme Court granted the Petitions for Allowance of Appeal of the Pennsylvania Public Utility Commission, the Company, and East Whiteland Township. The Company, the Pennsylvania Public Utility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Commission, East Whiteland Township, and several Amicus Curiae filed Initial Briefs on September 26, 2024. The OCA submitted its Brief on December 10, 2024. The Company, the Pennsylvania Public Utility Commission, and East Whiteland Township submitted Reply Briefs on January 10, 2025. Management believes the final resolution of this matter is not expected to have a material adverse effect on the Company’s financial position, results of operations, or cash flows. </w:t>
      </w:r>
    </w:p>
    <w:p>
      <w:pPr>
        <w:pStyle w:val="TextBody"/>
        <w:bidi w:val="0"/>
        <w:spacing w:lineRule="auto" w:line="259"/>
        <w:rPr>
          <w:rFonts w:ascii="Times New Roman;serif" w:hAnsi="Times New Roman;serif"/>
          <w:b w:val="false"/>
          <w:i/>
          <w:sz w:val="22"/>
          <w:u w:val="single"/>
        </w:rPr>
      </w:pPr>
      <w:r>
        <w:rPr>
          <w:rFonts w:ascii="Times New Roman;serif" w:hAnsi="Times New Roman;serif"/>
          <w:b w:val="false"/>
          <w:i/>
          <w:sz w:val="22"/>
          <w:u w:val="single"/>
        </w:rPr>
        <w:t>DELCORA Purchase Agreement</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color w:val="000000"/>
          <w:sz w:val="22"/>
        </w:rPr>
        <w:t>In 2019, the Company entered into a purchase agreement to acquire the wastewater utility system assets of the Delaware County Regional Water Quality Control Authority (“DELCORA”), which consists of approximately 16,000</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customers, or the equivalent of 198,000</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retail customers, in 42</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municipalities in Southeast Pennsylvania for $276,500. There are several legal proceedings involving the Company as a result of the purchase agreement that are on-going. On January 25, 2023, DELCORA filed in the Delaware Court of Common Pleas a complaint for Declaratory Judgment seeking resolution of whether the County Ordinance dissolving DELCORA is a final action prohibiting DELCORA from carrying out the material transaction of the Asset Purchase Agreement and, in the event that DELCORA retains the ability to close the transaction, whether DELCORA is permitted to exist as a trust. On February 14, 2023, the Company filed preliminary objections to DELCORA’s complaint. DELCORA filed an answer and new matter to the Company’s preliminary objections on February 21, 2023. On December 3, 2024, the Delaware County Court of Common Pleas issued an order that sustained Aqua’s preliminary objections and dismissed DELCORA’s complaint. The purchase price for this pending acquisition is subject to certain adjustments at closing, and is subject to regulatory approval, including the final determination of the fair value of the rate base acquired. We plan to finance the purchase price of this acquisition with a mix of equity and debt financing, utilizing our revolving credit facility until permanent debt is secured. Closing of our acquisition of DELCORA is subject to regulatory approval and on-going litigation.</w:t>
      </w:r>
    </w:p>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t xml:space="preserve">Note 3 – </w:t>
      </w:r>
      <w:r>
        <w:rPr>
          <w:rFonts w:ascii="Times New Roman;serif" w:hAnsi="Times New Roman;serif"/>
          <w:b/>
          <w:i/>
          <w:sz w:val="22"/>
        </w:rPr>
        <w:t>Dispositions</w:t>
      </w:r>
      <w:r>
        <w:rPr>
          <w:rFonts w:ascii="Times New Roman;serif" w:hAnsi="Times New Roman;serif"/>
          <w:caps w:val="false"/>
          <w:smallCaps w:val="false"/>
          <w:sz w:val="22"/>
        </w:rPr>
        <w:t xml:space="preserve">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color w:val="000000"/>
          <w:sz w:val="22"/>
        </w:rPr>
        <w:t>In October 2023, the Company closed on the sale of its regulated natural gas utility assets in West Virginia, which served approximately 13,000</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customers or about two</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percent of the Company’s regulated natural gas customers (“Peoples Gas West Virginia”). Initially the sale closed for an estimated purchase price of $39,965, subject to working capital and other adjustments. In March 2024, the Company received an additional $1,213</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from the buyer. The additional proceeds were based on finalizing closing working capital and other adjustments, resulting in a final purchase price of $41,178</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 xml:space="preserve">and a loss of an inconsequential amount. </w:t>
      </w:r>
      <w:r>
        <w:rPr>
          <w:rFonts w:ascii="Times New Roman;serif" w:hAnsi="Times New Roman;serif"/>
          <w:b w:val="false"/>
          <w:i w:val="false"/>
          <w:caps w:val="false"/>
          <w:smallCaps w:val="false"/>
          <w:sz w:val="22"/>
        </w:rPr>
        <w:t xml:space="preserve">The sale concluded the Company’s regulated utility operations in West Virginia. </w:t>
      </w:r>
      <w:r>
        <w:rPr>
          <w:rFonts w:ascii="Times New Roman;serif" w:hAnsi="Times New Roman;serif"/>
          <w:b w:val="false"/>
          <w:i w:val="false"/>
          <w:caps w:val="false"/>
          <w:smallCaps w:val="false"/>
          <w:color w:val="000000"/>
          <w:sz w:val="22"/>
        </w:rPr>
        <w:t>The sale of the Peoples Gas West Virginia utility assets had no major effect on the Company’s operations and did not meet the requirements to be classified as discontinued operations.</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color w:val="000000"/>
          <w:sz w:val="22"/>
        </w:rPr>
        <w:t>In October 2023, the Company entered into an agreement to sell its interest in three non-utility local microgrid and distributed energy projects for $165,000. As of December 31, 2023, balances associated with these projects of $63,182</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were included in prepayments and other current assets in the condensed consolidated balance sheets. The sale was completed in January 2024, and the Company recognized a gain of $91,236</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during the first quarter of 2024, which is included in other expense (income)</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in the accompanying consolidated statement of operations.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Company used the proceeds from these transactions to finance its capital expenditures and water and wastewater acquisitions, in place of external funding from equity and debt issuances.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79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t xml:space="preserve">Note 4 – </w:t>
      </w:r>
      <w:r>
        <w:rPr>
          <w:rFonts w:ascii="Times New Roman;serif" w:hAnsi="Times New Roman;serif"/>
          <w:b/>
          <w:i/>
          <w:sz w:val="22"/>
        </w:rPr>
        <w:t xml:space="preserve">Property, Plant and Equipment </w:t>
      </w:r>
    </w:p>
    <w:tbl>
      <w:tblPr>
        <w:tblW w:w="10205" w:type="dxa"/>
        <w:jc w:val="left"/>
        <w:tblInd w:w="0" w:type="dxa"/>
        <w:tblLayout w:type="fixed"/>
        <w:tblCellMar>
          <w:top w:w="0" w:type="dxa"/>
          <w:left w:w="0" w:type="dxa"/>
          <w:bottom w:w="0" w:type="dxa"/>
          <w:right w:w="0" w:type="dxa"/>
        </w:tblCellMar>
      </w:tblPr>
      <w:tblGrid>
        <w:gridCol w:w="3240"/>
        <w:gridCol w:w="226"/>
        <w:gridCol w:w="1186"/>
        <w:gridCol w:w="226"/>
        <w:gridCol w:w="1186"/>
        <w:gridCol w:w="109"/>
        <w:gridCol w:w="109"/>
        <w:gridCol w:w="2082"/>
        <w:gridCol w:w="109"/>
        <w:gridCol w:w="1732"/>
      </w:tblGrid>
      <w:tr>
        <w:trPr/>
        <w:tc>
          <w:tcPr>
            <w:tcW w:w="3240"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8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32" w:type="dxa"/>
            <w:tcBorders/>
            <w:shd w:fill="FFFFFF" w:val="clear"/>
            <w:vAlign w:val="center"/>
          </w:tcPr>
          <w:p>
            <w:pPr>
              <w:pStyle w:val="TableContents"/>
              <w:bidi w:val="0"/>
              <w:spacing w:before="0" w:after="283"/>
              <w:jc w:val="left"/>
              <w:rPr>
                <w:sz w:val="4"/>
                <w:szCs w:val="4"/>
              </w:rPr>
            </w:pPr>
            <w:r>
              <w:rPr>
                <w:sz w:val="4"/>
                <w:szCs w:val="4"/>
              </w:rPr>
            </w:r>
          </w:p>
        </w:tc>
      </w:tr>
      <w:tr>
        <w:trPr/>
        <w:tc>
          <w:tcPr>
            <w:tcW w:w="3240"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8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32" w:type="dxa"/>
            <w:tcBorders/>
            <w:shd w:fill="FFFFFF" w:val="clear"/>
            <w:vAlign w:val="center"/>
          </w:tcPr>
          <w:p>
            <w:pPr>
              <w:pStyle w:val="TableContents"/>
              <w:bidi w:val="0"/>
              <w:spacing w:before="0" w:after="283"/>
              <w:jc w:val="left"/>
              <w:rPr>
                <w:sz w:val="4"/>
                <w:szCs w:val="4"/>
              </w:rPr>
            </w:pPr>
            <w:r>
              <w:rPr>
                <w:sz w:val="4"/>
                <w:szCs w:val="4"/>
              </w:rPr>
            </w:r>
          </w:p>
        </w:tc>
      </w:tr>
      <w:tr>
        <w:trPr/>
        <w:tc>
          <w:tcPr>
            <w:tcW w:w="3240" w:type="dxa"/>
            <w:tcBorders/>
            <w:shd w:fill="FFFFFF" w:val="clear"/>
            <w:vAlign w:val="center"/>
          </w:tcPr>
          <w:p>
            <w:pPr>
              <w:pStyle w:val="TableContents"/>
              <w:bidi w:val="0"/>
              <w:spacing w:before="0" w:after="283"/>
              <w:jc w:val="left"/>
              <w:rPr>
                <w:sz w:val="4"/>
                <w:szCs w:val="4"/>
              </w:rPr>
            </w:pPr>
            <w:r>
              <w:rPr>
                <w:sz w:val="4"/>
                <w:szCs w:val="4"/>
              </w:rPr>
            </w:r>
          </w:p>
        </w:tc>
        <w:tc>
          <w:tcPr>
            <w:tcW w:w="2933" w:type="dxa"/>
            <w:gridSpan w:val="5"/>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December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8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32" w:type="dxa"/>
            <w:tcBorders/>
            <w:shd w:fill="FFFFFF" w:val="clear"/>
            <w:vAlign w:val="center"/>
          </w:tcPr>
          <w:p>
            <w:pPr>
              <w:pStyle w:val="TableContents"/>
              <w:bidi w:val="0"/>
              <w:spacing w:before="0" w:after="283"/>
              <w:jc w:val="left"/>
              <w:rPr>
                <w:sz w:val="4"/>
                <w:szCs w:val="4"/>
              </w:rPr>
            </w:pPr>
            <w:r>
              <w:rPr>
                <w:sz w:val="4"/>
                <w:szCs w:val="4"/>
              </w:rPr>
            </w:r>
          </w:p>
        </w:tc>
      </w:tr>
      <w:tr>
        <w:trPr/>
        <w:tc>
          <w:tcPr>
            <w:tcW w:w="3240"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82"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Approximate Range of Useful Lives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32"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Weighted Average Useful Life</w:t>
            </w:r>
          </w:p>
        </w:tc>
      </w:tr>
      <w:tr>
        <w:trPr/>
        <w:tc>
          <w:tcPr>
            <w:tcW w:w="3240"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082"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32"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3240"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Regulated Water segment:</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before="0" w:after="283"/>
              <w:jc w:val="left"/>
              <w:rPr>
                <w:sz w:val="4"/>
                <w:szCs w:val="4"/>
              </w:rPr>
            </w:pPr>
            <w:r>
              <w:rPr>
                <w:sz w:val="4"/>
                <w:szCs w:val="4"/>
              </w:rPr>
            </w:r>
          </w:p>
        </w:tc>
      </w:tr>
      <w:tr>
        <w:trPr/>
        <w:tc>
          <w:tcPr>
            <w:tcW w:w="3240"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Utility plant and equipment:</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3240"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Mains and accessories</w:t>
            </w:r>
          </w:p>
        </w:tc>
        <w:tc>
          <w:tcPr>
            <w:tcW w:w="22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4,781,229</w:t>
            </w:r>
          </w:p>
        </w:tc>
        <w:tc>
          <w:tcPr>
            <w:tcW w:w="22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4,523,718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2" w:type="dxa"/>
            <w:tcBorders/>
            <w:shd w:fill="CCEEFF" w:val="clear"/>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26-90</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73</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r>
      <w:tr>
        <w:trPr/>
        <w:tc>
          <w:tcPr>
            <w:tcW w:w="3240"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Services, hydrants, treatment plants and reservoirs</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3,315,076</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3,140,497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5-89</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56</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r>
      <w:tr>
        <w:trPr/>
        <w:tc>
          <w:tcPr>
            <w:tcW w:w="3240"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Operations structures and water tanks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448,040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413,147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2" w:type="dxa"/>
            <w:tcBorders/>
            <w:shd w:fill="CCEEFF" w:val="clear"/>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15-80</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48</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r>
      <w:tr>
        <w:trPr/>
        <w:tc>
          <w:tcPr>
            <w:tcW w:w="3240"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Miscellaneous pumping and purification equipment</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1,328,806</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1,237,967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7-76</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42</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r>
      <w:tr>
        <w:trPr/>
        <w:tc>
          <w:tcPr>
            <w:tcW w:w="3240"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Meters, transportation and other operating equipment</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1,152,416</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1,104,643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2" w:type="dxa"/>
            <w:tcBorders/>
            <w:shd w:fill="CCEEFF" w:val="clear"/>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5-84</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28</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r>
      <w:tr>
        <w:trPr/>
        <w:tc>
          <w:tcPr>
            <w:tcW w:w="3240"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Land and other non-depreciable assets</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141,835</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143,752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3240"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Utility plant and equipment - regulated water segment</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11,167,402</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10,563,724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before="0" w:after="283"/>
              <w:jc w:val="left"/>
              <w:rPr>
                <w:sz w:val="4"/>
                <w:szCs w:val="4"/>
              </w:rPr>
            </w:pPr>
            <w:r>
              <w:rPr>
                <w:sz w:val="4"/>
                <w:szCs w:val="4"/>
              </w:rPr>
            </w:r>
          </w:p>
        </w:tc>
      </w:tr>
      <w:tr>
        <w:trPr/>
        <w:tc>
          <w:tcPr>
            <w:tcW w:w="3240"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Utility construction work in progress</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405,751</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315,973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3240"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Net utility plant acquisition adjustment</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(5,627)</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(6,444)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2" w:type="dxa"/>
            <w:tcBorders/>
            <w:shd w:fill="CCEEFF" w:val="clear"/>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10-53</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22</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r>
      <w:tr>
        <w:trPr/>
        <w:tc>
          <w:tcPr>
            <w:tcW w:w="3240"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Non-utility plant and equipment</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20,073</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20,019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17-64</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58</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r>
      <w:tr>
        <w:trPr/>
        <w:tc>
          <w:tcPr>
            <w:tcW w:w="3240"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Property, Plant and Equipment - Regulated Water segment</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11,587,599</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10,893,272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before="0" w:after="283"/>
              <w:jc w:val="left"/>
              <w:rPr>
                <w:sz w:val="4"/>
                <w:szCs w:val="4"/>
              </w:rPr>
            </w:pPr>
            <w:r>
              <w:rPr>
                <w:sz w:val="4"/>
                <w:szCs w:val="4"/>
              </w:rPr>
            </w:r>
          </w:p>
        </w:tc>
      </w:tr>
      <w:tr>
        <w:trPr/>
        <w:tc>
          <w:tcPr>
            <w:tcW w:w="3240"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Regulated Natural Gas segment:</w:t>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3240"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Natural gas transmission</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444,560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429,465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2" w:type="dxa"/>
            <w:tcBorders/>
            <w:shd w:fill="CCEEFF" w:val="clear"/>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29-97</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61</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r>
      <w:tr>
        <w:trPr/>
        <w:tc>
          <w:tcPr>
            <w:tcW w:w="3240"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Natural gas storage</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62,706</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62,157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30-89</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44</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r>
      <w:tr>
        <w:trPr/>
        <w:tc>
          <w:tcPr>
            <w:tcW w:w="3240"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Natural gas gathering and processing</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155,470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147,700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2" w:type="dxa"/>
            <w:tcBorders/>
            <w:shd w:fill="CCEEFF" w:val="clear"/>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22-96</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47</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r>
      <w:tr>
        <w:trPr/>
        <w:tc>
          <w:tcPr>
            <w:tcW w:w="3240"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Natural gas distribution</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3,279,497</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2,733,054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21-81</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53</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r>
      <w:tr>
        <w:trPr/>
        <w:tc>
          <w:tcPr>
            <w:tcW w:w="3240"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Meters, transportation and other operating equipment</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637,712</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613,653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2" w:type="dxa"/>
            <w:tcBorders/>
            <w:shd w:fill="CCEEFF" w:val="clear"/>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5-61</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lineRule="auto" w:line="259" w:before="0" w:after="1"/>
              <w:jc w:val="center"/>
              <w:rPr>
                <w:rFonts w:ascii="Times New Roman;serif" w:hAnsi="Times New Roman;serif"/>
                <w:sz w:val="22"/>
              </w:rPr>
            </w:pPr>
            <w:r>
              <w:rPr>
                <w:rFonts w:ascii="Times New Roman;serif" w:hAnsi="Times New Roman;serif"/>
                <w:b w:val="false"/>
                <w:i w:val="false"/>
                <w:caps w:val="false"/>
                <w:smallCaps w:val="false"/>
                <w:color w:val="000000"/>
                <w:sz w:val="22"/>
              </w:rPr>
              <w:t>24</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r>
      <w:tr>
        <w:trPr/>
        <w:tc>
          <w:tcPr>
            <w:tcW w:w="3240"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Land and other non-depreciable assets</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4,839</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4,139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3240"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Utility plant and equipment - Regulated Natural Gas segment</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4,584,784</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3,990,168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before="0" w:after="283"/>
              <w:jc w:val="left"/>
              <w:rPr>
                <w:sz w:val="4"/>
                <w:szCs w:val="4"/>
              </w:rPr>
            </w:pPr>
            <w:r>
              <w:rPr>
                <w:sz w:val="4"/>
                <w:szCs w:val="4"/>
              </w:rPr>
            </w:r>
          </w:p>
        </w:tc>
      </w:tr>
      <w:tr>
        <w:trPr/>
        <w:tc>
          <w:tcPr>
            <w:tcW w:w="3240"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Utility construction work-in-progress</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102,994</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93,581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3240"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Property, plant and equipment - Regulated Natural Gas segment</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4,687,778</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4,083,749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082"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732" w:type="dxa"/>
            <w:tcBorders/>
            <w:shd w:fill="CCEEFF" w:val="clear"/>
            <w:vAlign w:val="center"/>
          </w:tcPr>
          <w:p>
            <w:pPr>
              <w:pStyle w:val="TableContents"/>
              <w:bidi w:val="0"/>
              <w:spacing w:before="0" w:after="283"/>
              <w:jc w:val="left"/>
              <w:rPr>
                <w:sz w:val="4"/>
                <w:szCs w:val="4"/>
              </w:rPr>
            </w:pPr>
            <w:r>
              <w:rPr>
                <w:sz w:val="4"/>
                <w:szCs w:val="4"/>
              </w:rPr>
            </w:r>
          </w:p>
        </w:tc>
      </w:tr>
      <w:tr>
        <w:trPr/>
        <w:tc>
          <w:tcPr>
            <w:tcW w:w="3240"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Total property, plant and equipment </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16,275,377</w:t>
            </w:r>
          </w:p>
        </w:tc>
        <w:tc>
          <w:tcPr>
            <w:tcW w:w="22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8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14,977,021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r>
        <w:trPr/>
        <w:tc>
          <w:tcPr>
            <w:tcW w:w="3240" w:type="dxa"/>
            <w:tcBorders/>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t xml:space="preserve">Note 5 – </w:t>
      </w:r>
      <w:r>
        <w:rPr>
          <w:rFonts w:ascii="Times New Roman;serif" w:hAnsi="Times New Roman;serif"/>
          <w:b/>
          <w:i/>
          <w:sz w:val="22"/>
        </w:rPr>
        <w:t>Accounts Receivable</w:t>
      </w:r>
    </w:p>
    <w:tbl>
      <w:tblPr>
        <w:tblW w:w="5885" w:type="dxa"/>
        <w:jc w:val="left"/>
        <w:tblInd w:w="0" w:type="dxa"/>
        <w:tblLayout w:type="fixed"/>
        <w:tblCellMar>
          <w:top w:w="0" w:type="dxa"/>
          <w:left w:w="0" w:type="dxa"/>
          <w:bottom w:w="0" w:type="dxa"/>
          <w:right w:w="0" w:type="dxa"/>
        </w:tblCellMar>
      </w:tblPr>
      <w:tblGrid>
        <w:gridCol w:w="3616"/>
        <w:gridCol w:w="226"/>
        <w:gridCol w:w="886"/>
        <w:gridCol w:w="226"/>
        <w:gridCol w:w="931"/>
      </w:tblGrid>
      <w:tr>
        <w:trPr/>
        <w:tc>
          <w:tcPr>
            <w:tcW w:w="361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361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3616" w:type="dxa"/>
            <w:tcBorders/>
            <w:shd w:fill="FFFFFF" w:val="clear"/>
            <w:vAlign w:val="center"/>
          </w:tcPr>
          <w:p>
            <w:pPr>
              <w:pStyle w:val="TableContents"/>
              <w:bidi w:val="0"/>
              <w:spacing w:before="0" w:after="283"/>
              <w:jc w:val="left"/>
              <w:rPr>
                <w:sz w:val="4"/>
                <w:szCs w:val="4"/>
              </w:rPr>
            </w:pPr>
            <w:r>
              <w:rPr>
                <w:sz w:val="4"/>
                <w:szCs w:val="4"/>
              </w:rPr>
            </w:r>
          </w:p>
        </w:tc>
        <w:tc>
          <w:tcPr>
            <w:tcW w:w="2269"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December 31,</w:t>
            </w:r>
          </w:p>
        </w:tc>
      </w:tr>
      <w:tr>
        <w:trPr/>
        <w:tc>
          <w:tcPr>
            <w:tcW w:w="361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r>
      <w:tr>
        <w:trPr/>
        <w:tc>
          <w:tcPr>
            <w:tcW w:w="36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Billed utility revenue</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211,168</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199,986</w:t>
            </w:r>
          </w:p>
        </w:tc>
      </w:tr>
      <w:tr>
        <w:trPr/>
        <w:tc>
          <w:tcPr>
            <w:tcW w:w="36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14,295</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4,887</w:t>
            </w:r>
          </w:p>
        </w:tc>
      </w:tr>
      <w:tr>
        <w:trPr/>
        <w:tc>
          <w:tcPr>
            <w:tcW w:w="361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225,463</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204,873</w:t>
            </w:r>
          </w:p>
        </w:tc>
      </w:tr>
      <w:tr>
        <w:trPr/>
        <w:tc>
          <w:tcPr>
            <w:tcW w:w="36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Less allowance for doubtful accounts</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58,941</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3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60,573</w:t>
            </w:r>
          </w:p>
        </w:tc>
      </w:tr>
      <w:tr>
        <w:trPr/>
        <w:tc>
          <w:tcPr>
            <w:tcW w:w="36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Net accounts receivable</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8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166,522</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144,300</w:t>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As of December 31, 2024, the Company’s utility customers are located principally in the following states: 66% in Pennsylvania, 9% in Ohio, 6% in North Carolina, 5% in Texas, and 5% in Illinois. No</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single customer accounted for more than one percent of the Company's utility operating revenues during the years ended December 31, 2024, 2023, and 2022. The following table summarizes the changes in the Company’s allowance for doubtful accounts:</w:t>
      </w:r>
    </w:p>
    <w:tbl>
      <w:tblPr>
        <w:tblW w:w="7747" w:type="dxa"/>
        <w:jc w:val="left"/>
        <w:tblInd w:w="0" w:type="dxa"/>
        <w:tblLayout w:type="fixed"/>
        <w:tblCellMar>
          <w:top w:w="0" w:type="dxa"/>
          <w:left w:w="0" w:type="dxa"/>
          <w:bottom w:w="0" w:type="dxa"/>
          <w:right w:w="0" w:type="dxa"/>
        </w:tblCellMar>
      </w:tblPr>
      <w:tblGrid>
        <w:gridCol w:w="4276"/>
        <w:gridCol w:w="226"/>
        <w:gridCol w:w="916"/>
        <w:gridCol w:w="226"/>
        <w:gridCol w:w="916"/>
        <w:gridCol w:w="226"/>
        <w:gridCol w:w="961"/>
      </w:tblGrid>
      <w:tr>
        <w:trPr/>
        <w:tc>
          <w:tcPr>
            <w:tcW w:w="427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r>
      <w:tr>
        <w:trPr/>
        <w:tc>
          <w:tcPr>
            <w:tcW w:w="427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r>
      <w:tr>
        <w:trPr/>
        <w:tc>
          <w:tcPr>
            <w:tcW w:w="4276" w:type="dxa"/>
            <w:tcBorders/>
            <w:shd w:fill="FFFFFF" w:val="clear"/>
            <w:vAlign w:val="center"/>
          </w:tcPr>
          <w:p>
            <w:pPr>
              <w:pStyle w:val="TableContents"/>
              <w:bidi w:val="0"/>
              <w:spacing w:before="0" w:after="283"/>
              <w:jc w:val="left"/>
              <w:rPr>
                <w:sz w:val="4"/>
                <w:szCs w:val="4"/>
              </w:rPr>
            </w:pPr>
            <w:r>
              <w:rPr>
                <w:sz w:val="4"/>
                <w:szCs w:val="4"/>
              </w:rPr>
            </w:r>
          </w:p>
        </w:tc>
        <w:tc>
          <w:tcPr>
            <w:tcW w:w="114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114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1187"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4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Balance at January 1,</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60,573</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63,981</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6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58,073</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Amounts charged to expense</w:t>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21,865</w:t>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23,209</w:t>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27,631</w:t>
            </w:r>
          </w:p>
        </w:tc>
      </w:tr>
      <w:tr>
        <w:trPr/>
        <w:tc>
          <w:tcPr>
            <w:tcW w:w="4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Accounts written off</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(24,190)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(27,759)</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(22,507)</w:t>
            </w:r>
          </w:p>
        </w:tc>
      </w:tr>
      <w:tr>
        <w:trPr/>
        <w:tc>
          <w:tcPr>
            <w:tcW w:w="427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Recoveries of accounts written off and other</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693</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1,142</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784</w:t>
            </w:r>
          </w:p>
        </w:tc>
      </w:tr>
      <w:tr>
        <w:trPr/>
        <w:tc>
          <w:tcPr>
            <w:tcW w:w="427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Balance at December 31, </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58,941</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60,573</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63,981</w:t>
            </w:r>
          </w:p>
        </w:tc>
      </w:tr>
    </w:tbl>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t xml:space="preserve">Note 6 – </w:t>
      </w:r>
      <w:r>
        <w:rPr>
          <w:rFonts w:ascii="Times New Roman;serif" w:hAnsi="Times New Roman;serif"/>
          <w:b/>
          <w:i/>
          <w:sz w:val="22"/>
        </w:rPr>
        <w:t>Regulatory Assets and Liabilities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Regulatory assets represent costs that are probable to be fully recovered from customers in future rates while regulatory liabilities represent amounts that are expected to be refunded to customers in future rates or amounts recovered from customers in advance of incurring the costs. Except for income taxes and utility plant retirement costs, regulatory assets and regulatory liabilities are excluded from the Company’s rate base and do not earn a return. The components of regulatory assets and regulatory liabilities are as follows: </w:t>
      </w:r>
    </w:p>
    <w:tbl>
      <w:tblPr>
        <w:tblW w:w="10205" w:type="dxa"/>
        <w:jc w:val="left"/>
        <w:tblInd w:w="0" w:type="dxa"/>
        <w:tblLayout w:type="fixed"/>
        <w:tblCellMar>
          <w:top w:w="0" w:type="dxa"/>
          <w:left w:w="0" w:type="dxa"/>
          <w:bottom w:w="0" w:type="dxa"/>
          <w:right w:w="0" w:type="dxa"/>
        </w:tblCellMar>
      </w:tblPr>
      <w:tblGrid>
        <w:gridCol w:w="5123"/>
        <w:gridCol w:w="211"/>
        <w:gridCol w:w="1021"/>
        <w:gridCol w:w="211"/>
        <w:gridCol w:w="1021"/>
        <w:gridCol w:w="109"/>
        <w:gridCol w:w="211"/>
        <w:gridCol w:w="1021"/>
        <w:gridCol w:w="211"/>
        <w:gridCol w:w="1066"/>
      </w:tblGrid>
      <w:tr>
        <w:trPr/>
        <w:tc>
          <w:tcPr>
            <w:tcW w:w="512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r>
      <w:tr>
        <w:trPr/>
        <w:tc>
          <w:tcPr>
            <w:tcW w:w="5123" w:type="dxa"/>
            <w:tcBorders/>
            <w:shd w:fill="FFFFFF" w:val="clear"/>
            <w:vAlign w:val="center"/>
          </w:tcPr>
          <w:p>
            <w:pPr>
              <w:pStyle w:val="TableContents"/>
              <w:bidi w:val="0"/>
              <w:spacing w:before="0" w:after="283"/>
              <w:jc w:val="left"/>
              <w:rPr>
                <w:sz w:val="4"/>
                <w:szCs w:val="4"/>
              </w:rPr>
            </w:pPr>
            <w:r>
              <w:rPr>
                <w:sz w:val="4"/>
                <w:szCs w:val="4"/>
              </w:rPr>
            </w:r>
          </w:p>
        </w:tc>
        <w:tc>
          <w:tcPr>
            <w:tcW w:w="2464" w:type="dxa"/>
            <w:gridSpan w:val="4"/>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509" w:type="dxa"/>
            <w:gridSpan w:val="4"/>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December 31, 2023</w:t>
            </w:r>
          </w:p>
        </w:tc>
      </w:tr>
      <w:tr>
        <w:trPr/>
        <w:tc>
          <w:tcPr>
            <w:tcW w:w="512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shd w:fill="FFFFFF" w:val="clear"/>
            <w:tcMar>
              <w:top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Regulatory</w:t>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shd w:fill="FFFFFF" w:val="clear"/>
            <w:tcMar>
              <w:top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Regulatory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shd w:fill="FFFFFF" w:val="clear"/>
            <w:tcMar>
              <w:top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Regulatory</w:t>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shd w:fill="FFFFFF" w:val="clear"/>
            <w:tcMar>
              <w:top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Regulatory</w:t>
            </w:r>
          </w:p>
        </w:tc>
      </w:tr>
      <w:tr>
        <w:trPr/>
        <w:tc>
          <w:tcPr>
            <w:tcW w:w="512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Assets</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Liabilities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Assets</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Liabilities</w:t>
            </w:r>
          </w:p>
        </w:tc>
      </w:tr>
      <w:tr>
        <w:trPr/>
        <w:tc>
          <w:tcPr>
            <w:tcW w:w="5123"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Income taxes</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21"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1,712,714</w:t>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21"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528,656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21"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1,553,111</w:t>
            </w:r>
          </w:p>
        </w:tc>
        <w:tc>
          <w:tcPr>
            <w:tcW w:w="21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599,088</w:t>
            </w:r>
          </w:p>
        </w:tc>
      </w:tr>
      <w:tr>
        <w:trPr/>
        <w:tc>
          <w:tcPr>
            <w:tcW w:w="5123"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Purchased gas costs</w:t>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21,366</w:t>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21,019</w:t>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29,807</w:t>
            </w:r>
          </w:p>
        </w:tc>
      </w:tr>
      <w:tr>
        <w:trPr/>
        <w:tc>
          <w:tcPr>
            <w:tcW w:w="5123"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Utility plant retirement costs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29,146</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75,270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38,148</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68,815</w:t>
            </w:r>
          </w:p>
        </w:tc>
      </w:tr>
      <w:tr>
        <w:trPr/>
        <w:tc>
          <w:tcPr>
            <w:tcW w:w="5123"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Post-retirement benefits</w:t>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80,875</w:t>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160,851</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80,000</w:t>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153,816</w:t>
            </w:r>
          </w:p>
        </w:tc>
      </w:tr>
      <w:tr>
        <w:trPr/>
        <w:tc>
          <w:tcPr>
            <w:tcW w:w="5123"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Accrued vacation</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418</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1,877</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5123"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Water tank painting</w:t>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11,242</w:t>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17,044</w:t>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5123"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Fair value adjustment of long-term debt assumed in acquisition</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30,603</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38,482</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5123"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Debt refinancing</w:t>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11,587</w:t>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12,674</w:t>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5123"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Rate case filing expenses and other</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42,689</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21"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33,617</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654</w:t>
            </w:r>
          </w:p>
        </w:tc>
      </w:tr>
      <w:tr>
        <w:trPr/>
        <w:tc>
          <w:tcPr>
            <w:tcW w:w="5123"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1,940,640</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766,515</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1,795,972</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6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852,180</w:t>
            </w:r>
          </w:p>
        </w:tc>
      </w:tr>
    </w:tbl>
    <w:p>
      <w:pPr>
        <w:pStyle w:val="TextBody"/>
        <w:bidi w:val="0"/>
        <w:spacing w:lineRule="auto" w:line="259"/>
        <w:rPr>
          <w:rFonts w:ascii="Times New Roman;serif" w:hAnsi="Times New Roman;serif"/>
          <w:b w:val="false"/>
          <w:i w:val="false"/>
          <w:caps w:val="false"/>
          <w:smallCaps w:val="false"/>
          <w:sz w:val="22"/>
        </w:rPr>
      </w:pPr>
      <w:bookmarkStart w:id="37" w:name="_Hlk126621845"/>
      <w:bookmarkEnd w:id="37"/>
      <w:r>
        <w:rPr>
          <w:rFonts w:ascii="Times New Roman;serif" w:hAnsi="Times New Roman;serif"/>
          <w:b w:val="false"/>
          <w:i w:val="false"/>
          <w:caps w:val="false"/>
          <w:smallCaps w:val="false"/>
          <w:sz w:val="22"/>
        </w:rPr>
        <w:t xml:space="preserve">Items giving rise to deferred state income taxes, as well as a portion of deferred Federal income taxes related to specific differences between tax and book depreciation expense, are recognized in the rate setting process on a cash basis or as a reduction in current income tax expense and will be recovered as they reverse. Amounts include differences that arise between specific utility asset improvement costs capitalized for book and deducted as an expense for tax purposes. Additionally, the recording of AFUDC for equity funds results in the recognition of a regulatory asset for income taxes, which represents amounts due related to the revenue requirement. The Company records regulatory assets when a valuation allowance is recorded on deferred tax assets, associated with state NOLs that the Company does not believe are more likely than not to be realized, and are expected to be fully recovered from customers in future rates. Regulatory liabilities are refundable in future rate filings based on the difference between the amount of the income tax benefits that were incorporated into the Company’s cost of service in its latest rate case as compared to the actual income tax benefits recognized.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A portion of the income taxes regulatory liability is related to Peoples Natural Gas’ income tax accounting change for the tax benefits realized for the periods prior to adoption of a tax accounting method change for certain qualifying infrastructure investments. In May 2021, the Company received a regulatory order directing the Company to refund the catch-up adjustment to its utility customers over a five-year</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period, which was initiated by the Company in August 2021, and, in December 2024, extended this refund period to ten years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or up to August 2031. In 2022, the Company made a similar change for its Peoples Gas and Aqua New Jersey subsidiaries, resulting in the recognition of a regulatory liability for each of these subsidiaries for the tax benefits prior to the year of adoption.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color w:val="000000"/>
          <w:sz w:val="22"/>
          <w:shd w:fill="FFFFFF" w:val="clear"/>
        </w:rPr>
      </w:pPr>
      <w:r>
        <w:rPr>
          <w:rFonts w:ascii="Times New Roman;serif" w:hAnsi="Times New Roman;serif"/>
          <w:b w:val="false"/>
          <w:i w:val="false"/>
          <w:caps w:val="false"/>
          <w:smallCaps w:val="false"/>
          <w:color w:val="000000"/>
          <w:sz w:val="22"/>
          <w:shd w:fill="FFFFFF" w:val="clear"/>
        </w:rPr>
        <w:t>The regulatory asset or liability for purchased gas costs reflects the differences between actual purchased gas costs and the levels of recovery for these costs in current rates. The unrecovered costs are recovered and the over-recovered costs are refunded in future periods, typically within a year, through quarterly and annual filings with the applicable state regulatory agency.</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The regulatory asset for utility plant retirement costs, including cost of removal, represents costs already incurred that will be recovered in future rates over a five year</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recovery period. The regulatory liability for utility plant retirement costs represents amounts recovered through rates during the life of the associated asset and before the costs are incurred.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regulatory asset for accrued vacation represents costs that would otherwise be charged to operations and maintenance expense for vacation that is earned by employees, which is recovered as a cost of service.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The regulatory asset for post-retirement benefits, which includes pension and other post-retirement benefits, primarily reflects a regulatory asset that has been recorded for the costs that would otherwise be charged to stockholders’ equity for the underfunded status of the Company’s pension and other post-retirement benefit plans. The Company also has a regulatory asset related to post-retirement benefits costs that represent costs already incurred which are now being or anticipated to be recovered in rates over a period ranging from approximately 10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to 37</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years. The regulatory liability for post-retirement benefits represents costs recovered in rates in excess of post-retirement benefits expense.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Expenses associated with water tank painting are deferred and amortized over a period of time as approved in the regulatory process. Water tank painting costs are generally being amortized over a period ranging from 10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to 20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years. The regulatory liability for water tank painting costs represents amounts recovered through rates and before the costs are incurred.</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Company recorded a fair value adjustment for fixed rate, long-term debt assumed in acquisitions that matures in various years ranging from 2024 to 2033. The regulatory asset or liability results from the rate setting process continuing to recognize the historical interest cost of the assumed debt.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The regulatory asset for debt refinancing represents a portion of a make whole payment of $25,237</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incurred in 2019 for the Company’s redemption of $313,500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of the Company’s outstanding notes that had maturities ranging from 2019 to 2037 and interest rates ranging from 3.57</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to 5.83%. The Company deferred a portion of the make whole payment as it represents an amount by which we expect to receive prospective rate recovery.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The regulatory asset related to rate case filing expenses and other represents the costs associated with filing for rate increases that are deferred and amortized over periods that generally range from one year</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to five years, and costs incurred by the Company for which it has received or expects to receive rate recovery. Other regulatory assets also include the financial impacts of customer-owned lead service line replacement costs and regulatory balancing accounts. Regulatory balancing accounts represent the difference between revenues recognized and authorized revenue requirements until they are recovered from customers, and low-income customer assistance programs.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The regulatory asset related to the costs incurred for information technology software projects and water main cleaning and relining projects are described in Note 1 – </w:t>
      </w:r>
      <w:r>
        <w:rPr>
          <w:rFonts w:ascii="Times New Roman;serif" w:hAnsi="Times New Roman;serif"/>
          <w:b w:val="false"/>
          <w:i/>
          <w:sz w:val="22"/>
        </w:rPr>
        <w:t>Summary of Significant Accounting Policies – Property, Plant and Equipment and Depreciation</w:t>
      </w:r>
      <w:r>
        <w:rPr>
          <w:rFonts w:ascii="Times New Roman;serif" w:hAnsi="Times New Roman;serif"/>
          <w:b w:val="false"/>
          <w:i w:val="false"/>
          <w:caps w:val="false"/>
          <w:smallCaps w:val="false"/>
          <w:sz w:val="22"/>
        </w:rPr>
        <w:t>.</w:t>
      </w:r>
    </w:p>
    <w:p>
      <w:pPr>
        <w:pStyle w:val="TextBody"/>
        <w:bidi w:val="0"/>
        <w:spacing w:lineRule="auto" w:line="259"/>
        <w:rPr>
          <w:caps w:val="false"/>
          <w:smallCaps w:val="false"/>
        </w:rPr>
      </w:pPr>
      <w:r>
        <w:rPr>
          <w:caps w:val="false"/>
          <w:smallCaps w:val="false"/>
        </w:rPr>
        <w:t>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t xml:space="preserve">Note 7 – </w:t>
      </w:r>
      <w:r>
        <w:rPr>
          <w:rFonts w:ascii="Times New Roman;serif" w:hAnsi="Times New Roman;serif"/>
          <w:b/>
          <w:i/>
          <w:sz w:val="22"/>
        </w:rPr>
        <w:t xml:space="preserve">Income Taxes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Income tax benefit for the years ended December 31, is comprised of the following:</w:t>
      </w:r>
    </w:p>
    <w:tbl>
      <w:tblPr>
        <w:tblW w:w="5992" w:type="dxa"/>
        <w:jc w:val="left"/>
        <w:tblInd w:w="0" w:type="dxa"/>
        <w:tblLayout w:type="fixed"/>
        <w:tblCellMar>
          <w:top w:w="0" w:type="dxa"/>
          <w:left w:w="0" w:type="dxa"/>
          <w:bottom w:w="0" w:type="dxa"/>
          <w:right w:w="0" w:type="dxa"/>
        </w:tblCellMar>
      </w:tblPr>
      <w:tblGrid>
        <w:gridCol w:w="2401"/>
        <w:gridCol w:w="226"/>
        <w:gridCol w:w="916"/>
        <w:gridCol w:w="226"/>
        <w:gridCol w:w="1036"/>
        <w:gridCol w:w="226"/>
        <w:gridCol w:w="961"/>
      </w:tblGrid>
      <w:tr>
        <w:trPr/>
        <w:tc>
          <w:tcPr>
            <w:tcW w:w="240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r>
      <w:tr>
        <w:trPr/>
        <w:tc>
          <w:tcPr>
            <w:tcW w:w="240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r>
      <w:tr>
        <w:trPr/>
        <w:tc>
          <w:tcPr>
            <w:tcW w:w="2401" w:type="dxa"/>
            <w:tcBorders/>
            <w:shd w:fill="FFFFFF" w:val="clear"/>
            <w:vAlign w:val="center"/>
          </w:tcPr>
          <w:p>
            <w:pPr>
              <w:pStyle w:val="TableContents"/>
              <w:bidi w:val="0"/>
              <w:spacing w:before="0" w:after="283"/>
              <w:jc w:val="left"/>
              <w:rPr>
                <w:sz w:val="4"/>
                <w:szCs w:val="4"/>
              </w:rPr>
            </w:pPr>
            <w:r>
              <w:rPr>
                <w:sz w:val="4"/>
                <w:szCs w:val="4"/>
              </w:rPr>
            </w:r>
          </w:p>
        </w:tc>
        <w:tc>
          <w:tcPr>
            <w:tcW w:w="3591" w:type="dxa"/>
            <w:gridSpan w:val="6"/>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Years Ended December 31,</w:t>
            </w:r>
          </w:p>
        </w:tc>
      </w:tr>
      <w:tr>
        <w:trPr/>
        <w:tc>
          <w:tcPr>
            <w:tcW w:w="240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240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Current:</w:t>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40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Federal</w:t>
            </w:r>
          </w:p>
        </w:tc>
        <w:tc>
          <w:tcPr>
            <w:tcW w:w="22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3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1,913</w:t>
            </w:r>
          </w:p>
        </w:tc>
        <w:tc>
          <w:tcPr>
            <w:tcW w:w="22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6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24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State</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5,920</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11,487</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8,716</w:t>
            </w:r>
          </w:p>
        </w:tc>
      </w:tr>
      <w:tr>
        <w:trPr/>
        <w:tc>
          <w:tcPr>
            <w:tcW w:w="2401"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5,920</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13,400</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8,716</w:t>
            </w:r>
          </w:p>
        </w:tc>
      </w:tr>
      <w:tr>
        <w:trPr/>
        <w:tc>
          <w:tcPr>
            <w:tcW w:w="24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Deferred:</w:t>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24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Federal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(4,583)</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(103,617)</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(8,258)</w:t>
            </w:r>
          </w:p>
        </w:tc>
      </w:tr>
      <w:tr>
        <w:trPr/>
        <w:tc>
          <w:tcPr>
            <w:tcW w:w="24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State</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(23,173)</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23,772</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(14,787)</w:t>
            </w:r>
          </w:p>
        </w:tc>
      </w:tr>
      <w:tr>
        <w:trPr/>
        <w:tc>
          <w:tcPr>
            <w:tcW w:w="2401"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(27,756)</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(79,845)</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(23,045)</w:t>
            </w:r>
          </w:p>
        </w:tc>
      </w:tr>
      <w:tr>
        <w:trPr/>
        <w:tc>
          <w:tcPr>
            <w:tcW w:w="24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income tax benefit</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(21,836)</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3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(66,445)</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6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(14,329)</w:t>
            </w:r>
          </w:p>
        </w:tc>
      </w:tr>
    </w:tbl>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The statutory Federal tax rate is 21% for 2024, 2023, and 2022. For states with a corporate net income tax, the state corporate net income tax rates range from 2.5% to 9.99% for the years presented. The Company’s effective income tax rate for 2024, 2023, and 2022 was (3.8)%, (15.4)%, and (3.2)%, respectively. </w:t>
      </w:r>
      <w:r>
        <w:rPr>
          <w:rFonts w:ascii="Times New Roman;serif" w:hAnsi="Times New Roman;serif"/>
          <w:b w:val="false"/>
          <w:i w:val="false"/>
          <w:caps w:val="false"/>
          <w:smallCaps w:val="false"/>
          <w:color w:val="000000"/>
          <w:sz w:val="22"/>
        </w:rPr>
        <w:t>The Company remains subject to examination by federal and state tax authorities for the tax years of 2021 through 2024.</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differences between income taxes expected at the federal statutory rate and the reported income tax benefit are described below: </w:t>
      </w:r>
    </w:p>
    <w:tbl>
      <w:tblPr>
        <w:tblW w:w="9562" w:type="dxa"/>
        <w:jc w:val="left"/>
        <w:tblInd w:w="0" w:type="dxa"/>
        <w:tblLayout w:type="fixed"/>
        <w:tblCellMar>
          <w:top w:w="0" w:type="dxa"/>
          <w:left w:w="0" w:type="dxa"/>
          <w:bottom w:w="0" w:type="dxa"/>
          <w:right w:w="0" w:type="dxa"/>
        </w:tblCellMar>
      </w:tblPr>
      <w:tblGrid>
        <w:gridCol w:w="5851"/>
        <w:gridCol w:w="226"/>
        <w:gridCol w:w="1036"/>
        <w:gridCol w:w="226"/>
        <w:gridCol w:w="1036"/>
        <w:gridCol w:w="226"/>
        <w:gridCol w:w="961"/>
      </w:tblGrid>
      <w:tr>
        <w:trPr/>
        <w:tc>
          <w:tcPr>
            <w:tcW w:w="585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r>
      <w:tr>
        <w:trPr/>
        <w:tc>
          <w:tcPr>
            <w:tcW w:w="585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03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r>
      <w:tr>
        <w:trPr/>
        <w:tc>
          <w:tcPr>
            <w:tcW w:w="5851" w:type="dxa"/>
            <w:tcBorders/>
            <w:shd w:fill="FFFFFF" w:val="clear"/>
            <w:vAlign w:val="center"/>
          </w:tcPr>
          <w:p>
            <w:pPr>
              <w:pStyle w:val="TableContents"/>
              <w:bidi w:val="0"/>
              <w:spacing w:before="0" w:after="283"/>
              <w:jc w:val="left"/>
              <w:rPr>
                <w:sz w:val="4"/>
                <w:szCs w:val="4"/>
              </w:rPr>
            </w:pPr>
            <w:r>
              <w:rPr>
                <w:sz w:val="4"/>
                <w:szCs w:val="4"/>
              </w:rPr>
            </w:r>
          </w:p>
        </w:tc>
        <w:tc>
          <w:tcPr>
            <w:tcW w:w="3711" w:type="dxa"/>
            <w:gridSpan w:val="6"/>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Years Ended December 31,</w:t>
            </w:r>
          </w:p>
        </w:tc>
      </w:tr>
      <w:tr>
        <w:trPr/>
        <w:tc>
          <w:tcPr>
            <w:tcW w:w="585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3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585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Computed Federal tax expense at statutory rate</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120,430</w:t>
            </w:r>
            <w:r>
              <w:rPr>
                <w:rFonts w:ascii="Times New Roman;serif" w:hAnsi="Times New Roman;serif"/>
                <w:caps w:val="false"/>
                <w:smallCaps w:val="false"/>
                <w:color w:val="000000"/>
                <w:sz w:val="22"/>
              </w:rPr>
              <w:t> </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3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90,674</w:t>
            </w:r>
            <w:r>
              <w:rPr>
                <w:rFonts w:ascii="Times New Roman;serif" w:hAnsi="Times New Roman;serif"/>
                <w:caps w:val="false"/>
                <w:smallCaps w:val="false"/>
                <w:color w:val="000000"/>
                <w:sz w:val="22"/>
              </w:rPr>
              <w:t> </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6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94,691</w:t>
            </w:r>
            <w:r>
              <w:rPr>
                <w:rFonts w:ascii="Times New Roman;serif" w:hAnsi="Times New Roman;serif"/>
                <w:caps w:val="false"/>
                <w:smallCaps w:val="false"/>
                <w:color w:val="000000"/>
                <w:sz w:val="22"/>
              </w:rPr>
              <w:t> </w:t>
            </w:r>
          </w:p>
        </w:tc>
      </w:tr>
      <w:tr>
        <w:trPr/>
        <w:tc>
          <w:tcPr>
            <w:tcW w:w="5851"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Decrease in Federal tax expense related to the flow through </w:t>
            </w:r>
          </w:p>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benefit of repair deductions</w:t>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(107,853)</w:t>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(117,370)</w:t>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(72,302)</w:t>
            </w:r>
          </w:p>
        </w:tc>
      </w:tr>
      <w:tr>
        <w:trPr/>
        <w:tc>
          <w:tcPr>
            <w:tcW w:w="5851"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Amortization of deferred benefit from repair method changes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(18,454)</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(18,454)</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(21,012)</w:t>
            </w:r>
          </w:p>
        </w:tc>
      </w:tr>
      <w:tr>
        <w:trPr/>
        <w:tc>
          <w:tcPr>
            <w:tcW w:w="5851"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State income taxes, net of Federal tax benefit</w:t>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(13,745)</w:t>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(15,115)</w:t>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(3,972)</w:t>
            </w:r>
          </w:p>
        </w:tc>
      </w:tr>
      <w:tr>
        <w:trPr/>
        <w:tc>
          <w:tcPr>
            <w:tcW w:w="5851"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Amortization of excess deferred income taxes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(5,971)</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(8,324)</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(8,425)</w:t>
            </w:r>
          </w:p>
        </w:tc>
      </w:tr>
      <w:tr>
        <w:trPr/>
        <w:tc>
          <w:tcPr>
            <w:tcW w:w="5851"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Net change in unrecognized tax benefit</w:t>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288</w:t>
            </w:r>
            <w:r>
              <w:rPr>
                <w:rFonts w:ascii="Times New Roman;serif" w:hAnsi="Times New Roman;serif"/>
                <w:caps w:val="false"/>
                <w:smallCaps w:val="false"/>
                <w:color w:val="000000"/>
                <w:sz w:val="22"/>
              </w:rPr>
              <w:t> </w:t>
            </w:r>
          </w:p>
        </w:tc>
        <w:tc>
          <w:tcPr>
            <w:tcW w:w="22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(4,796)</w:t>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718</w:t>
            </w:r>
            <w:r>
              <w:rPr>
                <w:rFonts w:ascii="Times New Roman;serif" w:hAnsi="Times New Roman;serif"/>
                <w:caps w:val="false"/>
                <w:smallCaps w:val="false"/>
                <w:color w:val="000000"/>
                <w:sz w:val="22"/>
              </w:rPr>
              <w:t> </w:t>
            </w:r>
          </w:p>
        </w:tc>
      </w:tr>
      <w:tr>
        <w:trPr/>
        <w:tc>
          <w:tcPr>
            <w:tcW w:w="5851"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Valuation allowance for deferred tax assets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4,747</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36"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8,148</w:t>
            </w:r>
            <w:r>
              <w:rPr>
                <w:rFonts w:ascii="Times New Roman;serif" w:hAnsi="Times New Roman;serif"/>
                <w:caps w:val="false"/>
                <w:smallCaps w:val="false"/>
                <w:color w:val="000000"/>
                <w:sz w:val="22"/>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5851"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net</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(1,278)</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3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(1,208)</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(4,027)</w:t>
            </w:r>
          </w:p>
        </w:tc>
      </w:tr>
      <w:tr>
        <w:trPr/>
        <w:tc>
          <w:tcPr>
            <w:tcW w:w="585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Actual income tax benefit</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(21,836)</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3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(66,445)</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(14,329)</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As of December 31, 2024, and 2023, a change in valuation allowance for state deferred tax assets in the amounts of $(4,206) and $10,969, respectively, are included in state income taxes, net of federal tax benefit above.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Company uses the flow-through method to account for the repairs tax deduction for qualifying utility infrastructure at its regulated Pennsylvania and New Jersey subsidiaries. The flow-through method of recording income tax benefits results in a reduction to current income tax expense and is included in utility customers’ rates.  The Company’s regulated Pennsylvania subsidiaries are subject to a collar mechanism. Amounts recognized above or below the collar are required to be recorded as either a regulatory asset or liability, subject to disposition in the next base rate case.</w:t>
      </w:r>
    </w:p>
    <w:p>
      <w:pPr>
        <w:pStyle w:val="TextBody"/>
        <w:bidi w:val="0"/>
        <w:spacing w:lineRule="auto" w:line="259" w:before="0" w:after="100"/>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In April 2023, the Internal Revenue Service issued Revenue Procedure 2023-15 which provides a safe harbor method of accounting that taxpayers may use to determine whether expenses to repair, maintain, replace, or improve natural gas transmission and distribution property must be capitalized for tax purposes. The Company adopted the methodology on its 2023 tax return. In the second quarter of 2023, based on the tax legislative guidance that was issued, the Company reevaluated the uncertain tax positions related to the Regulated Water Segment and ultimately released a portion of its historical income tax reserves. Concurrently, the Company deferred this tax benefit from the reserve release as a regulatory liability. Based on the rate order received by Aqua Pennsylvania in February 2025, the tax benefit of $4,874</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from the reserve release will be refunded to customers through base rates over a two-year</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period. </w:t>
      </w:r>
    </w:p>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sz w:val="22"/>
        </w:rPr>
        <w:t>In September 2024, the Pennsylvania Public Utility Commission issued a rate order to Peoples Natural Gas approving several tax related settlements. Accordingly, in December 2024, the Company filed an updated Tax Repairs surcredit calculation with the Public Utility Commission to reflect the updated catch-up adjustment that should be returned to customers effective January 1, 2025, with extension of the original 481(a) amortization period from 5</w:t>
      </w:r>
      <w:r>
        <w:rPr>
          <w:rFonts w:ascii="Times New Roman;serif" w:hAnsi="Times New Roman;serif"/>
          <w:caps w:val="false"/>
          <w:smallCaps w:val="false"/>
          <w:sz w:val="24"/>
        </w:rPr>
        <w:t xml:space="preserve"> </w:t>
      </w:r>
      <w:r>
        <w:rPr>
          <w:rFonts w:ascii="Times New Roman;serif" w:hAnsi="Times New Roman;serif"/>
          <w:b w:val="false"/>
          <w:i w:val="false"/>
          <w:caps w:val="false"/>
          <w:smallCaps w:val="false"/>
          <w:sz w:val="22"/>
        </w:rPr>
        <w:t>to 10</w:t>
      </w:r>
      <w:r>
        <w:rPr>
          <w:rFonts w:ascii="Times New Roman;serif" w:hAnsi="Times New Roman;serif"/>
          <w:caps w:val="false"/>
          <w:smallCaps w:val="false"/>
          <w:sz w:val="24"/>
        </w:rPr>
        <w:t xml:space="preserve"> </w:t>
      </w:r>
      <w:r>
        <w:rPr>
          <w:rFonts w:ascii="Times New Roman;serif" w:hAnsi="Times New Roman;serif"/>
          <w:b w:val="false"/>
          <w:i w:val="false"/>
          <w:caps w:val="false"/>
          <w:smallCaps w:val="false"/>
          <w:sz w:val="22"/>
        </w:rPr>
        <w:t xml:space="preserve">years. Beginning January 1, 2025, no state tax benefit is being returned to customers in the approved base rates, as the state NOLs cannot be utilized presently.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provides the changes in the Company’s unrecognized tax benefits:</w:t>
      </w:r>
    </w:p>
    <w:tbl>
      <w:tblPr>
        <w:tblW w:w="6802" w:type="dxa"/>
        <w:jc w:val="left"/>
        <w:tblInd w:w="0" w:type="dxa"/>
        <w:tblLayout w:type="fixed"/>
        <w:tblCellMar>
          <w:top w:w="0" w:type="dxa"/>
          <w:left w:w="0" w:type="dxa"/>
          <w:bottom w:w="0" w:type="dxa"/>
          <w:right w:w="0" w:type="dxa"/>
        </w:tblCellMar>
      </w:tblPr>
      <w:tblGrid>
        <w:gridCol w:w="3721"/>
        <w:gridCol w:w="226"/>
        <w:gridCol w:w="646"/>
        <w:gridCol w:w="226"/>
        <w:gridCol w:w="916"/>
        <w:gridCol w:w="226"/>
        <w:gridCol w:w="841"/>
      </w:tblGrid>
      <w:tr>
        <w:trPr/>
        <w:tc>
          <w:tcPr>
            <w:tcW w:w="372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41" w:type="dxa"/>
            <w:tcBorders/>
            <w:shd w:fill="FFFFFF" w:val="clear"/>
            <w:vAlign w:val="center"/>
          </w:tcPr>
          <w:p>
            <w:pPr>
              <w:pStyle w:val="TableContents"/>
              <w:bidi w:val="0"/>
              <w:spacing w:before="0" w:after="283"/>
              <w:jc w:val="left"/>
              <w:rPr>
                <w:sz w:val="4"/>
                <w:szCs w:val="4"/>
              </w:rPr>
            </w:pPr>
            <w:r>
              <w:rPr>
                <w:sz w:val="4"/>
                <w:szCs w:val="4"/>
              </w:rPr>
            </w:r>
          </w:p>
        </w:tc>
      </w:tr>
      <w:tr>
        <w:trPr/>
        <w:tc>
          <w:tcPr>
            <w:tcW w:w="3721" w:type="dxa"/>
            <w:tcBorders/>
            <w:shd w:fill="FFFFFF" w:val="clear"/>
            <w:vAlign w:val="center"/>
          </w:tcPr>
          <w:p>
            <w:pPr>
              <w:pStyle w:val="TableContents"/>
              <w:bidi w:val="0"/>
              <w:spacing w:before="0" w:after="283"/>
              <w:jc w:val="left"/>
              <w:rPr>
                <w:sz w:val="4"/>
                <w:szCs w:val="4"/>
              </w:rPr>
            </w:pPr>
            <w:r>
              <w:rPr>
                <w:sz w:val="4"/>
                <w:szCs w:val="4"/>
              </w:rPr>
            </w:r>
          </w:p>
        </w:tc>
        <w:tc>
          <w:tcPr>
            <w:tcW w:w="872"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1142"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1067"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372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Balance at January 1,</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both"/>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4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7,898</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18,217</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4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20,201</w:t>
            </w:r>
          </w:p>
        </w:tc>
      </w:tr>
      <w:tr>
        <w:trPr/>
        <w:tc>
          <w:tcPr>
            <w:tcW w:w="3721"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Impact of current year activity </w:t>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309</w:t>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7,219</w:t>
            </w:r>
          </w:p>
        </w:tc>
        <w:tc>
          <w:tcPr>
            <w:tcW w:w="22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(900)</w:t>
            </w:r>
          </w:p>
        </w:tc>
      </w:tr>
      <w:tr>
        <w:trPr/>
        <w:tc>
          <w:tcPr>
            <w:tcW w:w="3721"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Effect of Pennsylvania tax rate change</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4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(1,084)</w:t>
            </w:r>
          </w:p>
        </w:tc>
      </w:tr>
      <w:tr>
        <w:trPr/>
        <w:tc>
          <w:tcPr>
            <w:tcW w:w="3721"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Decrease for prior year tax positions</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(17,538)</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41"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372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Balance at December 31,</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both"/>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8,207</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7,898</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4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18,217</w:t>
            </w:r>
          </w:p>
        </w:tc>
      </w:tr>
    </w:tbl>
    <w:p>
      <w:pPr>
        <w:pStyle w:val="TextBody"/>
        <w:bidi w:val="0"/>
        <w:spacing w:lineRule="auto" w:line="259"/>
        <w:rPr>
          <w:rFonts w:ascii="Times New Roman;serif" w:hAnsi="Times New Roman;serif"/>
          <w:sz w:val="24"/>
        </w:rPr>
      </w:pPr>
      <w:r>
        <w:rPr>
          <w:rFonts w:ascii="Times New Roman;serif" w:hAnsi="Times New Roman;serif"/>
          <w:b w:val="false"/>
          <w:i w:val="false"/>
          <w:caps w:val="false"/>
          <w:smallCaps w:val="false"/>
          <w:sz w:val="22"/>
        </w:rPr>
        <w:t xml:space="preserve">The Company </w:t>
      </w:r>
      <w:r>
        <w:rPr>
          <w:rFonts w:ascii="Times New Roman;serif" w:hAnsi="Times New Roman;serif"/>
          <w:b w:val="false"/>
          <w:i w:val="false"/>
          <w:caps w:val="false"/>
          <w:smallCaps w:val="false"/>
          <w:color w:val="000000"/>
          <w:sz w:val="22"/>
        </w:rPr>
        <w:t>recognizes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likelihood of being realized upon ultimate resolution. From time to time, the Company may be assessed interest and penalties by taxing authorities, which would be recorded as income tax expense. During the years ended December 31, 2024, 2023, and 2022, there were expenses of $216, $23, and $118</w:t>
      </w:r>
      <w:r>
        <w:rPr>
          <w:rFonts w:ascii="Times New Roman;serif" w:hAnsi="Times New Roman;serif"/>
          <w:caps w:val="false"/>
          <w:smallCaps w:val="false"/>
          <w:color w:val="000000"/>
          <w:sz w:val="24"/>
        </w:rPr>
        <w:t xml:space="preserve"> </w:t>
      </w:r>
      <w:r>
        <w:rPr>
          <w:rFonts w:ascii="Times New Roman;serif" w:hAnsi="Times New Roman;serif"/>
          <w:b w:val="false"/>
          <w:i w:val="false"/>
          <w:caps w:val="false"/>
          <w:smallCaps w:val="false"/>
          <w:color w:val="000000"/>
          <w:sz w:val="22"/>
        </w:rPr>
        <w:t>for interest and penalties related to uncertain tax positions. As of December 31, 2024, 2023 and 2022, the Company recognized liabilities of $360, $144, and $620, respectively, for interest and penalties related to its uncertain tax positions.</w:t>
      </w:r>
      <w:r>
        <w:rPr>
          <w:rFonts w:ascii="Times New Roman;serif" w:hAnsi="Times New Roman;serif"/>
          <w:caps w:val="false"/>
          <w:smallCaps w:val="false"/>
          <w:sz w:val="24"/>
        </w:rPr>
        <w:t xml:space="preserve">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unrecognized tax benefits from uncertain tax positions are attributable to temporary differences. The Company does not anticipate material changes to its unrecognized tax benefits within the next year. As a result of the regulatory treatment afforded by the income tax accounting change in Pennsylvania and despite this position being a temporary difference, as of December 31, 2024, 2023, and 2022, $7,216, $6,918, and $35,267, respectively, of these tax benefits would have an impact on the Company’s effective income tax rate in the event the Company does sustain all, or a portion, of its tax position. </w:t>
      </w:r>
    </w:p>
    <w:p>
      <w:pPr>
        <w:pStyle w:val="TextBody"/>
        <w:bidi w:val="0"/>
        <w:spacing w:lineRule="auto" w:line="259" w:before="0" w:after="100"/>
        <w:rPr>
          <w:rFonts w:ascii="Times New Roman;serif" w:hAnsi="Times New Roman;serif"/>
          <w:sz w:val="22"/>
        </w:rPr>
      </w:pPr>
      <w:r>
        <w:rPr>
          <w:rFonts w:ascii="Times New Roman;serif" w:hAnsi="Times New Roman;serif"/>
          <w:b w:val="false"/>
          <w:i w:val="false"/>
          <w:caps w:val="false"/>
          <w:smallCaps w:val="false"/>
          <w:sz w:val="22"/>
        </w:rPr>
        <w:br/>
        <w:t>‎</w:t>
      </w:r>
      <w:r>
        <w:rPr>
          <w:rFonts w:ascii="Times New Roman;serif" w:hAnsi="Times New Roman;serif"/>
          <w:caps w:val="false"/>
          <w:smallCaps w:val="false"/>
          <w:sz w:val="22"/>
        </w:rPr>
        <w:t xml:space="preser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provides the components of net deferred tax liability:</w:t>
      </w:r>
    </w:p>
    <w:tbl>
      <w:tblPr>
        <w:tblW w:w="10205" w:type="dxa"/>
        <w:jc w:val="left"/>
        <w:tblInd w:w="0" w:type="dxa"/>
        <w:tblLayout w:type="fixed"/>
        <w:tblCellMar>
          <w:top w:w="0" w:type="dxa"/>
          <w:left w:w="0" w:type="dxa"/>
          <w:bottom w:w="0" w:type="dxa"/>
          <w:right w:w="0" w:type="dxa"/>
        </w:tblCellMar>
      </w:tblPr>
      <w:tblGrid>
        <w:gridCol w:w="7456"/>
        <w:gridCol w:w="226"/>
        <w:gridCol w:w="1126"/>
        <w:gridCol w:w="226"/>
        <w:gridCol w:w="1171"/>
      </w:tblGrid>
      <w:tr>
        <w:trPr/>
        <w:tc>
          <w:tcPr>
            <w:tcW w:w="745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before="0" w:after="283"/>
              <w:jc w:val="left"/>
              <w:rPr>
                <w:sz w:val="4"/>
                <w:szCs w:val="4"/>
              </w:rPr>
            </w:pPr>
            <w:r>
              <w:rPr>
                <w:sz w:val="4"/>
                <w:szCs w:val="4"/>
              </w:rPr>
            </w:r>
          </w:p>
        </w:tc>
      </w:tr>
      <w:tr>
        <w:trPr/>
        <w:tc>
          <w:tcPr>
            <w:tcW w:w="745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71" w:type="dxa"/>
            <w:tcBorders/>
            <w:shd w:fill="FFFFFF" w:val="clear"/>
            <w:vAlign w:val="center"/>
          </w:tcPr>
          <w:p>
            <w:pPr>
              <w:pStyle w:val="TableContents"/>
              <w:bidi w:val="0"/>
              <w:spacing w:before="0" w:after="283"/>
              <w:jc w:val="left"/>
              <w:rPr>
                <w:sz w:val="4"/>
                <w:szCs w:val="4"/>
              </w:rPr>
            </w:pPr>
            <w:r>
              <w:rPr>
                <w:sz w:val="4"/>
                <w:szCs w:val="4"/>
              </w:rPr>
            </w:r>
          </w:p>
        </w:tc>
      </w:tr>
      <w:tr>
        <w:trPr/>
        <w:tc>
          <w:tcPr>
            <w:tcW w:w="7456" w:type="dxa"/>
            <w:tcBorders/>
            <w:shd w:fill="FFFFFF" w:val="clear"/>
            <w:vAlign w:val="center"/>
          </w:tcPr>
          <w:p>
            <w:pPr>
              <w:pStyle w:val="TableContents"/>
              <w:bidi w:val="0"/>
              <w:spacing w:before="0" w:after="283"/>
              <w:jc w:val="left"/>
              <w:rPr>
                <w:sz w:val="4"/>
                <w:szCs w:val="4"/>
              </w:rPr>
            </w:pPr>
            <w:r>
              <w:rPr>
                <w:sz w:val="4"/>
                <w:szCs w:val="4"/>
              </w:rPr>
            </w:r>
          </w:p>
        </w:tc>
        <w:tc>
          <w:tcPr>
            <w:tcW w:w="2749"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December 31,</w:t>
            </w:r>
          </w:p>
        </w:tc>
      </w:tr>
      <w:tr>
        <w:trPr/>
        <w:tc>
          <w:tcPr>
            <w:tcW w:w="7456" w:type="dxa"/>
            <w:tcBorders/>
            <w:shd w:fill="FFFFFF" w:val="cle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139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r>
      <w:tr>
        <w:trPr/>
        <w:tc>
          <w:tcPr>
            <w:tcW w:w="745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Deferred tax assets:</w:t>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745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Customers' advances for construction</w:t>
            </w:r>
          </w:p>
        </w:tc>
        <w:tc>
          <w:tcPr>
            <w:tcW w:w="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26" w:type="dxa"/>
            <w:tcBorders/>
            <w:shd w:fill="CCEEFF" w:val="clear"/>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26,394</w:t>
            </w:r>
            <w:r>
              <w:rPr>
                <w:rFonts w:ascii="Times New Roman;serif" w:hAnsi="Times New Roman;serif"/>
                <w:caps w:val="false"/>
                <w:smallCaps w:val="false"/>
                <w:color w:val="000000"/>
                <w:sz w:val="22"/>
              </w:rPr>
              <w:t> </w:t>
            </w:r>
          </w:p>
        </w:tc>
        <w:tc>
          <w:tcPr>
            <w:tcW w:w="2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71" w:type="dxa"/>
            <w:tcBorders/>
            <w:shd w:fill="CCEEFF" w:val="clear"/>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20,332</w:t>
            </w:r>
            <w:r>
              <w:rPr>
                <w:rFonts w:ascii="Times New Roman;serif" w:hAnsi="Times New Roman;serif"/>
                <w:caps w:val="false"/>
                <w:smallCaps w:val="false"/>
                <w:color w:val="000000"/>
                <w:sz w:val="22"/>
              </w:rPr>
              <w:t> </w:t>
            </w:r>
          </w:p>
        </w:tc>
      </w:tr>
      <w:tr>
        <w:trPr/>
        <w:tc>
          <w:tcPr>
            <w:tcW w:w="745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Costs expensed for book not deducted for tax, principally accrued expenses </w:t>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19,642</w:t>
            </w:r>
            <w:r>
              <w:rPr>
                <w:rFonts w:ascii="Times New Roman;serif" w:hAnsi="Times New Roman;serif"/>
                <w:caps w:val="false"/>
                <w:smallCaps w:val="false"/>
                <w:color w:val="000000"/>
                <w:sz w:val="22"/>
              </w:rPr>
              <w:t> </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171" w:type="dxa"/>
            <w:tcBorders/>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35,577</w:t>
            </w:r>
            <w:r>
              <w:rPr>
                <w:rFonts w:ascii="Times New Roman;serif" w:hAnsi="Times New Roman;serif"/>
                <w:caps w:val="false"/>
                <w:smallCaps w:val="false"/>
                <w:color w:val="000000"/>
                <w:sz w:val="22"/>
              </w:rPr>
              <w:t> </w:t>
            </w:r>
          </w:p>
        </w:tc>
      </w:tr>
      <w:tr>
        <w:trPr/>
        <w:tc>
          <w:tcPr>
            <w:tcW w:w="745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Post-retirement benefits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1,638</w:t>
            </w:r>
            <w:r>
              <w:rPr>
                <w:rFonts w:ascii="Times New Roman;serif" w:hAnsi="Times New Roman;serif"/>
                <w:caps w:val="false"/>
                <w:smallCaps w:val="false"/>
                <w:color w:val="000000"/>
                <w:sz w:val="22"/>
              </w:rPr>
              <w:t> </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1171" w:type="dxa"/>
            <w:tcBorders/>
            <w:shd w:fill="CCEEFF" w:val="clear"/>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1,368</w:t>
            </w:r>
            <w:r>
              <w:rPr>
                <w:rFonts w:ascii="Times New Roman;serif" w:hAnsi="Times New Roman;serif"/>
                <w:caps w:val="false"/>
                <w:smallCaps w:val="false"/>
                <w:color w:val="000000"/>
                <w:sz w:val="22"/>
              </w:rPr>
              <w:t> </w:t>
            </w:r>
          </w:p>
        </w:tc>
      </w:tr>
      <w:tr>
        <w:trPr/>
        <w:tc>
          <w:tcPr>
            <w:tcW w:w="745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Tax effect of regulatory liabilities for post-retirement benefits</w:t>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44,567</w:t>
            </w:r>
            <w:r>
              <w:rPr>
                <w:rFonts w:ascii="Times New Roman;serif" w:hAnsi="Times New Roman;serif"/>
                <w:caps w:val="false"/>
                <w:smallCaps w:val="false"/>
                <w:color w:val="000000"/>
                <w:sz w:val="22"/>
              </w:rPr>
              <w:t> </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171" w:type="dxa"/>
            <w:tcBorders/>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49,199</w:t>
            </w:r>
            <w:r>
              <w:rPr>
                <w:rFonts w:ascii="Times New Roman;serif" w:hAnsi="Times New Roman;serif"/>
                <w:caps w:val="false"/>
                <w:smallCaps w:val="false"/>
                <w:color w:val="000000"/>
                <w:sz w:val="22"/>
              </w:rPr>
              <w:t> </w:t>
            </w:r>
          </w:p>
        </w:tc>
      </w:tr>
      <w:tr>
        <w:trPr/>
        <w:tc>
          <w:tcPr>
            <w:tcW w:w="745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Tax attributes and credit carryforwards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494,318</w:t>
            </w:r>
            <w:r>
              <w:rPr>
                <w:rFonts w:ascii="Times New Roman;serif" w:hAnsi="Times New Roman;serif"/>
                <w:caps w:val="false"/>
                <w:smallCaps w:val="false"/>
                <w:color w:val="000000"/>
                <w:sz w:val="22"/>
              </w:rPr>
              <w:t> </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1171" w:type="dxa"/>
            <w:tcBorders/>
            <w:shd w:fill="CCEEFF" w:val="clear"/>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458,001</w:t>
            </w:r>
            <w:r>
              <w:rPr>
                <w:rFonts w:ascii="Times New Roman;serif" w:hAnsi="Times New Roman;serif"/>
                <w:caps w:val="false"/>
                <w:smallCaps w:val="false"/>
                <w:color w:val="000000"/>
                <w:sz w:val="22"/>
              </w:rPr>
              <w:t> </w:t>
            </w:r>
          </w:p>
        </w:tc>
      </w:tr>
      <w:tr>
        <w:trPr/>
        <w:tc>
          <w:tcPr>
            <w:tcW w:w="745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lease liabilities</w:t>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9,532</w:t>
            </w:r>
            <w:r>
              <w:rPr>
                <w:rFonts w:ascii="Times New Roman;serif" w:hAnsi="Times New Roman;serif"/>
                <w:caps w:val="false"/>
                <w:smallCaps w:val="false"/>
                <w:color w:val="000000"/>
                <w:sz w:val="22"/>
              </w:rPr>
              <w:t> </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171" w:type="dxa"/>
            <w:tcBorders/>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11,529</w:t>
            </w:r>
            <w:r>
              <w:rPr>
                <w:rFonts w:ascii="Times New Roman;serif" w:hAnsi="Times New Roman;serif"/>
                <w:caps w:val="false"/>
                <w:smallCaps w:val="false"/>
                <w:color w:val="000000"/>
                <w:sz w:val="22"/>
              </w:rPr>
              <w:t> </w:t>
            </w:r>
          </w:p>
        </w:tc>
      </w:tr>
      <w:tr>
        <w:trPr/>
        <w:tc>
          <w:tcPr>
            <w:tcW w:w="745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2,937</w:t>
            </w:r>
            <w:r>
              <w:rPr>
                <w:rFonts w:ascii="Times New Roman;serif" w:hAnsi="Times New Roman;serif"/>
                <w:caps w:val="false"/>
                <w:smallCaps w:val="false"/>
                <w:color w:val="000000"/>
                <w:sz w:val="22"/>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ind w:left="0" w:right="115" w:hanging="0"/>
              <w:jc w:val="left"/>
              <w:rPr>
                <w:sz w:val="4"/>
                <w:szCs w:val="4"/>
              </w:rPr>
            </w:pPr>
            <w:r>
              <w:rPr>
                <w:sz w:val="4"/>
                <w:szCs w:val="4"/>
              </w:rPr>
            </w:r>
          </w:p>
        </w:tc>
        <w:tc>
          <w:tcPr>
            <w:tcW w:w="117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7456"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599,028</w:t>
            </w:r>
            <w:r>
              <w:rPr>
                <w:rFonts w:ascii="Times New Roman;serif" w:hAnsi="Times New Roman;serif"/>
                <w:caps w:val="false"/>
                <w:smallCaps w:val="false"/>
                <w:color w:val="000000"/>
                <w:sz w:val="22"/>
              </w:rPr>
              <w:t> </w:t>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tcBorders>
            <w:tcMar>
              <w:top w:w="28" w:type="dxa"/>
            </w:tcMar>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576,006</w:t>
            </w:r>
            <w:r>
              <w:rPr>
                <w:rFonts w:ascii="Times New Roman;serif" w:hAnsi="Times New Roman;serif"/>
                <w:caps w:val="false"/>
                <w:smallCaps w:val="false"/>
                <w:color w:val="000000"/>
                <w:sz w:val="22"/>
              </w:rPr>
              <w:t> </w:t>
            </w:r>
          </w:p>
        </w:tc>
      </w:tr>
      <w:tr>
        <w:trPr/>
        <w:tc>
          <w:tcPr>
            <w:tcW w:w="74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Less valuation allowance</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(166,249)</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7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(149,486)</w:t>
            </w:r>
          </w:p>
        </w:tc>
      </w:tr>
      <w:tr>
        <w:trPr/>
        <w:tc>
          <w:tcPr>
            <w:tcW w:w="7456"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432,779</w:t>
            </w:r>
            <w:r>
              <w:rPr>
                <w:rFonts w:ascii="Times New Roman;serif" w:hAnsi="Times New Roman;serif"/>
                <w:caps w:val="false"/>
                <w:smallCaps w:val="false"/>
                <w:color w:val="000000"/>
                <w:sz w:val="22"/>
              </w:rPr>
              <w:t> </w:t>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426,520</w:t>
            </w:r>
            <w:r>
              <w:rPr>
                <w:rFonts w:ascii="Times New Roman;serif" w:hAnsi="Times New Roman;serif"/>
                <w:caps w:val="false"/>
                <w:smallCaps w:val="false"/>
                <w:color w:val="000000"/>
                <w:sz w:val="22"/>
              </w:rPr>
              <w:t> </w:t>
            </w:r>
          </w:p>
        </w:tc>
      </w:tr>
      <w:tr>
        <w:trPr/>
        <w:tc>
          <w:tcPr>
            <w:tcW w:w="7456"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7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74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Deferred tax liabilities: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71" w:type="dxa"/>
            <w:tcBorders/>
            <w:shd w:fill="CCEEFF" w:val="clear"/>
            <w:vAlign w:val="center"/>
          </w:tcPr>
          <w:p>
            <w:pPr>
              <w:pStyle w:val="TableContents"/>
              <w:bidi w:val="0"/>
              <w:spacing w:before="0" w:after="283"/>
              <w:jc w:val="left"/>
              <w:rPr>
                <w:sz w:val="4"/>
                <w:szCs w:val="4"/>
              </w:rPr>
            </w:pPr>
            <w:r>
              <w:rPr>
                <w:sz w:val="4"/>
                <w:szCs w:val="4"/>
              </w:rPr>
            </w:r>
          </w:p>
        </w:tc>
      </w:tr>
      <w:tr>
        <w:trPr/>
        <w:tc>
          <w:tcPr>
            <w:tcW w:w="745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Utility plant, principally due to depreciation and differences in the basis of fixed assets due to variation in tax and book accounting </w:t>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1,820,785</w:t>
            </w:r>
            <w:r>
              <w:rPr>
                <w:rFonts w:ascii="Times New Roman;serif" w:hAnsi="Times New Roman;serif"/>
                <w:caps w:val="false"/>
                <w:smallCaps w:val="false"/>
                <w:color w:val="000000"/>
                <w:sz w:val="22"/>
              </w:rPr>
              <w:t> </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171" w:type="dxa"/>
            <w:tcBorders/>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1,662,741</w:t>
            </w:r>
            <w:r>
              <w:rPr>
                <w:rFonts w:ascii="Times New Roman;serif" w:hAnsi="Times New Roman;serif"/>
                <w:caps w:val="false"/>
                <w:smallCaps w:val="false"/>
                <w:color w:val="000000"/>
                <w:sz w:val="22"/>
              </w:rPr>
              <w:t> </w:t>
            </w:r>
          </w:p>
        </w:tc>
      </w:tr>
      <w:tr>
        <w:trPr/>
        <w:tc>
          <w:tcPr>
            <w:tcW w:w="745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Deferred taxes associated with the gross-up of revenues necessary to recover, in rates, the effect of temporary differences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408,624</w:t>
            </w:r>
            <w:r>
              <w:rPr>
                <w:rFonts w:ascii="Times New Roman;serif" w:hAnsi="Times New Roman;serif"/>
                <w:caps w:val="false"/>
                <w:smallCaps w:val="false"/>
                <w:color w:val="000000"/>
                <w:sz w:val="22"/>
              </w:rPr>
              <w:t> </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1171" w:type="dxa"/>
            <w:tcBorders/>
            <w:shd w:fill="CCEEFF" w:val="clear"/>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348,646</w:t>
            </w:r>
            <w:r>
              <w:rPr>
                <w:rFonts w:ascii="Times New Roman;serif" w:hAnsi="Times New Roman;serif"/>
                <w:caps w:val="false"/>
                <w:smallCaps w:val="false"/>
                <w:color w:val="000000"/>
                <w:sz w:val="22"/>
              </w:rPr>
              <w:t> </w:t>
            </w:r>
          </w:p>
        </w:tc>
      </w:tr>
      <w:tr>
        <w:trPr/>
        <w:tc>
          <w:tcPr>
            <w:tcW w:w="745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Tax effect of regulatory assets for post-retirement benefits</w:t>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22,151</w:t>
            </w:r>
            <w:r>
              <w:rPr>
                <w:rFonts w:ascii="Times New Roman;serif" w:hAnsi="Times New Roman;serif"/>
                <w:caps w:val="false"/>
                <w:smallCaps w:val="false"/>
                <w:color w:val="000000"/>
                <w:sz w:val="22"/>
              </w:rPr>
              <w:t> </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171" w:type="dxa"/>
            <w:tcBorders/>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28,092</w:t>
            </w:r>
            <w:r>
              <w:rPr>
                <w:rFonts w:ascii="Times New Roman;serif" w:hAnsi="Times New Roman;serif"/>
                <w:caps w:val="false"/>
                <w:smallCaps w:val="false"/>
                <w:color w:val="000000"/>
                <w:sz w:val="22"/>
              </w:rPr>
              <w:t> </w:t>
            </w:r>
          </w:p>
        </w:tc>
      </w:tr>
      <w:tr>
        <w:trPr/>
        <w:tc>
          <w:tcPr>
            <w:tcW w:w="745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Deferred investment tax credit</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4,601</w:t>
            </w:r>
            <w:r>
              <w:rPr>
                <w:rFonts w:ascii="Times New Roman;serif" w:hAnsi="Times New Roman;serif"/>
                <w:caps w:val="false"/>
                <w:smallCaps w:val="false"/>
                <w:color w:val="000000"/>
                <w:sz w:val="22"/>
              </w:rPr>
              <w:t> </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1171" w:type="dxa"/>
            <w:tcBorders/>
            <w:shd w:fill="CCEEFF" w:val="clear"/>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4,771</w:t>
            </w:r>
            <w:r>
              <w:rPr>
                <w:rFonts w:ascii="Times New Roman;serif" w:hAnsi="Times New Roman;serif"/>
                <w:caps w:val="false"/>
                <w:smallCaps w:val="false"/>
                <w:color w:val="000000"/>
                <w:sz w:val="22"/>
              </w:rPr>
              <w:t> </w:t>
            </w:r>
          </w:p>
        </w:tc>
      </w:tr>
      <w:tr>
        <w:trPr/>
        <w:tc>
          <w:tcPr>
            <w:tcW w:w="745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lease right-of-use assets</w:t>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8,486</w:t>
            </w:r>
            <w:r>
              <w:rPr>
                <w:rFonts w:ascii="Times New Roman;serif" w:hAnsi="Times New Roman;serif"/>
                <w:caps w:val="false"/>
                <w:smallCaps w:val="false"/>
                <w:color w:val="000000"/>
                <w:sz w:val="22"/>
              </w:rPr>
              <w:t> </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171" w:type="dxa"/>
            <w:tcBorders/>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10,301</w:t>
            </w:r>
            <w:r>
              <w:rPr>
                <w:rFonts w:ascii="Times New Roman;serif" w:hAnsi="Times New Roman;serif"/>
                <w:caps w:val="false"/>
                <w:smallCaps w:val="false"/>
                <w:color w:val="000000"/>
                <w:sz w:val="22"/>
              </w:rPr>
              <w:t> </w:t>
            </w:r>
          </w:p>
        </w:tc>
      </w:tr>
      <w:tr>
        <w:trPr/>
        <w:tc>
          <w:tcPr>
            <w:tcW w:w="745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bottom w:val="single" w:sz="8" w:space="0" w:color="000000"/>
            </w:tcBorders>
            <w:shd w:fill="CCEEFF" w:val="clear"/>
            <w:tcMar>
              <w:bottom w:w="28" w:type="dxa"/>
            </w:tcMar>
            <w:vAlign w:val="center"/>
          </w:tcPr>
          <w:p>
            <w:pPr>
              <w:pStyle w:val="TableContents"/>
              <w:bidi w:val="0"/>
              <w:spacing w:before="0" w:after="283"/>
              <w:ind w:left="0" w:right="115" w:hanging="0"/>
              <w:jc w:val="left"/>
              <w:rPr>
                <w:sz w:val="4"/>
                <w:szCs w:val="4"/>
              </w:rPr>
            </w:pPr>
            <w:r>
              <w:rPr>
                <w:sz w:val="4"/>
                <w:szCs w:val="4"/>
              </w:rPr>
            </w:r>
          </w:p>
        </w:tc>
        <w:tc>
          <w:tcPr>
            <w:tcW w:w="117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293</w:t>
            </w:r>
            <w:r>
              <w:rPr>
                <w:rFonts w:ascii="Times New Roman;serif" w:hAnsi="Times New Roman;serif"/>
                <w:caps w:val="false"/>
                <w:smallCaps w:val="false"/>
                <w:color w:val="000000"/>
                <w:sz w:val="22"/>
              </w:rPr>
              <w:t> </w:t>
            </w:r>
          </w:p>
        </w:tc>
      </w:tr>
      <w:tr>
        <w:trPr/>
        <w:tc>
          <w:tcPr>
            <w:tcW w:w="7456"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2,264,647</w:t>
            </w:r>
            <w:r>
              <w:rPr>
                <w:rFonts w:ascii="Times New Roman;serif" w:hAnsi="Times New Roman;serif"/>
                <w:caps w:val="false"/>
                <w:smallCaps w:val="false"/>
                <w:color w:val="000000"/>
                <w:sz w:val="22"/>
              </w:rPr>
              <w:t> </w:t>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ind w:left="0" w:right="115" w:hanging="0"/>
              <w:jc w:val="left"/>
              <w:rPr>
                <w:sz w:val="4"/>
                <w:szCs w:val="4"/>
              </w:rPr>
            </w:pPr>
            <w:r>
              <w:rPr>
                <w:sz w:val="4"/>
                <w:szCs w:val="4"/>
              </w:rPr>
            </w:r>
          </w:p>
        </w:tc>
        <w:tc>
          <w:tcPr>
            <w:tcW w:w="117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2,054,844</w:t>
            </w:r>
            <w:r>
              <w:rPr>
                <w:rFonts w:ascii="Times New Roman;serif" w:hAnsi="Times New Roman;serif"/>
                <w:caps w:val="false"/>
                <w:smallCaps w:val="false"/>
                <w:color w:val="000000"/>
                <w:sz w:val="22"/>
              </w:rPr>
              <w:t> </w:t>
            </w:r>
          </w:p>
        </w:tc>
      </w:tr>
      <w:tr>
        <w:trPr/>
        <w:tc>
          <w:tcPr>
            <w:tcW w:w="7456" w:type="dxa"/>
            <w:tcBorders/>
            <w:shd w:fill="CCEEFF" w:val="clear"/>
            <w:vAlign w:val="center"/>
          </w:tcPr>
          <w:p>
            <w:pPr>
              <w:pStyle w:val="TableContents"/>
              <w:bidi w:val="0"/>
              <w:spacing w:before="0" w:after="283"/>
              <w:ind w:left="115" w:right="0" w:hanging="0"/>
              <w:jc w:val="left"/>
              <w:rPr>
                <w:sz w:val="4"/>
                <w:szCs w:val="4"/>
              </w:rPr>
            </w:pPr>
            <w:r>
              <w:rPr>
                <w:sz w:val="4"/>
                <w:szCs w:val="4"/>
              </w:rPr>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ind w:left="0" w:right="115" w:hanging="0"/>
              <w:jc w:val="left"/>
              <w:rPr>
                <w:sz w:val="4"/>
                <w:szCs w:val="4"/>
              </w:rPr>
            </w:pPr>
            <w:r>
              <w:rPr>
                <w:sz w:val="4"/>
                <w:szCs w:val="4"/>
              </w:rPr>
            </w:r>
          </w:p>
        </w:tc>
        <w:tc>
          <w:tcPr>
            <w:tcW w:w="117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r>
      <w:tr>
        <w:trPr/>
        <w:tc>
          <w:tcPr>
            <w:tcW w:w="74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Net deferred tax liability</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1,831,868</w:t>
            </w:r>
            <w:r>
              <w:rPr>
                <w:rFonts w:ascii="Times New Roman;serif" w:hAnsi="Times New Roman;serif"/>
                <w:caps w:val="false"/>
                <w:smallCaps w:val="false"/>
                <w:color w:val="000000"/>
                <w:sz w:val="22"/>
              </w:rPr>
              <w:t> </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7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1,628,324</w:t>
            </w:r>
            <w:r>
              <w:rPr>
                <w:rFonts w:ascii="Times New Roman;serif" w:hAnsi="Times New Roman;serif"/>
                <w:caps w:val="false"/>
                <w:smallCaps w:val="false"/>
                <w:color w:val="000000"/>
                <w:sz w:val="22"/>
              </w:rPr>
              <w:t> </w:t>
            </w:r>
          </w:p>
        </w:tc>
      </w:tr>
      <w:tr>
        <w:trPr/>
        <w:tc>
          <w:tcPr>
            <w:tcW w:w="7456" w:type="dxa"/>
            <w:tcBorders/>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7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Certain prior year amounts have been reclassified for consistency with the current year presentation.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summarizes the changes in the Company’s valuation allowance for deferred tax assets:</w:t>
      </w:r>
    </w:p>
    <w:tbl>
      <w:tblPr>
        <w:tblW w:w="7123" w:type="dxa"/>
        <w:jc w:val="left"/>
        <w:tblInd w:w="0" w:type="dxa"/>
        <w:tblLayout w:type="fixed"/>
        <w:tblCellMar>
          <w:top w:w="0" w:type="dxa"/>
          <w:left w:w="0" w:type="dxa"/>
          <w:bottom w:w="0" w:type="dxa"/>
          <w:right w:w="0" w:type="dxa"/>
        </w:tblCellMar>
      </w:tblPr>
      <w:tblGrid>
        <w:gridCol w:w="3646"/>
        <w:gridCol w:w="226"/>
        <w:gridCol w:w="958"/>
        <w:gridCol w:w="226"/>
        <w:gridCol w:w="958"/>
        <w:gridCol w:w="226"/>
        <w:gridCol w:w="883"/>
      </w:tblGrid>
      <w:tr>
        <w:trPr/>
        <w:tc>
          <w:tcPr>
            <w:tcW w:w="364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58"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58"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83" w:type="dxa"/>
            <w:tcBorders/>
            <w:shd w:fill="FFFFFF" w:val="clear"/>
            <w:vAlign w:val="center"/>
          </w:tcPr>
          <w:p>
            <w:pPr>
              <w:pStyle w:val="TableContents"/>
              <w:bidi w:val="0"/>
              <w:spacing w:before="0" w:after="283"/>
              <w:jc w:val="left"/>
              <w:rPr>
                <w:sz w:val="4"/>
                <w:szCs w:val="4"/>
              </w:rPr>
            </w:pPr>
            <w:r>
              <w:rPr>
                <w:sz w:val="4"/>
                <w:szCs w:val="4"/>
              </w:rPr>
            </w:r>
          </w:p>
        </w:tc>
      </w:tr>
      <w:tr>
        <w:trPr/>
        <w:tc>
          <w:tcPr>
            <w:tcW w:w="364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83"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364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Balance at January 1,</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58"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149,486</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58"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38,940</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83"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36,662</w:t>
            </w:r>
          </w:p>
        </w:tc>
      </w:tr>
      <w:tr>
        <w:trPr/>
        <w:tc>
          <w:tcPr>
            <w:tcW w:w="364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Amounts charged to expense</w:t>
            </w:r>
          </w:p>
        </w:tc>
        <w:tc>
          <w:tcPr>
            <w:tcW w:w="22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542</w:t>
            </w:r>
          </w:p>
        </w:tc>
        <w:tc>
          <w:tcPr>
            <w:tcW w:w="22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16,311</w:t>
            </w:r>
          </w:p>
        </w:tc>
        <w:tc>
          <w:tcPr>
            <w:tcW w:w="22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2,278</w:t>
            </w:r>
          </w:p>
        </w:tc>
      </w:tr>
      <w:tr>
        <w:trPr/>
        <w:tc>
          <w:tcPr>
            <w:tcW w:w="364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Amounts charged to regulatory assets</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16,221</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94,235</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83"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364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Balance at December 31,</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5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166,249</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5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149,486</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8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38,940</w:t>
            </w:r>
          </w:p>
        </w:tc>
      </w:tr>
      <w:tr>
        <w:trPr/>
        <w:tc>
          <w:tcPr>
            <w:tcW w:w="3646" w:type="dxa"/>
            <w:tcBorders/>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5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58"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88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At December 31, 2024, the Company has a cumulative Federal NOL of $1,425,886. The Company believes the Federal NOLs are more likely than not to be recovered and require no</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valuation allowance. The Company’s Federal NOLs will begin to expire in 2032.</w:t>
      </w:r>
    </w:p>
    <w:p>
      <w:pPr>
        <w:pStyle w:val="TextBody"/>
        <w:bidi w:val="0"/>
        <w:spacing w:lineRule="auto" w:line="259"/>
        <w:rPr>
          <w:rFonts w:ascii="Garamond;serif" w:hAnsi="Garamond;serif"/>
          <w:sz w:val="22"/>
        </w:rPr>
      </w:pPr>
      <w:r>
        <w:rPr>
          <w:rFonts w:ascii="Times New Roman;serif" w:hAnsi="Times New Roman;serif"/>
          <w:b w:val="false"/>
          <w:i w:val="false"/>
          <w:caps w:val="false"/>
          <w:smallCaps w:val="false"/>
          <w:sz w:val="22"/>
        </w:rPr>
        <w:t>At December 31, 2024, the Company has a cumulative state NOL of $2,811,033, a portion of which is offset by a valuation allowance. The Company believes a portion of its Regulated Natural Gas segment state NOLs is not likely to be realized due to its continuous investments in qualifying infrastructure resulting in the recording of a valuation allowance in 2023. The Company recorded a regulatory asset for the portion of the valuation allowance that is expected to be fully recovered from customers in future rates.  At December 31, 2024, the Company has a cumulative state valuation allowance of $2,282,663. The state NOL began expiring in 2023.</w:t>
      </w:r>
      <w:r>
        <w:rPr>
          <w:rFonts w:ascii="Garamond;serif" w:hAnsi="Garamond;serif"/>
          <w:caps w:val="false"/>
          <w:smallCaps w:val="false"/>
          <w:sz w:val="22"/>
        </w:rPr>
        <w:t xml:space="preserve"> </w:t>
      </w:r>
    </w:p>
    <w:p>
      <w:pPr>
        <w:pStyle w:val="TextBody"/>
        <w:bidi w:val="0"/>
        <w:spacing w:lineRule="auto" w:line="259" w:before="0" w:after="100"/>
        <w:rPr>
          <w:rFonts w:ascii="Times New Roman;serif" w:hAnsi="Times New Roman;serif"/>
          <w:sz w:val="22"/>
        </w:rPr>
      </w:pPr>
      <w:r>
        <w:rPr>
          <w:rFonts w:ascii="Times New Roman;serif" w:hAnsi="Times New Roman;serif"/>
          <w:b w:val="false"/>
          <w:i w:val="false"/>
          <w:caps w:val="false"/>
          <w:smallCaps w:val="false"/>
          <w:sz w:val="22"/>
        </w:rPr>
        <w:br/>
        <w:t>‎</w:t>
      </w:r>
      <w:r>
        <w:rPr>
          <w:rFonts w:ascii="Times New Roman;serif" w:hAnsi="Times New Roman;serif"/>
          <w:caps w:val="false"/>
          <w:smallCaps w:val="false"/>
          <w:sz w:val="22"/>
        </w:rPr>
        <w:t xml:space="preser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At December 31, 2024, the Company’s Federal and state NOL carryforwards are reduced by an unrecognized tax position of $19,549</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$13,818, respectively, which results from the Company’s presentation of an unrecognized tax benefit when a net operating loss carryforward, a similar tax loss, or a tax credit carryforward exists. The amounts of the Company’s Federal and state NOL carryforwards net of the unrecognized tax positions are $1,406,337</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and $2,797,215, respectively. The Company records its unrecognized tax benefit as a component of its net deferred income tax liability.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At December 31, 2024, the Company has a cumulative Federal charitable contribution of $61,404, on which a valuation allowance of $61,404</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has been recorded as the Company determined it is more likely than not they will expire before they are utilized within the carryforward period. </w:t>
      </w:r>
    </w:p>
    <w:p>
      <w:pPr>
        <w:pStyle w:val="TextBody"/>
        <w:bidi w:val="0"/>
        <w:spacing w:lineRule="auto" w:line="259" w:before="0" w:after="100"/>
        <w:rPr>
          <w:rFonts w:ascii="Times New Roman;serif" w:hAnsi="Times New Roman;serif"/>
          <w:sz w:val="22"/>
        </w:rPr>
      </w:pPr>
      <w:r>
        <w:rPr>
          <w:rFonts w:ascii="Times New Roman;serif" w:hAnsi="Times New Roman;serif"/>
          <w:b w:val="false"/>
          <w:i w:val="false"/>
          <w:caps w:val="false"/>
          <w:smallCaps w:val="false"/>
          <w:sz w:val="22"/>
        </w:rPr>
        <w:t>At December 31, 2024, the Company has a cumulative state charitable contribution of $56,894</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on which a valuation allowance of $56,894</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has been recorded as the Company does not believe these state charitable contributions are more likely than not to be realized.</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On August 16, 2022, the Inflation Reduction Act of 2022 (“IRA”) was enacted into law, which, among other things, implements a 15% minimum tax on book income of certain large corporations, and a 1% excise tax on net stock repurchases after December 31, 2022.  The alternative minimum tax would not be applicable in our next fiscal year because it is based on a three-year average annual adjusted financial statement income in excess of $1,000,000. We are continuing to assess the future impact of the provisions of the IRA on our consolidated financial statements. As a regulated utility, taxes have been traditionally recognized by state public utility commissions as appropriate for inclusion in establishing rates.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On July 8, 2022, Pennsylvania enacted House Bill 1342 into law, which, among other things, reduces Pennsylvania’s corporate income tax rate from 9.99% to 8.99% beginning January 1, 2023, and an additional 0.5% annually through 2031, when it reaches to 4.99%. The Company evaluated the impacts of the tax rate change and recorded a reduction to our deferred tax liabilities with a corresponding reduction primarily to our regulatory assets.</w:t>
      </w:r>
    </w:p>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t xml:space="preserve">Note 8 – </w:t>
      </w:r>
      <w:r>
        <w:rPr>
          <w:rFonts w:ascii="Times New Roman;serif" w:hAnsi="Times New Roman;serif"/>
          <w:b/>
          <w:i/>
          <w:sz w:val="22"/>
        </w:rPr>
        <w:t>Taxes Other than Income Taxes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provides the components of taxes other than income taxes:</w:t>
      </w:r>
    </w:p>
    <w:tbl>
      <w:tblPr>
        <w:tblW w:w="6487" w:type="dxa"/>
        <w:jc w:val="left"/>
        <w:tblInd w:w="0" w:type="dxa"/>
        <w:tblLayout w:type="fixed"/>
        <w:tblCellMar>
          <w:top w:w="0" w:type="dxa"/>
          <w:left w:w="0" w:type="dxa"/>
          <w:bottom w:w="0" w:type="dxa"/>
          <w:right w:w="0" w:type="dxa"/>
        </w:tblCellMar>
      </w:tblPr>
      <w:tblGrid>
        <w:gridCol w:w="3466"/>
        <w:gridCol w:w="226"/>
        <w:gridCol w:w="766"/>
        <w:gridCol w:w="226"/>
        <w:gridCol w:w="766"/>
        <w:gridCol w:w="226"/>
        <w:gridCol w:w="811"/>
      </w:tblGrid>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11" w:type="dxa"/>
            <w:tcBorders/>
            <w:shd w:fill="FFFFFF" w:val="clear"/>
            <w:vAlign w:val="center"/>
          </w:tcPr>
          <w:p>
            <w:pPr>
              <w:pStyle w:val="TableContents"/>
              <w:bidi w:val="0"/>
              <w:spacing w:before="0" w:after="283"/>
              <w:jc w:val="left"/>
              <w:rPr>
                <w:sz w:val="4"/>
                <w:szCs w:val="4"/>
              </w:rPr>
            </w:pPr>
            <w:r>
              <w:rPr>
                <w:sz w:val="4"/>
                <w:szCs w:val="4"/>
              </w:rPr>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3021" w:type="dxa"/>
            <w:gridSpan w:val="6"/>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Years Ended December 31,</w:t>
            </w:r>
          </w:p>
        </w:tc>
      </w:tr>
      <w:tr>
        <w:trPr/>
        <w:tc>
          <w:tcPr>
            <w:tcW w:w="34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1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Property</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34,569</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32,790</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1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33,703</w:t>
            </w:r>
          </w:p>
        </w:tc>
      </w:tr>
      <w:tr>
        <w:trPr/>
        <w:tc>
          <w:tcPr>
            <w:tcW w:w="3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Gross receipts, excise and franchise</w:t>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17,801</w:t>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17,985</w:t>
            </w:r>
          </w:p>
        </w:tc>
        <w:tc>
          <w:tcPr>
            <w:tcW w:w="22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16,828</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Payroll</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22,930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21,628</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21,343</w:t>
            </w:r>
          </w:p>
        </w:tc>
      </w:tr>
      <w:tr>
        <w:trPr/>
        <w:tc>
          <w:tcPr>
            <w:tcW w:w="3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Regulatory assessments</w:t>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7,836</w:t>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7,451</w:t>
            </w:r>
          </w:p>
        </w:tc>
        <w:tc>
          <w:tcPr>
            <w:tcW w:w="22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6,771</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Pumping fees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8,049</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6,405</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7,881</w:t>
            </w:r>
          </w:p>
        </w:tc>
      </w:tr>
      <w:tr>
        <w:trPr/>
        <w:tc>
          <w:tcPr>
            <w:tcW w:w="34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Other </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3,449</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3,949</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1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3,498</w:t>
            </w:r>
          </w:p>
        </w:tc>
      </w:tr>
      <w:tr>
        <w:trPr/>
        <w:tc>
          <w:tcPr>
            <w:tcW w:w="34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taxes other than income taxes</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6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94,634</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6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90,208</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90,024</w:t>
            </w:r>
          </w:p>
        </w:tc>
      </w:tr>
    </w:tbl>
    <w:p>
      <w:pPr>
        <w:pStyle w:val="TextBody"/>
        <w:bidi w:val="0"/>
        <w:spacing w:lineRule="auto" w:line="259" w:before="0" w:after="100"/>
        <w:rPr>
          <w:caps w:val="false"/>
          <w:smallCaps w:val="false"/>
        </w:rPr>
      </w:pPr>
      <w:r>
        <w:rPr>
          <w:caps w:val="false"/>
          <w:smallCaps w:val="false"/>
        </w:rPr>
        <w:t> </w:t>
      </w:r>
    </w:p>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t xml:space="preserve">Note 9 – </w:t>
      </w:r>
      <w:r>
        <w:rPr>
          <w:rFonts w:ascii="Times New Roman;serif" w:hAnsi="Times New Roman;serif"/>
          <w:b/>
          <w:i/>
          <w:sz w:val="22"/>
        </w:rPr>
        <w:t>Commitments and Contingencies</w:t>
      </w:r>
    </w:p>
    <w:p>
      <w:pPr>
        <w:pStyle w:val="TextBody"/>
        <w:bidi w:val="0"/>
        <w:spacing w:lineRule="auto" w:line="259"/>
        <w:rPr>
          <w:rFonts w:ascii="Times New Roman;serif" w:hAnsi="Times New Roman;serif"/>
          <w:b/>
          <w:i/>
          <w:sz w:val="22"/>
        </w:rPr>
      </w:pPr>
      <w:r>
        <w:rPr>
          <w:rFonts w:ascii="Times New Roman;serif" w:hAnsi="Times New Roman;serif"/>
          <w:b/>
          <w:i/>
          <w:sz w:val="22"/>
        </w:rPr>
        <w:t>Commitments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Company maintains agreements with other water purveyors for the purchase of water to supplement its water supply, particularly during periods of peak demand. The agreements stipulate purchases of minimum quantities of water to the year 2032. The estimated annual commitments related to such purchases through 2029 are expected to average $2,204, and the aggregate of the years remaining approximates $3,027.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The Company has entered into purchase obligations, in the ordinary course of business, that include agreements for water treatment processes at some of its wells in a small number of its divisions. The 20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year term agreement provides for the use of treatment equipment and media used in the treatment process and are subject to adjustment based on changes in the Consumer Price Index. The future contractual cash obligations related to these agreements are as follows: </w:t>
      </w:r>
    </w:p>
    <w:tbl>
      <w:tblPr>
        <w:tblW w:w="5424" w:type="dxa"/>
        <w:jc w:val="left"/>
        <w:tblInd w:w="0" w:type="dxa"/>
        <w:tblLayout w:type="fixed"/>
        <w:tblCellMar>
          <w:top w:w="0" w:type="dxa"/>
          <w:left w:w="0" w:type="dxa"/>
          <w:bottom w:w="0" w:type="dxa"/>
          <w:right w:w="0" w:type="dxa"/>
        </w:tblCellMar>
      </w:tblPr>
      <w:tblGrid>
        <w:gridCol w:w="241"/>
        <w:gridCol w:w="646"/>
        <w:gridCol w:w="226"/>
        <w:gridCol w:w="646"/>
        <w:gridCol w:w="226"/>
        <w:gridCol w:w="689"/>
        <w:gridCol w:w="226"/>
        <w:gridCol w:w="466"/>
        <w:gridCol w:w="226"/>
        <w:gridCol w:w="495"/>
        <w:gridCol w:w="226"/>
        <w:gridCol w:w="1111"/>
      </w:tblGrid>
      <w:tr>
        <w:trPr/>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68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495"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before="0" w:after="283"/>
              <w:jc w:val="left"/>
              <w:rPr>
                <w:sz w:val="4"/>
                <w:szCs w:val="4"/>
              </w:rPr>
            </w:pPr>
            <w:r>
              <w:rPr>
                <w:sz w:val="4"/>
                <w:szCs w:val="4"/>
              </w:rPr>
            </w:r>
          </w:p>
        </w:tc>
      </w:tr>
      <w:tr>
        <w:trPr/>
        <w:tc>
          <w:tcPr>
            <w:tcW w:w="241"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68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4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495"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before="0" w:after="283"/>
              <w:jc w:val="left"/>
              <w:rPr>
                <w:sz w:val="4"/>
                <w:szCs w:val="4"/>
              </w:rPr>
            </w:pPr>
            <w:r>
              <w:rPr>
                <w:sz w:val="4"/>
                <w:szCs w:val="4"/>
              </w:rPr>
            </w:r>
          </w:p>
        </w:tc>
      </w:tr>
      <w:tr>
        <w:trPr/>
        <w:tc>
          <w:tcPr>
            <w:tcW w:w="24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7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2025</w:t>
            </w:r>
          </w:p>
        </w:tc>
        <w:tc>
          <w:tcPr>
            <w:tcW w:w="87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2026</w:t>
            </w:r>
          </w:p>
        </w:tc>
        <w:tc>
          <w:tcPr>
            <w:tcW w:w="915"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2027</w:t>
            </w:r>
          </w:p>
        </w:tc>
        <w:tc>
          <w:tcPr>
            <w:tcW w:w="692"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2028</w:t>
            </w:r>
          </w:p>
        </w:tc>
        <w:tc>
          <w:tcPr>
            <w:tcW w:w="72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2029</w:t>
            </w:r>
          </w:p>
        </w:tc>
        <w:tc>
          <w:tcPr>
            <w:tcW w:w="1111"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Thereafter</w:t>
            </w:r>
          </w:p>
        </w:tc>
      </w:tr>
      <w:tr>
        <w:trPr/>
        <w:tc>
          <w:tcPr>
            <w:tcW w:w="24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64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1,157</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64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1,183</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689" w:type="dxa"/>
            <w:tcBorders>
              <w:top w:val="single" w:sz="8" w:space="0" w:color="000000"/>
            </w:tcBorders>
            <w:shd w:fill="CCEEFF" w:val="clear"/>
            <w:tcMar>
              <w:top w:w="2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1,209</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46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657</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495" w:type="dxa"/>
            <w:tcBorders>
              <w:top w:val="single" w:sz="8" w:space="0" w:color="000000"/>
            </w:tcBorders>
            <w:shd w:fill="CCEEFF" w:val="clear"/>
            <w:tcMar>
              <w:top w:w="28" w:type="dxa"/>
            </w:tcMar>
            <w:vAlign w:val="center"/>
          </w:tcPr>
          <w:p>
            <w:pPr>
              <w:pStyle w:val="TableContents"/>
              <w:bidi w:val="0"/>
              <w:spacing w:lineRule="auto" w:line="259" w:before="0" w:after="283"/>
              <w:ind w:left="0" w:right="29"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668</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11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989</w:t>
            </w:r>
          </w:p>
        </w:tc>
      </w:tr>
    </w:tbl>
    <w:p>
      <w:pPr>
        <w:pStyle w:val="TextBody"/>
        <w:bidi w:val="0"/>
        <w:spacing w:lineRule="auto" w:line="259"/>
        <w:rPr>
          <w:rFonts w:ascii="Times New Roman;serif" w:hAnsi="Times New Roman;serif"/>
          <w:b w:val="false"/>
          <w:i w:val="false"/>
          <w:caps w:val="false"/>
          <w:smallCaps w:val="false"/>
          <w:color w:val="000000"/>
          <w:sz w:val="22"/>
          <w:shd w:fill="FFFFFF" w:val="clear"/>
        </w:rPr>
      </w:pPr>
      <w:r>
        <w:rPr>
          <w:rFonts w:ascii="Times New Roman;serif" w:hAnsi="Times New Roman;serif"/>
          <w:b w:val="false"/>
          <w:i w:val="false"/>
          <w:caps w:val="false"/>
          <w:smallCaps w:val="false"/>
          <w:color w:val="000000"/>
          <w:sz w:val="22"/>
          <w:shd w:fill="FFFFFF" w:val="clear"/>
        </w:rPr>
        <w:t>The Company’s natural gas supply is provided by sources on the interstate pipeline system and from local western Pennsylvania gas well production. The Company has various interstate pipeline service agreements that provide for firm transportation capacity, firm storage capacity, and other services and include capacity reservation charges based upon the maximum daily and annual contract quantities set forth in the agreements. Some of these agreements have minimum volume obligations and are transacted at applicable tariff and negotiated rates to the year 2034. The estimated annual commitments related to such purchases through 2029 are expected to average $239,663, and the aggregate of the years remaining beyond 2029 approximates $950,055.</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purchased water, water treatment, and purchased gas expenses under these agreements were as follows:</w:t>
      </w:r>
    </w:p>
    <w:tbl>
      <w:tblPr>
        <w:tblW w:w="8542" w:type="dxa"/>
        <w:jc w:val="left"/>
        <w:tblInd w:w="0" w:type="dxa"/>
        <w:tblLayout w:type="fixed"/>
        <w:tblCellMar>
          <w:top w:w="0" w:type="dxa"/>
          <w:left w:w="0" w:type="dxa"/>
          <w:bottom w:w="0" w:type="dxa"/>
          <w:right w:w="0" w:type="dxa"/>
        </w:tblCellMar>
      </w:tblPr>
      <w:tblGrid>
        <w:gridCol w:w="5161"/>
        <w:gridCol w:w="226"/>
        <w:gridCol w:w="886"/>
        <w:gridCol w:w="226"/>
        <w:gridCol w:w="886"/>
        <w:gridCol w:w="226"/>
        <w:gridCol w:w="931"/>
      </w:tblGrid>
      <w:tr>
        <w:trPr/>
        <w:tc>
          <w:tcPr>
            <w:tcW w:w="516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516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31" w:type="dxa"/>
            <w:tcBorders/>
            <w:shd w:fill="FFFFFF" w:val="clear"/>
            <w:vAlign w:val="center"/>
          </w:tcPr>
          <w:p>
            <w:pPr>
              <w:pStyle w:val="TableContents"/>
              <w:bidi w:val="0"/>
              <w:spacing w:before="0" w:after="283"/>
              <w:jc w:val="left"/>
              <w:rPr>
                <w:sz w:val="4"/>
                <w:szCs w:val="4"/>
              </w:rPr>
            </w:pPr>
            <w:r>
              <w:rPr>
                <w:sz w:val="4"/>
                <w:szCs w:val="4"/>
              </w:rPr>
            </w:r>
          </w:p>
        </w:tc>
      </w:tr>
      <w:tr>
        <w:trPr/>
        <w:tc>
          <w:tcPr>
            <w:tcW w:w="5161" w:type="dxa"/>
            <w:tcBorders/>
            <w:shd w:fill="FFFFFF" w:val="clear"/>
            <w:vAlign w:val="center"/>
          </w:tcPr>
          <w:p>
            <w:pPr>
              <w:pStyle w:val="TableContents"/>
              <w:bidi w:val="0"/>
              <w:spacing w:before="0" w:after="283"/>
              <w:jc w:val="left"/>
              <w:rPr>
                <w:sz w:val="4"/>
                <w:szCs w:val="4"/>
              </w:rPr>
            </w:pPr>
            <w:r>
              <w:rPr>
                <w:sz w:val="4"/>
                <w:szCs w:val="4"/>
              </w:rPr>
            </w:r>
          </w:p>
        </w:tc>
        <w:tc>
          <w:tcPr>
            <w:tcW w:w="3381" w:type="dxa"/>
            <w:gridSpan w:val="6"/>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Years Ended December 31, </w:t>
            </w:r>
          </w:p>
        </w:tc>
      </w:tr>
      <w:tr>
        <w:trPr/>
        <w:tc>
          <w:tcPr>
            <w:tcW w:w="5161" w:type="dxa"/>
            <w:tcBorders/>
            <w:shd w:fill="FFFFFF" w:val="cle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111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115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516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Purchased water under long-term agreements</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7,633</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6,752</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3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5,559</w:t>
            </w:r>
          </w:p>
        </w:tc>
      </w:tr>
      <w:tr>
        <w:trPr/>
        <w:tc>
          <w:tcPr>
            <w:tcW w:w="516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Water treatment expense under contractual agreement</w:t>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1,125</w:t>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1,103</w:t>
            </w:r>
          </w:p>
        </w:tc>
        <w:tc>
          <w:tcPr>
            <w:tcW w:w="2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1,061</w:t>
            </w:r>
          </w:p>
        </w:tc>
      </w:tr>
      <w:tr>
        <w:trPr/>
        <w:tc>
          <w:tcPr>
            <w:tcW w:w="5161" w:type="dxa"/>
            <w:tcBorders/>
            <w:vAlign w:val="center"/>
          </w:tcPr>
          <w:p>
            <w:pPr>
              <w:pStyle w:val="TableContents"/>
              <w:shd w:fill="CCEEFF" w:val="clear"/>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Purchased natural gas under long-term agreements</w:t>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shd w:fill="CCEEFF" w:val="clear"/>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277,009</w:t>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shd w:fill="CCEEFF" w:val="clear"/>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352,306</w:t>
            </w:r>
          </w:p>
        </w:tc>
        <w:tc>
          <w:tcPr>
            <w:tcW w:w="22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shd w:fill="CCEEFF" w:val="clear"/>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601,995</w:t>
            </w:r>
          </w:p>
        </w:tc>
      </w:tr>
    </w:tbl>
    <w:p>
      <w:pPr>
        <w:pStyle w:val="TextBody"/>
        <w:bidi w:val="0"/>
        <w:spacing w:lineRule="auto" w:line="259"/>
        <w:rPr>
          <w:rFonts w:ascii="Times New Roman;serif" w:hAnsi="Times New Roman;serif"/>
          <w:sz w:val="22"/>
        </w:rPr>
      </w:pPr>
      <w:r>
        <w:rPr>
          <w:rFonts w:ascii="Times New Roman;serif" w:hAnsi="Times New Roman;serif"/>
          <w:b/>
          <w:i/>
          <w:sz w:val="22"/>
        </w:rPr>
        <w:t xml:space="preserve">Contingencies – </w:t>
      </w:r>
      <w:r>
        <w:rPr>
          <w:rFonts w:ascii="Times New Roman;serif" w:hAnsi="Times New Roman;serif"/>
          <w:b w:val="false"/>
          <w:i w:val="false"/>
          <w:caps w:val="false"/>
          <w:smallCaps w:val="false"/>
          <w:sz w:val="22"/>
        </w:rPr>
        <w:t>The Company is routinely involved in various disputes, claims, lawsuits and other regulatory and legal matters, including both asserted and unasserted legal claims, in the ordinary course of business. The status of each such matter, referred to herein as a loss contingency, is reviewed and assessed in accordance with applicable accounting rules regarding the nature of the matter, the likelihood that a loss will be incurred, and the amounts involved. As of December 31, 2024, the aggregate amount of $</w:t>
      </w:r>
      <w:r>
        <w:rPr>
          <w:rFonts w:ascii="Times New Roman;serif" w:hAnsi="Times New Roman;serif"/>
          <w:b w:val="false"/>
          <w:i w:val="false"/>
          <w:caps w:val="false"/>
          <w:smallCaps w:val="false"/>
          <w:color w:val="000000"/>
          <w:sz w:val="22"/>
        </w:rPr>
        <w:t>23,815</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is accrued for loss contingencies and is reported in the Company’s consolidated balance sheet as other accrued liabilities and other liabilities. These accruals represent management’s best estimate of probable loss (as defined in the accounting guidance) for loss contingencies or the low end of a range of losses if no single probable loss can be estimated. For some loss contingencies, the Company is unable to estimate the amount of the probable loss or range of probable losses. Further, Essential Utilities has insurance coverage for certain of these loss contingencies, and as of December 31, 2024, estimates that approximately $</w:t>
      </w:r>
      <w:r>
        <w:rPr>
          <w:rFonts w:ascii="Times New Roman;serif" w:hAnsi="Times New Roman;serif"/>
          <w:b w:val="false"/>
          <w:i w:val="false"/>
          <w:caps w:val="false"/>
          <w:smallCaps w:val="false"/>
          <w:color w:val="000000"/>
          <w:sz w:val="22"/>
        </w:rPr>
        <w:t>688</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of the amount accrued for these matters are probable of recovery through insurance, which amount is also reported in the Company’s consolidated balance sheet as deferred charges and other assets, net.</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During a portion of 2019, the Company initiated a do not consume advisory for some of its customers in one division served by the Company’s Illinois subsidiary. The do not consume advisory was lifted in 2019, and, in 2022, the water system was determined to be in compliance with the federal Lead and Copper Rule. The Company has accrued for the penalty and other fees that will be paid as a result of a settlement that was reached with the state and local regulators and approved by the Illinois court with jurisdiction over this matter in July 2024. In addition, on September 3, 2019, two individuals, on behalf of themselves and those similarly situated, commenced an action against the Company’s Illinois subsidiary in the State court in Will County, Illinois related to this do not consume advisory. The complaint seeks class action certification, attorney's fees, and "damages, including, but not limited to, out of pocket damages, and discomfort, aggravation, and annoyance” based upon the water provided by the Company’s subsidiary to a discrete service area in University Park, Illinois. The complaint contains allegations of damages as a result of supplied water. In December, 2024, the State court in Will County, Illinois dismissed the case against the Company, and plaintiffs have filed an appeal of that decision. The Company has an accrual for the amount of loss asserted in the complaint that we determined to be probable and estimable of being incurred. While the final outcome of this claim cannot be predicted with certainty, and unfavorable outcomes could negatively impact the Company, at this time in the opinion of management, the final resolution of this matter is not expected to have a material adverse effect on the Company’s financial position, results of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operations or cash flows. Further, the Company submitted a claim for the expenses incurred to its insurance carrier for potential recovery of a portion of these costs, is currently in litigation with one of its carriers seeking to enforce its claims, and recently prevailed in the Third Circuit Court of Appeals which held that the insurance carrier possessed a duty to defend. The Company continues to assess the potential loss contingency on this matter.</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 number of the Company’s subsidiaries are parties to several lawsuits against manufacturers of certain per- and polyfluoroalkyl substances or compounds (“PFAS”) for damages, contribution and reimbursement of costs incurred and continuing to be incurred to address the presence of such PFAS in public water supply systems owned and operated by these utility subsidiaries throughout its service area. One such suit to which the Company is a party is a multi-district litigation (the “MDL”) lawsuit which commenced on December 7, 2018, in the United States District Court for the District of South Carolina. Several defendants in such lawsuit have agreed to settle. In February and April 2024, the MDL court issued its final approval of the DuPont and 3M class action settlements, respectively.  In April 2024 and May 2024, Tyco Fire Products LP and BASF Corp, respectively, filed similar class action settlements in the MDL court to resolve claims, and, on November 11, 2024, received final approval from the MDL court. The Company submitted the phase one public water system claims requirements pursuant to the Dupont and 3M settlement agreements and will submit other requirements within the time period provided by the MDL court. The amount of recovery, if any, by the Company is uncertain.</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Although the results of legal proceedings cannot be predicted with certainty, other than disclosed above, there are no pending legal proceedings to which the Company or any of its subsidiaries is a party or to which any of its properties is the subject that are material or are expected to have a material effect on the Company’s financial position, results of operations or cash flows. </w:t>
      </w:r>
    </w:p>
    <w:p>
      <w:pPr>
        <w:pStyle w:val="TextBody"/>
        <w:bidi w:val="0"/>
        <w:spacing w:lineRule="auto" w:line="259" w:before="0" w:after="100"/>
        <w:rPr>
          <w:rFonts w:ascii="Times New Roman;serif" w:hAnsi="Times New Roman;serif"/>
          <w:sz w:val="22"/>
        </w:rPr>
      </w:pPr>
      <w:r>
        <w:rPr>
          <w:rFonts w:ascii="Times New Roman;serif" w:hAnsi="Times New Roman;serif"/>
          <w:b w:val="false"/>
          <w:i w:val="false"/>
          <w:caps w:val="false"/>
          <w:smallCaps w:val="false"/>
          <w:sz w:val="22"/>
        </w:rPr>
        <w:t>In addition to the aforementioned loss contingencies, the Company self-insures a portion of its employee medical benefit program, and maintains stop-loss coverage to limit the exposure arising from these claims. The Company’s reserve for these claims totaled $2,295</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$1,846</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at December 31, 2024 and 2023, respectively, and represents a reserve for unpaid claim costs, including an estimate for the cost of incurred but not reported claims. </w:t>
      </w:r>
    </w:p>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t xml:space="preserve">Note 10 – </w:t>
      </w:r>
      <w:r>
        <w:rPr>
          <w:rFonts w:ascii="Times New Roman;serif" w:hAnsi="Times New Roman;serif"/>
          <w:b/>
          <w:i/>
          <w:sz w:val="22"/>
        </w:rPr>
        <w:t>Leases</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The Company leases land, office facilities, office equipment, and vehicles for use in its operations, which are accounted for as operating leases. Leases with a term of 12 months or less are not recorded on the balance sheet; rather, lease expense is recognized over the lease term. Our leases have remaining lives of 1</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to 70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years.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Some of the Company’s leases can be extended on a month-to-month basis, which allow us to terminate the lease at any given month without penalty while others include options to extend the leases for up to 50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years. The renewal of a month-to-month lease is at our sole discretion.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Company accounts for lease and non-lease components of lease arrangements separately. For calculating lease liabilities, we may deem lease terms to include options to extend or terminate the lease when it’s reasonably certain that we will exercise that option. The Company’s lease agreements do not contain significant residual value guarantees, restrictions or covenants.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Lease liabilities and corresponding right-of-use assets are recorded based on the present value of the lease payments over the expected lease term, including leases with variable payments that are based on a market rate or an index and net of any impairment. All other variable payments are expensed as incurred. Since the Company’s lease agreements do not provide an implicit interest rate, we utilize our incremental borrowing rate to determine the discount rate used to present value the lease payments.</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On January 6, 2022, the Company entered into an amendment to an office lease that provided for the partial termination of the Company’s obligations with respect to a portion of the leased premises of approximately 37,000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rentable square feet. The Company paid a termination fee of $2,812, reduced its remaining lease payments by $1,753</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and recognized a loss on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the partial termination of the lease of $1,801</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that is included within operations and maintenance expense in the consolidated statements of operations and comprehensive income.</w:t>
      </w:r>
    </w:p>
    <w:tbl>
      <w:tblPr>
        <w:tblW w:w="7212" w:type="dxa"/>
        <w:jc w:val="left"/>
        <w:tblInd w:w="0" w:type="dxa"/>
        <w:tblLayout w:type="fixed"/>
        <w:tblCellMar>
          <w:top w:w="0" w:type="dxa"/>
          <w:left w:w="0" w:type="dxa"/>
          <w:bottom w:w="0" w:type="dxa"/>
          <w:right w:w="0" w:type="dxa"/>
        </w:tblCellMar>
      </w:tblPr>
      <w:tblGrid>
        <w:gridCol w:w="4486"/>
        <w:gridCol w:w="231"/>
        <w:gridCol w:w="662"/>
        <w:gridCol w:w="231"/>
        <w:gridCol w:w="662"/>
        <w:gridCol w:w="231"/>
        <w:gridCol w:w="709"/>
      </w:tblGrid>
      <w:tr>
        <w:trPr/>
        <w:tc>
          <w:tcPr>
            <w:tcW w:w="4486"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c>
          <w:tcPr>
            <w:tcW w:w="662"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c>
          <w:tcPr>
            <w:tcW w:w="662" w:type="dxa"/>
            <w:tcBorders/>
            <w:shd w:fill="FFFFFF" w:val="clear"/>
            <w:vAlign w:val="center"/>
          </w:tcPr>
          <w:p>
            <w:pPr>
              <w:pStyle w:val="TableContents"/>
              <w:bidi w:val="0"/>
              <w:spacing w:before="0" w:after="283"/>
              <w:jc w:val="left"/>
              <w:rPr>
                <w:sz w:val="4"/>
                <w:szCs w:val="4"/>
              </w:rPr>
            </w:pPr>
            <w:r>
              <w:rPr>
                <w:sz w:val="4"/>
                <w:szCs w:val="4"/>
              </w:rPr>
            </w:r>
          </w:p>
        </w:tc>
        <w:tc>
          <w:tcPr>
            <w:tcW w:w="231" w:type="dxa"/>
            <w:tcBorders/>
            <w:shd w:fill="FFFFFF" w:val="clear"/>
            <w:vAlign w:val="center"/>
          </w:tcPr>
          <w:p>
            <w:pPr>
              <w:pStyle w:val="TableContents"/>
              <w:bidi w:val="0"/>
              <w:spacing w:before="0" w:after="283"/>
              <w:jc w:val="left"/>
              <w:rPr>
                <w:sz w:val="4"/>
                <w:szCs w:val="4"/>
              </w:rPr>
            </w:pPr>
            <w:r>
              <w:rPr>
                <w:sz w:val="4"/>
                <w:szCs w:val="4"/>
              </w:rPr>
            </w:r>
          </w:p>
        </w:tc>
        <w:tc>
          <w:tcPr>
            <w:tcW w:w="709" w:type="dxa"/>
            <w:tcBorders/>
            <w:shd w:fill="FFFFFF" w:val="clear"/>
            <w:vAlign w:val="center"/>
          </w:tcPr>
          <w:p>
            <w:pPr>
              <w:pStyle w:val="TableContents"/>
              <w:bidi w:val="0"/>
              <w:spacing w:before="0" w:after="283"/>
              <w:jc w:val="left"/>
              <w:rPr>
                <w:sz w:val="4"/>
                <w:szCs w:val="4"/>
              </w:rPr>
            </w:pPr>
            <w:r>
              <w:rPr>
                <w:sz w:val="4"/>
                <w:szCs w:val="4"/>
              </w:rPr>
            </w:r>
          </w:p>
        </w:tc>
      </w:tr>
      <w:tr>
        <w:trPr/>
        <w:tc>
          <w:tcPr>
            <w:tcW w:w="4486" w:type="dxa"/>
            <w:tcBorders/>
            <w:shd w:fill="FFFFFF" w:val="clear"/>
            <w:vAlign w:val="center"/>
          </w:tcPr>
          <w:p>
            <w:pPr>
              <w:pStyle w:val="TableContents"/>
              <w:bidi w:val="0"/>
              <w:spacing w:before="0" w:after="283"/>
              <w:jc w:val="left"/>
              <w:rPr>
                <w:sz w:val="4"/>
                <w:szCs w:val="4"/>
              </w:rPr>
            </w:pPr>
            <w:r>
              <w:rPr>
                <w:sz w:val="4"/>
                <w:szCs w:val="4"/>
              </w:rPr>
            </w:r>
          </w:p>
        </w:tc>
        <w:tc>
          <w:tcPr>
            <w:tcW w:w="2726" w:type="dxa"/>
            <w:gridSpan w:val="6"/>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Years Ended December 31,</w:t>
            </w:r>
          </w:p>
        </w:tc>
      </w:tr>
      <w:tr>
        <w:trPr/>
        <w:tc>
          <w:tcPr>
            <w:tcW w:w="4486" w:type="dxa"/>
            <w:tcBorders/>
            <w:shd w:fill="FFFFFF" w:val="cle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893"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940"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448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Components of lease expense were as follows:</w:t>
            </w:r>
          </w:p>
        </w:tc>
        <w:tc>
          <w:tcPr>
            <w:tcW w:w="23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62"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62"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448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lease cost</w:t>
            </w:r>
          </w:p>
        </w:tc>
        <w:tc>
          <w:tcPr>
            <w:tcW w:w="2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6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9,821</w:t>
            </w:r>
          </w:p>
        </w:tc>
        <w:tc>
          <w:tcPr>
            <w:tcW w:w="2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62"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9,307</w:t>
            </w:r>
          </w:p>
        </w:tc>
        <w:tc>
          <w:tcPr>
            <w:tcW w:w="23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9,359</w:t>
            </w:r>
          </w:p>
        </w:tc>
      </w:tr>
    </w:tbl>
    <w:tbl>
      <w:tblPr>
        <w:tblW w:w="9466" w:type="dxa"/>
        <w:jc w:val="left"/>
        <w:tblInd w:w="0" w:type="dxa"/>
        <w:tblLayout w:type="fixed"/>
        <w:tblCellMar>
          <w:top w:w="0" w:type="dxa"/>
          <w:left w:w="0" w:type="dxa"/>
          <w:bottom w:w="0" w:type="dxa"/>
          <w:right w:w="0" w:type="dxa"/>
        </w:tblCellMar>
      </w:tblPr>
      <w:tblGrid>
        <w:gridCol w:w="6736"/>
        <w:gridCol w:w="345"/>
        <w:gridCol w:w="986"/>
        <w:gridCol w:w="345"/>
        <w:gridCol w:w="1054"/>
      </w:tblGrid>
      <w:tr>
        <w:trPr/>
        <w:tc>
          <w:tcPr>
            <w:tcW w:w="6736" w:type="dxa"/>
            <w:tcBorders/>
            <w:shd w:fill="FFFFFF" w:val="clear"/>
            <w:vAlign w:val="center"/>
          </w:tcPr>
          <w:p>
            <w:pPr>
              <w:pStyle w:val="TableContents"/>
              <w:bidi w:val="0"/>
              <w:spacing w:before="0" w:after="283"/>
              <w:jc w:val="left"/>
              <w:rPr>
                <w:sz w:val="4"/>
                <w:szCs w:val="4"/>
              </w:rPr>
            </w:pPr>
            <w:r>
              <w:rPr>
                <w:sz w:val="4"/>
                <w:szCs w:val="4"/>
              </w:rPr>
            </w:r>
          </w:p>
        </w:tc>
        <w:tc>
          <w:tcPr>
            <w:tcW w:w="345"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left"/>
              <w:rPr>
                <w:sz w:val="4"/>
                <w:szCs w:val="4"/>
              </w:rPr>
            </w:pPr>
            <w:r>
              <w:rPr>
                <w:sz w:val="4"/>
                <w:szCs w:val="4"/>
              </w:rPr>
            </w:r>
          </w:p>
        </w:tc>
        <w:tc>
          <w:tcPr>
            <w:tcW w:w="345" w:type="dxa"/>
            <w:tcBorders/>
            <w:shd w:fill="FFFFFF" w:val="clear"/>
            <w:vAlign w:val="center"/>
          </w:tcPr>
          <w:p>
            <w:pPr>
              <w:pStyle w:val="TableContents"/>
              <w:bidi w:val="0"/>
              <w:spacing w:before="0" w:after="283"/>
              <w:jc w:val="left"/>
              <w:rPr>
                <w:sz w:val="4"/>
                <w:szCs w:val="4"/>
              </w:rPr>
            </w:pPr>
            <w:r>
              <w:rPr>
                <w:sz w:val="4"/>
                <w:szCs w:val="4"/>
              </w:rPr>
            </w:r>
          </w:p>
        </w:tc>
        <w:tc>
          <w:tcPr>
            <w:tcW w:w="1054" w:type="dxa"/>
            <w:tcBorders/>
            <w:shd w:fill="FFFFFF" w:val="clear"/>
            <w:vAlign w:val="center"/>
          </w:tcPr>
          <w:p>
            <w:pPr>
              <w:pStyle w:val="TableContents"/>
              <w:bidi w:val="0"/>
              <w:spacing w:before="0" w:after="283"/>
              <w:jc w:val="left"/>
              <w:rPr>
                <w:sz w:val="4"/>
                <w:szCs w:val="4"/>
              </w:rPr>
            </w:pPr>
            <w:r>
              <w:rPr>
                <w:sz w:val="4"/>
                <w:szCs w:val="4"/>
              </w:rPr>
            </w:r>
          </w:p>
        </w:tc>
      </w:tr>
      <w:tr>
        <w:trPr/>
        <w:tc>
          <w:tcPr>
            <w:tcW w:w="6736" w:type="dxa"/>
            <w:tcBorders/>
            <w:shd w:fill="FFFFFF" w:val="clear"/>
            <w:vAlign w:val="center"/>
          </w:tcPr>
          <w:p>
            <w:pPr>
              <w:pStyle w:val="TableContents"/>
              <w:bidi w:val="0"/>
              <w:spacing w:before="0" w:after="283"/>
              <w:jc w:val="left"/>
              <w:rPr>
                <w:sz w:val="4"/>
                <w:szCs w:val="4"/>
              </w:rPr>
            </w:pPr>
            <w:r>
              <w:rPr>
                <w:sz w:val="4"/>
                <w:szCs w:val="4"/>
              </w:rPr>
            </w:r>
          </w:p>
        </w:tc>
        <w:tc>
          <w:tcPr>
            <w:tcW w:w="2730" w:type="dxa"/>
            <w:gridSpan w:val="4"/>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Years Ended December 31,</w:t>
            </w:r>
          </w:p>
        </w:tc>
      </w:tr>
      <w:tr>
        <w:trPr/>
        <w:tc>
          <w:tcPr>
            <w:tcW w:w="6736" w:type="dxa"/>
            <w:tcBorders/>
            <w:shd w:fill="FFFFFF" w:val="clear"/>
            <w:vAlign w:val="center"/>
          </w:tcPr>
          <w:p>
            <w:pPr>
              <w:pStyle w:val="TableContents"/>
              <w:bidi w:val="0"/>
              <w:spacing w:before="0" w:after="283"/>
              <w:jc w:val="left"/>
              <w:rPr>
                <w:sz w:val="4"/>
                <w:szCs w:val="4"/>
              </w:rPr>
            </w:pPr>
            <w:r>
              <w:rPr>
                <w:sz w:val="4"/>
                <w:szCs w:val="4"/>
              </w:rPr>
            </w:r>
          </w:p>
        </w:tc>
        <w:tc>
          <w:tcPr>
            <w:tcW w:w="1331"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1399"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r>
      <w:tr>
        <w:trPr/>
        <w:tc>
          <w:tcPr>
            <w:tcW w:w="6736" w:type="dxa"/>
            <w:tcBorders/>
            <w:shd w:fill="FFFF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Supplemental cash flow information related to leases was as follows:</w:t>
            </w:r>
          </w:p>
        </w:tc>
        <w:tc>
          <w:tcPr>
            <w:tcW w:w="345"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8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54"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6736" w:type="dxa"/>
            <w:tcBorders/>
            <w:shd w:fill="FFFF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Cash paid for amounts included in the measurement of lease liabilities:</w:t>
            </w:r>
          </w:p>
        </w:tc>
        <w:tc>
          <w:tcPr>
            <w:tcW w:w="345" w:type="dxa"/>
            <w:tcBorders/>
            <w:shd w:fill="FFFFFF" w:val="clear"/>
            <w:vAlign w:val="center"/>
          </w:tcPr>
          <w:p>
            <w:pPr>
              <w:pStyle w:val="TableContents"/>
              <w:bidi w:val="0"/>
              <w:spacing w:before="0" w:after="283"/>
              <w:jc w:val="left"/>
              <w:rPr>
                <w:sz w:val="4"/>
                <w:szCs w:val="4"/>
              </w:rPr>
            </w:pPr>
            <w:r>
              <w:rPr>
                <w:sz w:val="4"/>
                <w:szCs w:val="4"/>
              </w:rPr>
            </w:r>
          </w:p>
        </w:tc>
        <w:tc>
          <w:tcPr>
            <w:tcW w:w="986" w:type="dxa"/>
            <w:tcBorders/>
            <w:shd w:fill="FFFFFF" w:val="clear"/>
            <w:vAlign w:val="center"/>
          </w:tcPr>
          <w:p>
            <w:pPr>
              <w:pStyle w:val="TableContents"/>
              <w:bidi w:val="0"/>
              <w:spacing w:before="0" w:after="283"/>
              <w:jc w:val="left"/>
              <w:rPr>
                <w:sz w:val="4"/>
                <w:szCs w:val="4"/>
              </w:rPr>
            </w:pPr>
            <w:r>
              <w:rPr>
                <w:sz w:val="4"/>
                <w:szCs w:val="4"/>
              </w:rPr>
            </w:r>
          </w:p>
        </w:tc>
        <w:tc>
          <w:tcPr>
            <w:tcW w:w="345" w:type="dxa"/>
            <w:tcBorders/>
            <w:shd w:fill="FFFFFF" w:val="clear"/>
            <w:vAlign w:val="center"/>
          </w:tcPr>
          <w:p>
            <w:pPr>
              <w:pStyle w:val="TableContents"/>
              <w:bidi w:val="0"/>
              <w:spacing w:before="0" w:after="283"/>
              <w:jc w:val="left"/>
              <w:rPr>
                <w:sz w:val="4"/>
                <w:szCs w:val="4"/>
              </w:rPr>
            </w:pPr>
            <w:r>
              <w:rPr>
                <w:sz w:val="4"/>
                <w:szCs w:val="4"/>
              </w:rPr>
            </w:r>
          </w:p>
        </w:tc>
        <w:tc>
          <w:tcPr>
            <w:tcW w:w="1054" w:type="dxa"/>
            <w:tcBorders/>
            <w:shd w:fill="FFFFFF" w:val="clear"/>
            <w:vAlign w:val="center"/>
          </w:tcPr>
          <w:p>
            <w:pPr>
              <w:pStyle w:val="TableContents"/>
              <w:bidi w:val="0"/>
              <w:spacing w:before="0" w:after="283"/>
              <w:jc w:val="left"/>
              <w:rPr>
                <w:sz w:val="4"/>
                <w:szCs w:val="4"/>
              </w:rPr>
            </w:pPr>
            <w:r>
              <w:rPr>
                <w:sz w:val="4"/>
                <w:szCs w:val="4"/>
              </w:rPr>
            </w:r>
          </w:p>
        </w:tc>
      </w:tr>
      <w:tr>
        <w:trPr/>
        <w:tc>
          <w:tcPr>
            <w:tcW w:w="6736" w:type="dxa"/>
            <w:tcBorders/>
            <w:shd w:fill="CCEEFF" w:val="clear"/>
            <w:vAlign w:val="center"/>
          </w:tcPr>
          <w:p>
            <w:pPr>
              <w:pStyle w:val="TableContents"/>
              <w:bidi w:val="0"/>
              <w:spacing w:lineRule="auto" w:line="259" w:before="0" w:after="1"/>
              <w:ind w:left="24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cash flows from operating leases</w:t>
            </w:r>
          </w:p>
        </w:tc>
        <w:tc>
          <w:tcPr>
            <w:tcW w:w="345"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8,148</w:t>
            </w:r>
          </w:p>
        </w:tc>
        <w:tc>
          <w:tcPr>
            <w:tcW w:w="34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54"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9,149</w:t>
            </w:r>
          </w:p>
        </w:tc>
      </w:tr>
    </w:tbl>
    <w:tbl>
      <w:tblPr>
        <w:tblW w:w="9560" w:type="dxa"/>
        <w:jc w:val="left"/>
        <w:tblInd w:w="0" w:type="dxa"/>
        <w:tblLayout w:type="fixed"/>
        <w:tblCellMar>
          <w:top w:w="0" w:type="dxa"/>
          <w:left w:w="0" w:type="dxa"/>
          <w:bottom w:w="0" w:type="dxa"/>
          <w:right w:w="0" w:type="dxa"/>
        </w:tblCellMar>
      </w:tblPr>
      <w:tblGrid>
        <w:gridCol w:w="6901"/>
        <w:gridCol w:w="226"/>
        <w:gridCol w:w="1081"/>
        <w:gridCol w:w="226"/>
        <w:gridCol w:w="1126"/>
      </w:tblGrid>
      <w:tr>
        <w:trPr/>
        <w:tc>
          <w:tcPr>
            <w:tcW w:w="690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before="0" w:after="283"/>
              <w:jc w:val="left"/>
              <w:rPr>
                <w:sz w:val="4"/>
                <w:szCs w:val="4"/>
              </w:rPr>
            </w:pPr>
            <w:r>
              <w:rPr>
                <w:sz w:val="4"/>
                <w:szCs w:val="4"/>
              </w:rPr>
            </w:r>
          </w:p>
        </w:tc>
      </w:tr>
      <w:tr>
        <w:trPr/>
        <w:tc>
          <w:tcPr>
            <w:tcW w:w="6901" w:type="dxa"/>
            <w:tcBorders/>
            <w:shd w:fill="FFFFFF" w:val="clear"/>
            <w:vAlign w:val="center"/>
          </w:tcPr>
          <w:p>
            <w:pPr>
              <w:pStyle w:val="TableContents"/>
              <w:bidi w:val="0"/>
              <w:spacing w:before="0" w:after="283"/>
              <w:jc w:val="left"/>
              <w:rPr>
                <w:sz w:val="4"/>
                <w:szCs w:val="4"/>
              </w:rPr>
            </w:pPr>
            <w:r>
              <w:rPr>
                <w:sz w:val="4"/>
                <w:szCs w:val="4"/>
              </w:rPr>
            </w:r>
          </w:p>
        </w:tc>
        <w:tc>
          <w:tcPr>
            <w:tcW w:w="2659"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December 31, </w:t>
            </w:r>
          </w:p>
        </w:tc>
      </w:tr>
      <w:tr>
        <w:trPr/>
        <w:tc>
          <w:tcPr>
            <w:tcW w:w="6901" w:type="dxa"/>
            <w:tcBorders/>
            <w:shd w:fill="FFFFFF" w:val="cle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135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r>
      <w:tr>
        <w:trPr/>
        <w:tc>
          <w:tcPr>
            <w:tcW w:w="690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Supplemental balance sheet information related to leases was as follows:</w:t>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6901" w:type="dxa"/>
            <w:tcBorders/>
            <w:shd w:fill="FFFF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leases:</w:t>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08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26" w:type="dxa"/>
            <w:tcBorders/>
            <w:shd w:fill="FFFFFF" w:val="clear"/>
            <w:vAlign w:val="center"/>
          </w:tcPr>
          <w:p>
            <w:pPr>
              <w:pStyle w:val="TableContents"/>
              <w:bidi w:val="0"/>
              <w:spacing w:before="0" w:after="283"/>
              <w:jc w:val="left"/>
              <w:rPr>
                <w:sz w:val="4"/>
                <w:szCs w:val="4"/>
              </w:rPr>
            </w:pPr>
            <w:r>
              <w:rPr>
                <w:sz w:val="4"/>
                <w:szCs w:val="4"/>
              </w:rPr>
            </w:r>
          </w:p>
        </w:tc>
      </w:tr>
      <w:tr>
        <w:trPr/>
        <w:tc>
          <w:tcPr>
            <w:tcW w:w="69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lease right-of-use assets</w:t>
            </w:r>
          </w:p>
        </w:tc>
        <w:tc>
          <w:tcPr>
            <w:tcW w:w="226" w:type="dxa"/>
            <w:tcBorders>
              <w:bottom w:val="double" w:sz="6" w:space="0" w:color="000000"/>
            </w:tcBorders>
            <w:shd w:fill="CCEE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81" w:type="dxa"/>
            <w:tcBorders>
              <w:bottom w:val="double" w:sz="6"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31,263</w:t>
            </w:r>
          </w:p>
        </w:tc>
        <w:tc>
          <w:tcPr>
            <w:tcW w:w="226" w:type="dxa"/>
            <w:tcBorders>
              <w:bottom w:val="double" w:sz="6"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26" w:type="dxa"/>
            <w:tcBorders>
              <w:bottom w:val="double" w:sz="6"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37,416</w:t>
            </w:r>
          </w:p>
        </w:tc>
      </w:tr>
      <w:tr>
        <w:trPr/>
        <w:tc>
          <w:tcPr>
            <w:tcW w:w="6901" w:type="dxa"/>
            <w:tcBorders/>
            <w:vAlign w:val="center"/>
          </w:tcPr>
          <w:p>
            <w:pPr>
              <w:pStyle w:val="TableContents"/>
              <w:bidi w:val="0"/>
              <w:spacing w:before="0" w:after="283"/>
              <w:ind w:left="245" w:right="0" w:hanging="0"/>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901" w:type="dxa"/>
            <w:tcBorders/>
            <w:shd w:fill="CCEEFF" w:val="clear"/>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accrued liabilities</w:t>
            </w:r>
          </w:p>
        </w:tc>
        <w:tc>
          <w:tcPr>
            <w:tcW w:w="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8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7,591</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7,360</w:t>
            </w:r>
          </w:p>
        </w:tc>
      </w:tr>
      <w:tr>
        <w:trPr/>
        <w:tc>
          <w:tcPr>
            <w:tcW w:w="6901" w:type="dxa"/>
            <w:tcBorders/>
            <w:vAlign w:val="center"/>
          </w:tcPr>
          <w:p>
            <w:pPr>
              <w:pStyle w:val="TableContents"/>
              <w:bidi w:val="0"/>
              <w:spacing w:lineRule="auto" w:line="259" w:before="0" w:after="283"/>
              <w:ind w:left="24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lease liabilities</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8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27,447</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2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34,425</w:t>
            </w:r>
          </w:p>
        </w:tc>
      </w:tr>
      <w:tr>
        <w:trPr/>
        <w:tc>
          <w:tcPr>
            <w:tcW w:w="69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operating lease liabilities</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35,038</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41,785</w:t>
            </w:r>
          </w:p>
        </w:tc>
      </w:tr>
      <w:tr>
        <w:trPr/>
        <w:tc>
          <w:tcPr>
            <w:tcW w:w="6901" w:type="dxa"/>
            <w:tcBorders/>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8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90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6901" w:type="dxa"/>
            <w:tcBorders/>
            <w:vAlign w:val="center"/>
          </w:tcPr>
          <w:p>
            <w:pPr>
              <w:pStyle w:val="TableContents"/>
              <w:bidi w:val="0"/>
              <w:spacing w:before="0" w:after="283"/>
              <w:jc w:val="left"/>
              <w:rPr>
                <w:sz w:val="4"/>
                <w:szCs w:val="4"/>
              </w:rPr>
            </w:pPr>
            <w:r>
              <w:rPr>
                <w:sz w:val="4"/>
                <w:szCs w:val="4"/>
              </w:rPr>
            </w:r>
          </w:p>
        </w:tc>
        <w:tc>
          <w:tcPr>
            <w:tcW w:w="2659" w:type="dxa"/>
            <w:gridSpan w:val="4"/>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December 31, </w:t>
            </w:r>
          </w:p>
        </w:tc>
      </w:tr>
      <w:tr>
        <w:trPr/>
        <w:tc>
          <w:tcPr>
            <w:tcW w:w="6901" w:type="dxa"/>
            <w:tcBorders/>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1352" w:type="dxa"/>
            <w:gridSpan w:val="2"/>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r>
      <w:tr>
        <w:trPr/>
        <w:tc>
          <w:tcPr>
            <w:tcW w:w="690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Weighted average remaining lease term:</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8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901"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leases</w:t>
            </w:r>
          </w:p>
        </w:tc>
        <w:tc>
          <w:tcPr>
            <w:tcW w:w="22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10.2</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lineRule="auto" w:line="259" w:before="0" w:after="283"/>
              <w:jc w:val="right"/>
              <w:rPr>
                <w:rFonts w:ascii="Times New Roman;serif" w:hAnsi="Times New Roman;serif"/>
                <w:sz w:val="22"/>
              </w:rPr>
            </w:pPr>
            <w:r>
              <w:rPr>
                <w:rFonts w:ascii="Times New Roman;serif" w:hAnsi="Times New Roman;serif"/>
                <w:b w:val="false"/>
                <w:i w:val="false"/>
                <w:caps w:val="false"/>
                <w:smallCaps w:val="false"/>
                <w:color w:val="000000"/>
                <w:sz w:val="22"/>
              </w:rPr>
              <w:t>10.1</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years</w:t>
            </w:r>
          </w:p>
        </w:tc>
      </w:tr>
      <w:tr>
        <w:trPr/>
        <w:tc>
          <w:tcPr>
            <w:tcW w:w="6901"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before="0" w:after="283"/>
              <w:jc w:val="left"/>
              <w:rPr>
                <w:sz w:val="4"/>
                <w:szCs w:val="4"/>
              </w:rPr>
            </w:pPr>
            <w:r>
              <w:rPr>
                <w:sz w:val="4"/>
                <w:szCs w:val="4"/>
              </w:rPr>
            </w:r>
          </w:p>
        </w:tc>
      </w:tr>
      <w:tr>
        <w:trPr/>
        <w:tc>
          <w:tcPr>
            <w:tcW w:w="69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Weighted average discount rate:</w:t>
            </w:r>
          </w:p>
        </w:tc>
        <w:tc>
          <w:tcPr>
            <w:tcW w:w="22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r>
      <w:tr>
        <w:trPr/>
        <w:tc>
          <w:tcPr>
            <w:tcW w:w="6901"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leases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8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5.15%</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4.87%</w:t>
            </w:r>
          </w:p>
        </w:tc>
      </w:tr>
    </w:tbl>
    <w:p>
      <w:pPr>
        <w:pStyle w:val="TextBody"/>
        <w:bidi w:val="0"/>
        <w:spacing w:lineRule="auto" w:line="259" w:before="0" w:after="10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Maturities of operating lease liabilities and a reconciliation of the operating lease liabilities reported on our consolidated balance sheets as of December 31, 2024 are as follows:</w:t>
      </w:r>
    </w:p>
    <w:tbl>
      <w:tblPr>
        <w:tblW w:w="4802" w:type="dxa"/>
        <w:jc w:val="left"/>
        <w:tblInd w:w="0" w:type="dxa"/>
        <w:tblLayout w:type="fixed"/>
        <w:tblCellMar>
          <w:top w:w="0" w:type="dxa"/>
          <w:left w:w="0" w:type="dxa"/>
          <w:bottom w:w="0" w:type="dxa"/>
          <w:right w:w="0" w:type="dxa"/>
        </w:tblCellMar>
      </w:tblPr>
      <w:tblGrid>
        <w:gridCol w:w="3031"/>
        <w:gridCol w:w="385"/>
        <w:gridCol w:w="1386"/>
      </w:tblGrid>
      <w:tr>
        <w:trPr/>
        <w:tc>
          <w:tcPr>
            <w:tcW w:w="3031" w:type="dxa"/>
            <w:tcBorders/>
            <w:shd w:fill="FFFFFF" w:val="clear"/>
            <w:vAlign w:val="center"/>
          </w:tcPr>
          <w:p>
            <w:pPr>
              <w:pStyle w:val="TableContents"/>
              <w:bidi w:val="0"/>
              <w:spacing w:before="0" w:after="283"/>
              <w:jc w:val="left"/>
              <w:rPr>
                <w:sz w:val="4"/>
                <w:szCs w:val="4"/>
              </w:rPr>
            </w:pPr>
            <w:r>
              <w:rPr>
                <w:sz w:val="4"/>
                <w:szCs w:val="4"/>
              </w:rPr>
            </w:r>
          </w:p>
        </w:tc>
        <w:tc>
          <w:tcPr>
            <w:tcW w:w="385" w:type="dxa"/>
            <w:tcBorders/>
            <w:shd w:fill="FFFFFF" w:val="clear"/>
            <w:vAlign w:val="center"/>
          </w:tcPr>
          <w:p>
            <w:pPr>
              <w:pStyle w:val="TableContents"/>
              <w:bidi w:val="0"/>
              <w:spacing w:before="0" w:after="283"/>
              <w:jc w:val="left"/>
              <w:rPr>
                <w:sz w:val="4"/>
                <w:szCs w:val="4"/>
              </w:rPr>
            </w:pPr>
            <w:r>
              <w:rPr>
                <w:sz w:val="4"/>
                <w:szCs w:val="4"/>
              </w:rPr>
            </w:r>
          </w:p>
        </w:tc>
        <w:tc>
          <w:tcPr>
            <w:tcW w:w="1386" w:type="dxa"/>
            <w:tcBorders/>
            <w:shd w:fill="FFFFFF" w:val="clear"/>
            <w:vAlign w:val="center"/>
          </w:tcPr>
          <w:p>
            <w:pPr>
              <w:pStyle w:val="TableContents"/>
              <w:bidi w:val="0"/>
              <w:spacing w:before="0" w:after="283"/>
              <w:jc w:val="left"/>
              <w:rPr>
                <w:sz w:val="4"/>
                <w:szCs w:val="4"/>
              </w:rPr>
            </w:pPr>
            <w:r>
              <w:rPr>
                <w:sz w:val="4"/>
                <w:szCs w:val="4"/>
              </w:rPr>
            </w:r>
          </w:p>
        </w:tc>
      </w:tr>
      <w:tr>
        <w:trPr/>
        <w:tc>
          <w:tcPr>
            <w:tcW w:w="3031" w:type="dxa"/>
            <w:tcBorders/>
            <w:shd w:fill="FFFFFF" w:val="clear"/>
            <w:vAlign w:val="center"/>
          </w:tcPr>
          <w:p>
            <w:pPr>
              <w:pStyle w:val="TableContents"/>
              <w:bidi w:val="0"/>
              <w:spacing w:before="0" w:after="283"/>
              <w:jc w:val="left"/>
              <w:rPr>
                <w:sz w:val="4"/>
                <w:szCs w:val="4"/>
              </w:rPr>
            </w:pPr>
            <w:r>
              <w:rPr>
                <w:sz w:val="4"/>
                <w:szCs w:val="4"/>
              </w:rPr>
            </w:r>
          </w:p>
        </w:tc>
        <w:tc>
          <w:tcPr>
            <w:tcW w:w="177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Leases</w:t>
            </w:r>
          </w:p>
        </w:tc>
      </w:tr>
      <w:tr>
        <w:trPr/>
        <w:tc>
          <w:tcPr>
            <w:tcW w:w="3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2025</w:t>
            </w:r>
          </w:p>
        </w:tc>
        <w:tc>
          <w:tcPr>
            <w:tcW w:w="385"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3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9,144</w:t>
            </w:r>
          </w:p>
        </w:tc>
      </w:tr>
      <w:tr>
        <w:trPr/>
        <w:tc>
          <w:tcPr>
            <w:tcW w:w="3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2026</w:t>
            </w:r>
          </w:p>
        </w:tc>
        <w:tc>
          <w:tcPr>
            <w:tcW w:w="38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7,515</w:t>
            </w:r>
          </w:p>
        </w:tc>
      </w:tr>
      <w:tr>
        <w:trPr/>
        <w:tc>
          <w:tcPr>
            <w:tcW w:w="3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2027</w:t>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13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7,262</w:t>
            </w:r>
          </w:p>
        </w:tc>
      </w:tr>
      <w:tr>
        <w:trPr/>
        <w:tc>
          <w:tcPr>
            <w:tcW w:w="3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2028</w:t>
            </w:r>
          </w:p>
        </w:tc>
        <w:tc>
          <w:tcPr>
            <w:tcW w:w="385"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6,870</w:t>
            </w:r>
          </w:p>
        </w:tc>
      </w:tr>
      <w:tr>
        <w:trPr/>
        <w:tc>
          <w:tcPr>
            <w:tcW w:w="3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2029</w:t>
            </w:r>
          </w:p>
        </w:tc>
        <w:tc>
          <w:tcPr>
            <w:tcW w:w="385" w:type="dxa"/>
            <w:tcBorders/>
            <w:shd w:fill="CCEEFF" w:val="clear"/>
            <w:vAlign w:val="center"/>
          </w:tcPr>
          <w:p>
            <w:pPr>
              <w:pStyle w:val="TableContents"/>
              <w:bidi w:val="0"/>
              <w:spacing w:before="0" w:after="283"/>
              <w:jc w:val="left"/>
              <w:rPr>
                <w:sz w:val="4"/>
                <w:szCs w:val="4"/>
              </w:rPr>
            </w:pPr>
            <w:r>
              <w:rPr>
                <w:sz w:val="4"/>
                <w:szCs w:val="4"/>
              </w:rPr>
            </w:r>
          </w:p>
        </w:tc>
        <w:tc>
          <w:tcPr>
            <w:tcW w:w="13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1,075</w:t>
            </w:r>
          </w:p>
        </w:tc>
      </w:tr>
      <w:tr>
        <w:trPr/>
        <w:tc>
          <w:tcPr>
            <w:tcW w:w="3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Thereafter</w:t>
            </w:r>
          </w:p>
        </w:tc>
        <w:tc>
          <w:tcPr>
            <w:tcW w:w="38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8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12,827</w:t>
            </w:r>
          </w:p>
        </w:tc>
      </w:tr>
      <w:tr>
        <w:trPr/>
        <w:tc>
          <w:tcPr>
            <w:tcW w:w="3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operating lease payments</w:t>
            </w:r>
          </w:p>
        </w:tc>
        <w:tc>
          <w:tcPr>
            <w:tcW w:w="3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38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44,693</w:t>
            </w:r>
          </w:p>
        </w:tc>
      </w:tr>
      <w:tr>
        <w:trPr/>
        <w:tc>
          <w:tcPr>
            <w:tcW w:w="3031" w:type="dxa"/>
            <w:tcBorders/>
            <w:vAlign w:val="center"/>
          </w:tcPr>
          <w:p>
            <w:pPr>
              <w:pStyle w:val="TableContents"/>
              <w:bidi w:val="0"/>
              <w:spacing w:before="0" w:after="283"/>
              <w:jc w:val="left"/>
              <w:rPr>
                <w:sz w:val="4"/>
                <w:szCs w:val="4"/>
              </w:rPr>
            </w:pPr>
            <w:r>
              <w:rPr>
                <w:sz w:val="4"/>
                <w:szCs w:val="4"/>
              </w:rPr>
            </w:r>
          </w:p>
        </w:tc>
        <w:tc>
          <w:tcPr>
            <w:tcW w:w="385"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3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3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operating lease payments</w:t>
            </w:r>
          </w:p>
        </w:tc>
        <w:tc>
          <w:tcPr>
            <w:tcW w:w="38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38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44,693</w:t>
            </w:r>
          </w:p>
        </w:tc>
      </w:tr>
      <w:tr>
        <w:trPr/>
        <w:tc>
          <w:tcPr>
            <w:tcW w:w="30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Less operating lease liabilities</w:t>
            </w:r>
          </w:p>
        </w:tc>
        <w:tc>
          <w:tcPr>
            <w:tcW w:w="38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386"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35,038</w:t>
            </w:r>
          </w:p>
        </w:tc>
      </w:tr>
      <w:tr>
        <w:trPr/>
        <w:tc>
          <w:tcPr>
            <w:tcW w:w="30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Present value adjustment</w:t>
            </w:r>
          </w:p>
        </w:tc>
        <w:tc>
          <w:tcPr>
            <w:tcW w:w="38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38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9,655</w:t>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89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t xml:space="preserve">Note 11 – </w:t>
      </w:r>
      <w:r>
        <w:rPr>
          <w:rFonts w:ascii="Times New Roman;serif" w:hAnsi="Times New Roman;serif"/>
          <w:b/>
          <w:i/>
          <w:sz w:val="22"/>
        </w:rPr>
        <w:t>Long-term Debt and Loans Payable</w:t>
      </w:r>
    </w:p>
    <w:p>
      <w:pPr>
        <w:pStyle w:val="TextBody"/>
        <w:bidi w:val="0"/>
        <w:spacing w:lineRule="auto" w:line="259"/>
        <w:rPr>
          <w:rFonts w:ascii="Times New Roman;serif" w:hAnsi="Times New Roman;serif"/>
          <w:sz w:val="22"/>
        </w:rPr>
      </w:pPr>
      <w:r>
        <w:rPr>
          <w:rFonts w:ascii="Times New Roman;serif" w:hAnsi="Times New Roman;serif"/>
          <w:b/>
          <w:i/>
          <w:sz w:val="22"/>
        </w:rPr>
        <w:t xml:space="preserve">Long-term Debt – </w:t>
      </w:r>
      <w:r>
        <w:rPr>
          <w:rFonts w:ascii="Times New Roman;serif" w:hAnsi="Times New Roman;serif"/>
          <w:b w:val="false"/>
          <w:i w:val="false"/>
          <w:caps w:val="false"/>
          <w:smallCaps w:val="false"/>
          <w:sz w:val="22"/>
        </w:rPr>
        <w:t>The consolidated statements of capitalization provide a summary of long-term debt as of December 31, 2024 and 2023. The supplemental indentures with respect to specific issues of the first mortgage bonds restrict the ability of Aqua Pennsylvania and other operating subsidiaries of the Company to declare dividends, in cash or property, or repurchase or otherwise acquire the stock of these companies. Loan agreements for Aqua Pennsylvania and other operating subsidiaries of the Company have restrictions on minimum net assets.  As of December 31, 2024, restrictions on the net assets of the Company were $4,886,450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of the total $6,198,809</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 net assets.  Included in this amount were restrictions on Aqua Pennsylvania’s net assets of $1,817,084</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of their total net assets of $2,540,787. As of December 31, 2024, $2,626,620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of Aqua Pennsylvania’s retained earnings of $2,646,620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$372,979</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of the retained earnings of $578,490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of other subsidiaries were free of these restrictions. Some supplemental indentures also prohibit Aqua Pennsylvania and some other subsidiaries of the Company from making loans to, or purchasing the stock of, the Company.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Sinking fund payments are required by the terms of specific issues of long-term debt. Excluding amounts due under the Company’s revolving credit agreement, the future sinking fund payments and debt maturities of the Company’s long-term debt are as follows:</w:t>
      </w:r>
    </w:p>
    <w:tbl>
      <w:tblPr>
        <w:tblW w:w="9105" w:type="dxa"/>
        <w:jc w:val="left"/>
        <w:tblInd w:w="0" w:type="dxa"/>
        <w:tblLayout w:type="fixed"/>
        <w:tblCellMar>
          <w:top w:w="0" w:type="dxa"/>
          <w:left w:w="0" w:type="dxa"/>
          <w:bottom w:w="0" w:type="dxa"/>
          <w:right w:w="0" w:type="dxa"/>
        </w:tblCellMar>
      </w:tblPr>
      <w:tblGrid>
        <w:gridCol w:w="1951"/>
        <w:gridCol w:w="226"/>
        <w:gridCol w:w="886"/>
        <w:gridCol w:w="109"/>
        <w:gridCol w:w="226"/>
        <w:gridCol w:w="766"/>
        <w:gridCol w:w="109"/>
        <w:gridCol w:w="226"/>
        <w:gridCol w:w="886"/>
        <w:gridCol w:w="109"/>
        <w:gridCol w:w="226"/>
        <w:gridCol w:w="646"/>
        <w:gridCol w:w="109"/>
        <w:gridCol w:w="226"/>
        <w:gridCol w:w="958"/>
        <w:gridCol w:w="109"/>
        <w:gridCol w:w="226"/>
        <w:gridCol w:w="1111"/>
      </w:tblGrid>
      <w:tr>
        <w:trPr/>
        <w:tc>
          <w:tcPr>
            <w:tcW w:w="195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5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5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11" w:type="dxa"/>
            <w:tcBorders/>
            <w:shd w:fill="FFFFFF" w:val="clear"/>
            <w:vAlign w:val="center"/>
          </w:tcPr>
          <w:p>
            <w:pPr>
              <w:pStyle w:val="TableContents"/>
              <w:bidi w:val="0"/>
              <w:spacing w:before="0" w:after="283"/>
              <w:jc w:val="left"/>
              <w:rPr>
                <w:sz w:val="4"/>
                <w:szCs w:val="4"/>
              </w:rPr>
            </w:pPr>
            <w:r>
              <w:rPr>
                <w:sz w:val="4"/>
                <w:szCs w:val="4"/>
              </w:rPr>
            </w:r>
          </w:p>
        </w:tc>
      </w:tr>
      <w:tr>
        <w:trPr/>
        <w:tc>
          <w:tcPr>
            <w:tcW w:w="1951" w:type="dxa"/>
            <w:tcBorders/>
            <w:shd w:fill="FFFF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Interest Rate Range</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2025</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2026</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2027</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2028</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2029</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Thereafter</w:t>
            </w:r>
          </w:p>
        </w:tc>
      </w:tr>
      <w:tr>
        <w:trPr/>
        <w:tc>
          <w:tcPr>
            <w:tcW w:w="195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0.00% to 0.99%</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8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250</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232</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8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199</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4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199</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58"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199</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1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1,558</w:t>
            </w:r>
          </w:p>
        </w:tc>
      </w:tr>
      <w:tr>
        <w:trPr/>
        <w:tc>
          <w:tcPr>
            <w:tcW w:w="195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1.00% to 1.99%</w:t>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758</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1,089</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1,917</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1,941</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1,965</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4,062</w:t>
            </w:r>
          </w:p>
        </w:tc>
      </w:tr>
      <w:tr>
        <w:trPr/>
        <w:tc>
          <w:tcPr>
            <w:tcW w:w="195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2.00% to 2.99%</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1,111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906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5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774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1,100,775</w:t>
            </w:r>
          </w:p>
        </w:tc>
      </w:tr>
      <w:tr>
        <w:trPr/>
        <w:tc>
          <w:tcPr>
            <w:tcW w:w="195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3.00% to 3.99%</w:t>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1,343</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807</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206,657</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362</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400,336</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1,773,498</w:t>
            </w:r>
          </w:p>
        </w:tc>
      </w:tr>
      <w:tr>
        <w:trPr/>
        <w:tc>
          <w:tcPr>
            <w:tcW w:w="195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4.00% to 4.99%</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115,621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3,818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501,626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1,628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5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1,558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1,614,781</w:t>
            </w:r>
          </w:p>
        </w:tc>
      </w:tr>
      <w:tr>
        <w:trPr/>
        <w:tc>
          <w:tcPr>
            <w:tcW w:w="195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5.00% to 5.99%</w:t>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3,000</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1,329,260</w:t>
            </w:r>
          </w:p>
        </w:tc>
      </w:tr>
      <w:tr>
        <w:trPr/>
        <w:tc>
          <w:tcPr>
            <w:tcW w:w="195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6.00% to 6.99%</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20,000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5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6,000</w:t>
            </w:r>
          </w:p>
        </w:tc>
      </w:tr>
      <w:tr>
        <w:trPr/>
        <w:tc>
          <w:tcPr>
            <w:tcW w:w="195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7.00% to 7.99%</w:t>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23,000</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4,888</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195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8.00% to 8.99%</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6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64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5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1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195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9.00% to 9.99%</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6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11,800</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58"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11"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1951" w:type="dxa"/>
            <w:tcBorders/>
            <w:shd w:fill="CCEE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8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142,807</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6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24,089</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8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736,398</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4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8,036</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5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404,832</w:t>
            </w:r>
          </w:p>
        </w:tc>
        <w:tc>
          <w:tcPr>
            <w:tcW w:w="10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5,829,934</w:t>
            </w:r>
          </w:p>
        </w:tc>
      </w:tr>
    </w:tbl>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On August 15, 2024, the Company issued $500,000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of senior notes, less expenses of $3,015, due in 2027, with an interest rate of 4.80%. On January 8, 2024, the Company issued $500,000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of senior notes, less expenses of $4,610, due in 2034</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with an interest rate of 5.375%. The Company used the net proceeds from the issuance of these senior notes (1) to repay a portion of the borrowings under the Company’s existing five year</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unsecured revolving credit facility, and (2) for general corporate purposes.</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In August 2023, the Company’s subsidiary, Aqua Pennsylvania, issued $225,000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 aggregate principal amount of first mortgage bonds. The bonds consisted of $175,000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of 5.48% first mortgage bonds due in 2053; and $50,000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of 5.56% first mortgage bonds due in 2061. In January 2023, Aqua Pennsylvania issued $75,000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of first mortgage bonds, due in 2043, and with an interest rate of 5.60%. The proceeds from these bonds were used to repay existing indebtedness and for general corporate purposes.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weighted average cost of long-term debt at December 31, 2024 and 2023 was 4.14% and 4.14%, respectively.  The weighted average cost of fixed rate long-term debt at December 31, 2024 and 2023 was 4.03% and 3.86%, respectively.</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On December 14, 2022, the Company entered into a five year</w:t>
      </w:r>
      <w:r>
        <w:rPr>
          <w:rFonts w:ascii="Times New Roman;serif" w:hAnsi="Times New Roman;serif"/>
          <w:caps w:val="false"/>
          <w:smallCaps w:val="false"/>
          <w:sz w:val="22"/>
        </w:rPr>
        <w:t> </w:t>
      </w:r>
      <w:r>
        <w:rPr>
          <w:rFonts w:ascii="Times New Roman;serif" w:hAnsi="Times New Roman;serif"/>
          <w:b w:val="false"/>
          <w:i w:val="false"/>
          <w:caps w:val="false"/>
          <w:smallCaps w:val="false"/>
          <w:sz w:val="22"/>
        </w:rPr>
        <w:t>$1,000,000</w:t>
      </w:r>
      <w:r>
        <w:rPr>
          <w:rFonts w:ascii="Times New Roman;serif" w:hAnsi="Times New Roman;serif"/>
          <w:caps w:val="false"/>
          <w:smallCaps w:val="false"/>
          <w:sz w:val="22"/>
        </w:rPr>
        <w:t> </w:t>
      </w:r>
      <w:r>
        <w:rPr>
          <w:rFonts w:ascii="Times New Roman;serif" w:hAnsi="Times New Roman;serif"/>
          <w:b w:val="false"/>
          <w:i w:val="false"/>
          <w:caps w:val="false"/>
          <w:smallCaps w:val="false"/>
          <w:sz w:val="22"/>
        </w:rPr>
        <w:t>unsecured revolving credit facility, which replaced the Company’s prior five year</w:t>
      </w:r>
      <w:r>
        <w:rPr>
          <w:rFonts w:ascii="Times New Roman;serif" w:hAnsi="Times New Roman;serif"/>
          <w:caps w:val="false"/>
          <w:smallCaps w:val="false"/>
          <w:sz w:val="22"/>
        </w:rPr>
        <w:t> </w:t>
      </w:r>
      <w:r>
        <w:rPr>
          <w:rFonts w:ascii="Times New Roman;serif" w:hAnsi="Times New Roman;serif"/>
          <w:b w:val="false"/>
          <w:i w:val="false"/>
          <w:caps w:val="false"/>
          <w:smallCaps w:val="false"/>
          <w:sz w:val="22"/>
        </w:rPr>
        <w:t>$1,000,000</w:t>
      </w:r>
      <w:r>
        <w:rPr>
          <w:rFonts w:ascii="Times New Roman;serif" w:hAnsi="Times New Roman;serif"/>
          <w:caps w:val="false"/>
          <w:smallCaps w:val="false"/>
          <w:sz w:val="22"/>
        </w:rPr>
        <w:t> </w:t>
      </w:r>
      <w:r>
        <w:rPr>
          <w:rFonts w:ascii="Times New Roman;serif" w:hAnsi="Times New Roman;serif"/>
          <w:b w:val="false"/>
          <w:i w:val="false"/>
          <w:caps w:val="false"/>
          <w:smallCaps w:val="false"/>
          <w:sz w:val="22"/>
        </w:rPr>
        <w:t>unsecured revolving credit facility.   The facility includes a $100,000</w:t>
      </w:r>
      <w:r>
        <w:rPr>
          <w:rFonts w:ascii="Times New Roman;serif" w:hAnsi="Times New Roman;serif"/>
          <w:caps w:val="false"/>
          <w:smallCaps w:val="false"/>
          <w:sz w:val="22"/>
        </w:rPr>
        <w:t> </w:t>
      </w:r>
      <w:r>
        <w:rPr>
          <w:rFonts w:ascii="Times New Roman;serif" w:hAnsi="Times New Roman;serif"/>
          <w:b w:val="false"/>
          <w:i w:val="false"/>
          <w:caps w:val="false"/>
          <w:smallCaps w:val="false"/>
          <w:sz w:val="22"/>
        </w:rPr>
        <w:t xml:space="preserve">sublimit for daily demand loan.  Funds borrowed under this facility are classified as long-term debt and are used to provide working capital as well as support for letters of credit for insurance policies and other financing arrangements.  As of December 31, 2024, the Company has the following sublimits and available capacity under the credit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facility:  $100,000</w:t>
      </w:r>
      <w:r>
        <w:rPr>
          <w:rFonts w:ascii="Times New Roman;serif" w:hAnsi="Times New Roman;serif"/>
          <w:caps w:val="false"/>
          <w:smallCaps w:val="false"/>
          <w:sz w:val="22"/>
        </w:rPr>
        <w:t> </w:t>
      </w:r>
      <w:r>
        <w:rPr>
          <w:rFonts w:ascii="Times New Roman;serif" w:hAnsi="Times New Roman;serif"/>
          <w:b w:val="false"/>
          <w:i w:val="false"/>
          <w:caps w:val="false"/>
          <w:smallCaps w:val="false"/>
          <w:sz w:val="22"/>
        </w:rPr>
        <w:t>letter of credit sublimit, $83,226</w:t>
      </w:r>
      <w:r>
        <w:rPr>
          <w:rFonts w:ascii="Times New Roman;serif" w:hAnsi="Times New Roman;serif"/>
          <w:caps w:val="false"/>
          <w:smallCaps w:val="false"/>
          <w:sz w:val="22"/>
        </w:rPr>
        <w:t> </w:t>
      </w:r>
      <w:r>
        <w:rPr>
          <w:rFonts w:ascii="Times New Roman;serif" w:hAnsi="Times New Roman;serif"/>
          <w:b w:val="false"/>
          <w:i w:val="false"/>
          <w:caps w:val="false"/>
          <w:smallCaps w:val="false"/>
          <w:sz w:val="22"/>
        </w:rPr>
        <w:t>of letters of credit available capacity, $0</w:t>
      </w:r>
      <w:r>
        <w:rPr>
          <w:rFonts w:ascii="Times New Roman;serif" w:hAnsi="Times New Roman;serif"/>
          <w:caps w:val="false"/>
          <w:smallCaps w:val="false"/>
          <w:sz w:val="22"/>
        </w:rPr>
        <w:t> </w:t>
      </w:r>
      <w:r>
        <w:rPr>
          <w:rFonts w:ascii="Times New Roman;serif" w:hAnsi="Times New Roman;serif"/>
          <w:b w:val="false"/>
          <w:i w:val="false"/>
          <w:caps w:val="false"/>
          <w:smallCaps w:val="false"/>
          <w:sz w:val="22"/>
        </w:rPr>
        <w:t>borrowed under the swing-line commitment, $570,226</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was available for borrowing and $413,000</w:t>
      </w:r>
      <w:r>
        <w:rPr>
          <w:rFonts w:ascii="Times New Roman;serif" w:hAnsi="Times New Roman;serif"/>
          <w:caps w:val="false"/>
          <w:smallCaps w:val="false"/>
          <w:sz w:val="22"/>
        </w:rPr>
        <w:t> </w:t>
      </w:r>
      <w:r>
        <w:rPr>
          <w:rFonts w:ascii="Times New Roman;serif" w:hAnsi="Times New Roman;serif"/>
          <w:b w:val="false"/>
          <w:i w:val="false"/>
          <w:caps w:val="false"/>
          <w:smallCaps w:val="false"/>
          <w:sz w:val="22"/>
        </w:rPr>
        <w:t>of funds borrowed under the agreement.  Interest under the facility is equal to either (i) Term simple secured overnight financing rate (SOFR), plus applicable margin; or (ii) an Alternate Base Rate (which is based at the highest of the (a) New York Federal Reserve Bank rate, plus 0.5%, (b) the prime rate, and, (c) the daily SOFR, plus 1.0%,) plus applicable margin.  The applicable margin for an Alternate Base Rate loan will be up to 0.5% and for a SOFR loan will be up to 1.5%, in each case depending on the debt ratings in effect as of such date.  The Company may elect either the Term SOFR or the Alternate Base Rate at the time of the drawdown, and loans may be converted from one rate to another at any time, subject or certain conditions. A facility fee is charged on the total commitment amount of the agreement.  Under these facilities the average cost of borrowings was 6.17% and 6.30%, and the average borrowing was $292,017</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$537,983, during 2024 and 2023, respectively.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Company is obligated to comply with covenants under some of its loan and debt agreements. These covenants contain a number of restrictive financial covenants, which among other things limit, subject to specific exceptions, the Company’s ratio of consolidated total indebtedness to consolidated total capitalization, and require a minimum level of earnings coverage over interest expense. During 2024, the Company was in compliance with its debt covenants under its loan and debt agreements. Failure to comply with the Company’s debt covenants could result in an event of default, which could result in the Company being required to repay or finance its borrowings before their due date, possibly limiting the Company’s future borrowings, and increasing its borrowing costs. </w:t>
      </w:r>
    </w:p>
    <w:p>
      <w:pPr>
        <w:pStyle w:val="TextBody"/>
        <w:bidi w:val="0"/>
        <w:spacing w:lineRule="auto" w:line="259"/>
        <w:rPr>
          <w:rFonts w:ascii="Times New Roman;serif" w:hAnsi="Times New Roman;serif"/>
          <w:sz w:val="22"/>
        </w:rPr>
      </w:pPr>
      <w:r>
        <w:rPr>
          <w:rFonts w:ascii="Times New Roman;serif" w:hAnsi="Times New Roman;serif"/>
          <w:b/>
          <w:i/>
          <w:sz w:val="22"/>
        </w:rPr>
        <w:t xml:space="preserve">Loans Payable – </w:t>
      </w:r>
      <w:r>
        <w:rPr>
          <w:rFonts w:ascii="Times New Roman;serif" w:hAnsi="Times New Roman;serif"/>
          <w:b w:val="false"/>
          <w:i w:val="false"/>
          <w:caps w:val="false"/>
          <w:smallCaps w:val="false"/>
          <w:sz w:val="22"/>
        </w:rPr>
        <w:t>On June 12, 2024, Aqua Pennsylvania and Peoples Natural Gas Companies amended the terms of their respective $100,000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$300,000, 364-day revolving credit agreements, as follows: (1) extended the maturity dates to June 10, 2025; and (2) revised the interest rate index from the Bloomberg Short-Term Bank Yield Index (BSBY) to SOFR. The funds borrowed under these agreements are classified as loans payable and are used to provide working capital.</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As of December 31, 2024 and 2023, funds borrowed under the Aqua Pennsylvania revolving credit agreement were $31,158</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$23,123, respectively. Interest under this facility is based, at the borrower’s option, on the prime rate, an adjusted overnight bank funding rate, or, effective June 12, 2024, an adjusted SOFR (prior benchmark rate was an adjusted BSBY floating rate). A commitment fee of 0.05% is charged on the total commitment amount of Aqua Pennsylvania’s revolving credit agreement. The average cost of borrowing under the facility was 5.9% and 5.36%, and the average borrowing was $29,074</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$19,275, during 2024 and 2023, respectively. The maximum amount outstanding at the end of any one month was $42,691</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$54,472</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in 2024 and 2023, respectively.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As of December 31, 2024 and 2023, funds borrowed under the Peoples Natural Gas Companies revolving credit agreement were $155,384</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$137,000, respectively. Interest under this facility is based, at the borrower’ option, at the prime rate, an adjusted overnight bank funding rate, or, effective June 12, 2024, an adjusted SOFR (prior benchmark rate was an adjusted BSBY floating rate). A commitment fee of 0.08% is charged on the total commitment amount of Peoples’ revolving credit agreement. The average cost of borrowing under the facility was 6.18% and 5.97%, and the average borrowing was $96,609</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$78,952, during 2024 and 2023, respectively. The maximum amount outstanding at the end of any one month was $158,249</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$161,500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in 2024 and 2023, respectively.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At December 31, 2023, the Company had other combined short-term lines of credit of $35,500. During the third quarter of 2024, the Company terminated these lines as they were no longer needed. There were no funds borrowed under these short-term lines of credit in 2024 and 2023, and, if borrowings were outstanding, they would have been classified as loans payable and used to provide working capital. </w:t>
      </w:r>
    </w:p>
    <w:p>
      <w:pPr>
        <w:pStyle w:val="TextBody"/>
        <w:bidi w:val="0"/>
        <w:spacing w:lineRule="auto" w:line="259"/>
        <w:rPr>
          <w:rFonts w:ascii="Times New Roman;serif" w:hAnsi="Times New Roman;serif"/>
          <w:sz w:val="22"/>
        </w:rPr>
      </w:pPr>
      <w:r>
        <w:rPr>
          <w:rFonts w:ascii="Times New Roman;serif" w:hAnsi="Times New Roman;serif"/>
          <w:b/>
          <w:i/>
          <w:sz w:val="22"/>
        </w:rPr>
        <w:t xml:space="preserve">Interest Income and Expense– </w:t>
      </w:r>
      <w:r>
        <w:rPr>
          <w:rFonts w:ascii="Times New Roman;serif" w:hAnsi="Times New Roman;serif"/>
          <w:b w:val="false"/>
          <w:i w:val="false"/>
          <w:caps w:val="false"/>
          <w:smallCaps w:val="false"/>
          <w:sz w:val="22"/>
        </w:rPr>
        <w:t>Interest income of $3,318, $3,401, and $3,675</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was recognized for the years ended December 31, 2024, 2023, and 2022, respectively. Interest expense was $302,467, $283,362, and $238,116</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 2024, 2023, and 2022, including amounts capitalized for borrowed funds of $7,372, $5,241, and $6,047, respectively.</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t xml:space="preserve">Note 12 – </w:t>
      </w:r>
      <w:r>
        <w:rPr>
          <w:rFonts w:ascii="Times New Roman;serif" w:hAnsi="Times New Roman;serif"/>
          <w:b/>
          <w:i/>
          <w:sz w:val="22"/>
        </w:rPr>
        <w:t>Fair Value of Financial Instruments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Financial instruments are recorded at carrying value in the financial statements and approximate fair value, with the exception of long-term debt, as of the dates presented. The fair value of these instruments is disclosed below in accordance with current accounting guidance related to financial instruments.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The fair value of loans payable is determined based on its carrying amount and utilizing Level 1 methods and assumptions. As of December 31, 2024 and 2023, the carrying amount of the Company’s loans payable was $186,542</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$160,123, respectively, which equates to their estimated fair value. The fair value of cash and cash equivalents is determined based on Level 1 methods and assumptions. As of December 31, 2024 and 2023, the carrying amounts of the Company's cash and cash equivalents were $9,156</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and $4,612, respectively, which equates to their fair value. The Company’s assets underlying the deferred compensation and non-qualified pension plans are determined by the fair value of mutual funds, which are based on </w:t>
      </w:r>
      <w:r>
        <w:rPr>
          <w:rFonts w:ascii="Times New Roman;serif" w:hAnsi="Times New Roman;serif"/>
          <w:b w:val="false"/>
          <w:i w:val="false"/>
          <w:caps w:val="false"/>
          <w:smallCaps w:val="false"/>
          <w:color w:val="000000"/>
          <w:sz w:val="22"/>
        </w:rPr>
        <w:t>quoted market prices from active markets utilizing Level 1 methods and assumptions. As of December 31, 2024 and 2023, the carrying amount of these securities was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$31,324</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$26,442, respectively, which equates to their fair value, and is reported in the consolidated balance sheet in deferred charges and other assets.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Unrealized gains and losses on equity securities held in conjunction with our non-qualified pension plan is as follows:</w:t>
      </w:r>
    </w:p>
    <w:tbl>
      <w:tblPr>
        <w:tblW w:w="10205" w:type="dxa"/>
        <w:jc w:val="left"/>
        <w:tblInd w:w="0" w:type="dxa"/>
        <w:tblLayout w:type="fixed"/>
        <w:tblCellMar>
          <w:top w:w="0" w:type="dxa"/>
          <w:left w:w="0" w:type="dxa"/>
          <w:bottom w:w="0" w:type="dxa"/>
          <w:right w:w="0" w:type="dxa"/>
        </w:tblCellMar>
      </w:tblPr>
      <w:tblGrid>
        <w:gridCol w:w="7433"/>
        <w:gridCol w:w="109"/>
        <w:gridCol w:w="227"/>
        <w:gridCol w:w="650"/>
        <w:gridCol w:w="109"/>
        <w:gridCol w:w="227"/>
        <w:gridCol w:w="469"/>
        <w:gridCol w:w="109"/>
        <w:gridCol w:w="227"/>
        <w:gridCol w:w="645"/>
      </w:tblGrid>
      <w:tr>
        <w:trPr/>
        <w:tc>
          <w:tcPr>
            <w:tcW w:w="743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sz w:val="4"/>
                <w:szCs w:val="4"/>
              </w:rPr>
            </w:pPr>
            <w:r>
              <w:rPr>
                <w:sz w:val="4"/>
                <w:szCs w:val="4"/>
              </w:rPr>
            </w:r>
          </w:p>
        </w:tc>
        <w:tc>
          <w:tcPr>
            <w:tcW w:w="65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sz w:val="4"/>
                <w:szCs w:val="4"/>
              </w:rPr>
            </w:pPr>
            <w:r>
              <w:rPr>
                <w:sz w:val="4"/>
                <w:szCs w:val="4"/>
              </w:rPr>
            </w:r>
          </w:p>
        </w:tc>
        <w:tc>
          <w:tcPr>
            <w:tcW w:w="4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7" w:type="dxa"/>
            <w:tcBorders/>
            <w:shd w:fill="FFFFFF" w:val="clear"/>
            <w:vAlign w:val="center"/>
          </w:tcPr>
          <w:p>
            <w:pPr>
              <w:pStyle w:val="TableContents"/>
              <w:bidi w:val="0"/>
              <w:spacing w:before="0" w:after="283"/>
              <w:jc w:val="left"/>
              <w:rPr>
                <w:sz w:val="4"/>
                <w:szCs w:val="4"/>
              </w:rPr>
            </w:pPr>
            <w:r>
              <w:rPr>
                <w:sz w:val="4"/>
                <w:szCs w:val="4"/>
              </w:rPr>
            </w:r>
          </w:p>
        </w:tc>
        <w:tc>
          <w:tcPr>
            <w:tcW w:w="645" w:type="dxa"/>
            <w:tcBorders/>
            <w:shd w:fill="FFFFFF" w:val="clear"/>
            <w:vAlign w:val="center"/>
          </w:tcPr>
          <w:p>
            <w:pPr>
              <w:pStyle w:val="TableContents"/>
              <w:bidi w:val="0"/>
              <w:spacing w:before="0" w:after="283"/>
              <w:jc w:val="left"/>
              <w:rPr>
                <w:sz w:val="4"/>
                <w:szCs w:val="4"/>
              </w:rPr>
            </w:pPr>
            <w:r>
              <w:rPr>
                <w:sz w:val="4"/>
                <w:szCs w:val="4"/>
              </w:rPr>
            </w:r>
          </w:p>
        </w:tc>
      </w:tr>
      <w:tr>
        <w:trPr/>
        <w:tc>
          <w:tcPr>
            <w:tcW w:w="743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3" w:type="dxa"/>
            <w:gridSpan w:val="8"/>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Years ended December 31,</w:t>
            </w:r>
          </w:p>
        </w:tc>
      </w:tr>
      <w:tr>
        <w:trPr/>
        <w:tc>
          <w:tcPr>
            <w:tcW w:w="7433"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696"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72"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74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Net gain (loss) recognized during the period on equity securities</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50"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46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4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(895)</w:t>
            </w:r>
          </w:p>
        </w:tc>
      </w:tr>
      <w:tr>
        <w:trPr/>
        <w:tc>
          <w:tcPr>
            <w:tcW w:w="743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Less: net gain (loss) recognized during the period on equity securities sold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50"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69"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4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743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Unrealized gain (loss) recognized during the reporting period on equity securities still held at the reporting date</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5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46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582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45"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(895)</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net gain (loss) recognized on equity securities is presented on the consolidated statements of operations and comprehensive income on the line item “Other.”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carrying amounts and estimated fair values of the Company’s long-term debt is as follows:</w:t>
      </w:r>
    </w:p>
    <w:tbl>
      <w:tblPr>
        <w:tblW w:w="4610" w:type="dxa"/>
        <w:jc w:val="left"/>
        <w:tblInd w:w="0" w:type="dxa"/>
        <w:tblLayout w:type="fixed"/>
        <w:tblCellMar>
          <w:top w:w="0" w:type="dxa"/>
          <w:left w:w="0" w:type="dxa"/>
          <w:bottom w:w="0" w:type="dxa"/>
          <w:right w:w="0" w:type="dxa"/>
        </w:tblCellMar>
      </w:tblPr>
      <w:tblGrid>
        <w:gridCol w:w="1981"/>
        <w:gridCol w:w="226"/>
        <w:gridCol w:w="1066"/>
        <w:gridCol w:w="226"/>
        <w:gridCol w:w="142"/>
        <w:gridCol w:w="969"/>
      </w:tblGrid>
      <w:tr>
        <w:trPr/>
        <w:tc>
          <w:tcPr>
            <w:tcW w:w="198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sz w:val="4"/>
                <w:szCs w:val="4"/>
              </w:rPr>
            </w:pPr>
            <w:r>
              <w:rPr>
                <w:sz w:val="4"/>
                <w:szCs w:val="4"/>
              </w:rPr>
            </w:r>
          </w:p>
        </w:tc>
        <w:tc>
          <w:tcPr>
            <w:tcW w:w="1660"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December 31,</w:t>
            </w:r>
          </w:p>
        </w:tc>
        <w:tc>
          <w:tcPr>
            <w:tcW w:w="96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11"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r>
      <w:tr>
        <w:trPr/>
        <w:tc>
          <w:tcPr>
            <w:tcW w:w="19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Carrying amount</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6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7,559,096</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11" w:type="dxa"/>
            <w:gridSpan w:val="2"/>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6,938,008</w:t>
            </w:r>
          </w:p>
        </w:tc>
      </w:tr>
      <w:tr>
        <w:trPr/>
        <w:tc>
          <w:tcPr>
            <w:tcW w:w="19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Estimated fair value</w:t>
            </w:r>
          </w:p>
        </w:tc>
        <w:tc>
          <w:tcPr>
            <w:tcW w:w="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6,431,777</w:t>
            </w:r>
          </w:p>
        </w:tc>
        <w:tc>
          <w:tcPr>
            <w:tcW w:w="2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11" w:type="dxa"/>
            <w:gridSpan w:val="2"/>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5,980,722</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fair value of long-term debt has been determined by discounting the future cash flows using current market interest rates for similar financial instruments of the same duration utilizing Level 2 methods and assumptions. </w:t>
      </w:r>
    </w:p>
    <w:p>
      <w:pPr>
        <w:pStyle w:val="TextBody"/>
        <w:bidi w:val="0"/>
        <w:spacing w:lineRule="auto" w:line="259"/>
        <w:rPr>
          <w:rFonts w:ascii="Times New Roman;serif" w:hAnsi="Times New Roman;serif"/>
          <w:sz w:val="22"/>
        </w:rPr>
      </w:pPr>
      <w:bookmarkStart w:id="38" w:name="_Hlk62729091"/>
      <w:bookmarkEnd w:id="38"/>
      <w:r>
        <w:rPr>
          <w:rFonts w:ascii="Times New Roman;serif" w:hAnsi="Times New Roman;serif"/>
          <w:b/>
          <w:i w:val="false"/>
          <w:caps w:val="false"/>
          <w:smallCaps w:val="false"/>
          <w:sz w:val="22"/>
        </w:rPr>
        <w:t xml:space="preserve">Note 13 – </w:t>
      </w:r>
      <w:r>
        <w:rPr>
          <w:rFonts w:ascii="Times New Roman;serif" w:hAnsi="Times New Roman;serif"/>
          <w:b/>
          <w:i/>
          <w:sz w:val="22"/>
        </w:rPr>
        <w:t>Stockholders’ Equity</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At December 31, 2024, the Company had 600,000,000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shares of common stock authorized; par value $0.50. Shares outstanding and treasury shares held were as follows: </w:t>
      </w:r>
    </w:p>
    <w:tbl>
      <w:tblPr>
        <w:tblW w:w="5854" w:type="dxa"/>
        <w:jc w:val="left"/>
        <w:tblInd w:w="0" w:type="dxa"/>
        <w:tblLayout w:type="fixed"/>
        <w:tblCellMar>
          <w:top w:w="0" w:type="dxa"/>
          <w:left w:w="0" w:type="dxa"/>
          <w:bottom w:w="0" w:type="dxa"/>
          <w:right w:w="0" w:type="dxa"/>
        </w:tblCellMar>
      </w:tblPr>
      <w:tblGrid>
        <w:gridCol w:w="1891"/>
        <w:gridCol w:w="1306"/>
        <w:gridCol w:w="1306"/>
        <w:gridCol w:w="1351"/>
      </w:tblGrid>
      <w:tr>
        <w:trPr/>
        <w:tc>
          <w:tcPr>
            <w:tcW w:w="1891"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shd w:fill="FFFFFF" w:val="clear"/>
            <w:vAlign w:val="center"/>
          </w:tcPr>
          <w:p>
            <w:pPr>
              <w:pStyle w:val="TableContents"/>
              <w:bidi w:val="0"/>
              <w:spacing w:before="0" w:after="283"/>
              <w:jc w:val="left"/>
              <w:rPr>
                <w:sz w:val="4"/>
                <w:szCs w:val="4"/>
              </w:rPr>
            </w:pPr>
            <w:r>
              <w:rPr>
                <w:sz w:val="4"/>
                <w:szCs w:val="4"/>
              </w:rPr>
            </w:r>
          </w:p>
        </w:tc>
        <w:tc>
          <w:tcPr>
            <w:tcW w:w="1351" w:type="dxa"/>
            <w:tcBorders/>
            <w:shd w:fill="FFFFFF" w:val="clear"/>
            <w:vAlign w:val="center"/>
          </w:tcPr>
          <w:p>
            <w:pPr>
              <w:pStyle w:val="TableContents"/>
              <w:bidi w:val="0"/>
              <w:spacing w:before="0" w:after="283"/>
              <w:jc w:val="left"/>
              <w:rPr>
                <w:sz w:val="4"/>
                <w:szCs w:val="4"/>
              </w:rPr>
            </w:pPr>
            <w:r>
              <w:rPr>
                <w:sz w:val="4"/>
                <w:szCs w:val="4"/>
              </w:rPr>
            </w:r>
          </w:p>
        </w:tc>
      </w:tr>
      <w:tr>
        <w:trPr/>
        <w:tc>
          <w:tcPr>
            <w:tcW w:w="1891" w:type="dxa"/>
            <w:tcBorders/>
            <w:shd w:fill="FFFFFF" w:val="clear"/>
            <w:vAlign w:val="center"/>
          </w:tcPr>
          <w:p>
            <w:pPr>
              <w:pStyle w:val="TableContents"/>
              <w:bidi w:val="0"/>
              <w:spacing w:before="0" w:after="283"/>
              <w:jc w:val="left"/>
              <w:rPr>
                <w:sz w:val="4"/>
                <w:szCs w:val="4"/>
              </w:rPr>
            </w:pPr>
            <w:r>
              <w:rPr>
                <w:sz w:val="4"/>
                <w:szCs w:val="4"/>
              </w:rPr>
            </w:r>
          </w:p>
        </w:tc>
        <w:tc>
          <w:tcPr>
            <w:tcW w:w="3963" w:type="dxa"/>
            <w:gridSpan w:val="3"/>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December 31,</w:t>
            </w:r>
          </w:p>
        </w:tc>
      </w:tr>
      <w:tr>
        <w:trPr/>
        <w:tc>
          <w:tcPr>
            <w:tcW w:w="1891" w:type="dxa"/>
            <w:tcBorders/>
            <w:shd w:fill="FFFFFF" w:val="clear"/>
            <w:vAlign w:val="center"/>
          </w:tcPr>
          <w:p>
            <w:pPr>
              <w:pStyle w:val="TableContents"/>
              <w:bidi w:val="0"/>
              <w:spacing w:before="0" w:after="283"/>
              <w:jc w:val="left"/>
              <w:rPr>
                <w:sz w:val="4"/>
                <w:szCs w:val="4"/>
              </w:rPr>
            </w:pPr>
            <w:r>
              <w:rPr>
                <w:sz w:val="4"/>
                <w:szCs w:val="4"/>
              </w:rPr>
            </w:r>
          </w:p>
        </w:tc>
        <w:tc>
          <w:tcPr>
            <w:tcW w:w="130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2024</w:t>
            </w:r>
          </w:p>
        </w:tc>
        <w:tc>
          <w:tcPr>
            <w:tcW w:w="130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2023</w:t>
            </w:r>
          </w:p>
        </w:tc>
        <w:tc>
          <w:tcPr>
            <w:tcW w:w="135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2022</w:t>
            </w:r>
          </w:p>
        </w:tc>
      </w:tr>
      <w:tr>
        <w:trPr/>
        <w:tc>
          <w:tcPr>
            <w:tcW w:w="18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Shares outstanding</w:t>
            </w:r>
          </w:p>
        </w:tc>
        <w:tc>
          <w:tcPr>
            <w:tcW w:w="130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274,823,591</w:t>
            </w:r>
          </w:p>
        </w:tc>
        <w:tc>
          <w:tcPr>
            <w:tcW w:w="130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273,296,037</w:t>
            </w:r>
          </w:p>
        </w:tc>
        <w:tc>
          <w:tcPr>
            <w:tcW w:w="135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263,737,084</w:t>
            </w:r>
          </w:p>
        </w:tc>
      </w:tr>
      <w:tr>
        <w:trPr/>
        <w:tc>
          <w:tcPr>
            <w:tcW w:w="18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Treasury shares</w:t>
            </w:r>
          </w:p>
        </w:tc>
        <w:tc>
          <w:tcPr>
            <w:tcW w:w="130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3,386,069</w:t>
            </w:r>
          </w:p>
        </w:tc>
        <w:tc>
          <w:tcPr>
            <w:tcW w:w="130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3,299,191</w:t>
            </w:r>
          </w:p>
        </w:tc>
        <w:tc>
          <w:tcPr>
            <w:tcW w:w="135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3,236,237</w:t>
            </w:r>
          </w:p>
        </w:tc>
      </w:tr>
    </w:tbl>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At December 31, 2024, the Company had 1,770,819</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shares of authorized but unissued Series Preferred Stock, $1.00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par value.</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In March 2024, the Company filed a new universal shelf registration with the SEC to allow for the potential future offer and sale by the Company, from time to time, in one or more public offerings, of an indeterminate amount of our common stock, preferred stock, debt securities, and other securities specified therein at indeterminate prices.  This registration statement is effective for three years and replaces a similar filing that expired in the second quarter of 2024.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The Company has an acquisition shelf registration statement on file with the SEC which permits the offering, from time to time, of an aggregate of $500,000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 shares of common stock and shares of preferred stock in connection with acquisitions. The balance remaining available for use under the acquisition shelf registration statement as of December 31, 2024 is $487,155.</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form and terms of any securities issued under the universal shelf registration statement and the acquisition shelf registration statement will be determined at the time of issuance.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The Company has a Dividend Reinvestment and Direct Stock Purchase Plan (“Plan”) that allows reinvested dividends to be used to purchase shares of common stock at a five</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percent discount from the current market value. Under the direct stock purchase program, shares are issued throughout the year. The shares issued under the Plan are either shares purchased by the Company’s transfer agent in the open-market or original issue shares. In 2024, 2023, and 2022, the Company sold 433,688, 430,487, and 368,278</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original issue shares of common stock through the dividend reinvestment portion of the Plan, for net proceeds of $15,476, $16,005, and $16,619, respectively.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Company recorded a regulatory asset for the underfunded status of its pension and other post-retirement benefit plans that would otherwise be charged to other comprehensive income, as it anticipates recovery of its costs through customer rates.</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b/>
          <w:i/>
          <w:sz w:val="22"/>
        </w:rPr>
      </w:pPr>
      <w:r>
        <w:rPr>
          <w:rFonts w:ascii="Times New Roman;serif" w:hAnsi="Times New Roman;serif"/>
          <w:b/>
          <w:i/>
          <w:sz w:val="22"/>
        </w:rPr>
        <w:t xml:space="preserve">At-the-Market Offering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On August 13, 2024, the Company filed a prospectus supplement under the 2024 universal shelf registration statement relating to a new at-the-market equity sales program (“ATM”), under which it may issue and sell shares of its common stock up to an aggregate offering price of $1,000,000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(“2024 ATM”). This 2024 ATM replaced the Company’s previous ATM filed on October 14, 2022 (“2022 ATM”).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During year ended December 31, 2024, the Company issued 925,497</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shares of common stock for net proceeds of $36,134</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under the 2024 ATM. As of December 31, 2024, the 2024 ATM had approximately $964,000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of equity available for issuance. During the year ended December 31, 2023, the Company issued 8,938,839</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shares of common stock for net proceeds of $322,983</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under the 2022 ATM. During the year ended December 31, 2022, the Company issued 1,321,994</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shares of common stock for net proceeds of $63,040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under the 2022 ATM. There were no</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common stock sales under the 2022 ATM in 2024. The Company used the net proceeds from the sales of shares through the 2022 and 2024 ATMs for working capital, capital expenditures, water and wastewater utility acquisitions, and repaying a portion of outstanding indebtedness.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i/>
          <w:sz w:val="22"/>
        </w:rPr>
      </w:pPr>
      <w:r>
        <w:rPr>
          <w:rFonts w:ascii="Times New Roman;serif" w:hAnsi="Times New Roman;serif"/>
          <w:b/>
          <w:i/>
          <w:sz w:val="22"/>
        </w:rPr>
        <w:t>Tangible Equity Unit Issuances</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On April 23, 2019, the Company issued $690,000, less expenses of $16,358, of its tangible equity units (the “Units”), with a stated amount of $50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per unit, as part of the financing of the Peoples Gas Acquisition. Each Unit consisted of a prepaid stock purchase contract and an amortizing note, each issued by the Company. The amortizing notes had an initial principal amount of $8.62909, or $119,081</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 aggregate, and yielded interest at a rate of 3.00% per year, and paid equal quarterly cash installments of $0.75000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per amortizing note (except for the July 30, 2019 installment payment, which was $0.80833</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per amortizing note), that constituted a payment of interest and a partial repayment of principal. This cash payment in the aggregate was equivalent to 6.00% per year with respect to each $50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stated amount of the Units. The amortizing notes represented unsecured senior obligations of the Company. During 2022, 981,919</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stock purchase contracts were early settled by the holders of the contracts prior to the mandatory settlement date, resulting in the issuance of 1,166,107</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shares of the Company’s common stock. On May 2, 2022, the remaining 6,621,315</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stock purchase contracts were each mandatorily settled for 1.18758</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shares of the Company’s common stock, and in the aggregate the Company issued 7,863,354</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shares of its common stock. Additionally, the final quarterly installment payment was made, which resulted in the complete pay-off of the amortizing notes.</w:t>
      </w:r>
    </w:p>
    <w:p>
      <w:pPr>
        <w:pStyle w:val="TextBody"/>
        <w:bidi w:val="0"/>
        <w:spacing w:lineRule="auto" w:line="259"/>
        <w:rPr>
          <w:rFonts w:ascii="Times New Roman;serif" w:hAnsi="Times New Roman;serif"/>
          <w:sz w:val="22"/>
        </w:rPr>
      </w:pPr>
      <w:bookmarkStart w:id="39" w:name="_Hlk62729781"/>
      <w:bookmarkEnd w:id="39"/>
      <w:r>
        <w:rPr>
          <w:rFonts w:ascii="Times New Roman;serif" w:hAnsi="Times New Roman;serif"/>
          <w:b/>
          <w:i w:val="false"/>
          <w:caps w:val="false"/>
          <w:smallCaps w:val="false"/>
          <w:sz w:val="22"/>
        </w:rPr>
        <w:t xml:space="preserve">Note 14 – </w:t>
      </w:r>
      <w:r>
        <w:rPr>
          <w:rFonts w:ascii="Times New Roman;serif" w:hAnsi="Times New Roman;serif"/>
          <w:b/>
          <w:i/>
          <w:sz w:val="22"/>
        </w:rPr>
        <w:t>Net Income per Common Share and Equity per Common Share</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Basic net income per share is based on the weighted average number of common shares outstanding and the weighted average minimum number of shares issued upon settlement of the stock purchase contracts issued under the tangible equity units. Diluted net income per share is based on the weighted average number of common shares outstanding and potentially dilutive shares. The dilutive effect of employee stock-based compensation and shares issuable under the forward equity sale agreement (from the date the Company entered into the forward equity sale agreement to the settlement date) are included in the computation of diluted net income per common share. The dilutive effect of stock-based compensation and shares issuable under the forward equity sale agreement</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are calculated by using the treasury stock method and expected proceeds upon exercise or issuance of the stock-based compensation and settlement of the forward equity sale agreement. The treasury stock method assumes that the proceeds from stock-based compensation and settlement of the forward equity sale agreement</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are used to purchase the Company’s common stock at the average market price during the period. The following table summarizes the shares, in thousands, used in computing basic and diluted net income per share:</w:t>
      </w:r>
    </w:p>
    <w:tbl>
      <w:tblPr>
        <w:tblW w:w="9145" w:type="dxa"/>
        <w:jc w:val="left"/>
        <w:tblInd w:w="0" w:type="dxa"/>
        <w:tblLayout w:type="fixed"/>
        <w:tblCellMar>
          <w:top w:w="0" w:type="dxa"/>
          <w:left w:w="0" w:type="dxa"/>
          <w:bottom w:w="0" w:type="dxa"/>
          <w:right w:w="0" w:type="dxa"/>
        </w:tblCellMar>
      </w:tblPr>
      <w:tblGrid>
        <w:gridCol w:w="6541"/>
        <w:gridCol w:w="853"/>
        <w:gridCol w:w="853"/>
        <w:gridCol w:w="898"/>
      </w:tblGrid>
      <w:tr>
        <w:trPr/>
        <w:tc>
          <w:tcPr>
            <w:tcW w:w="654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654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6541" w:type="dxa"/>
            <w:tcBorders/>
            <w:shd w:fill="FFFFFF" w:val="clear"/>
            <w:vAlign w:val="center"/>
          </w:tcPr>
          <w:p>
            <w:pPr>
              <w:pStyle w:val="TableContents"/>
              <w:bidi w:val="0"/>
              <w:spacing w:before="0" w:after="283"/>
              <w:jc w:val="left"/>
              <w:rPr>
                <w:sz w:val="4"/>
                <w:szCs w:val="4"/>
              </w:rPr>
            </w:pPr>
            <w:r>
              <w:rPr>
                <w:sz w:val="4"/>
                <w:szCs w:val="4"/>
              </w:rPr>
            </w:r>
          </w:p>
        </w:tc>
        <w:tc>
          <w:tcPr>
            <w:tcW w:w="2604" w:type="dxa"/>
            <w:gridSpan w:val="3"/>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Years ended December 31,</w:t>
            </w:r>
          </w:p>
        </w:tc>
      </w:tr>
      <w:tr>
        <w:trPr/>
        <w:tc>
          <w:tcPr>
            <w:tcW w:w="6541" w:type="dxa"/>
            <w:tcBorders/>
            <w:shd w:fill="FFFFFF" w:val="clear"/>
            <w:vAlign w:val="center"/>
          </w:tcPr>
          <w:p>
            <w:pPr>
              <w:pStyle w:val="TableContents"/>
              <w:bidi w:val="0"/>
              <w:spacing w:before="0" w:after="283"/>
              <w:jc w:val="left"/>
              <w:rPr>
                <w:sz w:val="4"/>
                <w:szCs w:val="4"/>
              </w:rPr>
            </w:pPr>
            <w:r>
              <w:rPr>
                <w:sz w:val="4"/>
                <w:szCs w:val="4"/>
              </w:rPr>
            </w:r>
          </w:p>
        </w:tc>
        <w:tc>
          <w:tcPr>
            <w:tcW w:w="85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2024</w:t>
            </w:r>
          </w:p>
        </w:tc>
        <w:tc>
          <w:tcPr>
            <w:tcW w:w="85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2023</w:t>
            </w:r>
          </w:p>
        </w:tc>
        <w:tc>
          <w:tcPr>
            <w:tcW w:w="898"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2022</w:t>
            </w:r>
          </w:p>
        </w:tc>
      </w:tr>
      <w:tr>
        <w:trPr/>
        <w:tc>
          <w:tcPr>
            <w:tcW w:w="654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Average common shares outstanding during the period for basic computation</w:t>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273,914</w:t>
            </w:r>
          </w:p>
        </w:tc>
        <w:tc>
          <w:tcPr>
            <w:tcW w:w="853"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267,171</w:t>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262,246</w:t>
            </w:r>
          </w:p>
        </w:tc>
      </w:tr>
      <w:tr>
        <w:trPr/>
        <w:tc>
          <w:tcPr>
            <w:tcW w:w="65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Effect of dilutive securities:</w:t>
            </w:r>
          </w:p>
        </w:tc>
        <w:tc>
          <w:tcPr>
            <w:tcW w:w="853"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6541"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Employee stock-based compensation</w:t>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507</w:t>
            </w:r>
          </w:p>
        </w:tc>
        <w:tc>
          <w:tcPr>
            <w:tcW w:w="853"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488</w:t>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622</w:t>
            </w:r>
          </w:p>
        </w:tc>
      </w:tr>
      <w:tr>
        <w:trPr/>
        <w:tc>
          <w:tcPr>
            <w:tcW w:w="654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Average common shares outstanding during the period for diluted computation</w:t>
            </w:r>
          </w:p>
        </w:tc>
        <w:tc>
          <w:tcPr>
            <w:tcW w:w="85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274,421</w:t>
            </w:r>
          </w:p>
        </w:tc>
        <w:tc>
          <w:tcPr>
            <w:tcW w:w="85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267,659</w:t>
            </w:r>
          </w:p>
        </w:tc>
        <w:tc>
          <w:tcPr>
            <w:tcW w:w="89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262,868</w:t>
            </w:r>
          </w:p>
        </w:tc>
      </w:tr>
    </w:tbl>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The number of outstanding employee stock options that were not included in the diluted earnings per share calculation because the effect would have been anti-dilutive was 243,780, 148,725</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77,506</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for the years ended December 31, 2024, 2023 and 2022, respectively.</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Additionally, the dilutive effect of performance share units and restricted share units granted are included in the Company’s calculation of diluted net income per share.</w:t>
      </w:r>
      <w:r>
        <w:rPr>
          <w:rFonts w:ascii="Times New Roman;serif" w:hAnsi="Times New Roman;serif"/>
          <w:caps w:val="false"/>
          <w:smallCaps w:val="false"/>
          <w:sz w:val="22"/>
        </w:rPr>
        <w:t xml:space="preserve">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On May 2, 2022, all of the remaining stock purchase contracts under the tangible equity units were mandatorily settled. For the year ended December 31, 2022, the weighted average impact of 2,932,010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shares was included in the basic computation of the average common shares outstanding based on the number of shares that were issued upon settlement of the stock purchase contracts under the tangible equity units. </w:t>
      </w:r>
    </w:p>
    <w:p>
      <w:pPr>
        <w:pStyle w:val="TextBody"/>
        <w:bidi w:val="0"/>
        <w:spacing w:lineRule="auto" w:line="259" w:before="0" w:after="100"/>
        <w:rPr>
          <w:rFonts w:ascii="Times New Roman;serif" w:hAnsi="Times New Roman;serif"/>
          <w:sz w:val="22"/>
        </w:rPr>
      </w:pPr>
      <w:r>
        <w:rPr>
          <w:rFonts w:ascii="Times New Roman;serif" w:hAnsi="Times New Roman;serif"/>
          <w:b w:val="false"/>
          <w:i w:val="false"/>
          <w:caps w:val="false"/>
          <w:smallCaps w:val="false"/>
          <w:sz w:val="22"/>
        </w:rPr>
        <w:br/>
        <w:t>‎</w:t>
      </w:r>
      <w:r>
        <w:rPr>
          <w:rFonts w:ascii="Times New Roman;serif" w:hAnsi="Times New Roman;serif"/>
          <w:caps w:val="false"/>
          <w:smallCaps w:val="false"/>
          <w:sz w:val="22"/>
        </w:rPr>
        <w:t xml:space="preser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caps w:val="false"/>
          <w:smallCaps w:val="false"/>
        </w:rPr>
      </w:pPr>
      <w:r>
        <w:rPr>
          <w:caps w:val="false"/>
          <w:smallCaps w:val="false"/>
        </w:rPr>
        <w:t> </w:t>
      </w:r>
    </w:p>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t xml:space="preserve">Note 15 – </w:t>
      </w:r>
      <w:r>
        <w:rPr>
          <w:rFonts w:ascii="Times New Roman;serif" w:hAnsi="Times New Roman;serif"/>
          <w:b/>
          <w:i/>
          <w:sz w:val="22"/>
        </w:rPr>
        <w:t>Employee Stock and Incentive Plan</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Under the Company’s Amended and Restated Equity Compensation Plan, (the “Plan”) approved by the Company’s shareholders on May 2, 2019, to replace the 2004 Equity Compensation Plan, stock options, stock units, stock awards, stock appreciation rights, dividend equivalents, and other stock-based awards may be granted to employees, non-employee directors, and consultants and advisors. The Plan authorizes 6,250,000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shares for issuance under the plan. A maximum of 3,125,000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shares under the Plan may be issued pursuant to stock award, stock units and other stock-based awards, subject to adjustment as provided in the Plan. During any calendar year, no individual may be granted (i) stock options and stock appreciation rights under the Plan for more than 500,000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shares of common stock in the aggregate or (ii) stock awards, stock units or other stock-based awards under the Plan for more than 500,000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shares of Company stock in the aggregate, subject to adjustment as provided in the Plan. Awards to employees and consultants under the Plan are made by a committee of the Board of Directors, except that with respect to awards to the Chief Executive Officer, the committee recommends those awards for approval by the non-employee directors of the Board of Directors. In the case of awards to non-employee directors, the Board of Directors makes such awards. At December 31, 2024, 1,197,122</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shares were still available for issuance under the Plan. No</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further grants may be made under the Company’s 2004 Equity Compensation Plan. </w:t>
      </w:r>
    </w:p>
    <w:p>
      <w:pPr>
        <w:pStyle w:val="TextBody"/>
        <w:bidi w:val="0"/>
        <w:spacing w:lineRule="auto" w:line="259"/>
        <w:rPr>
          <w:rFonts w:ascii="Times New Roman;serif" w:hAnsi="Times New Roman;serif"/>
          <w:sz w:val="22"/>
        </w:rPr>
      </w:pPr>
      <w:r>
        <w:rPr>
          <w:rFonts w:ascii="Times New Roman;serif" w:hAnsi="Times New Roman;serif"/>
          <w:b/>
          <w:i/>
          <w:sz w:val="22"/>
        </w:rPr>
        <w:t>Performance Share Units</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During 2024, 2023, and 2022, the Company granted performance share units. A performance share unit (“PSU”) represents the right to receive a share of the Company’s common stock if specified performance goals are met over the three-year</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performance period specified in the grant, subject to exceptions through the respective vesting periods, which is generally three years. Each grantee is granted a target award of PSUs and may earn between 0% and 200% of the target amount depending on the Company’s performance against the performance goals.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performance goals of the 2024, 2023, and 2022 PSU grants consisted of the following metrics:</w:t>
      </w:r>
    </w:p>
    <w:tbl>
      <w:tblPr>
        <w:tblW w:w="10205" w:type="dxa"/>
        <w:jc w:val="left"/>
        <w:tblInd w:w="0" w:type="dxa"/>
        <w:tblLayout w:type="fixed"/>
        <w:tblCellMar>
          <w:top w:w="0" w:type="dxa"/>
          <w:left w:w="0" w:type="dxa"/>
          <w:bottom w:w="0" w:type="dxa"/>
          <w:right w:w="0" w:type="dxa"/>
        </w:tblCellMar>
      </w:tblPr>
      <w:tblGrid>
        <w:gridCol w:w="9314"/>
        <w:gridCol w:w="109"/>
        <w:gridCol w:w="782"/>
      </w:tblGrid>
      <w:tr>
        <w:trPr/>
        <w:tc>
          <w:tcPr>
            <w:tcW w:w="9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9314" w:type="dxa"/>
            <w:tcBorders/>
            <w:vAlign w:val="center"/>
          </w:tcPr>
          <w:p>
            <w:pPr>
              <w:pStyle w:val="TableContents"/>
              <w:bidi w:val="0"/>
              <w:spacing w:before="0" w:after="283"/>
              <w:jc w:val="left"/>
              <w:rPr>
                <w:sz w:val="4"/>
                <w:szCs w:val="4"/>
              </w:rPr>
            </w:pPr>
            <w:r>
              <w:rPr>
                <w:sz w:val="4"/>
                <w:szCs w:val="4"/>
              </w:rPr>
            </w:r>
          </w:p>
        </w:tc>
        <w:tc>
          <w:tcPr>
            <w:tcW w:w="891" w:type="dxa"/>
            <w:gridSpan w:val="2"/>
            <w:tcBorders/>
            <w:vAlign w:val="center"/>
          </w:tcPr>
          <w:p>
            <w:pPr>
              <w:pStyle w:val="TableContents"/>
              <w:bidi w:val="0"/>
              <w:spacing w:before="0" w:after="283"/>
              <w:jc w:val="left"/>
              <w:rPr>
                <w:sz w:val="4"/>
                <w:szCs w:val="4"/>
              </w:rPr>
            </w:pPr>
            <w:r>
              <w:rPr>
                <w:sz w:val="4"/>
                <w:szCs w:val="4"/>
              </w:rPr>
            </w:r>
          </w:p>
        </w:tc>
      </w:tr>
      <w:tr>
        <w:trPr/>
        <w:tc>
          <w:tcPr>
            <w:tcW w:w="9314" w:type="dxa"/>
            <w:tcBorders/>
            <w:vAlign w:val="center"/>
          </w:tcPr>
          <w:p>
            <w:pPr>
              <w:pStyle w:val="TableContents"/>
              <w:bidi w:val="0"/>
              <w:spacing w:before="0" w:after="283"/>
              <w:jc w:val="left"/>
              <w:rPr>
                <w:sz w:val="4"/>
                <w:szCs w:val="4"/>
              </w:rPr>
            </w:pPr>
            <w:r>
              <w:rPr>
                <w:sz w:val="4"/>
                <w:szCs w:val="4"/>
              </w:rPr>
            </w:r>
          </w:p>
        </w:tc>
        <w:tc>
          <w:tcPr>
            <w:tcW w:w="891" w:type="dxa"/>
            <w:gridSpan w:val="2"/>
            <w:tcBorders/>
            <w:vAlign w:val="center"/>
          </w:tcPr>
          <w:p>
            <w:pPr>
              <w:pStyle w:val="TableContents"/>
              <w:bidi w:val="0"/>
              <w:spacing w:before="0" w:after="283"/>
              <w:jc w:val="left"/>
              <w:rPr>
                <w:sz w:val="4"/>
                <w:szCs w:val="4"/>
              </w:rPr>
            </w:pPr>
            <w:r>
              <w:rPr>
                <w:sz w:val="4"/>
                <w:szCs w:val="4"/>
              </w:rPr>
            </w:r>
          </w:p>
        </w:tc>
      </w:tr>
      <w:tr>
        <w:trPr/>
        <w:tc>
          <w:tcPr>
            <w:tcW w:w="93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Metric 1 – Company’s total shareholder return (“TSR”) compared to the TSR for a specific peer group of investor-owned utilities (a market-based condition)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38.46%</w:t>
            </w:r>
          </w:p>
        </w:tc>
      </w:tr>
      <w:tr>
        <w:trPr/>
        <w:tc>
          <w:tcPr>
            <w:tcW w:w="931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Metric 2 – Achievement of a targeted cumulative level of rate base growth as a result of acquisitions (a performance-based condition)</w:t>
            </w:r>
          </w:p>
        </w:tc>
        <w:tc>
          <w:tcPr>
            <w:tcW w:w="10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30.77%</w:t>
            </w:r>
          </w:p>
        </w:tc>
      </w:tr>
      <w:tr>
        <w:trPr/>
        <w:tc>
          <w:tcPr>
            <w:tcW w:w="931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Metric 3 – Achievement of targets for maintaining consolidated operations and maintenance expenses over the three-year measurement period (a performance-based condition)</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82" w:type="dxa"/>
            <w:tcBorders/>
            <w:shd w:fill="CCEE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30.77%</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following table provides the compensation expense and income tax benefit for PSUs: </w:t>
      </w:r>
    </w:p>
    <w:tbl>
      <w:tblPr>
        <w:tblW w:w="9479" w:type="dxa"/>
        <w:jc w:val="left"/>
        <w:tblInd w:w="0" w:type="dxa"/>
        <w:tblLayout w:type="fixed"/>
        <w:tblCellMar>
          <w:top w:w="0" w:type="dxa"/>
          <w:left w:w="0" w:type="dxa"/>
          <w:bottom w:w="0" w:type="dxa"/>
          <w:right w:w="0" w:type="dxa"/>
        </w:tblCellMar>
      </w:tblPr>
      <w:tblGrid>
        <w:gridCol w:w="6781"/>
        <w:gridCol w:w="229"/>
        <w:gridCol w:w="655"/>
        <w:gridCol w:w="229"/>
        <w:gridCol w:w="655"/>
        <w:gridCol w:w="229"/>
        <w:gridCol w:w="701"/>
      </w:tblGrid>
      <w:tr>
        <w:trPr/>
        <w:tc>
          <w:tcPr>
            <w:tcW w:w="6781"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655"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655"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701" w:type="dxa"/>
            <w:tcBorders/>
            <w:shd w:fill="FFFFFF" w:val="clear"/>
            <w:vAlign w:val="center"/>
          </w:tcPr>
          <w:p>
            <w:pPr>
              <w:pStyle w:val="TableContents"/>
              <w:bidi w:val="0"/>
              <w:spacing w:before="0" w:after="283"/>
              <w:jc w:val="left"/>
              <w:rPr>
                <w:sz w:val="4"/>
                <w:szCs w:val="4"/>
              </w:rPr>
            </w:pPr>
            <w:r>
              <w:rPr>
                <w:sz w:val="4"/>
                <w:szCs w:val="4"/>
              </w:rPr>
            </w:r>
          </w:p>
        </w:tc>
      </w:tr>
      <w:tr>
        <w:trPr/>
        <w:tc>
          <w:tcPr>
            <w:tcW w:w="6781"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655"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655"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701" w:type="dxa"/>
            <w:tcBorders/>
            <w:shd w:fill="FFFFFF" w:val="clear"/>
            <w:vAlign w:val="center"/>
          </w:tcPr>
          <w:p>
            <w:pPr>
              <w:pStyle w:val="TableContents"/>
              <w:bidi w:val="0"/>
              <w:spacing w:before="0" w:after="283"/>
              <w:jc w:val="left"/>
              <w:rPr>
                <w:sz w:val="4"/>
                <w:szCs w:val="4"/>
              </w:rPr>
            </w:pPr>
            <w:r>
              <w:rPr>
                <w:sz w:val="4"/>
                <w:szCs w:val="4"/>
              </w:rPr>
            </w:r>
          </w:p>
        </w:tc>
      </w:tr>
      <w:tr>
        <w:trPr/>
        <w:tc>
          <w:tcPr>
            <w:tcW w:w="6781" w:type="dxa"/>
            <w:tcBorders/>
            <w:shd w:fill="FFFFFF" w:val="clear"/>
            <w:vAlign w:val="center"/>
          </w:tcPr>
          <w:p>
            <w:pPr>
              <w:pStyle w:val="TableContents"/>
              <w:bidi w:val="0"/>
              <w:spacing w:before="0" w:after="283"/>
              <w:jc w:val="left"/>
              <w:rPr>
                <w:sz w:val="4"/>
                <w:szCs w:val="4"/>
              </w:rPr>
            </w:pPr>
            <w:r>
              <w:rPr>
                <w:sz w:val="4"/>
                <w:szCs w:val="4"/>
              </w:rPr>
            </w:r>
          </w:p>
        </w:tc>
        <w:tc>
          <w:tcPr>
            <w:tcW w:w="2698" w:type="dxa"/>
            <w:gridSpan w:val="6"/>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Years ended December 31,</w:t>
            </w:r>
          </w:p>
        </w:tc>
      </w:tr>
      <w:tr>
        <w:trPr/>
        <w:tc>
          <w:tcPr>
            <w:tcW w:w="6781"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22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67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Stock-based compensation within operations and maintenance expense</w:t>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5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5,787</w:t>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5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6,942</w:t>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7,950</w:t>
            </w:r>
          </w:p>
        </w:tc>
      </w:tr>
      <w:tr>
        <w:trPr/>
        <w:tc>
          <w:tcPr>
            <w:tcW w:w="67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Income tax benefit</w:t>
            </w:r>
          </w:p>
        </w:tc>
        <w:tc>
          <w:tcPr>
            <w:tcW w:w="22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5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1,450</w:t>
            </w:r>
          </w:p>
        </w:tc>
        <w:tc>
          <w:tcPr>
            <w:tcW w:w="22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5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1,741</w:t>
            </w:r>
          </w:p>
        </w:tc>
        <w:tc>
          <w:tcPr>
            <w:tcW w:w="22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1,997</w:t>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following table summarizes nonvested PSU transactions for the year ended December 31, 2024: </w:t>
      </w:r>
    </w:p>
    <w:tbl>
      <w:tblPr>
        <w:tblW w:w="9769" w:type="dxa"/>
        <w:jc w:val="left"/>
        <w:tblInd w:w="0" w:type="dxa"/>
        <w:tblLayout w:type="fixed"/>
        <w:tblCellMar>
          <w:top w:w="0" w:type="dxa"/>
          <w:left w:w="0" w:type="dxa"/>
          <w:bottom w:w="0" w:type="dxa"/>
          <w:right w:w="0" w:type="dxa"/>
        </w:tblCellMar>
      </w:tblPr>
      <w:tblGrid>
        <w:gridCol w:w="4336"/>
        <w:gridCol w:w="2266"/>
        <w:gridCol w:w="226"/>
        <w:gridCol w:w="2941"/>
      </w:tblGrid>
      <w:tr>
        <w:trPr/>
        <w:tc>
          <w:tcPr>
            <w:tcW w:w="4336" w:type="dxa"/>
            <w:tcBorders/>
            <w:shd w:fill="FFFFFF" w:val="clear"/>
            <w:vAlign w:val="center"/>
          </w:tcPr>
          <w:p>
            <w:pPr>
              <w:pStyle w:val="TableContents"/>
              <w:bidi w:val="0"/>
              <w:spacing w:before="0" w:after="283"/>
              <w:jc w:val="left"/>
              <w:rPr>
                <w:sz w:val="4"/>
                <w:szCs w:val="4"/>
              </w:rPr>
            </w:pPr>
            <w:r>
              <w:rPr>
                <w:sz w:val="4"/>
                <w:szCs w:val="4"/>
              </w:rPr>
            </w:r>
          </w:p>
        </w:tc>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2941" w:type="dxa"/>
            <w:tcBorders/>
            <w:shd w:fill="FFFFFF" w:val="clear"/>
            <w:vAlign w:val="center"/>
          </w:tcPr>
          <w:p>
            <w:pPr>
              <w:pStyle w:val="TableContents"/>
              <w:bidi w:val="0"/>
              <w:spacing w:before="0" w:after="283"/>
              <w:jc w:val="left"/>
              <w:rPr>
                <w:sz w:val="4"/>
                <w:szCs w:val="4"/>
              </w:rPr>
            </w:pPr>
            <w:r>
              <w:rPr>
                <w:sz w:val="4"/>
                <w:szCs w:val="4"/>
              </w:rPr>
            </w:r>
          </w:p>
        </w:tc>
      </w:tr>
      <w:tr>
        <w:trPr/>
        <w:tc>
          <w:tcPr>
            <w:tcW w:w="4336" w:type="dxa"/>
            <w:tcBorders/>
            <w:shd w:fill="FFFFFF" w:val="clear"/>
            <w:vAlign w:val="center"/>
          </w:tcPr>
          <w:p>
            <w:pPr>
              <w:pStyle w:val="TableContents"/>
              <w:bidi w:val="0"/>
              <w:spacing w:before="0" w:after="283"/>
              <w:jc w:val="left"/>
              <w:rPr>
                <w:sz w:val="4"/>
                <w:szCs w:val="4"/>
              </w:rPr>
            </w:pPr>
            <w:r>
              <w:rPr>
                <w:sz w:val="4"/>
                <w:szCs w:val="4"/>
              </w:rPr>
            </w:r>
          </w:p>
        </w:tc>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2941" w:type="dxa"/>
            <w:tcBorders/>
            <w:shd w:fill="FFFFFF" w:val="clear"/>
            <w:vAlign w:val="center"/>
          </w:tcPr>
          <w:p>
            <w:pPr>
              <w:pStyle w:val="TableContents"/>
              <w:bidi w:val="0"/>
              <w:spacing w:before="0" w:after="283"/>
              <w:jc w:val="left"/>
              <w:rPr>
                <w:sz w:val="4"/>
                <w:szCs w:val="4"/>
              </w:rPr>
            </w:pPr>
            <w:r>
              <w:rPr>
                <w:sz w:val="4"/>
                <w:szCs w:val="4"/>
              </w:rPr>
            </w:r>
          </w:p>
        </w:tc>
      </w:tr>
      <w:tr>
        <w:trPr/>
        <w:tc>
          <w:tcPr>
            <w:tcW w:w="4336" w:type="dxa"/>
            <w:tcBorders/>
            <w:shd w:fill="FFFFFF" w:val="clear"/>
            <w:vAlign w:val="center"/>
          </w:tcPr>
          <w:p>
            <w:pPr>
              <w:pStyle w:val="TableContents"/>
              <w:bidi w:val="0"/>
              <w:spacing w:before="0" w:after="283"/>
              <w:jc w:val="left"/>
              <w:rPr>
                <w:sz w:val="4"/>
                <w:szCs w:val="4"/>
              </w:rPr>
            </w:pPr>
            <w:r>
              <w:rPr>
                <w:sz w:val="4"/>
                <w:szCs w:val="4"/>
              </w:rPr>
            </w:r>
          </w:p>
        </w:tc>
        <w:tc>
          <w:tcPr>
            <w:tcW w:w="2266"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Number of Share Units</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941"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Weighted Average Fair Value</w:t>
            </w:r>
          </w:p>
        </w:tc>
      </w:tr>
      <w:tr>
        <w:trPr/>
        <w:tc>
          <w:tcPr>
            <w:tcW w:w="433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Nonvested share units at beginning of period</w:t>
            </w:r>
          </w:p>
        </w:tc>
        <w:tc>
          <w:tcPr>
            <w:tcW w:w="226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531,437</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94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40.03</w:t>
            </w:r>
          </w:p>
        </w:tc>
      </w:tr>
      <w:tr>
        <w:trPr/>
        <w:tc>
          <w:tcPr>
            <w:tcW w:w="433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Granted</w:t>
            </w:r>
          </w:p>
        </w:tc>
        <w:tc>
          <w:tcPr>
            <w:tcW w:w="226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227,284</w:t>
            </w:r>
          </w:p>
        </w:tc>
        <w:tc>
          <w:tcPr>
            <w:tcW w:w="22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38.10</w:t>
            </w:r>
          </w:p>
        </w:tc>
      </w:tr>
      <w:tr>
        <w:trPr/>
        <w:tc>
          <w:tcPr>
            <w:tcW w:w="433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Performance criteria adjustment</w:t>
            </w:r>
          </w:p>
        </w:tc>
        <w:tc>
          <w:tcPr>
            <w:tcW w:w="226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(50,562)</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294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39.47</w:t>
            </w:r>
          </w:p>
        </w:tc>
      </w:tr>
      <w:tr>
        <w:trPr/>
        <w:tc>
          <w:tcPr>
            <w:tcW w:w="433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Forfeited</w:t>
            </w:r>
          </w:p>
        </w:tc>
        <w:tc>
          <w:tcPr>
            <w:tcW w:w="226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(48,078)</w:t>
            </w:r>
          </w:p>
        </w:tc>
        <w:tc>
          <w:tcPr>
            <w:tcW w:w="22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41.37</w:t>
            </w:r>
          </w:p>
        </w:tc>
      </w:tr>
      <w:tr>
        <w:trPr/>
        <w:tc>
          <w:tcPr>
            <w:tcW w:w="433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Share units issued</w:t>
            </w:r>
          </w:p>
        </w:tc>
        <w:tc>
          <w:tcPr>
            <w:tcW w:w="2266"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(96,425)</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2941"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43.40</w:t>
            </w:r>
          </w:p>
        </w:tc>
      </w:tr>
      <w:tr>
        <w:trPr/>
        <w:tc>
          <w:tcPr>
            <w:tcW w:w="433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Nonvested share units at end of period</w:t>
            </w:r>
          </w:p>
        </w:tc>
        <w:tc>
          <w:tcPr>
            <w:tcW w:w="226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563,656</w:t>
            </w:r>
          </w:p>
        </w:tc>
        <w:tc>
          <w:tcPr>
            <w:tcW w:w="22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94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38.61</w:t>
            </w:r>
          </w:p>
        </w:tc>
      </w:tr>
    </w:tbl>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A portion of the fair value of PSUs was estimated at the grant date based on the probability of satisfying the market-based conditions associated with the PSUs using the Monte Carlo valuation method, which assesses the probabilities of various outcomes of market conditions. The other portion of the fair value of the PSUs associated with performance-based conditions was based on the fair market value of the Company’s stock at the grant date, regardless of whether the market-based condition is satisfied. The fair value of each PSU grant is amortized into compensation expense on a straight-line basis over their respective vesting periods, generally 36</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months. The accrual of compensation costs is based on an estimate of the final expected value of the award and is adjusted as required for the portion based on the performance-based condition. The Company assumes that forfeitures will be minimal, and recognizes forfeitures as they occur, which results in a reduction in compensation expense. As the payout of the PSUs includes dividend equivalents, no separate dividend yield assumption is required in calculating the fair value of the PSUs. The recording of compensation expense for PSUs has no impact on net cash flows. The following table provides the assumptions used in the pricing model for the grant, the resulting grant date fair value of PSUs, and the intrinsic value and fair value of PSUs that vested during the year:</w:t>
      </w:r>
    </w:p>
    <w:tbl>
      <w:tblPr>
        <w:tblW w:w="7286" w:type="dxa"/>
        <w:jc w:val="left"/>
        <w:tblInd w:w="0" w:type="dxa"/>
        <w:tblLayout w:type="fixed"/>
        <w:tblCellMar>
          <w:top w:w="0" w:type="dxa"/>
          <w:left w:w="0" w:type="dxa"/>
          <w:bottom w:w="0" w:type="dxa"/>
          <w:right w:w="0" w:type="dxa"/>
        </w:tblCellMar>
      </w:tblPr>
      <w:tblGrid>
        <w:gridCol w:w="4336"/>
        <w:gridCol w:w="226"/>
        <w:gridCol w:w="706"/>
        <w:gridCol w:w="226"/>
        <w:gridCol w:w="706"/>
        <w:gridCol w:w="226"/>
        <w:gridCol w:w="706"/>
        <w:gridCol w:w="154"/>
      </w:tblGrid>
      <w:tr>
        <w:trPr/>
        <w:tc>
          <w:tcPr>
            <w:tcW w:w="433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433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vAlign w:val="center"/>
          </w:tcPr>
          <w:p>
            <w:pPr>
              <w:pStyle w:val="TableContents"/>
              <w:bidi w:val="0"/>
              <w:spacing w:before="0" w:after="283"/>
              <w:jc w:val="left"/>
              <w:rPr>
                <w:sz w:val="4"/>
                <w:szCs w:val="4"/>
              </w:rPr>
            </w:pPr>
            <w:r>
              <w:rPr>
                <w:sz w:val="4"/>
                <w:szCs w:val="4"/>
              </w:rPr>
            </w:r>
          </w:p>
        </w:tc>
      </w:tr>
      <w:tr>
        <w:trPr/>
        <w:tc>
          <w:tcPr>
            <w:tcW w:w="4336" w:type="dxa"/>
            <w:tcBorders/>
            <w:shd w:fill="FFFFFF" w:val="clear"/>
            <w:vAlign w:val="center"/>
          </w:tcPr>
          <w:p>
            <w:pPr>
              <w:pStyle w:val="TableContents"/>
              <w:bidi w:val="0"/>
              <w:spacing w:before="0" w:after="283"/>
              <w:jc w:val="left"/>
              <w:rPr>
                <w:sz w:val="4"/>
                <w:szCs w:val="4"/>
              </w:rPr>
            </w:pPr>
            <w:r>
              <w:rPr>
                <w:sz w:val="4"/>
                <w:szCs w:val="4"/>
              </w:rPr>
            </w:r>
          </w:p>
        </w:tc>
        <w:tc>
          <w:tcPr>
            <w:tcW w:w="2950" w:type="dxa"/>
            <w:gridSpan w:val="7"/>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Years ended December 31,</w:t>
            </w:r>
          </w:p>
        </w:tc>
      </w:tr>
      <w:tr>
        <w:trPr/>
        <w:tc>
          <w:tcPr>
            <w:tcW w:w="433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43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Expected term (years)</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3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Risk-free interest rate</w:t>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4.19%</w:t>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4.43%</w:t>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1.75%</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3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Expected volatility</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22.4%</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33.8%</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31.9%</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3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Weighted average fair value of PSUs granted</w:t>
            </w:r>
          </w:p>
        </w:tc>
        <w:tc>
          <w:tcPr>
            <w:tcW w:w="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38.10</w:t>
            </w:r>
          </w:p>
        </w:tc>
        <w:tc>
          <w:tcPr>
            <w:tcW w:w="2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45.06</w:t>
            </w:r>
          </w:p>
        </w:tc>
        <w:tc>
          <w:tcPr>
            <w:tcW w:w="2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42.33</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3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Intrinsic value of vested PSUs</w:t>
            </w:r>
          </w:p>
        </w:tc>
        <w:tc>
          <w:tcPr>
            <w:tcW w:w="2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3,421</w:t>
            </w:r>
          </w:p>
        </w:tc>
        <w:tc>
          <w:tcPr>
            <w:tcW w:w="2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7,483</w:t>
            </w:r>
          </w:p>
        </w:tc>
        <w:tc>
          <w:tcPr>
            <w:tcW w:w="22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3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Fair value of vested PSUs</w:t>
            </w:r>
          </w:p>
        </w:tc>
        <w:tc>
          <w:tcPr>
            <w:tcW w:w="2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4,168</w:t>
            </w:r>
          </w:p>
        </w:tc>
        <w:tc>
          <w:tcPr>
            <w:tcW w:w="2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9,692</w:t>
            </w:r>
          </w:p>
        </w:tc>
        <w:tc>
          <w:tcPr>
            <w:tcW w:w="2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As of December 31, 2024, $9,729</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of unrecognized compensation costs related to PSUs is expected to be recognized over a weighted average period of approximately 1.8</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years. The aggregate intrinsic value of PSUs as of December 31, 2024 was $20,472. The aggregate intrinsic value of PSUs is based on the number of nonvested share units and the market value of the Company’s common stock as of the period end date.</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2"/>
        </w:rPr>
      </w:pPr>
      <w:r>
        <w:rPr>
          <w:rFonts w:ascii="Times New Roman;serif" w:hAnsi="Times New Roman;serif"/>
          <w:b/>
          <w:i/>
          <w:sz w:val="22"/>
        </w:rPr>
        <w:t>Restricted Stock Units</w:t>
      </w:r>
      <w:r>
        <w:rPr>
          <w:rFonts w:ascii="Times New Roman;serif" w:hAnsi="Times New Roman;serif"/>
          <w:sz w:val="22"/>
        </w:rPr>
        <w:t xml:space="preserve"> – </w:t>
      </w:r>
      <w:r>
        <w:rPr>
          <w:rFonts w:ascii="Times New Roman;serif" w:hAnsi="Times New Roman;serif"/>
          <w:b w:val="false"/>
          <w:i w:val="false"/>
          <w:caps w:val="false"/>
          <w:smallCaps w:val="false"/>
          <w:sz w:val="22"/>
        </w:rPr>
        <w:t xml:space="preserve">A restricted stock unit (“RSU”) represents the right to receive a share of the Company’s common stock and is valued based on the fair market value of the Company’s stock on the date of grant. RSUs are eligible to be earned at the end of a specified restricted period, generally three years, beginning on the date of grant. In some cases, the right to receive the shares is subject to specific performance goals established at the time the grant is made. The Company assumes that forfeitures will be minimal, and recognizes forfeitures as they occur, which results in a reduction in compensation expense. As the payout of the RSUs includes dividend equivalents, no separate dividend yield assumption is required in calculating the fair value of the RSUs. The following table provides the compensation expense and income tax benefit for RSUs: </w:t>
      </w:r>
    </w:p>
    <w:tbl>
      <w:tblPr>
        <w:tblW w:w="9479" w:type="dxa"/>
        <w:jc w:val="left"/>
        <w:tblInd w:w="0" w:type="dxa"/>
        <w:tblLayout w:type="fixed"/>
        <w:tblCellMar>
          <w:top w:w="0" w:type="dxa"/>
          <w:left w:w="0" w:type="dxa"/>
          <w:bottom w:w="0" w:type="dxa"/>
          <w:right w:w="0" w:type="dxa"/>
        </w:tblCellMar>
      </w:tblPr>
      <w:tblGrid>
        <w:gridCol w:w="6781"/>
        <w:gridCol w:w="229"/>
        <w:gridCol w:w="655"/>
        <w:gridCol w:w="229"/>
        <w:gridCol w:w="655"/>
        <w:gridCol w:w="229"/>
        <w:gridCol w:w="701"/>
      </w:tblGrid>
      <w:tr>
        <w:trPr/>
        <w:tc>
          <w:tcPr>
            <w:tcW w:w="6781"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655"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655"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701" w:type="dxa"/>
            <w:tcBorders/>
            <w:shd w:fill="FFFFFF" w:val="clear"/>
            <w:vAlign w:val="center"/>
          </w:tcPr>
          <w:p>
            <w:pPr>
              <w:pStyle w:val="TableContents"/>
              <w:bidi w:val="0"/>
              <w:spacing w:before="0" w:after="283"/>
              <w:jc w:val="left"/>
              <w:rPr>
                <w:sz w:val="4"/>
                <w:szCs w:val="4"/>
              </w:rPr>
            </w:pPr>
            <w:r>
              <w:rPr>
                <w:sz w:val="4"/>
                <w:szCs w:val="4"/>
              </w:rPr>
            </w:r>
          </w:p>
        </w:tc>
      </w:tr>
      <w:tr>
        <w:trPr/>
        <w:tc>
          <w:tcPr>
            <w:tcW w:w="6781" w:type="dxa"/>
            <w:tcBorders/>
            <w:shd w:fill="FFFFFF" w:val="clear"/>
            <w:vAlign w:val="center"/>
          </w:tcPr>
          <w:p>
            <w:pPr>
              <w:pStyle w:val="TableContents"/>
              <w:bidi w:val="0"/>
              <w:spacing w:before="0" w:after="283"/>
              <w:jc w:val="left"/>
              <w:rPr>
                <w:sz w:val="4"/>
                <w:szCs w:val="4"/>
              </w:rPr>
            </w:pPr>
            <w:r>
              <w:rPr>
                <w:sz w:val="4"/>
                <w:szCs w:val="4"/>
              </w:rPr>
            </w:r>
          </w:p>
        </w:tc>
        <w:tc>
          <w:tcPr>
            <w:tcW w:w="2698" w:type="dxa"/>
            <w:gridSpan w:val="6"/>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Years ended December 31,</w:t>
            </w:r>
          </w:p>
        </w:tc>
      </w:tr>
      <w:tr>
        <w:trPr/>
        <w:tc>
          <w:tcPr>
            <w:tcW w:w="6781"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22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67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Stock-based compensation within operations and maintenance expense</w:t>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5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2,802</w:t>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5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2,877</w:t>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2,927</w:t>
            </w:r>
          </w:p>
        </w:tc>
      </w:tr>
      <w:tr>
        <w:trPr/>
        <w:tc>
          <w:tcPr>
            <w:tcW w:w="678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Income tax benefit</w:t>
            </w:r>
          </w:p>
        </w:tc>
        <w:tc>
          <w:tcPr>
            <w:tcW w:w="22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5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702</w:t>
            </w:r>
          </w:p>
        </w:tc>
        <w:tc>
          <w:tcPr>
            <w:tcW w:w="22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5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722</w:t>
            </w:r>
          </w:p>
        </w:tc>
        <w:tc>
          <w:tcPr>
            <w:tcW w:w="22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736</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summarizes nonvested RSU transactions for the year ended December 31, 2024:</w:t>
      </w:r>
    </w:p>
    <w:tbl>
      <w:tblPr>
        <w:tblW w:w="9769" w:type="dxa"/>
        <w:jc w:val="left"/>
        <w:tblInd w:w="0" w:type="dxa"/>
        <w:tblLayout w:type="fixed"/>
        <w:tblCellMar>
          <w:top w:w="0" w:type="dxa"/>
          <w:left w:w="0" w:type="dxa"/>
          <w:bottom w:w="0" w:type="dxa"/>
          <w:right w:w="0" w:type="dxa"/>
        </w:tblCellMar>
      </w:tblPr>
      <w:tblGrid>
        <w:gridCol w:w="4336"/>
        <w:gridCol w:w="2266"/>
        <w:gridCol w:w="226"/>
        <w:gridCol w:w="2941"/>
      </w:tblGrid>
      <w:tr>
        <w:trPr/>
        <w:tc>
          <w:tcPr>
            <w:tcW w:w="4336" w:type="dxa"/>
            <w:tcBorders/>
            <w:shd w:fill="FFFFFF" w:val="clear"/>
            <w:vAlign w:val="center"/>
          </w:tcPr>
          <w:p>
            <w:pPr>
              <w:pStyle w:val="TableContents"/>
              <w:bidi w:val="0"/>
              <w:spacing w:before="0" w:after="283"/>
              <w:jc w:val="left"/>
              <w:rPr>
                <w:sz w:val="4"/>
                <w:szCs w:val="4"/>
              </w:rPr>
            </w:pPr>
            <w:r>
              <w:rPr>
                <w:sz w:val="4"/>
                <w:szCs w:val="4"/>
              </w:rPr>
            </w:r>
          </w:p>
        </w:tc>
        <w:tc>
          <w:tcPr>
            <w:tcW w:w="22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2941" w:type="dxa"/>
            <w:tcBorders/>
            <w:shd w:fill="FFFFFF" w:val="clear"/>
            <w:vAlign w:val="center"/>
          </w:tcPr>
          <w:p>
            <w:pPr>
              <w:pStyle w:val="TableContents"/>
              <w:bidi w:val="0"/>
              <w:spacing w:before="0" w:after="283"/>
              <w:jc w:val="left"/>
              <w:rPr>
                <w:sz w:val="4"/>
                <w:szCs w:val="4"/>
              </w:rPr>
            </w:pPr>
            <w:r>
              <w:rPr>
                <w:sz w:val="4"/>
                <w:szCs w:val="4"/>
              </w:rPr>
            </w:r>
          </w:p>
        </w:tc>
      </w:tr>
      <w:tr>
        <w:trPr/>
        <w:tc>
          <w:tcPr>
            <w:tcW w:w="4336" w:type="dxa"/>
            <w:tcBorders/>
            <w:shd w:fill="FFFFFF" w:val="clear"/>
            <w:vAlign w:val="center"/>
          </w:tcPr>
          <w:p>
            <w:pPr>
              <w:pStyle w:val="TableContents"/>
              <w:bidi w:val="0"/>
              <w:spacing w:before="0" w:after="283"/>
              <w:jc w:val="left"/>
              <w:rPr>
                <w:sz w:val="4"/>
                <w:szCs w:val="4"/>
              </w:rPr>
            </w:pPr>
            <w:r>
              <w:rPr>
                <w:sz w:val="4"/>
                <w:szCs w:val="4"/>
              </w:rPr>
            </w:r>
          </w:p>
        </w:tc>
        <w:tc>
          <w:tcPr>
            <w:tcW w:w="2266"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Number of Stock Units</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941"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Weighted Average Fair Value</w:t>
            </w:r>
          </w:p>
        </w:tc>
      </w:tr>
      <w:tr>
        <w:trPr/>
        <w:tc>
          <w:tcPr>
            <w:tcW w:w="433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Nonvested stock units at beginning of period</w:t>
            </w:r>
          </w:p>
        </w:tc>
        <w:tc>
          <w:tcPr>
            <w:tcW w:w="226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192,217</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94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45.06</w:t>
            </w:r>
          </w:p>
        </w:tc>
      </w:tr>
      <w:tr>
        <w:trPr/>
        <w:tc>
          <w:tcPr>
            <w:tcW w:w="433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Granted</w:t>
            </w:r>
          </w:p>
        </w:tc>
        <w:tc>
          <w:tcPr>
            <w:tcW w:w="226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104,661</w:t>
            </w:r>
          </w:p>
        </w:tc>
        <w:tc>
          <w:tcPr>
            <w:tcW w:w="22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36.61</w:t>
            </w:r>
          </w:p>
        </w:tc>
      </w:tr>
      <w:tr>
        <w:trPr/>
        <w:tc>
          <w:tcPr>
            <w:tcW w:w="433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Stock units vested</w:t>
            </w:r>
          </w:p>
        </w:tc>
        <w:tc>
          <w:tcPr>
            <w:tcW w:w="226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(66,040)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294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44.40</w:t>
            </w:r>
          </w:p>
        </w:tc>
      </w:tr>
      <w:tr>
        <w:trPr/>
        <w:tc>
          <w:tcPr>
            <w:tcW w:w="433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Forfeited</w:t>
            </w:r>
          </w:p>
        </w:tc>
        <w:tc>
          <w:tcPr>
            <w:tcW w:w="226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(20,589)</w:t>
            </w:r>
          </w:p>
        </w:tc>
        <w:tc>
          <w:tcPr>
            <w:tcW w:w="226" w:type="dxa"/>
            <w:tcBorders/>
            <w:vAlign w:val="center"/>
          </w:tcPr>
          <w:p>
            <w:pPr>
              <w:pStyle w:val="TableContents"/>
              <w:bidi w:val="0"/>
              <w:spacing w:before="0" w:after="283"/>
              <w:jc w:val="left"/>
              <w:rPr>
                <w:sz w:val="4"/>
                <w:szCs w:val="4"/>
              </w:rPr>
            </w:pPr>
            <w:r>
              <w:rPr>
                <w:sz w:val="4"/>
                <w:szCs w:val="4"/>
              </w:rPr>
            </w:r>
          </w:p>
        </w:tc>
        <w:tc>
          <w:tcPr>
            <w:tcW w:w="2941"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41.37</w:t>
            </w:r>
          </w:p>
        </w:tc>
      </w:tr>
      <w:tr>
        <w:trPr/>
        <w:tc>
          <w:tcPr>
            <w:tcW w:w="433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Nonvested stock units at end of period</w:t>
            </w:r>
          </w:p>
        </w:tc>
        <w:tc>
          <w:tcPr>
            <w:tcW w:w="226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210,249</w:t>
            </w:r>
          </w:p>
        </w:tc>
        <w:tc>
          <w:tcPr>
            <w:tcW w:w="22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94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41.40</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summarizes the value of RSUs:</w:t>
      </w:r>
    </w:p>
    <w:tbl>
      <w:tblPr>
        <w:tblW w:w="7064" w:type="dxa"/>
        <w:jc w:val="left"/>
        <w:tblInd w:w="0" w:type="dxa"/>
        <w:tblLayout w:type="fixed"/>
        <w:tblCellMar>
          <w:top w:w="0" w:type="dxa"/>
          <w:left w:w="0" w:type="dxa"/>
          <w:bottom w:w="0" w:type="dxa"/>
          <w:right w:w="0" w:type="dxa"/>
        </w:tblCellMar>
      </w:tblPr>
      <w:tblGrid>
        <w:gridCol w:w="4366"/>
        <w:gridCol w:w="229"/>
        <w:gridCol w:w="655"/>
        <w:gridCol w:w="229"/>
        <w:gridCol w:w="655"/>
        <w:gridCol w:w="229"/>
        <w:gridCol w:w="701"/>
      </w:tblGrid>
      <w:tr>
        <w:trPr/>
        <w:tc>
          <w:tcPr>
            <w:tcW w:w="4366"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655"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655"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701" w:type="dxa"/>
            <w:tcBorders/>
            <w:shd w:fill="FFFFFF" w:val="clear"/>
            <w:vAlign w:val="center"/>
          </w:tcPr>
          <w:p>
            <w:pPr>
              <w:pStyle w:val="TableContents"/>
              <w:bidi w:val="0"/>
              <w:spacing w:before="0" w:after="283"/>
              <w:jc w:val="left"/>
              <w:rPr>
                <w:sz w:val="4"/>
                <w:szCs w:val="4"/>
              </w:rPr>
            </w:pPr>
            <w:r>
              <w:rPr>
                <w:sz w:val="4"/>
                <w:szCs w:val="4"/>
              </w:rPr>
            </w:r>
          </w:p>
        </w:tc>
      </w:tr>
      <w:tr>
        <w:trPr/>
        <w:tc>
          <w:tcPr>
            <w:tcW w:w="4366" w:type="dxa"/>
            <w:tcBorders/>
            <w:shd w:fill="FFFFFF" w:val="clear"/>
            <w:vAlign w:val="center"/>
          </w:tcPr>
          <w:p>
            <w:pPr>
              <w:pStyle w:val="TableContents"/>
              <w:bidi w:val="0"/>
              <w:spacing w:before="0" w:after="283"/>
              <w:jc w:val="left"/>
              <w:rPr>
                <w:sz w:val="4"/>
                <w:szCs w:val="4"/>
              </w:rPr>
            </w:pPr>
            <w:r>
              <w:rPr>
                <w:sz w:val="4"/>
                <w:szCs w:val="4"/>
              </w:rPr>
            </w:r>
          </w:p>
        </w:tc>
        <w:tc>
          <w:tcPr>
            <w:tcW w:w="2698" w:type="dxa"/>
            <w:gridSpan w:val="6"/>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Years ended December 31,</w:t>
            </w:r>
          </w:p>
        </w:tc>
      </w:tr>
      <w:tr>
        <w:trPr/>
        <w:tc>
          <w:tcPr>
            <w:tcW w:w="4366"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22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4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Weighted average fair value of RSUs granted</w:t>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5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36.61</w:t>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55"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45.53</w:t>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44.74</w:t>
            </w:r>
          </w:p>
        </w:tc>
      </w:tr>
      <w:tr>
        <w:trPr/>
        <w:tc>
          <w:tcPr>
            <w:tcW w:w="436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Intrinsic value of vested RSUs</w:t>
            </w:r>
          </w:p>
        </w:tc>
        <w:tc>
          <w:tcPr>
            <w:tcW w:w="22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5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2,348</w:t>
            </w:r>
          </w:p>
        </w:tc>
        <w:tc>
          <w:tcPr>
            <w:tcW w:w="22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55"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2,427</w:t>
            </w:r>
          </w:p>
        </w:tc>
        <w:tc>
          <w:tcPr>
            <w:tcW w:w="229"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3,090</w:t>
            </w:r>
          </w:p>
        </w:tc>
      </w:tr>
      <w:tr>
        <w:trPr/>
        <w:tc>
          <w:tcPr>
            <w:tcW w:w="436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Fair value of vested RSUs</w:t>
            </w:r>
          </w:p>
        </w:tc>
        <w:tc>
          <w:tcPr>
            <w:tcW w:w="22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5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2,930</w:t>
            </w:r>
          </w:p>
        </w:tc>
        <w:tc>
          <w:tcPr>
            <w:tcW w:w="22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55"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2,665</w:t>
            </w:r>
          </w:p>
        </w:tc>
        <w:tc>
          <w:tcPr>
            <w:tcW w:w="22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2,483</w:t>
            </w:r>
          </w:p>
        </w:tc>
      </w:tr>
    </w:tbl>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As of December 31, 2024, $3,596</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of unrecognized compensation costs related to RSUs is expected to be recognized over a weighted average period of approximately 1.5</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years. The aggregate intrinsic value of RSUs as of December 31, 2024 was $7,636. The aggregate intrinsic value of RSUs is based on the number of nonvested stock units and the market value of the Company’s common stock as of the period end date. </w:t>
      </w:r>
    </w:p>
    <w:p>
      <w:pPr>
        <w:pStyle w:val="TextBody"/>
        <w:bidi w:val="0"/>
        <w:spacing w:lineRule="auto" w:line="259"/>
        <w:rPr>
          <w:rFonts w:ascii="Times New Roman;serif" w:hAnsi="Times New Roman;serif"/>
          <w:sz w:val="22"/>
        </w:rPr>
      </w:pPr>
      <w:r>
        <w:rPr>
          <w:rFonts w:ascii="Times New Roman;serif" w:hAnsi="Times New Roman;serif"/>
          <w:b/>
          <w:i/>
          <w:sz w:val="22"/>
        </w:rPr>
        <w:t>Stock Options –</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 stock option represents the option to purchase a number of shares of common stock of the Company as specified in the stock option grant agreement at the exercise price per share as determined by the closing market price of our common stock on the grant date. Stock options are exercisable in installments of 33% annually, starting one year</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from the grant date and expire ten years from the grant date. The vesting of stock options granted in 2024, 2023 and 2022 are subject to the achievement of the following performance goal: the Company achieves at least an adjusted return on equity equal to 150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basis points below the return on equity granted by the Pennsylvania Public Utility Commission during the Company’s Pennsylvania subsidiary’s last rate proceeding. The adjusted return on equity equals net income, excluding net income or loss from acquisitions which have not yet been incorporated into a rate application as of the last year end, divided by equity which excludes equity applicable to acquisitions which are not yet incorporated in a rate application during the award period.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fair value of each stock option is amortized into compensation expense using the graded vesting method, which results in the recognition of compensation costs over the requisite service period for each separately vesting tranche of the stock options as though the stock options were, in substance, multiple stock option grants. The following table provides compensation expense and income tax benefit for stock options:</w:t>
      </w:r>
    </w:p>
    <w:tbl>
      <w:tblPr>
        <w:tblW w:w="9569" w:type="dxa"/>
        <w:jc w:val="left"/>
        <w:tblInd w:w="0" w:type="dxa"/>
        <w:tblLayout w:type="fixed"/>
        <w:tblCellMar>
          <w:top w:w="0" w:type="dxa"/>
          <w:left w:w="0" w:type="dxa"/>
          <w:bottom w:w="0" w:type="dxa"/>
          <w:right w:w="0" w:type="dxa"/>
        </w:tblCellMar>
      </w:tblPr>
      <w:tblGrid>
        <w:gridCol w:w="6871"/>
        <w:gridCol w:w="246"/>
        <w:gridCol w:w="637"/>
        <w:gridCol w:w="246"/>
        <w:gridCol w:w="637"/>
        <w:gridCol w:w="246"/>
        <w:gridCol w:w="686"/>
      </w:tblGrid>
      <w:tr>
        <w:trPr/>
        <w:tc>
          <w:tcPr>
            <w:tcW w:w="6871"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637"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637"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686" w:type="dxa"/>
            <w:tcBorders/>
            <w:shd w:fill="FFFFFF" w:val="clear"/>
            <w:vAlign w:val="center"/>
          </w:tcPr>
          <w:p>
            <w:pPr>
              <w:pStyle w:val="TableContents"/>
              <w:bidi w:val="0"/>
              <w:spacing w:before="0" w:after="283"/>
              <w:jc w:val="left"/>
              <w:rPr>
                <w:sz w:val="4"/>
                <w:szCs w:val="4"/>
              </w:rPr>
            </w:pPr>
            <w:r>
              <w:rPr>
                <w:sz w:val="4"/>
                <w:szCs w:val="4"/>
              </w:rPr>
            </w:r>
          </w:p>
        </w:tc>
      </w:tr>
      <w:tr>
        <w:trPr/>
        <w:tc>
          <w:tcPr>
            <w:tcW w:w="6871"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637"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637"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686" w:type="dxa"/>
            <w:tcBorders/>
            <w:shd w:fill="FFFFFF" w:val="clear"/>
            <w:vAlign w:val="center"/>
          </w:tcPr>
          <w:p>
            <w:pPr>
              <w:pStyle w:val="TableContents"/>
              <w:bidi w:val="0"/>
              <w:spacing w:before="0" w:after="283"/>
              <w:jc w:val="left"/>
              <w:rPr>
                <w:sz w:val="4"/>
                <w:szCs w:val="4"/>
              </w:rPr>
            </w:pPr>
            <w:r>
              <w:rPr>
                <w:sz w:val="4"/>
                <w:szCs w:val="4"/>
              </w:rPr>
            </w:r>
          </w:p>
        </w:tc>
      </w:tr>
      <w:tr>
        <w:trPr/>
        <w:tc>
          <w:tcPr>
            <w:tcW w:w="6871" w:type="dxa"/>
            <w:tcBorders/>
            <w:shd w:fill="FFFFFF" w:val="clear"/>
            <w:vAlign w:val="center"/>
          </w:tcPr>
          <w:p>
            <w:pPr>
              <w:pStyle w:val="TableContents"/>
              <w:bidi w:val="0"/>
              <w:spacing w:before="0" w:after="283"/>
              <w:jc w:val="left"/>
              <w:rPr>
                <w:sz w:val="4"/>
                <w:szCs w:val="4"/>
              </w:rPr>
            </w:pPr>
            <w:r>
              <w:rPr>
                <w:sz w:val="4"/>
                <w:szCs w:val="4"/>
              </w:rPr>
            </w:r>
          </w:p>
        </w:tc>
        <w:tc>
          <w:tcPr>
            <w:tcW w:w="2698" w:type="dxa"/>
            <w:gridSpan w:val="6"/>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Years ended December 31,</w:t>
            </w:r>
          </w:p>
        </w:tc>
      </w:tr>
      <w:tr>
        <w:trPr/>
        <w:tc>
          <w:tcPr>
            <w:tcW w:w="6871"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4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24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8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687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Stock-based compensation within operations and maintenance expenses</w:t>
            </w:r>
          </w:p>
        </w:tc>
        <w:tc>
          <w:tcPr>
            <w:tcW w:w="24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37"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304</w:t>
            </w:r>
          </w:p>
        </w:tc>
        <w:tc>
          <w:tcPr>
            <w:tcW w:w="24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37"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650</w:t>
            </w:r>
          </w:p>
        </w:tc>
        <w:tc>
          <w:tcPr>
            <w:tcW w:w="24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8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451</w:t>
            </w:r>
          </w:p>
        </w:tc>
      </w:tr>
      <w:tr>
        <w:trPr/>
        <w:tc>
          <w:tcPr>
            <w:tcW w:w="687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Income tax benefit</w:t>
            </w:r>
          </w:p>
        </w:tc>
        <w:tc>
          <w:tcPr>
            <w:tcW w:w="2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3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76</w:t>
            </w:r>
          </w:p>
        </w:tc>
        <w:tc>
          <w:tcPr>
            <w:tcW w:w="24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37"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162</w:t>
            </w:r>
          </w:p>
        </w:tc>
        <w:tc>
          <w:tcPr>
            <w:tcW w:w="24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8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140</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Options under the plans were issued at the closing market price of the stock on the day of the grant. The fair value of options was estimated at the grant date using the Black-Scholes option-pricing model, which relies on assumptions that require management’s judgment. The following table provides the assumptions used in the pricing model for grants and the resulting grant date fair value of stock options granted in the period reported: </w:t>
      </w:r>
    </w:p>
    <w:tbl>
      <w:tblPr>
        <w:tblW w:w="6696" w:type="dxa"/>
        <w:jc w:val="left"/>
        <w:tblInd w:w="0" w:type="dxa"/>
        <w:tblLayout w:type="fixed"/>
        <w:tblCellMar>
          <w:top w:w="0" w:type="dxa"/>
          <w:left w:w="0" w:type="dxa"/>
          <w:bottom w:w="0" w:type="dxa"/>
          <w:right w:w="0" w:type="dxa"/>
        </w:tblCellMar>
      </w:tblPr>
      <w:tblGrid>
        <w:gridCol w:w="3061"/>
        <w:gridCol w:w="226"/>
        <w:gridCol w:w="898"/>
        <w:gridCol w:w="109"/>
        <w:gridCol w:w="226"/>
        <w:gridCol w:w="898"/>
        <w:gridCol w:w="109"/>
        <w:gridCol w:w="226"/>
        <w:gridCol w:w="943"/>
      </w:tblGrid>
      <w:tr>
        <w:trPr/>
        <w:tc>
          <w:tcPr>
            <w:tcW w:w="306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43" w:type="dxa"/>
            <w:tcBorders/>
            <w:shd w:fill="FFFFFF" w:val="clear"/>
            <w:vAlign w:val="center"/>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43" w:type="dxa"/>
            <w:tcBorders/>
            <w:shd w:fill="FFFFFF" w:val="clear"/>
            <w:vAlign w:val="center"/>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43" w:type="dxa"/>
            <w:tcBorders/>
            <w:shd w:fill="FFFFFF" w:val="clear"/>
            <w:vAlign w:val="center"/>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43" w:type="dxa"/>
            <w:tcBorders/>
            <w:shd w:fill="FFFFFF" w:val="clear"/>
            <w:vAlign w:val="center"/>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43" w:type="dxa"/>
            <w:tcBorders/>
            <w:shd w:fill="FFFFFF" w:val="clear"/>
            <w:vAlign w:val="center"/>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943"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306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Expected term (years)</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5.5</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5.5</w:t>
            </w:r>
          </w:p>
        </w:tc>
        <w:tc>
          <w:tcPr>
            <w:tcW w:w="109"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3" w:type="dxa"/>
            <w:tcBorders>
              <w:top w:val="single" w:sz="8" w:space="0" w:color="000000"/>
            </w:tcBorders>
            <w:shd w:fill="CCEE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5.5</w:t>
            </w:r>
          </w:p>
        </w:tc>
      </w:tr>
      <w:tr>
        <w:trPr/>
        <w:tc>
          <w:tcPr>
            <w:tcW w:w="306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Risk-free interest rate</w:t>
            </w:r>
          </w:p>
        </w:tc>
        <w:tc>
          <w:tcPr>
            <w:tcW w:w="22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4.00%</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4.03%</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1.92%</w:t>
            </w:r>
          </w:p>
        </w:tc>
      </w:tr>
      <w:tr>
        <w:trPr/>
        <w:tc>
          <w:tcPr>
            <w:tcW w:w="306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Expected volatility</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28.30%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27.80%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4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26.50%</w:t>
            </w:r>
          </w:p>
        </w:tc>
      </w:tr>
      <w:tr>
        <w:trPr/>
        <w:tc>
          <w:tcPr>
            <w:tcW w:w="306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Dividend yield</w:t>
            </w:r>
          </w:p>
        </w:tc>
        <w:tc>
          <w:tcPr>
            <w:tcW w:w="22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3.43%</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2.53%</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2.37%</w:t>
            </w:r>
          </w:p>
        </w:tc>
      </w:tr>
      <w:tr>
        <w:trPr/>
        <w:tc>
          <w:tcPr>
            <w:tcW w:w="306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Grant date fair value per option</w:t>
            </w:r>
          </w:p>
        </w:tc>
        <w:tc>
          <w:tcPr>
            <w:tcW w:w="22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9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8.12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9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11.37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4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9.34</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Historical information was the principal basis for the selection of the expected term and dividend yield. The expected volatility is based on a weighted-average combination of historical and implied volatilities over a period that approximates the expected term of the option. The risk-free interest rate was selected based upon the U.S. Treasury yield curve in effect at the time of grant for the expected term of the option. The Company assumes that forfeitures will be minimal, and recognizes forfeitures as they occur, which results in a reduction in compensation expense.</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summarizes stock option transactions for the year ended December 31, 2024:</w:t>
      </w:r>
    </w:p>
    <w:tbl>
      <w:tblPr>
        <w:tblW w:w="10205" w:type="dxa"/>
        <w:jc w:val="left"/>
        <w:tblInd w:w="0" w:type="dxa"/>
        <w:tblLayout w:type="fixed"/>
        <w:tblCellMar>
          <w:top w:w="0" w:type="dxa"/>
          <w:left w:w="0" w:type="dxa"/>
          <w:bottom w:w="0" w:type="dxa"/>
          <w:right w:w="0" w:type="dxa"/>
        </w:tblCellMar>
      </w:tblPr>
      <w:tblGrid>
        <w:gridCol w:w="2203"/>
        <w:gridCol w:w="901"/>
        <w:gridCol w:w="226"/>
        <w:gridCol w:w="2148"/>
        <w:gridCol w:w="2637"/>
        <w:gridCol w:w="226"/>
        <w:gridCol w:w="1864"/>
      </w:tblGrid>
      <w:tr>
        <w:trPr/>
        <w:tc>
          <w:tcPr>
            <w:tcW w:w="2203"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2148" w:type="dxa"/>
            <w:tcBorders/>
            <w:shd w:fill="FFFFFF" w:val="clear"/>
            <w:vAlign w:val="center"/>
          </w:tcPr>
          <w:p>
            <w:pPr>
              <w:pStyle w:val="TableContents"/>
              <w:bidi w:val="0"/>
              <w:spacing w:before="0" w:after="283"/>
              <w:jc w:val="left"/>
              <w:rPr>
                <w:sz w:val="4"/>
                <w:szCs w:val="4"/>
              </w:rPr>
            </w:pPr>
            <w:r>
              <w:rPr>
                <w:sz w:val="4"/>
                <w:szCs w:val="4"/>
              </w:rPr>
            </w:r>
          </w:p>
        </w:tc>
        <w:tc>
          <w:tcPr>
            <w:tcW w:w="2637"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864" w:type="dxa"/>
            <w:tcBorders/>
            <w:shd w:fill="FFFFFF" w:val="clear"/>
            <w:vAlign w:val="center"/>
          </w:tcPr>
          <w:p>
            <w:pPr>
              <w:pStyle w:val="TableContents"/>
              <w:bidi w:val="0"/>
              <w:spacing w:before="0" w:after="283"/>
              <w:jc w:val="left"/>
              <w:rPr>
                <w:sz w:val="4"/>
                <w:szCs w:val="4"/>
              </w:rPr>
            </w:pPr>
            <w:r>
              <w:rPr>
                <w:sz w:val="4"/>
                <w:szCs w:val="4"/>
              </w:rPr>
            </w:r>
          </w:p>
        </w:tc>
      </w:tr>
      <w:tr>
        <w:trPr/>
        <w:tc>
          <w:tcPr>
            <w:tcW w:w="2203"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2148" w:type="dxa"/>
            <w:tcBorders/>
            <w:shd w:fill="FFFFFF" w:val="clear"/>
            <w:vAlign w:val="center"/>
          </w:tcPr>
          <w:p>
            <w:pPr>
              <w:pStyle w:val="TableContents"/>
              <w:bidi w:val="0"/>
              <w:spacing w:before="0" w:after="283"/>
              <w:jc w:val="left"/>
              <w:rPr>
                <w:sz w:val="4"/>
                <w:szCs w:val="4"/>
              </w:rPr>
            </w:pPr>
            <w:r>
              <w:rPr>
                <w:sz w:val="4"/>
                <w:szCs w:val="4"/>
              </w:rPr>
            </w:r>
          </w:p>
        </w:tc>
        <w:tc>
          <w:tcPr>
            <w:tcW w:w="2637"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864" w:type="dxa"/>
            <w:tcBorders/>
            <w:shd w:fill="FFFFFF" w:val="clear"/>
            <w:vAlign w:val="center"/>
          </w:tcPr>
          <w:p>
            <w:pPr>
              <w:pStyle w:val="TableContents"/>
              <w:bidi w:val="0"/>
              <w:spacing w:before="0" w:after="283"/>
              <w:jc w:val="left"/>
              <w:rPr>
                <w:sz w:val="4"/>
                <w:szCs w:val="4"/>
              </w:rPr>
            </w:pPr>
            <w:r>
              <w:rPr>
                <w:sz w:val="4"/>
                <w:szCs w:val="4"/>
              </w:rPr>
            </w:r>
          </w:p>
        </w:tc>
      </w:tr>
      <w:tr>
        <w:trPr/>
        <w:tc>
          <w:tcPr>
            <w:tcW w:w="2203" w:type="dxa"/>
            <w:tcBorders/>
            <w:shd w:fill="FFFFFF" w:val="clear"/>
            <w:vAlign w:val="center"/>
          </w:tcPr>
          <w:p>
            <w:pPr>
              <w:pStyle w:val="TableContents"/>
              <w:bidi w:val="0"/>
              <w:spacing w:before="0" w:after="283"/>
              <w:jc w:val="left"/>
              <w:rPr>
                <w:sz w:val="4"/>
                <w:szCs w:val="4"/>
              </w:rPr>
            </w:pPr>
            <w:r>
              <w:rPr>
                <w:sz w:val="4"/>
                <w:szCs w:val="4"/>
              </w:rPr>
            </w:r>
          </w:p>
        </w:tc>
        <w:tc>
          <w:tcPr>
            <w:tcW w:w="901"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Shares</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148"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Weighted Average Exercise Price</w:t>
            </w:r>
          </w:p>
        </w:tc>
        <w:tc>
          <w:tcPr>
            <w:tcW w:w="2637"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Weighted Average Remaining Life (years)</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864"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Aggregate Intrinsic Value</w:t>
            </w:r>
          </w:p>
        </w:tc>
      </w:tr>
      <w:tr>
        <w:trPr/>
        <w:tc>
          <w:tcPr>
            <w:tcW w:w="220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Outstanding, beginning of year</w:t>
            </w:r>
          </w:p>
        </w:tc>
        <w:tc>
          <w:tcPr>
            <w:tcW w:w="90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882,442</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14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37.03</w:t>
            </w:r>
          </w:p>
        </w:tc>
        <w:tc>
          <w:tcPr>
            <w:tcW w:w="2637"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86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203"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Granted</w:t>
            </w:r>
          </w:p>
        </w:tc>
        <w:tc>
          <w:tcPr>
            <w:tcW w:w="90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119,548</w:t>
            </w:r>
          </w:p>
        </w:tc>
        <w:tc>
          <w:tcPr>
            <w:tcW w:w="226"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35.78</w:t>
            </w:r>
          </w:p>
        </w:tc>
        <w:tc>
          <w:tcPr>
            <w:tcW w:w="26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rPr/>
        <w:tc>
          <w:tcPr>
            <w:tcW w:w="2203"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Forfeited</w:t>
            </w:r>
          </w:p>
        </w:tc>
        <w:tc>
          <w:tcPr>
            <w:tcW w:w="90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(17,917)</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214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39.27</w:t>
            </w:r>
          </w:p>
        </w:tc>
        <w:tc>
          <w:tcPr>
            <w:tcW w:w="2637"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864" w:type="dxa"/>
            <w:tcBorders/>
            <w:shd w:fill="CCEEFF" w:val="clear"/>
            <w:vAlign w:val="center"/>
          </w:tcPr>
          <w:p>
            <w:pPr>
              <w:pStyle w:val="TableContents"/>
              <w:bidi w:val="0"/>
              <w:spacing w:before="0" w:after="283"/>
              <w:jc w:val="left"/>
              <w:rPr>
                <w:sz w:val="4"/>
                <w:szCs w:val="4"/>
              </w:rPr>
            </w:pPr>
            <w:r>
              <w:rPr>
                <w:sz w:val="4"/>
                <w:szCs w:val="4"/>
              </w:rPr>
            </w:r>
          </w:p>
        </w:tc>
      </w:tr>
      <w:tr>
        <w:trPr/>
        <w:tc>
          <w:tcPr>
            <w:tcW w:w="2203"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Expired / Cancelled</w:t>
            </w:r>
          </w:p>
        </w:tc>
        <w:tc>
          <w:tcPr>
            <w:tcW w:w="90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(7,851)</w:t>
            </w:r>
          </w:p>
        </w:tc>
        <w:tc>
          <w:tcPr>
            <w:tcW w:w="226"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43.74</w:t>
            </w:r>
          </w:p>
        </w:tc>
        <w:tc>
          <w:tcPr>
            <w:tcW w:w="263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r>
      <w:tr>
        <w:trPr/>
        <w:tc>
          <w:tcPr>
            <w:tcW w:w="2203"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Exercised</w:t>
            </w:r>
          </w:p>
        </w:tc>
        <w:tc>
          <w:tcPr>
            <w:tcW w:w="90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(69,320)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2148"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35.65</w:t>
            </w:r>
          </w:p>
        </w:tc>
        <w:tc>
          <w:tcPr>
            <w:tcW w:w="2637"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864" w:type="dxa"/>
            <w:tcBorders/>
            <w:shd w:fill="CCEEFF" w:val="clear"/>
            <w:vAlign w:val="center"/>
          </w:tcPr>
          <w:p>
            <w:pPr>
              <w:pStyle w:val="TableContents"/>
              <w:bidi w:val="0"/>
              <w:spacing w:before="0" w:after="283"/>
              <w:jc w:val="left"/>
              <w:rPr>
                <w:sz w:val="4"/>
                <w:szCs w:val="4"/>
              </w:rPr>
            </w:pPr>
            <w:r>
              <w:rPr>
                <w:sz w:val="4"/>
                <w:szCs w:val="4"/>
              </w:rPr>
            </w:r>
          </w:p>
        </w:tc>
      </w:tr>
      <w:tr>
        <w:trPr/>
        <w:tc>
          <w:tcPr>
            <w:tcW w:w="22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Outstanding at end of year</w:t>
            </w:r>
          </w:p>
        </w:tc>
        <w:tc>
          <w:tcPr>
            <w:tcW w:w="90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906,902</w:t>
            </w:r>
          </w:p>
        </w:tc>
        <w:tc>
          <w:tcPr>
            <w:tcW w:w="226" w:type="dxa"/>
            <w:tcBorders>
              <w:bottom w:val="double" w:sz="6"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148" w:type="dxa"/>
            <w:tcBorders>
              <w:bottom w:val="double" w:sz="6"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36.87</w:t>
            </w:r>
          </w:p>
        </w:tc>
        <w:tc>
          <w:tcPr>
            <w:tcW w:w="2637" w:type="dxa"/>
            <w:tcBorders>
              <w:bottom w:val="double" w:sz="6"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5.1</w:t>
            </w:r>
          </w:p>
        </w:tc>
        <w:tc>
          <w:tcPr>
            <w:tcW w:w="226" w:type="dxa"/>
            <w:tcBorders>
              <w:bottom w:val="double" w:sz="6"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864" w:type="dxa"/>
            <w:tcBorders>
              <w:bottom w:val="double" w:sz="6"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713</w:t>
            </w:r>
          </w:p>
        </w:tc>
      </w:tr>
      <w:tr>
        <w:trPr/>
        <w:tc>
          <w:tcPr>
            <w:tcW w:w="2203" w:type="dxa"/>
            <w:tcBorders/>
            <w:shd w:fill="CCEEFF" w:val="clear"/>
            <w:vAlign w:val="center"/>
          </w:tcPr>
          <w:p>
            <w:pPr>
              <w:pStyle w:val="TableContents"/>
              <w:bidi w:val="0"/>
              <w:spacing w:before="0" w:after="283"/>
              <w:jc w:val="left"/>
              <w:rPr>
                <w:sz w:val="4"/>
                <w:szCs w:val="4"/>
              </w:rPr>
            </w:pPr>
            <w:r>
              <w:rPr>
                <w:sz w:val="4"/>
                <w:szCs w:val="4"/>
              </w:rPr>
            </w:r>
          </w:p>
        </w:tc>
        <w:tc>
          <w:tcPr>
            <w:tcW w:w="901"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148"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637"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864" w:type="dxa"/>
            <w:tcBorders>
              <w:top w:val="double" w:sz="6"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220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Exercisable at end of year</w:t>
            </w:r>
          </w:p>
        </w:tc>
        <w:tc>
          <w:tcPr>
            <w:tcW w:w="901" w:type="dxa"/>
            <w:tcBorders>
              <w:bottom w:val="double" w:sz="6"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732,590</w:t>
            </w:r>
          </w:p>
        </w:tc>
        <w:tc>
          <w:tcPr>
            <w:tcW w:w="226" w:type="dxa"/>
            <w:tcBorders>
              <w:bottom w:val="double" w:sz="6"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148" w:type="dxa"/>
            <w:tcBorders>
              <w:bottom w:val="double" w:sz="6"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36.27</w:t>
            </w:r>
          </w:p>
        </w:tc>
        <w:tc>
          <w:tcPr>
            <w:tcW w:w="2637" w:type="dxa"/>
            <w:tcBorders>
              <w:bottom w:val="double" w:sz="6"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4.2</w:t>
            </w:r>
          </w:p>
        </w:tc>
        <w:tc>
          <w:tcPr>
            <w:tcW w:w="226" w:type="dxa"/>
            <w:tcBorders>
              <w:bottom w:val="double" w:sz="6"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864" w:type="dxa"/>
            <w:tcBorders>
              <w:bottom w:val="double" w:sz="6"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655</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intrinsic value of stock options is the amount by which the market price of the stock on a given date, such as at the end of the period or on the day of exercise, exceeded the closing market price of stock on the date of grant. The following table summarizes the intrinsic value of stock options exercised and the fair value of stock options which vested:</w:t>
      </w:r>
    </w:p>
    <w:tbl>
      <w:tblPr>
        <w:tblW w:w="6104" w:type="dxa"/>
        <w:jc w:val="left"/>
        <w:tblInd w:w="0" w:type="dxa"/>
        <w:tblLayout w:type="fixed"/>
        <w:tblCellMar>
          <w:top w:w="0" w:type="dxa"/>
          <w:left w:w="0" w:type="dxa"/>
          <w:bottom w:w="0" w:type="dxa"/>
          <w:right w:w="0" w:type="dxa"/>
        </w:tblCellMar>
      </w:tblPr>
      <w:tblGrid>
        <w:gridCol w:w="3406"/>
        <w:gridCol w:w="240"/>
        <w:gridCol w:w="622"/>
        <w:gridCol w:w="240"/>
        <w:gridCol w:w="622"/>
        <w:gridCol w:w="240"/>
        <w:gridCol w:w="734"/>
      </w:tblGrid>
      <w:tr>
        <w:trPr/>
        <w:tc>
          <w:tcPr>
            <w:tcW w:w="3406" w:type="dxa"/>
            <w:tcBorders/>
            <w:shd w:fill="FFFFFF" w:val="clear"/>
            <w:vAlign w:val="center"/>
          </w:tcPr>
          <w:p>
            <w:pPr>
              <w:pStyle w:val="TableContents"/>
              <w:bidi w:val="0"/>
              <w:spacing w:before="0" w:after="283"/>
              <w:jc w:val="left"/>
              <w:rPr>
                <w:sz w:val="4"/>
                <w:szCs w:val="4"/>
              </w:rPr>
            </w:pPr>
            <w:r>
              <w:rPr>
                <w:sz w:val="4"/>
                <w:szCs w:val="4"/>
              </w:rPr>
            </w:r>
          </w:p>
        </w:tc>
        <w:tc>
          <w:tcPr>
            <w:tcW w:w="240" w:type="dxa"/>
            <w:tcBorders/>
            <w:shd w:fill="FFFFFF" w:val="clear"/>
            <w:vAlign w:val="center"/>
          </w:tcPr>
          <w:p>
            <w:pPr>
              <w:pStyle w:val="TableContents"/>
              <w:bidi w:val="0"/>
              <w:spacing w:before="0" w:after="283"/>
              <w:jc w:val="left"/>
              <w:rPr>
                <w:sz w:val="4"/>
                <w:szCs w:val="4"/>
              </w:rPr>
            </w:pPr>
            <w:r>
              <w:rPr>
                <w:sz w:val="4"/>
                <w:szCs w:val="4"/>
              </w:rPr>
            </w:r>
          </w:p>
        </w:tc>
        <w:tc>
          <w:tcPr>
            <w:tcW w:w="622" w:type="dxa"/>
            <w:tcBorders/>
            <w:shd w:fill="FFFFFF" w:val="clear"/>
            <w:vAlign w:val="center"/>
          </w:tcPr>
          <w:p>
            <w:pPr>
              <w:pStyle w:val="TableContents"/>
              <w:bidi w:val="0"/>
              <w:spacing w:before="0" w:after="283"/>
              <w:jc w:val="left"/>
              <w:rPr>
                <w:sz w:val="4"/>
                <w:szCs w:val="4"/>
              </w:rPr>
            </w:pPr>
            <w:r>
              <w:rPr>
                <w:sz w:val="4"/>
                <w:szCs w:val="4"/>
              </w:rPr>
            </w:r>
          </w:p>
        </w:tc>
        <w:tc>
          <w:tcPr>
            <w:tcW w:w="240" w:type="dxa"/>
            <w:tcBorders/>
            <w:shd w:fill="FFFFFF" w:val="clear"/>
            <w:vAlign w:val="center"/>
          </w:tcPr>
          <w:p>
            <w:pPr>
              <w:pStyle w:val="TableContents"/>
              <w:bidi w:val="0"/>
              <w:spacing w:before="0" w:after="283"/>
              <w:jc w:val="left"/>
              <w:rPr>
                <w:sz w:val="4"/>
                <w:szCs w:val="4"/>
              </w:rPr>
            </w:pPr>
            <w:r>
              <w:rPr>
                <w:sz w:val="4"/>
                <w:szCs w:val="4"/>
              </w:rPr>
            </w:r>
          </w:p>
        </w:tc>
        <w:tc>
          <w:tcPr>
            <w:tcW w:w="622" w:type="dxa"/>
            <w:tcBorders/>
            <w:shd w:fill="FFFFFF" w:val="clear"/>
            <w:vAlign w:val="center"/>
          </w:tcPr>
          <w:p>
            <w:pPr>
              <w:pStyle w:val="TableContents"/>
              <w:bidi w:val="0"/>
              <w:spacing w:before="0" w:after="283"/>
              <w:jc w:val="left"/>
              <w:rPr>
                <w:sz w:val="4"/>
                <w:szCs w:val="4"/>
              </w:rPr>
            </w:pPr>
            <w:r>
              <w:rPr>
                <w:sz w:val="4"/>
                <w:szCs w:val="4"/>
              </w:rPr>
            </w:r>
          </w:p>
        </w:tc>
        <w:tc>
          <w:tcPr>
            <w:tcW w:w="240" w:type="dxa"/>
            <w:tcBorders/>
            <w:shd w:fill="FFFFFF" w:val="clear"/>
            <w:vAlign w:val="center"/>
          </w:tcPr>
          <w:p>
            <w:pPr>
              <w:pStyle w:val="TableContents"/>
              <w:bidi w:val="0"/>
              <w:spacing w:before="0" w:after="283"/>
              <w:jc w:val="left"/>
              <w:rPr>
                <w:sz w:val="4"/>
                <w:szCs w:val="4"/>
              </w:rPr>
            </w:pPr>
            <w:r>
              <w:rPr>
                <w:sz w:val="4"/>
                <w:szCs w:val="4"/>
              </w:rPr>
            </w:r>
          </w:p>
        </w:tc>
        <w:tc>
          <w:tcPr>
            <w:tcW w:w="734" w:type="dxa"/>
            <w:tcBorders/>
            <w:shd w:fill="FFFFFF" w:val="clear"/>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left"/>
              <w:rPr>
                <w:sz w:val="4"/>
                <w:szCs w:val="4"/>
              </w:rPr>
            </w:pPr>
            <w:r>
              <w:rPr>
                <w:sz w:val="4"/>
                <w:szCs w:val="4"/>
              </w:rPr>
            </w:r>
          </w:p>
        </w:tc>
        <w:tc>
          <w:tcPr>
            <w:tcW w:w="240" w:type="dxa"/>
            <w:tcBorders/>
            <w:shd w:fill="FFFFFF" w:val="clear"/>
            <w:vAlign w:val="center"/>
          </w:tcPr>
          <w:p>
            <w:pPr>
              <w:pStyle w:val="TableContents"/>
              <w:bidi w:val="0"/>
              <w:spacing w:before="0" w:after="283"/>
              <w:jc w:val="left"/>
              <w:rPr>
                <w:sz w:val="4"/>
                <w:szCs w:val="4"/>
              </w:rPr>
            </w:pPr>
            <w:r>
              <w:rPr>
                <w:sz w:val="4"/>
                <w:szCs w:val="4"/>
              </w:rPr>
            </w:r>
          </w:p>
        </w:tc>
        <w:tc>
          <w:tcPr>
            <w:tcW w:w="622" w:type="dxa"/>
            <w:tcBorders/>
            <w:shd w:fill="FFFFFF" w:val="clear"/>
            <w:vAlign w:val="center"/>
          </w:tcPr>
          <w:p>
            <w:pPr>
              <w:pStyle w:val="TableContents"/>
              <w:bidi w:val="0"/>
              <w:spacing w:before="0" w:after="283"/>
              <w:jc w:val="left"/>
              <w:rPr>
                <w:sz w:val="4"/>
                <w:szCs w:val="4"/>
              </w:rPr>
            </w:pPr>
            <w:r>
              <w:rPr>
                <w:sz w:val="4"/>
                <w:szCs w:val="4"/>
              </w:rPr>
            </w:r>
          </w:p>
        </w:tc>
        <w:tc>
          <w:tcPr>
            <w:tcW w:w="240" w:type="dxa"/>
            <w:tcBorders/>
            <w:shd w:fill="FFFFFF" w:val="clear"/>
            <w:vAlign w:val="center"/>
          </w:tcPr>
          <w:p>
            <w:pPr>
              <w:pStyle w:val="TableContents"/>
              <w:bidi w:val="0"/>
              <w:spacing w:before="0" w:after="283"/>
              <w:jc w:val="left"/>
              <w:rPr>
                <w:sz w:val="4"/>
                <w:szCs w:val="4"/>
              </w:rPr>
            </w:pPr>
            <w:r>
              <w:rPr>
                <w:sz w:val="4"/>
                <w:szCs w:val="4"/>
              </w:rPr>
            </w:r>
          </w:p>
        </w:tc>
        <w:tc>
          <w:tcPr>
            <w:tcW w:w="622" w:type="dxa"/>
            <w:tcBorders/>
            <w:shd w:fill="FFFFFF" w:val="clear"/>
            <w:vAlign w:val="center"/>
          </w:tcPr>
          <w:p>
            <w:pPr>
              <w:pStyle w:val="TableContents"/>
              <w:bidi w:val="0"/>
              <w:spacing w:before="0" w:after="283"/>
              <w:jc w:val="left"/>
              <w:rPr>
                <w:sz w:val="4"/>
                <w:szCs w:val="4"/>
              </w:rPr>
            </w:pPr>
            <w:r>
              <w:rPr>
                <w:sz w:val="4"/>
                <w:szCs w:val="4"/>
              </w:rPr>
            </w:r>
          </w:p>
        </w:tc>
        <w:tc>
          <w:tcPr>
            <w:tcW w:w="240" w:type="dxa"/>
            <w:tcBorders/>
            <w:shd w:fill="FFFFFF" w:val="clear"/>
            <w:vAlign w:val="center"/>
          </w:tcPr>
          <w:p>
            <w:pPr>
              <w:pStyle w:val="TableContents"/>
              <w:bidi w:val="0"/>
              <w:spacing w:before="0" w:after="283"/>
              <w:jc w:val="left"/>
              <w:rPr>
                <w:sz w:val="4"/>
                <w:szCs w:val="4"/>
              </w:rPr>
            </w:pPr>
            <w:r>
              <w:rPr>
                <w:sz w:val="4"/>
                <w:szCs w:val="4"/>
              </w:rPr>
            </w:r>
          </w:p>
        </w:tc>
        <w:tc>
          <w:tcPr>
            <w:tcW w:w="734" w:type="dxa"/>
            <w:tcBorders/>
            <w:shd w:fill="FFFFFF" w:val="clear"/>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left"/>
              <w:rPr>
                <w:sz w:val="4"/>
                <w:szCs w:val="4"/>
              </w:rPr>
            </w:pPr>
            <w:r>
              <w:rPr>
                <w:sz w:val="4"/>
                <w:szCs w:val="4"/>
              </w:rPr>
            </w:r>
          </w:p>
        </w:tc>
        <w:tc>
          <w:tcPr>
            <w:tcW w:w="2698" w:type="dxa"/>
            <w:gridSpan w:val="6"/>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Years ended December 31,</w:t>
            </w:r>
          </w:p>
        </w:tc>
      </w:tr>
      <w:tr>
        <w:trPr/>
        <w:tc>
          <w:tcPr>
            <w:tcW w:w="3406" w:type="dxa"/>
            <w:tcBorders/>
            <w:shd w:fill="FFFFFF" w:val="cle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4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24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3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34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Intrinsic value of options exercised</w:t>
            </w:r>
          </w:p>
        </w:tc>
        <w:tc>
          <w:tcPr>
            <w:tcW w:w="240"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172</w:t>
            </w:r>
          </w:p>
        </w:tc>
        <w:tc>
          <w:tcPr>
            <w:tcW w:w="240"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22"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64</w:t>
            </w:r>
          </w:p>
        </w:tc>
        <w:tc>
          <w:tcPr>
            <w:tcW w:w="240"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34"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960</w:t>
            </w:r>
          </w:p>
        </w:tc>
      </w:tr>
      <w:tr>
        <w:trPr/>
        <w:tc>
          <w:tcPr>
            <w:tcW w:w="340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Fair value of options vested</w:t>
            </w:r>
          </w:p>
        </w:tc>
        <w:tc>
          <w:tcPr>
            <w:tcW w:w="24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502</w:t>
            </w:r>
          </w:p>
        </w:tc>
        <w:tc>
          <w:tcPr>
            <w:tcW w:w="24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22"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236</w:t>
            </w:r>
          </w:p>
        </w:tc>
        <w:tc>
          <w:tcPr>
            <w:tcW w:w="24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34"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1,203</w:t>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summarizes information about the options outstanding and options exercisable as of December 31, 2024:</w:t>
      </w:r>
    </w:p>
    <w:tbl>
      <w:tblPr>
        <w:tblW w:w="10205" w:type="dxa"/>
        <w:jc w:val="left"/>
        <w:tblInd w:w="0" w:type="dxa"/>
        <w:tblLayout w:type="fixed"/>
        <w:tblCellMar>
          <w:top w:w="0" w:type="dxa"/>
          <w:left w:w="0" w:type="dxa"/>
          <w:bottom w:w="0" w:type="dxa"/>
          <w:right w:w="0" w:type="dxa"/>
        </w:tblCellMar>
      </w:tblPr>
      <w:tblGrid>
        <w:gridCol w:w="1253"/>
        <w:gridCol w:w="886"/>
        <w:gridCol w:w="2450"/>
        <w:gridCol w:w="226"/>
        <w:gridCol w:w="2007"/>
        <w:gridCol w:w="109"/>
        <w:gridCol w:w="109"/>
        <w:gridCol w:w="886"/>
        <w:gridCol w:w="226"/>
        <w:gridCol w:w="2053"/>
      </w:tblGrid>
      <w:tr>
        <w:trPr/>
        <w:tc>
          <w:tcPr>
            <w:tcW w:w="1253"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2450"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200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2053" w:type="dxa"/>
            <w:tcBorders/>
            <w:shd w:fill="FFFFFF" w:val="clear"/>
            <w:vAlign w:val="center"/>
          </w:tcPr>
          <w:p>
            <w:pPr>
              <w:pStyle w:val="TableContents"/>
              <w:bidi w:val="0"/>
              <w:spacing w:before="0" w:after="283"/>
              <w:jc w:val="left"/>
              <w:rPr>
                <w:sz w:val="4"/>
                <w:szCs w:val="4"/>
              </w:rPr>
            </w:pPr>
            <w:r>
              <w:rPr>
                <w:sz w:val="4"/>
                <w:szCs w:val="4"/>
              </w:rPr>
            </w:r>
          </w:p>
        </w:tc>
      </w:tr>
      <w:tr>
        <w:trPr/>
        <w:tc>
          <w:tcPr>
            <w:tcW w:w="1253"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2450"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200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2053" w:type="dxa"/>
            <w:tcBorders/>
            <w:shd w:fill="FFFFFF" w:val="clear"/>
            <w:vAlign w:val="center"/>
          </w:tcPr>
          <w:p>
            <w:pPr>
              <w:pStyle w:val="TableContents"/>
              <w:bidi w:val="0"/>
              <w:spacing w:before="0" w:after="283"/>
              <w:jc w:val="left"/>
              <w:rPr>
                <w:sz w:val="4"/>
                <w:szCs w:val="4"/>
              </w:rPr>
            </w:pPr>
            <w:r>
              <w:rPr>
                <w:sz w:val="4"/>
                <w:szCs w:val="4"/>
              </w:rPr>
            </w:r>
          </w:p>
        </w:tc>
      </w:tr>
      <w:tr>
        <w:trPr/>
        <w:tc>
          <w:tcPr>
            <w:tcW w:w="1253" w:type="dxa"/>
            <w:tcBorders/>
            <w:shd w:fill="FFFFFF" w:val="clear"/>
            <w:vAlign w:val="center"/>
          </w:tcPr>
          <w:p>
            <w:pPr>
              <w:pStyle w:val="TableContents"/>
              <w:bidi w:val="0"/>
              <w:spacing w:before="0" w:after="283"/>
              <w:jc w:val="left"/>
              <w:rPr>
                <w:sz w:val="4"/>
                <w:szCs w:val="4"/>
              </w:rPr>
            </w:pPr>
            <w:r>
              <w:rPr>
                <w:sz w:val="4"/>
                <w:szCs w:val="4"/>
              </w:rPr>
            </w:r>
          </w:p>
        </w:tc>
        <w:tc>
          <w:tcPr>
            <w:tcW w:w="5569" w:type="dxa"/>
            <w:gridSpan w:val="4"/>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Options Outstanding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165" w:type="dxa"/>
            <w:gridSpan w:val="3"/>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Options Exercisable </w:t>
            </w:r>
          </w:p>
        </w:tc>
      </w:tr>
      <w:tr>
        <w:trPr/>
        <w:tc>
          <w:tcPr>
            <w:tcW w:w="1253"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Shares</w:t>
            </w:r>
          </w:p>
        </w:tc>
        <w:tc>
          <w:tcPr>
            <w:tcW w:w="245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Weighted Average Remaining Life (years)</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00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Weighted Average Exercise Price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Shares</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205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Weighted Average Exercise Price</w:t>
            </w:r>
          </w:p>
        </w:tc>
      </w:tr>
      <w:tr>
        <w:trPr/>
        <w:tc>
          <w:tcPr>
            <w:tcW w:w="1253" w:type="dxa"/>
            <w:tcBorders/>
            <w:shd w:fill="FFFF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Range of prices:</w:t>
            </w:r>
          </w:p>
        </w:tc>
        <w:tc>
          <w:tcPr>
            <w:tcW w:w="88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450"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007"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05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253"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sz w:val="22"/>
              </w:rPr>
            </w:pPr>
            <w:r>
              <w:rPr>
                <w:rFonts w:ascii="Times New Roman;serif" w:hAnsi="Times New Roman;serif"/>
                <w:b w:val="false"/>
                <w:i w:val="false"/>
                <w:caps w:val="false"/>
                <w:smallCaps w:val="false"/>
                <w:color w:val="000000"/>
                <w:sz w:val="22"/>
              </w:rPr>
              <w:t>$30.00</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- 33.99</w:t>
            </w:r>
          </w:p>
        </w:tc>
        <w:tc>
          <w:tcPr>
            <w:tcW w:w="8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50,975</w:t>
            </w:r>
          </w:p>
        </w:tc>
        <w:tc>
          <w:tcPr>
            <w:tcW w:w="24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w:t>
            </w:r>
          </w:p>
        </w:tc>
        <w:tc>
          <w:tcPr>
            <w:tcW w:w="22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007"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50,975</w:t>
            </w:r>
          </w:p>
        </w:tc>
        <w:tc>
          <w:tcPr>
            <w:tcW w:w="22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053"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30.47</w:t>
            </w:r>
          </w:p>
        </w:tc>
      </w:tr>
      <w:tr>
        <w:trPr/>
        <w:tc>
          <w:tcPr>
            <w:tcW w:w="1253" w:type="dxa"/>
            <w:tcBorders/>
            <w:vAlign w:val="center"/>
          </w:tcPr>
          <w:p>
            <w:pPr>
              <w:pStyle w:val="TableContents"/>
              <w:bidi w:val="0"/>
              <w:spacing w:lineRule="auto" w:line="259" w:before="0" w:after="1"/>
              <w:ind w:left="115" w:right="0" w:hanging="0"/>
              <w:jc w:val="left"/>
              <w:rPr>
                <w:rFonts w:ascii="Times New Roman;serif" w:hAnsi="Times New Roman;serif"/>
                <w:sz w:val="22"/>
              </w:rPr>
            </w:pPr>
            <w:r>
              <w:rPr>
                <w:rFonts w:ascii="Times New Roman;serif" w:hAnsi="Times New Roman;serif"/>
                <w:b w:val="false"/>
                <w:i w:val="false"/>
                <w:caps w:val="false"/>
                <w:smallCaps w:val="false"/>
                <w:color w:val="000000"/>
                <w:sz w:val="22"/>
              </w:rPr>
              <w:t>$34.00</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- 34.99</w:t>
            </w:r>
          </w:p>
        </w:tc>
        <w:tc>
          <w:tcPr>
            <w:tcW w:w="8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86,714</w:t>
            </w:r>
          </w:p>
        </w:tc>
        <w:tc>
          <w:tcPr>
            <w:tcW w:w="24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3.2</w:t>
            </w:r>
          </w:p>
        </w:tc>
        <w:tc>
          <w:tcPr>
            <w:tcW w:w="22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34.51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86,714</w:t>
            </w:r>
          </w:p>
        </w:tc>
        <w:tc>
          <w:tcPr>
            <w:tcW w:w="226"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34.51</w:t>
            </w:r>
          </w:p>
        </w:tc>
      </w:tr>
      <w:tr>
        <w:trPr/>
        <w:tc>
          <w:tcPr>
            <w:tcW w:w="1253"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sz w:val="22"/>
              </w:rPr>
            </w:pPr>
            <w:r>
              <w:rPr>
                <w:rFonts w:ascii="Times New Roman;serif" w:hAnsi="Times New Roman;serif"/>
                <w:b w:val="false"/>
                <w:i w:val="false"/>
                <w:caps w:val="false"/>
                <w:smallCaps w:val="false"/>
                <w:color w:val="000000"/>
                <w:sz w:val="22"/>
              </w:rPr>
              <w:t>$35.00</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- 35.99</w:t>
            </w:r>
          </w:p>
        </w:tc>
        <w:tc>
          <w:tcPr>
            <w:tcW w:w="8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633,620</w:t>
            </w:r>
          </w:p>
        </w:tc>
        <w:tc>
          <w:tcPr>
            <w:tcW w:w="24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2007"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35.94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525,433</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2053"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35.94</w:t>
            </w:r>
          </w:p>
        </w:tc>
      </w:tr>
      <w:tr>
        <w:trPr/>
        <w:tc>
          <w:tcPr>
            <w:tcW w:w="1253" w:type="dxa"/>
            <w:tcBorders/>
            <w:vAlign w:val="center"/>
          </w:tcPr>
          <w:p>
            <w:pPr>
              <w:pStyle w:val="TableContents"/>
              <w:bidi w:val="0"/>
              <w:spacing w:lineRule="auto" w:line="259" w:before="0" w:after="1"/>
              <w:ind w:left="115" w:right="0" w:hanging="0"/>
              <w:jc w:val="left"/>
              <w:rPr>
                <w:rFonts w:ascii="Times New Roman;serif" w:hAnsi="Times New Roman;serif"/>
                <w:sz w:val="22"/>
              </w:rPr>
            </w:pPr>
            <w:r>
              <w:rPr>
                <w:rFonts w:ascii="Times New Roman;serif" w:hAnsi="Times New Roman;serif"/>
                <w:b w:val="false"/>
                <w:i w:val="false"/>
                <w:caps w:val="false"/>
                <w:smallCaps w:val="false"/>
                <w:color w:val="000000"/>
                <w:sz w:val="22"/>
              </w:rPr>
              <w:t>$36.00</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and above</w:t>
            </w:r>
          </w:p>
        </w:tc>
        <w:tc>
          <w:tcPr>
            <w:tcW w:w="88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135,593</w:t>
            </w:r>
          </w:p>
        </w:tc>
        <w:tc>
          <w:tcPr>
            <w:tcW w:w="2450"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7.6</w:t>
            </w:r>
          </w:p>
        </w:tc>
        <w:tc>
          <w:tcPr>
            <w:tcW w:w="22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45.24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69,468</w:t>
            </w:r>
          </w:p>
        </w:tc>
        <w:tc>
          <w:tcPr>
            <w:tcW w:w="226"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45.18</w:t>
            </w:r>
          </w:p>
        </w:tc>
      </w:tr>
      <w:tr>
        <w:trPr/>
        <w:tc>
          <w:tcPr>
            <w:tcW w:w="1253"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906,902</w:t>
            </w:r>
          </w:p>
        </w:tc>
        <w:tc>
          <w:tcPr>
            <w:tcW w:w="2450"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5.1</w:t>
            </w:r>
          </w:p>
        </w:tc>
        <w:tc>
          <w:tcPr>
            <w:tcW w:w="22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007"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36.87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8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732,590</w:t>
            </w:r>
          </w:p>
        </w:tc>
        <w:tc>
          <w:tcPr>
            <w:tcW w:w="22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053"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36.27</w:t>
            </w:r>
          </w:p>
        </w:tc>
      </w:tr>
    </w:tbl>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As of December 31, 2024, there was $122</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of total unrecognized compensation costs related to nonvested stock options granted under the plans. The cost is expected to be recognized over a weighted average period of approximately 0.7</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years. </w:t>
      </w:r>
    </w:p>
    <w:p>
      <w:pPr>
        <w:pStyle w:val="TextBody"/>
        <w:bidi w:val="0"/>
        <w:spacing w:lineRule="auto" w:line="259"/>
        <w:rPr>
          <w:rFonts w:ascii="Times New Roman;serif" w:hAnsi="Times New Roman;serif"/>
          <w:sz w:val="22"/>
        </w:rPr>
      </w:pPr>
      <w:r>
        <w:rPr>
          <w:rFonts w:ascii="Times New Roman;serif" w:hAnsi="Times New Roman;serif"/>
          <w:b/>
          <w:i/>
          <w:sz w:val="22"/>
        </w:rPr>
        <w:t xml:space="preserve">Restricted Stock – </w:t>
      </w:r>
      <w:r>
        <w:rPr>
          <w:rFonts w:ascii="Times New Roman;serif" w:hAnsi="Times New Roman;serif"/>
          <w:b w:val="false"/>
          <w:i w:val="false"/>
          <w:caps w:val="false"/>
          <w:smallCaps w:val="false"/>
          <w:sz w:val="22"/>
        </w:rPr>
        <w:t xml:space="preserve">Restricted stock awards provide the grantee with the rights of a shareholder, including the right to receive dividends and to vote such shares, but not the right to sell or otherwise transfer the shares during the restriction period. Restricted stock awards result in compensation expense that is equal to the fair market value of the stock on the date of the grant and is amortized ratably over the restriction period. The Company expects forfeitures of restricted stock to be de minimis. </w:t>
      </w:r>
    </w:p>
    <w:p>
      <w:pPr>
        <w:pStyle w:val="TextBody"/>
        <w:bidi w:val="0"/>
        <w:spacing w:lineRule="auto" w:line="259" w:before="0" w:after="10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provides the compensation cost and income tax benefit for stock-based compensation related to restricted stock:</w:t>
      </w:r>
    </w:p>
    <w:tbl>
      <w:tblPr>
        <w:tblW w:w="9479" w:type="dxa"/>
        <w:jc w:val="left"/>
        <w:tblInd w:w="0" w:type="dxa"/>
        <w:tblLayout w:type="fixed"/>
        <w:tblCellMar>
          <w:top w:w="0" w:type="dxa"/>
          <w:left w:w="0" w:type="dxa"/>
          <w:bottom w:w="0" w:type="dxa"/>
          <w:right w:w="0" w:type="dxa"/>
        </w:tblCellMar>
      </w:tblPr>
      <w:tblGrid>
        <w:gridCol w:w="6781"/>
        <w:gridCol w:w="246"/>
        <w:gridCol w:w="637"/>
        <w:gridCol w:w="246"/>
        <w:gridCol w:w="637"/>
        <w:gridCol w:w="246"/>
        <w:gridCol w:w="686"/>
      </w:tblGrid>
      <w:tr>
        <w:trPr/>
        <w:tc>
          <w:tcPr>
            <w:tcW w:w="6781"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637"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637"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686" w:type="dxa"/>
            <w:tcBorders/>
            <w:shd w:fill="FFFFFF" w:val="clear"/>
            <w:vAlign w:val="center"/>
          </w:tcPr>
          <w:p>
            <w:pPr>
              <w:pStyle w:val="TableContents"/>
              <w:bidi w:val="0"/>
              <w:spacing w:before="0" w:after="283"/>
              <w:jc w:val="left"/>
              <w:rPr>
                <w:sz w:val="4"/>
                <w:szCs w:val="4"/>
              </w:rPr>
            </w:pPr>
            <w:r>
              <w:rPr>
                <w:sz w:val="4"/>
                <w:szCs w:val="4"/>
              </w:rPr>
            </w:r>
          </w:p>
        </w:tc>
      </w:tr>
      <w:tr>
        <w:trPr/>
        <w:tc>
          <w:tcPr>
            <w:tcW w:w="6781" w:type="dxa"/>
            <w:tcBorders/>
            <w:shd w:fill="FFFFFF" w:val="clear"/>
            <w:vAlign w:val="center"/>
          </w:tcPr>
          <w:p>
            <w:pPr>
              <w:pStyle w:val="TableContents"/>
              <w:bidi w:val="0"/>
              <w:spacing w:before="0" w:after="283"/>
              <w:jc w:val="left"/>
              <w:rPr>
                <w:sz w:val="4"/>
                <w:szCs w:val="4"/>
              </w:rPr>
            </w:pPr>
            <w:r>
              <w:rPr>
                <w:sz w:val="4"/>
                <w:szCs w:val="4"/>
              </w:rPr>
            </w:r>
          </w:p>
        </w:tc>
        <w:tc>
          <w:tcPr>
            <w:tcW w:w="2698" w:type="dxa"/>
            <w:gridSpan w:val="6"/>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Years ended December 31,</w:t>
            </w:r>
          </w:p>
        </w:tc>
      </w:tr>
      <w:tr>
        <w:trPr/>
        <w:tc>
          <w:tcPr>
            <w:tcW w:w="6781"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4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24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8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678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Stock-based compensation within operations and maintenance expense</w:t>
            </w:r>
          </w:p>
        </w:tc>
        <w:tc>
          <w:tcPr>
            <w:tcW w:w="246"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37"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53</w:t>
            </w:r>
          </w:p>
        </w:tc>
        <w:tc>
          <w:tcPr>
            <w:tcW w:w="24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37"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43</w:t>
            </w:r>
          </w:p>
        </w:tc>
        <w:tc>
          <w:tcPr>
            <w:tcW w:w="24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8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w:t>
            </w:r>
          </w:p>
        </w:tc>
      </w:tr>
      <w:tr>
        <w:trPr/>
        <w:tc>
          <w:tcPr>
            <w:tcW w:w="678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Income tax benefit</w:t>
            </w:r>
          </w:p>
        </w:tc>
        <w:tc>
          <w:tcPr>
            <w:tcW w:w="24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37"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15</w:t>
            </w:r>
          </w:p>
        </w:tc>
        <w:tc>
          <w:tcPr>
            <w:tcW w:w="2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37"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w:t>
            </w:r>
          </w:p>
        </w:tc>
        <w:tc>
          <w:tcPr>
            <w:tcW w:w="2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15</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summarizes restricted stock transactions for the year ended December 31, 2024:</w:t>
      </w:r>
    </w:p>
    <w:tbl>
      <w:tblPr>
        <w:tblW w:w="8884" w:type="dxa"/>
        <w:jc w:val="left"/>
        <w:tblInd w:w="0" w:type="dxa"/>
        <w:tblLayout w:type="fixed"/>
        <w:tblCellMar>
          <w:top w:w="0" w:type="dxa"/>
          <w:left w:w="0" w:type="dxa"/>
          <w:bottom w:w="0" w:type="dxa"/>
          <w:right w:w="0" w:type="dxa"/>
        </w:tblCellMar>
      </w:tblPr>
      <w:tblGrid>
        <w:gridCol w:w="3916"/>
        <w:gridCol w:w="1801"/>
        <w:gridCol w:w="226"/>
        <w:gridCol w:w="2941"/>
      </w:tblGrid>
      <w:tr>
        <w:trPr/>
        <w:tc>
          <w:tcPr>
            <w:tcW w:w="3916" w:type="dxa"/>
            <w:tcBorders/>
            <w:shd w:fill="FFFFFF" w:val="clear"/>
            <w:vAlign w:val="center"/>
          </w:tcPr>
          <w:p>
            <w:pPr>
              <w:pStyle w:val="TableContents"/>
              <w:bidi w:val="0"/>
              <w:spacing w:before="0" w:after="283"/>
              <w:jc w:val="left"/>
              <w:rPr>
                <w:sz w:val="4"/>
                <w:szCs w:val="4"/>
              </w:rPr>
            </w:pPr>
            <w:r>
              <w:rPr>
                <w:sz w:val="4"/>
                <w:szCs w:val="4"/>
              </w:rPr>
            </w:r>
          </w:p>
        </w:tc>
        <w:tc>
          <w:tcPr>
            <w:tcW w:w="180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2941" w:type="dxa"/>
            <w:tcBorders/>
            <w:shd w:fill="FFFFFF" w:val="clear"/>
            <w:vAlign w:val="center"/>
          </w:tcPr>
          <w:p>
            <w:pPr>
              <w:pStyle w:val="TableContents"/>
              <w:bidi w:val="0"/>
              <w:spacing w:before="0" w:after="283"/>
              <w:jc w:val="left"/>
              <w:rPr>
                <w:sz w:val="4"/>
                <w:szCs w:val="4"/>
              </w:rPr>
            </w:pPr>
            <w:r>
              <w:rPr>
                <w:sz w:val="4"/>
                <w:szCs w:val="4"/>
              </w:rPr>
            </w:r>
          </w:p>
        </w:tc>
      </w:tr>
      <w:tr>
        <w:trPr/>
        <w:tc>
          <w:tcPr>
            <w:tcW w:w="3916" w:type="dxa"/>
            <w:tcBorders/>
            <w:shd w:fill="FFFFFF" w:val="clear"/>
            <w:vAlign w:val="center"/>
          </w:tcPr>
          <w:p>
            <w:pPr>
              <w:pStyle w:val="TableContents"/>
              <w:bidi w:val="0"/>
              <w:spacing w:before="0" w:after="283"/>
              <w:jc w:val="left"/>
              <w:rPr>
                <w:sz w:val="4"/>
                <w:szCs w:val="4"/>
              </w:rPr>
            </w:pPr>
            <w:r>
              <w:rPr>
                <w:sz w:val="4"/>
                <w:szCs w:val="4"/>
              </w:rPr>
            </w:r>
          </w:p>
        </w:tc>
        <w:tc>
          <w:tcPr>
            <w:tcW w:w="180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2941" w:type="dxa"/>
            <w:tcBorders/>
            <w:shd w:fill="FFFFFF" w:val="clear"/>
            <w:vAlign w:val="center"/>
          </w:tcPr>
          <w:p>
            <w:pPr>
              <w:pStyle w:val="TableContents"/>
              <w:bidi w:val="0"/>
              <w:spacing w:before="0" w:after="283"/>
              <w:jc w:val="left"/>
              <w:rPr>
                <w:sz w:val="4"/>
                <w:szCs w:val="4"/>
              </w:rPr>
            </w:pPr>
            <w:r>
              <w:rPr>
                <w:sz w:val="4"/>
                <w:szCs w:val="4"/>
              </w:rPr>
            </w:r>
          </w:p>
        </w:tc>
      </w:tr>
      <w:tr>
        <w:trPr/>
        <w:tc>
          <w:tcPr>
            <w:tcW w:w="3916" w:type="dxa"/>
            <w:tcBorders/>
            <w:shd w:fill="FFFFFF" w:val="clear"/>
            <w:vAlign w:val="center"/>
          </w:tcPr>
          <w:p>
            <w:pPr>
              <w:pStyle w:val="TableContents"/>
              <w:bidi w:val="0"/>
              <w:spacing w:before="0" w:after="283"/>
              <w:jc w:val="left"/>
              <w:rPr>
                <w:sz w:val="4"/>
                <w:szCs w:val="4"/>
              </w:rPr>
            </w:pPr>
            <w:r>
              <w:rPr>
                <w:sz w:val="4"/>
                <w:szCs w:val="4"/>
              </w:rPr>
            </w:r>
          </w:p>
        </w:tc>
        <w:tc>
          <w:tcPr>
            <w:tcW w:w="1801"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Number of Shares</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941"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Weighted Average Fair Value</w:t>
            </w:r>
          </w:p>
        </w:tc>
      </w:tr>
      <w:tr>
        <w:trPr/>
        <w:tc>
          <w:tcPr>
            <w:tcW w:w="391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Nonvested shares at beginning of period</w:t>
            </w:r>
          </w:p>
        </w:tc>
        <w:tc>
          <w:tcPr>
            <w:tcW w:w="180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1,412</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94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35.42</w:t>
            </w:r>
          </w:p>
        </w:tc>
      </w:tr>
      <w:tr>
        <w:trPr/>
        <w:tc>
          <w:tcPr>
            <w:tcW w:w="391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Granted</w:t>
            </w:r>
          </w:p>
        </w:tc>
        <w:tc>
          <w:tcPr>
            <w:tcW w:w="180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1,268</w:t>
            </w:r>
          </w:p>
        </w:tc>
        <w:tc>
          <w:tcPr>
            <w:tcW w:w="22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39.43</w:t>
            </w:r>
          </w:p>
        </w:tc>
      </w:tr>
      <w:tr>
        <w:trPr/>
        <w:tc>
          <w:tcPr>
            <w:tcW w:w="391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Vested</w:t>
            </w:r>
          </w:p>
        </w:tc>
        <w:tc>
          <w:tcPr>
            <w:tcW w:w="180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(1,412)</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294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35.42</w:t>
            </w:r>
          </w:p>
        </w:tc>
      </w:tr>
      <w:tr>
        <w:trPr/>
        <w:tc>
          <w:tcPr>
            <w:tcW w:w="391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Nonvested shares at end of period</w:t>
            </w:r>
          </w:p>
        </w:tc>
        <w:tc>
          <w:tcPr>
            <w:tcW w:w="180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1,268</w:t>
            </w:r>
          </w:p>
        </w:tc>
        <w:tc>
          <w:tcPr>
            <w:tcW w:w="2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94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39.43</w:t>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99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2"/>
        </w:rPr>
      </w:pPr>
      <w:r>
        <w:rPr>
          <w:rFonts w:ascii="Times New Roman;serif" w:hAnsi="Times New Roman;serif"/>
          <w:b/>
          <w:i/>
          <w:sz w:val="22"/>
        </w:rPr>
        <w:t xml:space="preserve">Stock Awards </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Stock awards represent the issuance of the Company’s common stock, without restriction. Stock awards are granted to the Company’s non-employee directors. The issuance of stock awards results in compensation expense which is equal to the fair market value of the stock on the grant date, and is expensed immediately upon grant. The following table provides compensation cost and income tax benefit for stock-based compensation related to stock awards:</w:t>
      </w:r>
    </w:p>
    <w:tbl>
      <w:tblPr>
        <w:tblW w:w="9479" w:type="dxa"/>
        <w:jc w:val="left"/>
        <w:tblInd w:w="0" w:type="dxa"/>
        <w:tblLayout w:type="fixed"/>
        <w:tblCellMar>
          <w:top w:w="0" w:type="dxa"/>
          <w:left w:w="0" w:type="dxa"/>
          <w:bottom w:w="0" w:type="dxa"/>
          <w:right w:w="0" w:type="dxa"/>
        </w:tblCellMar>
      </w:tblPr>
      <w:tblGrid>
        <w:gridCol w:w="6781"/>
        <w:gridCol w:w="246"/>
        <w:gridCol w:w="637"/>
        <w:gridCol w:w="246"/>
        <w:gridCol w:w="637"/>
        <w:gridCol w:w="246"/>
        <w:gridCol w:w="686"/>
      </w:tblGrid>
      <w:tr>
        <w:trPr/>
        <w:tc>
          <w:tcPr>
            <w:tcW w:w="6781"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637"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637"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686" w:type="dxa"/>
            <w:tcBorders/>
            <w:shd w:fill="FFFFFF" w:val="clear"/>
            <w:vAlign w:val="center"/>
          </w:tcPr>
          <w:p>
            <w:pPr>
              <w:pStyle w:val="TableContents"/>
              <w:bidi w:val="0"/>
              <w:spacing w:before="0" w:after="283"/>
              <w:jc w:val="left"/>
              <w:rPr>
                <w:sz w:val="4"/>
                <w:szCs w:val="4"/>
              </w:rPr>
            </w:pPr>
            <w:r>
              <w:rPr>
                <w:sz w:val="4"/>
                <w:szCs w:val="4"/>
              </w:rPr>
            </w:r>
          </w:p>
        </w:tc>
      </w:tr>
      <w:tr>
        <w:trPr/>
        <w:tc>
          <w:tcPr>
            <w:tcW w:w="6781"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637"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637"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shd w:fill="FFFFFF" w:val="clear"/>
            <w:vAlign w:val="center"/>
          </w:tcPr>
          <w:p>
            <w:pPr>
              <w:pStyle w:val="TableContents"/>
              <w:bidi w:val="0"/>
              <w:spacing w:before="0" w:after="283"/>
              <w:jc w:val="left"/>
              <w:rPr>
                <w:sz w:val="4"/>
                <w:szCs w:val="4"/>
              </w:rPr>
            </w:pPr>
            <w:r>
              <w:rPr>
                <w:sz w:val="4"/>
                <w:szCs w:val="4"/>
              </w:rPr>
            </w:r>
          </w:p>
        </w:tc>
        <w:tc>
          <w:tcPr>
            <w:tcW w:w="686" w:type="dxa"/>
            <w:tcBorders/>
            <w:shd w:fill="FFFFFF" w:val="clear"/>
            <w:vAlign w:val="center"/>
          </w:tcPr>
          <w:p>
            <w:pPr>
              <w:pStyle w:val="TableContents"/>
              <w:bidi w:val="0"/>
              <w:spacing w:before="0" w:after="283"/>
              <w:jc w:val="left"/>
              <w:rPr>
                <w:sz w:val="4"/>
                <w:szCs w:val="4"/>
              </w:rPr>
            </w:pPr>
            <w:r>
              <w:rPr>
                <w:sz w:val="4"/>
                <w:szCs w:val="4"/>
              </w:rPr>
            </w:r>
          </w:p>
        </w:tc>
      </w:tr>
      <w:tr>
        <w:trPr/>
        <w:tc>
          <w:tcPr>
            <w:tcW w:w="6781" w:type="dxa"/>
            <w:tcBorders/>
            <w:shd w:fill="FFFFFF" w:val="clear"/>
            <w:vAlign w:val="center"/>
          </w:tcPr>
          <w:p>
            <w:pPr>
              <w:pStyle w:val="TableContents"/>
              <w:bidi w:val="0"/>
              <w:spacing w:before="0" w:after="283"/>
              <w:jc w:val="left"/>
              <w:rPr>
                <w:sz w:val="4"/>
                <w:szCs w:val="4"/>
              </w:rPr>
            </w:pPr>
            <w:r>
              <w:rPr>
                <w:sz w:val="4"/>
                <w:szCs w:val="4"/>
              </w:rPr>
            </w:r>
          </w:p>
        </w:tc>
        <w:tc>
          <w:tcPr>
            <w:tcW w:w="2698" w:type="dxa"/>
            <w:gridSpan w:val="6"/>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Years ended December 31,</w:t>
            </w:r>
          </w:p>
        </w:tc>
      </w:tr>
      <w:tr>
        <w:trPr/>
        <w:tc>
          <w:tcPr>
            <w:tcW w:w="6781" w:type="dxa"/>
            <w:tcBorders/>
            <w:shd w:fill="FFFFFF" w:val="cle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4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3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24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8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678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Stock-based compensation within operations and maintenance expense</w:t>
            </w:r>
          </w:p>
        </w:tc>
        <w:tc>
          <w:tcPr>
            <w:tcW w:w="246"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37"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840</w:t>
            </w:r>
          </w:p>
        </w:tc>
        <w:tc>
          <w:tcPr>
            <w:tcW w:w="24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37"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810</w:t>
            </w:r>
          </w:p>
        </w:tc>
        <w:tc>
          <w:tcPr>
            <w:tcW w:w="24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8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715</w:t>
            </w:r>
          </w:p>
        </w:tc>
      </w:tr>
      <w:tr>
        <w:trPr/>
        <w:tc>
          <w:tcPr>
            <w:tcW w:w="678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Income tax benefit</w:t>
            </w:r>
          </w:p>
        </w:tc>
        <w:tc>
          <w:tcPr>
            <w:tcW w:w="24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637"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233</w:t>
            </w:r>
          </w:p>
        </w:tc>
        <w:tc>
          <w:tcPr>
            <w:tcW w:w="2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37"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228</w:t>
            </w:r>
          </w:p>
        </w:tc>
        <w:tc>
          <w:tcPr>
            <w:tcW w:w="2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207</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summarizes the value of stock awards:</w:t>
      </w:r>
    </w:p>
    <w:tbl>
      <w:tblPr>
        <w:tblW w:w="7754" w:type="dxa"/>
        <w:jc w:val="left"/>
        <w:tblInd w:w="0" w:type="dxa"/>
        <w:tblLayout w:type="fixed"/>
        <w:tblCellMar>
          <w:top w:w="0" w:type="dxa"/>
          <w:left w:w="0" w:type="dxa"/>
          <w:bottom w:w="0" w:type="dxa"/>
          <w:right w:w="0" w:type="dxa"/>
        </w:tblCellMar>
      </w:tblPr>
      <w:tblGrid>
        <w:gridCol w:w="5056"/>
        <w:gridCol w:w="229"/>
        <w:gridCol w:w="655"/>
        <w:gridCol w:w="229"/>
        <w:gridCol w:w="655"/>
        <w:gridCol w:w="229"/>
        <w:gridCol w:w="701"/>
      </w:tblGrid>
      <w:tr>
        <w:trPr/>
        <w:tc>
          <w:tcPr>
            <w:tcW w:w="5056"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655"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655"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701" w:type="dxa"/>
            <w:tcBorders/>
            <w:shd w:fill="FFFFFF" w:val="clear"/>
            <w:vAlign w:val="center"/>
          </w:tcPr>
          <w:p>
            <w:pPr>
              <w:pStyle w:val="TableContents"/>
              <w:bidi w:val="0"/>
              <w:spacing w:before="0" w:after="283"/>
              <w:jc w:val="left"/>
              <w:rPr>
                <w:sz w:val="4"/>
                <w:szCs w:val="4"/>
              </w:rPr>
            </w:pPr>
            <w:r>
              <w:rPr>
                <w:sz w:val="4"/>
                <w:szCs w:val="4"/>
              </w:rPr>
            </w:r>
          </w:p>
        </w:tc>
      </w:tr>
      <w:tr>
        <w:trPr/>
        <w:tc>
          <w:tcPr>
            <w:tcW w:w="5056"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655"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655"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sz w:val="4"/>
                <w:szCs w:val="4"/>
              </w:rPr>
            </w:pPr>
            <w:r>
              <w:rPr>
                <w:sz w:val="4"/>
                <w:szCs w:val="4"/>
              </w:rPr>
            </w:r>
          </w:p>
        </w:tc>
        <w:tc>
          <w:tcPr>
            <w:tcW w:w="701" w:type="dxa"/>
            <w:tcBorders/>
            <w:shd w:fill="FFFFFF" w:val="clear"/>
            <w:vAlign w:val="center"/>
          </w:tcPr>
          <w:p>
            <w:pPr>
              <w:pStyle w:val="TableContents"/>
              <w:bidi w:val="0"/>
              <w:spacing w:before="0" w:after="283"/>
              <w:jc w:val="left"/>
              <w:rPr>
                <w:sz w:val="4"/>
                <w:szCs w:val="4"/>
              </w:rPr>
            </w:pPr>
            <w:r>
              <w:rPr>
                <w:sz w:val="4"/>
                <w:szCs w:val="4"/>
              </w:rPr>
            </w:r>
          </w:p>
        </w:tc>
      </w:tr>
      <w:tr>
        <w:trPr/>
        <w:tc>
          <w:tcPr>
            <w:tcW w:w="5056" w:type="dxa"/>
            <w:tcBorders/>
            <w:shd w:fill="FFFFFF" w:val="clear"/>
            <w:vAlign w:val="center"/>
          </w:tcPr>
          <w:p>
            <w:pPr>
              <w:pStyle w:val="TableContents"/>
              <w:bidi w:val="0"/>
              <w:spacing w:before="0" w:after="283"/>
              <w:jc w:val="left"/>
              <w:rPr>
                <w:sz w:val="4"/>
                <w:szCs w:val="4"/>
              </w:rPr>
            </w:pPr>
            <w:r>
              <w:rPr>
                <w:sz w:val="4"/>
                <w:szCs w:val="4"/>
              </w:rPr>
            </w:r>
          </w:p>
        </w:tc>
        <w:tc>
          <w:tcPr>
            <w:tcW w:w="2698" w:type="dxa"/>
            <w:gridSpan w:val="6"/>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Years ended December 31,</w:t>
            </w:r>
          </w:p>
        </w:tc>
      </w:tr>
      <w:tr>
        <w:trPr/>
        <w:tc>
          <w:tcPr>
            <w:tcW w:w="5056"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65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22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0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505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Intrinsic and fair value of stock awards vested</w:t>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55"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840</w:t>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55"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810</w:t>
            </w:r>
          </w:p>
        </w:tc>
        <w:tc>
          <w:tcPr>
            <w:tcW w:w="229"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715</w:t>
            </w:r>
          </w:p>
        </w:tc>
      </w:tr>
      <w:tr>
        <w:trPr/>
        <w:tc>
          <w:tcPr>
            <w:tcW w:w="505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Weighted average fair value of stock awards granted</w:t>
            </w:r>
          </w:p>
        </w:tc>
        <w:tc>
          <w:tcPr>
            <w:tcW w:w="229"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5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36.82</w:t>
            </w:r>
          </w:p>
        </w:tc>
        <w:tc>
          <w:tcPr>
            <w:tcW w:w="229"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65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41.58</w:t>
            </w:r>
          </w:p>
        </w:tc>
        <w:tc>
          <w:tcPr>
            <w:tcW w:w="229"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0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46.44</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summarizes stock award transactions for year ended December 31, 2024:</w:t>
      </w:r>
    </w:p>
    <w:tbl>
      <w:tblPr>
        <w:tblW w:w="10204" w:type="dxa"/>
        <w:jc w:val="left"/>
        <w:tblInd w:w="0" w:type="dxa"/>
        <w:tblLayout w:type="fixed"/>
        <w:tblCellMar>
          <w:top w:w="0" w:type="dxa"/>
          <w:left w:w="0" w:type="dxa"/>
          <w:bottom w:w="0" w:type="dxa"/>
          <w:right w:w="0" w:type="dxa"/>
        </w:tblCellMar>
      </w:tblPr>
      <w:tblGrid>
        <w:gridCol w:w="4546"/>
        <w:gridCol w:w="2491"/>
        <w:gridCol w:w="226"/>
        <w:gridCol w:w="2941"/>
      </w:tblGrid>
      <w:tr>
        <w:trPr/>
        <w:tc>
          <w:tcPr>
            <w:tcW w:w="4546" w:type="dxa"/>
            <w:tcBorders/>
            <w:shd w:fill="FFFFFF" w:val="clear"/>
            <w:vAlign w:val="center"/>
          </w:tcPr>
          <w:p>
            <w:pPr>
              <w:pStyle w:val="TableContents"/>
              <w:bidi w:val="0"/>
              <w:spacing w:before="0" w:after="283"/>
              <w:jc w:val="left"/>
              <w:rPr>
                <w:sz w:val="4"/>
                <w:szCs w:val="4"/>
              </w:rPr>
            </w:pPr>
            <w:r>
              <w:rPr>
                <w:sz w:val="4"/>
                <w:szCs w:val="4"/>
              </w:rPr>
            </w:r>
          </w:p>
        </w:tc>
        <w:tc>
          <w:tcPr>
            <w:tcW w:w="249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2941" w:type="dxa"/>
            <w:tcBorders/>
            <w:shd w:fill="FFFFFF" w:val="clear"/>
            <w:vAlign w:val="center"/>
          </w:tcPr>
          <w:p>
            <w:pPr>
              <w:pStyle w:val="TableContents"/>
              <w:bidi w:val="0"/>
              <w:spacing w:before="0" w:after="283"/>
              <w:jc w:val="left"/>
              <w:rPr>
                <w:sz w:val="4"/>
                <w:szCs w:val="4"/>
              </w:rPr>
            </w:pPr>
            <w:r>
              <w:rPr>
                <w:sz w:val="4"/>
                <w:szCs w:val="4"/>
              </w:rPr>
            </w:r>
          </w:p>
        </w:tc>
      </w:tr>
      <w:tr>
        <w:trPr/>
        <w:tc>
          <w:tcPr>
            <w:tcW w:w="4546" w:type="dxa"/>
            <w:tcBorders/>
            <w:shd w:fill="FFFFFF" w:val="clear"/>
            <w:vAlign w:val="center"/>
          </w:tcPr>
          <w:p>
            <w:pPr>
              <w:pStyle w:val="TableContents"/>
              <w:bidi w:val="0"/>
              <w:spacing w:before="0" w:after="283"/>
              <w:jc w:val="left"/>
              <w:rPr>
                <w:sz w:val="4"/>
                <w:szCs w:val="4"/>
              </w:rPr>
            </w:pPr>
            <w:r>
              <w:rPr>
                <w:sz w:val="4"/>
                <w:szCs w:val="4"/>
              </w:rPr>
            </w:r>
          </w:p>
        </w:tc>
        <w:tc>
          <w:tcPr>
            <w:tcW w:w="2491"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Number of Stock Awards</w:t>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941"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Weighted Average Fair Value</w:t>
            </w:r>
          </w:p>
        </w:tc>
      </w:tr>
      <w:tr>
        <w:trPr/>
        <w:tc>
          <w:tcPr>
            <w:tcW w:w="45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Nonvested stock awards at beginning of period</w:t>
            </w:r>
          </w:p>
        </w:tc>
        <w:tc>
          <w:tcPr>
            <w:tcW w:w="249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94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454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Granted</w:t>
            </w:r>
          </w:p>
        </w:tc>
        <w:tc>
          <w:tcPr>
            <w:tcW w:w="24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22,813</w:t>
            </w:r>
          </w:p>
        </w:tc>
        <w:tc>
          <w:tcPr>
            <w:tcW w:w="226"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36.82</w:t>
            </w:r>
          </w:p>
        </w:tc>
      </w:tr>
      <w:tr>
        <w:trPr/>
        <w:tc>
          <w:tcPr>
            <w:tcW w:w="454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Vested</w:t>
            </w:r>
          </w:p>
        </w:tc>
        <w:tc>
          <w:tcPr>
            <w:tcW w:w="249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(22,813)</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2941"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36.82</w:t>
            </w:r>
          </w:p>
        </w:tc>
      </w:tr>
      <w:tr>
        <w:trPr/>
        <w:tc>
          <w:tcPr>
            <w:tcW w:w="454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Nonvested stock awards at end of period</w:t>
            </w:r>
          </w:p>
        </w:tc>
        <w:tc>
          <w:tcPr>
            <w:tcW w:w="249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94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bl>
    <w:p>
      <w:pPr>
        <w:pStyle w:val="TextBody"/>
        <w:bidi w:val="0"/>
        <w:spacing w:lineRule="auto" w:line="259" w:before="0" w:after="100"/>
        <w:rPr>
          <w:rFonts w:ascii="Times New Roman;serif" w:hAnsi="Times New Roman;serif"/>
          <w:sz w:val="20"/>
        </w:rPr>
      </w:pPr>
      <w:r>
        <w:rPr>
          <w:rFonts w:ascii="Times New Roman;serif" w:hAnsi="Times New Roman;serif"/>
          <w:b w:val="false"/>
          <w:i w:val="false"/>
          <w:caps w:val="false"/>
          <w:smallCaps w:val="false"/>
          <w:sz w:val="20"/>
        </w:rPr>
        <w:br/>
        <w:t>‎</w:t>
      </w:r>
      <w:r>
        <w:rPr>
          <w:rFonts w:ascii="Times New Roman;serif" w:hAnsi="Times New Roman;serif"/>
          <w:caps w:val="false"/>
          <w:smallCaps w:val="false"/>
          <w:sz w:val="20"/>
        </w:rPr>
        <w:t xml:space="preser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t xml:space="preserve">Note 16 – </w:t>
      </w:r>
      <w:r>
        <w:rPr>
          <w:rFonts w:ascii="Times New Roman;serif" w:hAnsi="Times New Roman;serif"/>
          <w:b/>
          <w:i/>
          <w:sz w:val="22"/>
        </w:rPr>
        <w:t>Pension Plans and Other Post-retirement Benefits</w:t>
      </w:r>
      <w:r>
        <w:rPr>
          <w:rFonts w:ascii="Times New Roman;serif" w:hAnsi="Times New Roman;serif"/>
          <w:color w:val="FF0000"/>
          <w:sz w:val="22"/>
        </w:rPr>
        <w:t xml:space="preserve">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Company maintains a qualified, defined benefit pension plan that covers its full-time employees who were hired prior to the date their respective pension plan was closed to new participants. Retirement benefits under the plan are generally based on the employee’s total years of service and compensation during the last five years of employment. The Company’s policy is to fund the plan annually at a level which is deductible for income tax purposes and which provides assets sufficient to meet its pension obligations over time. To offset some limitations imposed by the Internal Revenue Code with respect to payments under qualified plans, the Company has a non-qualified Supplemental Pension Benefit Plan for Salaried Employees in order to prevent some employees from being penalized by these limitations, and to provide certain retirement benefits based on employee’s years of service and compensation. The net pension costs and obligations of the qualified and non-qualified plans are included in the tables which follow. Employees hired after their respective pension plan was closed, may participate in a defined contribution plan that provides a Company matching contribution on amounts contributed by participants and an annual profit-sharing contribution based upon a percentage of the eligible participants’ compensation.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The Company’s qualified defined benefit pension plan has a permanent lump sum option on the form of benefit payments offered to participants upon retirement or termination. The plan paid $4,003</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$30,347</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to participants who elected this option during 2024 and 2023, respectively. </w:t>
      </w:r>
      <w:r>
        <w:rPr>
          <w:rFonts w:ascii="Times New Roman;serif" w:hAnsi="Times New Roman;serif"/>
          <w:b w:val="false"/>
          <w:i w:val="false"/>
          <w:caps w:val="false"/>
          <w:smallCaps w:val="false"/>
          <w:color w:val="000000"/>
          <w:sz w:val="22"/>
        </w:rPr>
        <w:t xml:space="preserve">During 2023, we made lump-sum pension benefit distributions exceeding the cumulative amount of service and interest cost components of the net periodic pension cost for the year, which is the </w:t>
      </w:r>
      <w:r>
        <w:rPr>
          <w:rFonts w:ascii="Times New Roman;serif" w:hAnsi="Times New Roman;serif"/>
          <w:b w:val="false"/>
          <w:i w:val="false"/>
          <w:caps w:val="false"/>
          <w:smallCaps w:val="false"/>
          <w:sz w:val="22"/>
        </w:rPr>
        <w:t>settlement accounting</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threshold. A settlement loss of $5,173</w:t>
      </w:r>
      <w:r>
        <w:rPr>
          <w:rFonts w:ascii="Times New Roman;serif" w:hAnsi="Times New Roman;serif"/>
          <w:caps w:val="false"/>
          <w:smallCaps w:val="false"/>
          <w:color w:val="000000"/>
          <w:sz w:val="22"/>
        </w:rPr>
        <w:t xml:space="preserve"> </w:t>
      </w:r>
      <w:r>
        <w:rPr>
          <w:rFonts w:ascii="Times New Roman;serif" w:hAnsi="Times New Roman;serif"/>
          <w:b w:val="false"/>
          <w:i w:val="false"/>
          <w:caps w:val="false"/>
          <w:smallCaps w:val="false"/>
          <w:color w:val="000000"/>
          <w:sz w:val="22"/>
        </w:rPr>
        <w:t>was recorded as a regulatory asset, as it is probable of recovery in future rates, and will be amortized into pension benefit costs. A settlement loss is the recognition of unrecognized pension benefit costs that would have been incurred in subsequent periods. </w:t>
      </w:r>
      <w:r>
        <w:rPr>
          <w:rFonts w:ascii="Times New Roman;serif" w:hAnsi="Times New Roman;serif"/>
          <w:caps w:val="false"/>
          <w:smallCaps w:val="false"/>
          <w:sz w:val="22"/>
        </w:rPr>
        <w:t xml:space="preserve">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 addition to providing pension benefits, the Company offers post-retirement benefits other than pensions to employees retiring with a minimum level of service and hired before their respective plan closed to new participants. These benefits include continuation of medical and prescription drug benefits, or a cash contribution toward such benefits, for eligible retirees and life insurance benefits for eligible retirees. The Company funds these benefits through various trust accounts. The benefits of retired officers and other eligible retirees are paid by the Company and not from plan assets due to limitations imposed by the Internal Revenue Code.</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In December 2024, the Company transferred a portion of its existing liability for a group of participants with retiree life insurance benefits under the pension and post-retirement benefit plan to an insurance carrier. Total consideration paid to the insurance carrier amounted to $7,292. This transaction triggered settlement accounting in our other post-retirement benefit plan and a settlement gain of $3,214</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was recorded as a regulatory liability which will be amortized into post-retirement benefit costs.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benefit payments, which reflect expected future service, as appropriate, are expected to be paid in the years indicated:</w:t>
      </w:r>
    </w:p>
    <w:tbl>
      <w:tblPr>
        <w:tblW w:w="5900" w:type="dxa"/>
        <w:jc w:val="left"/>
        <w:tblInd w:w="0" w:type="dxa"/>
        <w:tblLayout w:type="fixed"/>
        <w:tblCellMar>
          <w:top w:w="0" w:type="dxa"/>
          <w:left w:w="0" w:type="dxa"/>
          <w:bottom w:w="0" w:type="dxa"/>
          <w:right w:w="0" w:type="dxa"/>
        </w:tblCellMar>
      </w:tblPr>
      <w:tblGrid>
        <w:gridCol w:w="1156"/>
        <w:gridCol w:w="338"/>
        <w:gridCol w:w="1327"/>
        <w:gridCol w:w="109"/>
        <w:gridCol w:w="647"/>
        <w:gridCol w:w="2323"/>
      </w:tblGrid>
      <w:tr>
        <w:trPr/>
        <w:tc>
          <w:tcPr>
            <w:tcW w:w="1156"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132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7" w:type="dxa"/>
            <w:tcBorders/>
            <w:shd w:fill="FFFFFF" w:val="clear"/>
            <w:vAlign w:val="center"/>
          </w:tcPr>
          <w:p>
            <w:pPr>
              <w:pStyle w:val="TableContents"/>
              <w:bidi w:val="0"/>
              <w:spacing w:before="0" w:after="283"/>
              <w:jc w:val="left"/>
              <w:rPr>
                <w:sz w:val="4"/>
                <w:szCs w:val="4"/>
              </w:rPr>
            </w:pPr>
            <w:r>
              <w:rPr>
                <w:sz w:val="4"/>
                <w:szCs w:val="4"/>
              </w:rPr>
            </w:r>
          </w:p>
        </w:tc>
        <w:tc>
          <w:tcPr>
            <w:tcW w:w="2323" w:type="dxa"/>
            <w:tcBorders/>
            <w:shd w:fill="FFFFFF" w:val="clear"/>
            <w:vAlign w:val="center"/>
          </w:tcPr>
          <w:p>
            <w:pPr>
              <w:pStyle w:val="TableContents"/>
              <w:bidi w:val="0"/>
              <w:spacing w:before="0" w:after="283"/>
              <w:jc w:val="left"/>
              <w:rPr>
                <w:sz w:val="4"/>
                <w:szCs w:val="4"/>
              </w:rPr>
            </w:pPr>
            <w:r>
              <w:rPr>
                <w:sz w:val="4"/>
                <w:szCs w:val="4"/>
              </w:rPr>
            </w:r>
          </w:p>
        </w:tc>
      </w:tr>
      <w:tr>
        <w:trPr/>
        <w:tc>
          <w:tcPr>
            <w:tcW w:w="1156" w:type="dxa"/>
            <w:tcBorders/>
            <w:shd w:fill="FFFFFF" w:val="clear"/>
            <w:vAlign w:val="center"/>
          </w:tcPr>
          <w:p>
            <w:pPr>
              <w:pStyle w:val="TableContents"/>
              <w:bidi w:val="0"/>
              <w:spacing w:before="0" w:after="283"/>
              <w:jc w:val="left"/>
              <w:rPr>
                <w:sz w:val="4"/>
                <w:szCs w:val="4"/>
              </w:rPr>
            </w:pPr>
            <w:r>
              <w:rPr>
                <w:sz w:val="4"/>
                <w:szCs w:val="4"/>
              </w:rPr>
            </w:r>
          </w:p>
        </w:tc>
        <w:tc>
          <w:tcPr>
            <w:tcW w:w="338" w:type="dxa"/>
            <w:tcBorders/>
            <w:shd w:fill="FFFFFF" w:val="clear"/>
            <w:vAlign w:val="center"/>
          </w:tcPr>
          <w:p>
            <w:pPr>
              <w:pStyle w:val="TableContents"/>
              <w:bidi w:val="0"/>
              <w:spacing w:before="0" w:after="283"/>
              <w:jc w:val="left"/>
              <w:rPr>
                <w:sz w:val="4"/>
                <w:szCs w:val="4"/>
              </w:rPr>
            </w:pPr>
            <w:r>
              <w:rPr>
                <w:sz w:val="4"/>
                <w:szCs w:val="4"/>
              </w:rPr>
            </w:r>
          </w:p>
        </w:tc>
        <w:tc>
          <w:tcPr>
            <w:tcW w:w="1327"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7" w:type="dxa"/>
            <w:tcBorders/>
            <w:shd w:fill="FFFFFF" w:val="clear"/>
            <w:vAlign w:val="center"/>
          </w:tcPr>
          <w:p>
            <w:pPr>
              <w:pStyle w:val="TableContents"/>
              <w:bidi w:val="0"/>
              <w:spacing w:before="0" w:after="283"/>
              <w:jc w:val="left"/>
              <w:rPr>
                <w:sz w:val="4"/>
                <w:szCs w:val="4"/>
              </w:rPr>
            </w:pPr>
            <w:r>
              <w:rPr>
                <w:sz w:val="4"/>
                <w:szCs w:val="4"/>
              </w:rPr>
            </w:r>
          </w:p>
        </w:tc>
        <w:tc>
          <w:tcPr>
            <w:tcW w:w="2323" w:type="dxa"/>
            <w:tcBorders/>
            <w:shd w:fill="FFFFFF" w:val="clear"/>
            <w:vAlign w:val="center"/>
          </w:tcPr>
          <w:p>
            <w:pPr>
              <w:pStyle w:val="TableContents"/>
              <w:bidi w:val="0"/>
              <w:spacing w:before="0" w:after="283"/>
              <w:jc w:val="left"/>
              <w:rPr>
                <w:sz w:val="4"/>
                <w:szCs w:val="4"/>
              </w:rPr>
            </w:pPr>
            <w:r>
              <w:rPr>
                <w:sz w:val="4"/>
                <w:szCs w:val="4"/>
              </w:rPr>
            </w:r>
          </w:p>
        </w:tc>
      </w:tr>
      <w:tr>
        <w:trPr/>
        <w:tc>
          <w:tcPr>
            <w:tcW w:w="1156" w:type="dxa"/>
            <w:tcBorders/>
            <w:shd w:fill="FFFFFF" w:val="clear"/>
            <w:vAlign w:val="center"/>
          </w:tcPr>
          <w:p>
            <w:pPr>
              <w:pStyle w:val="TableContents"/>
              <w:bidi w:val="0"/>
              <w:spacing w:before="0" w:after="283"/>
              <w:jc w:val="left"/>
              <w:rPr>
                <w:sz w:val="4"/>
                <w:szCs w:val="4"/>
              </w:rPr>
            </w:pPr>
            <w:r>
              <w:rPr>
                <w:sz w:val="4"/>
                <w:szCs w:val="4"/>
              </w:rPr>
            </w:r>
          </w:p>
        </w:tc>
        <w:tc>
          <w:tcPr>
            <w:tcW w:w="1665"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Pension Benefits</w:t>
            </w:r>
          </w:p>
        </w:tc>
        <w:tc>
          <w:tcPr>
            <w:tcW w:w="109"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970"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Post-retirement Benefits</w:t>
            </w:r>
          </w:p>
        </w:tc>
      </w:tr>
      <w:tr>
        <w:trPr/>
        <w:tc>
          <w:tcPr>
            <w:tcW w:w="1156" w:type="dxa"/>
            <w:tcBorders/>
            <w:shd w:fill="FFFF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Years:</w:t>
            </w:r>
          </w:p>
        </w:tc>
        <w:tc>
          <w:tcPr>
            <w:tcW w:w="33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327"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47"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32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115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2025</w:t>
            </w:r>
          </w:p>
        </w:tc>
        <w:tc>
          <w:tcPr>
            <w:tcW w:w="338"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327"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26,780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7"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323"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5,357</w:t>
            </w:r>
          </w:p>
        </w:tc>
      </w:tr>
      <w:tr>
        <w:trPr/>
        <w:tc>
          <w:tcPr>
            <w:tcW w:w="115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2026</w:t>
            </w:r>
          </w:p>
        </w:tc>
        <w:tc>
          <w:tcPr>
            <w:tcW w:w="33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26,492</w:t>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5,503</w:t>
            </w:r>
          </w:p>
        </w:tc>
      </w:tr>
      <w:tr>
        <w:trPr/>
        <w:tc>
          <w:tcPr>
            <w:tcW w:w="115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2027</w:t>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1327"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28,235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7" w:type="dxa"/>
            <w:tcBorders/>
            <w:shd w:fill="CCEEFF" w:val="clear"/>
            <w:vAlign w:val="center"/>
          </w:tcPr>
          <w:p>
            <w:pPr>
              <w:pStyle w:val="TableContents"/>
              <w:bidi w:val="0"/>
              <w:spacing w:before="0" w:after="283"/>
              <w:jc w:val="left"/>
              <w:rPr>
                <w:sz w:val="4"/>
                <w:szCs w:val="4"/>
              </w:rPr>
            </w:pPr>
            <w:r>
              <w:rPr>
                <w:sz w:val="4"/>
                <w:szCs w:val="4"/>
              </w:rPr>
            </w:r>
          </w:p>
        </w:tc>
        <w:tc>
          <w:tcPr>
            <w:tcW w:w="2323"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5,870</w:t>
            </w:r>
          </w:p>
        </w:tc>
      </w:tr>
      <w:tr>
        <w:trPr/>
        <w:tc>
          <w:tcPr>
            <w:tcW w:w="115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2028</w:t>
            </w:r>
          </w:p>
        </w:tc>
        <w:tc>
          <w:tcPr>
            <w:tcW w:w="33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26,920</w:t>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6,147</w:t>
            </w:r>
          </w:p>
        </w:tc>
      </w:tr>
      <w:tr>
        <w:trPr/>
        <w:tc>
          <w:tcPr>
            <w:tcW w:w="115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2029</w:t>
            </w:r>
          </w:p>
        </w:tc>
        <w:tc>
          <w:tcPr>
            <w:tcW w:w="338" w:type="dxa"/>
            <w:tcBorders/>
            <w:shd w:fill="CCEEFF" w:val="clear"/>
            <w:vAlign w:val="center"/>
          </w:tcPr>
          <w:p>
            <w:pPr>
              <w:pStyle w:val="TableContents"/>
              <w:bidi w:val="0"/>
              <w:spacing w:before="0" w:after="283"/>
              <w:jc w:val="left"/>
              <w:rPr>
                <w:sz w:val="4"/>
                <w:szCs w:val="4"/>
              </w:rPr>
            </w:pPr>
            <w:r>
              <w:rPr>
                <w:sz w:val="4"/>
                <w:szCs w:val="4"/>
              </w:rPr>
            </w:r>
          </w:p>
        </w:tc>
        <w:tc>
          <w:tcPr>
            <w:tcW w:w="1327"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26,560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647" w:type="dxa"/>
            <w:tcBorders/>
            <w:shd w:fill="CCEEFF" w:val="clear"/>
            <w:vAlign w:val="center"/>
          </w:tcPr>
          <w:p>
            <w:pPr>
              <w:pStyle w:val="TableContents"/>
              <w:bidi w:val="0"/>
              <w:spacing w:before="0" w:after="283"/>
              <w:jc w:val="left"/>
              <w:rPr>
                <w:sz w:val="4"/>
                <w:szCs w:val="4"/>
              </w:rPr>
            </w:pPr>
            <w:r>
              <w:rPr>
                <w:sz w:val="4"/>
                <w:szCs w:val="4"/>
              </w:rPr>
            </w:r>
          </w:p>
        </w:tc>
        <w:tc>
          <w:tcPr>
            <w:tcW w:w="2323"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6,488</w:t>
            </w:r>
          </w:p>
        </w:tc>
      </w:tr>
      <w:tr>
        <w:trPr/>
        <w:tc>
          <w:tcPr>
            <w:tcW w:w="115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2030-2034</w:t>
            </w:r>
          </w:p>
        </w:tc>
        <w:tc>
          <w:tcPr>
            <w:tcW w:w="33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117,508</w:t>
            </w:r>
          </w:p>
        </w:tc>
        <w:tc>
          <w:tcPr>
            <w:tcW w:w="10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2323"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32,521</w:t>
            </w:r>
          </w:p>
        </w:tc>
      </w:tr>
    </w:tbl>
    <w:p>
      <w:pPr>
        <w:pStyle w:val="TextBody"/>
        <w:bidi w:val="0"/>
        <w:spacing w:lineRule="auto" w:line="259" w:before="0" w:after="100"/>
        <w:rPr>
          <w:rFonts w:ascii="Times New Roman;serif" w:hAnsi="Times New Roman;serif"/>
          <w:sz w:val="22"/>
        </w:rPr>
      </w:pPr>
      <w:r>
        <w:rPr>
          <w:rFonts w:ascii="Times New Roman;serif" w:hAnsi="Times New Roman;serif"/>
          <w:b w:val="false"/>
          <w:i w:val="false"/>
          <w:caps w:val="false"/>
          <w:smallCaps w:val="false"/>
          <w:sz w:val="22"/>
        </w:rPr>
        <w:br/>
        <w:t>‎</w:t>
      </w:r>
      <w:r>
        <w:rPr>
          <w:rFonts w:ascii="Times New Roman;serif" w:hAnsi="Times New Roman;serif"/>
          <w:caps w:val="false"/>
          <w:smallCaps w:val="false"/>
          <w:sz w:val="22"/>
        </w:rPr>
        <w:t xml:space="preser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before="0" w:after="10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changes in the benefit obligation and fair value of plan assets, the funded status of the plans and the assumptions used in the measurement of the company’s benefit obligation are as follows:</w:t>
      </w:r>
    </w:p>
    <w:tbl>
      <w:tblPr>
        <w:tblW w:w="10118" w:type="dxa"/>
        <w:jc w:val="left"/>
        <w:tblInd w:w="0" w:type="dxa"/>
        <w:tblLayout w:type="fixed"/>
        <w:tblCellMar>
          <w:top w:w="0" w:type="dxa"/>
          <w:left w:w="0" w:type="dxa"/>
          <w:bottom w:w="0" w:type="dxa"/>
          <w:right w:w="0" w:type="dxa"/>
        </w:tblCellMar>
      </w:tblPr>
      <w:tblGrid>
        <w:gridCol w:w="4696"/>
        <w:gridCol w:w="226"/>
        <w:gridCol w:w="946"/>
        <w:gridCol w:w="226"/>
        <w:gridCol w:w="946"/>
        <w:gridCol w:w="109"/>
        <w:gridCol w:w="312"/>
        <w:gridCol w:w="1141"/>
        <w:gridCol w:w="312"/>
        <w:gridCol w:w="1204"/>
      </w:tblGrid>
      <w:tr>
        <w:trPr/>
        <w:tc>
          <w:tcPr>
            <w:tcW w:w="469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12" w:type="dxa"/>
            <w:tcBorders/>
            <w:shd w:fill="FFFFFF" w:val="clear"/>
            <w:vAlign w:val="center"/>
          </w:tcPr>
          <w:p>
            <w:pPr>
              <w:pStyle w:val="TableContents"/>
              <w:bidi w:val="0"/>
              <w:spacing w:before="0" w:after="283"/>
              <w:jc w:val="left"/>
              <w:rPr>
                <w:sz w:val="4"/>
                <w:szCs w:val="4"/>
              </w:rPr>
            </w:pPr>
            <w:r>
              <w:rPr>
                <w:sz w:val="4"/>
                <w:szCs w:val="4"/>
              </w:rPr>
            </w:r>
          </w:p>
        </w:tc>
        <w:tc>
          <w:tcPr>
            <w:tcW w:w="1141" w:type="dxa"/>
            <w:tcBorders/>
            <w:shd w:fill="FFFFFF" w:val="clear"/>
            <w:vAlign w:val="center"/>
          </w:tcPr>
          <w:p>
            <w:pPr>
              <w:pStyle w:val="TableContents"/>
              <w:bidi w:val="0"/>
              <w:spacing w:before="0" w:after="283"/>
              <w:jc w:val="left"/>
              <w:rPr>
                <w:sz w:val="4"/>
                <w:szCs w:val="4"/>
              </w:rPr>
            </w:pPr>
            <w:r>
              <w:rPr>
                <w:sz w:val="4"/>
                <w:szCs w:val="4"/>
              </w:rPr>
            </w:r>
          </w:p>
        </w:tc>
        <w:tc>
          <w:tcPr>
            <w:tcW w:w="312" w:type="dxa"/>
            <w:tcBorders/>
            <w:shd w:fill="FFFFFF" w:val="clear"/>
            <w:vAlign w:val="center"/>
          </w:tcPr>
          <w:p>
            <w:pPr>
              <w:pStyle w:val="TableContents"/>
              <w:bidi w:val="0"/>
              <w:spacing w:before="0" w:after="283"/>
              <w:jc w:val="left"/>
              <w:rPr>
                <w:sz w:val="4"/>
                <w:szCs w:val="4"/>
              </w:rPr>
            </w:pPr>
            <w:r>
              <w:rPr>
                <w:sz w:val="4"/>
                <w:szCs w:val="4"/>
              </w:rPr>
            </w:r>
          </w:p>
        </w:tc>
        <w:tc>
          <w:tcPr>
            <w:tcW w:w="1204" w:type="dxa"/>
            <w:tcBorders/>
            <w:shd w:fill="FFFFFF" w:val="clear"/>
            <w:vAlign w:val="center"/>
          </w:tcPr>
          <w:p>
            <w:pPr>
              <w:pStyle w:val="TableContents"/>
              <w:bidi w:val="0"/>
              <w:spacing w:before="0" w:after="283"/>
              <w:jc w:val="left"/>
              <w:rPr>
                <w:sz w:val="4"/>
                <w:szCs w:val="4"/>
              </w:rPr>
            </w:pPr>
            <w:r>
              <w:rPr>
                <w:sz w:val="4"/>
                <w:szCs w:val="4"/>
              </w:rPr>
            </w:r>
          </w:p>
        </w:tc>
      </w:tr>
      <w:tr>
        <w:trPr/>
        <w:tc>
          <w:tcPr>
            <w:tcW w:w="4696" w:type="dxa"/>
            <w:tcBorders/>
            <w:shd w:fill="FFFFFF" w:val="clear"/>
            <w:vAlign w:val="center"/>
          </w:tcPr>
          <w:p>
            <w:pPr>
              <w:pStyle w:val="TableContents"/>
              <w:bidi w:val="0"/>
              <w:spacing w:before="0" w:after="283"/>
              <w:jc w:val="left"/>
              <w:rPr>
                <w:sz w:val="4"/>
                <w:szCs w:val="4"/>
              </w:rPr>
            </w:pPr>
            <w:r>
              <w:rPr>
                <w:sz w:val="4"/>
                <w:szCs w:val="4"/>
              </w:rPr>
            </w:r>
          </w:p>
        </w:tc>
        <w:tc>
          <w:tcPr>
            <w:tcW w:w="2344" w:type="dxa"/>
            <w:gridSpan w:val="4"/>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Pension Benefits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69" w:type="dxa"/>
            <w:gridSpan w:val="4"/>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Post-retirement Benefits</w:t>
            </w:r>
          </w:p>
        </w:tc>
      </w:tr>
      <w:tr>
        <w:trPr/>
        <w:tc>
          <w:tcPr>
            <w:tcW w:w="469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312"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04"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r>
      <w:tr>
        <w:trPr/>
        <w:tc>
          <w:tcPr>
            <w:tcW w:w="4696" w:type="dxa"/>
            <w:tcBorders/>
            <w:shd w:fill="FFFF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Change in benefit obligation:</w:t>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04"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469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Benefit obligation at January 1,</w:t>
            </w:r>
          </w:p>
        </w:tc>
        <w:tc>
          <w:tcPr>
            <w:tcW w:w="22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46"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313,698</w:t>
            </w:r>
            <w:r>
              <w:rPr>
                <w:rFonts w:ascii="Times New Roman;serif" w:hAnsi="Times New Roman;serif"/>
                <w:caps w:val="false"/>
                <w:smallCaps w:val="false"/>
                <w:color w:val="000000"/>
                <w:sz w:val="22"/>
              </w:rPr>
              <w:t> </w:t>
            </w:r>
          </w:p>
        </w:tc>
        <w:tc>
          <w:tcPr>
            <w:tcW w:w="22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46"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324,690</w:t>
            </w:r>
            <w:r>
              <w:rPr>
                <w:rFonts w:ascii="Times New Roman;serif" w:hAnsi="Times New Roman;serif"/>
                <w:caps w:val="false"/>
                <w:smallCaps w:val="false"/>
                <w:color w:val="000000"/>
                <w:sz w:val="22"/>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41"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91,502</w:t>
            </w:r>
            <w:r>
              <w:rPr>
                <w:rFonts w:ascii="Times New Roman;serif" w:hAnsi="Times New Roman;serif"/>
                <w:caps w:val="false"/>
                <w:smallCaps w:val="false"/>
                <w:color w:val="000000"/>
                <w:sz w:val="22"/>
              </w:rPr>
              <w:t> </w:t>
            </w:r>
          </w:p>
        </w:tc>
        <w:tc>
          <w:tcPr>
            <w:tcW w:w="31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204"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83,501</w:t>
            </w:r>
            <w:r>
              <w:rPr>
                <w:rFonts w:ascii="Times New Roman;serif" w:hAnsi="Times New Roman;serif"/>
                <w:caps w:val="false"/>
                <w:smallCaps w:val="false"/>
                <w:color w:val="000000"/>
                <w:sz w:val="22"/>
              </w:rPr>
              <w:t> </w:t>
            </w:r>
          </w:p>
        </w:tc>
      </w:tr>
      <w:tr>
        <w:trPr/>
        <w:tc>
          <w:tcPr>
            <w:tcW w:w="469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Service cost</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946"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1,429</w:t>
            </w:r>
            <w:r>
              <w:rPr>
                <w:rFonts w:ascii="Times New Roman;serif" w:hAnsi="Times New Roman;serif"/>
                <w:caps w:val="false"/>
                <w:smallCaps w:val="false"/>
                <w:color w:val="000000"/>
                <w:sz w:val="22"/>
              </w:rPr>
              <w:t> </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946"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1,507</w:t>
            </w:r>
            <w:r>
              <w:rPr>
                <w:rFonts w:ascii="Times New Roman;serif" w:hAnsi="Times New Roman;serif"/>
                <w:caps w:val="false"/>
                <w:smallCaps w:val="false"/>
                <w:color w:val="000000"/>
                <w:sz w:val="22"/>
              </w:rPr>
              <w:t> </w:t>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1,453</w:t>
            </w:r>
            <w:r>
              <w:rPr>
                <w:rFonts w:ascii="Times New Roman;serif" w:hAnsi="Times New Roman;serif"/>
                <w:caps w:val="false"/>
                <w:smallCaps w:val="false"/>
                <w:color w:val="000000"/>
                <w:sz w:val="22"/>
              </w:rPr>
              <w:t> </w:t>
            </w:r>
          </w:p>
        </w:tc>
        <w:tc>
          <w:tcPr>
            <w:tcW w:w="31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1,347</w:t>
            </w:r>
            <w:r>
              <w:rPr>
                <w:rFonts w:ascii="Times New Roman;serif" w:hAnsi="Times New Roman;serif"/>
                <w:caps w:val="false"/>
                <w:smallCaps w:val="false"/>
                <w:color w:val="000000"/>
                <w:sz w:val="22"/>
              </w:rPr>
              <w:t> </w:t>
            </w:r>
          </w:p>
        </w:tc>
      </w:tr>
      <w:tr>
        <w:trPr/>
        <w:tc>
          <w:tcPr>
            <w:tcW w:w="469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Interest cost</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15,632</w:t>
            </w:r>
            <w:r>
              <w:rPr>
                <w:rFonts w:ascii="Times New Roman;serif" w:hAnsi="Times New Roman;serif"/>
                <w:caps w:val="false"/>
                <w:smallCaps w:val="false"/>
                <w:color w:val="000000"/>
                <w:sz w:val="22"/>
              </w:rPr>
              <w:t> </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16,007</w:t>
            </w:r>
            <w:r>
              <w:rPr>
                <w:rFonts w:ascii="Times New Roman;serif" w:hAnsi="Times New Roman;serif"/>
                <w:caps w:val="false"/>
                <w:smallCaps w:val="false"/>
                <w:color w:val="000000"/>
                <w:sz w:val="22"/>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2"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4,450</w:t>
            </w:r>
            <w:r>
              <w:rPr>
                <w:rFonts w:ascii="Times New Roman;serif" w:hAnsi="Times New Roman;serif"/>
                <w:caps w:val="false"/>
                <w:smallCaps w:val="false"/>
                <w:color w:val="000000"/>
                <w:sz w:val="22"/>
              </w:rPr>
              <w:t> </w:t>
            </w:r>
          </w:p>
        </w:tc>
        <w:tc>
          <w:tcPr>
            <w:tcW w:w="312" w:type="dxa"/>
            <w:tcBorders/>
            <w:shd w:fill="CCEEFF" w:val="clear"/>
            <w:vAlign w:val="center"/>
          </w:tcPr>
          <w:p>
            <w:pPr>
              <w:pStyle w:val="TableContents"/>
              <w:bidi w:val="0"/>
              <w:spacing w:before="0" w:after="283"/>
              <w:jc w:val="left"/>
              <w:rPr>
                <w:sz w:val="4"/>
                <w:szCs w:val="4"/>
              </w:rPr>
            </w:pPr>
            <w:r>
              <w:rPr>
                <w:sz w:val="4"/>
                <w:szCs w:val="4"/>
              </w:rPr>
            </w:r>
          </w:p>
        </w:tc>
        <w:tc>
          <w:tcPr>
            <w:tcW w:w="1204"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4,476</w:t>
            </w:r>
            <w:r>
              <w:rPr>
                <w:rFonts w:ascii="Times New Roman;serif" w:hAnsi="Times New Roman;serif"/>
                <w:caps w:val="false"/>
                <w:smallCaps w:val="false"/>
                <w:color w:val="000000"/>
                <w:sz w:val="22"/>
              </w:rPr>
              <w:t> </w:t>
            </w:r>
          </w:p>
        </w:tc>
      </w:tr>
      <w:tr>
        <w:trPr/>
        <w:tc>
          <w:tcPr>
            <w:tcW w:w="469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Actuarial loss/(gain)</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9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(12,579)</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946"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20,418</w:t>
            </w:r>
            <w:r>
              <w:rPr>
                <w:rFonts w:ascii="Times New Roman;serif" w:hAnsi="Times New Roman;serif"/>
                <w:caps w:val="false"/>
                <w:smallCaps w:val="false"/>
                <w:color w:val="000000"/>
                <w:sz w:val="22"/>
              </w:rPr>
              <w:t> </w:t>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(1,071)</w:t>
            </w:r>
          </w:p>
        </w:tc>
        <w:tc>
          <w:tcPr>
            <w:tcW w:w="31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5,008</w:t>
            </w:r>
            <w:r>
              <w:rPr>
                <w:rFonts w:ascii="Times New Roman;serif" w:hAnsi="Times New Roman;serif"/>
                <w:caps w:val="false"/>
                <w:smallCaps w:val="false"/>
                <w:color w:val="000000"/>
                <w:sz w:val="22"/>
              </w:rPr>
              <w:t> </w:t>
            </w:r>
          </w:p>
        </w:tc>
      </w:tr>
      <w:tr>
        <w:trPr/>
        <w:tc>
          <w:tcPr>
            <w:tcW w:w="469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Plan participants' contributions</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2"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121</w:t>
            </w:r>
            <w:r>
              <w:rPr>
                <w:rFonts w:ascii="Times New Roman;serif" w:hAnsi="Times New Roman;serif"/>
                <w:caps w:val="false"/>
                <w:smallCaps w:val="false"/>
                <w:color w:val="000000"/>
                <w:sz w:val="22"/>
              </w:rPr>
              <w:t> </w:t>
            </w:r>
          </w:p>
        </w:tc>
        <w:tc>
          <w:tcPr>
            <w:tcW w:w="312" w:type="dxa"/>
            <w:tcBorders/>
            <w:shd w:fill="CCEEFF" w:val="clear"/>
            <w:vAlign w:val="center"/>
          </w:tcPr>
          <w:p>
            <w:pPr>
              <w:pStyle w:val="TableContents"/>
              <w:bidi w:val="0"/>
              <w:spacing w:before="0" w:after="283"/>
              <w:jc w:val="left"/>
              <w:rPr>
                <w:sz w:val="4"/>
                <w:szCs w:val="4"/>
              </w:rPr>
            </w:pPr>
            <w:r>
              <w:rPr>
                <w:sz w:val="4"/>
                <w:szCs w:val="4"/>
              </w:rPr>
            </w:r>
          </w:p>
        </w:tc>
        <w:tc>
          <w:tcPr>
            <w:tcW w:w="1204"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106</w:t>
            </w:r>
            <w:r>
              <w:rPr>
                <w:rFonts w:ascii="Times New Roman;serif" w:hAnsi="Times New Roman;serif"/>
                <w:caps w:val="false"/>
                <w:smallCaps w:val="false"/>
                <w:color w:val="000000"/>
                <w:sz w:val="22"/>
              </w:rPr>
              <w:t> </w:t>
            </w:r>
          </w:p>
        </w:tc>
      </w:tr>
      <w:tr>
        <w:trPr/>
        <w:tc>
          <w:tcPr>
            <w:tcW w:w="469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Benefits paid</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9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(23,144)</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9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(18,577)</w:t>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(7,439)</w:t>
            </w:r>
          </w:p>
        </w:tc>
        <w:tc>
          <w:tcPr>
            <w:tcW w:w="31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(2,936)</w:t>
            </w:r>
          </w:p>
        </w:tc>
      </w:tr>
      <w:tr>
        <w:trPr/>
        <w:tc>
          <w:tcPr>
            <w:tcW w:w="469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Settlements</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(30,347)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2"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(6,052)</w:t>
            </w:r>
          </w:p>
        </w:tc>
        <w:tc>
          <w:tcPr>
            <w:tcW w:w="312" w:type="dxa"/>
            <w:tcBorders/>
            <w:shd w:fill="CCEEFF" w:val="clear"/>
            <w:vAlign w:val="center"/>
          </w:tcPr>
          <w:p>
            <w:pPr>
              <w:pStyle w:val="TableContents"/>
              <w:bidi w:val="0"/>
              <w:spacing w:before="0" w:after="283"/>
              <w:jc w:val="left"/>
              <w:rPr>
                <w:sz w:val="4"/>
                <w:szCs w:val="4"/>
              </w:rPr>
            </w:pPr>
            <w:r>
              <w:rPr>
                <w:sz w:val="4"/>
                <w:szCs w:val="4"/>
              </w:rPr>
            </w:r>
          </w:p>
        </w:tc>
        <w:tc>
          <w:tcPr>
            <w:tcW w:w="1204"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469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Benefit obligation at December 31,</w:t>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295,036</w:t>
            </w:r>
            <w:r>
              <w:rPr>
                <w:rFonts w:ascii="Times New Roman;serif" w:hAnsi="Times New Roman;serif"/>
                <w:caps w:val="false"/>
                <w:smallCaps w:val="false"/>
                <w:color w:val="000000"/>
                <w:sz w:val="22"/>
              </w:rPr>
              <w:t> </w:t>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313,698</w:t>
            </w:r>
            <w:r>
              <w:rPr>
                <w:rFonts w:ascii="Times New Roman;serif" w:hAnsi="Times New Roman;serif"/>
                <w:caps w:val="false"/>
                <w:smallCaps w:val="false"/>
                <w:color w:val="000000"/>
                <w:sz w:val="22"/>
              </w:rPr>
              <w:t> </w:t>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82,964</w:t>
            </w:r>
            <w:r>
              <w:rPr>
                <w:rFonts w:ascii="Times New Roman;serif" w:hAnsi="Times New Roman;serif"/>
                <w:caps w:val="false"/>
                <w:smallCaps w:val="false"/>
                <w:color w:val="000000"/>
                <w:sz w:val="22"/>
              </w:rPr>
              <w:t> </w:t>
            </w:r>
          </w:p>
        </w:tc>
        <w:tc>
          <w:tcPr>
            <w:tcW w:w="312"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204"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91,502</w:t>
            </w:r>
            <w:r>
              <w:rPr>
                <w:rFonts w:ascii="Times New Roman;serif" w:hAnsi="Times New Roman;serif"/>
                <w:caps w:val="false"/>
                <w:smallCaps w:val="false"/>
                <w:color w:val="000000"/>
                <w:sz w:val="22"/>
              </w:rPr>
              <w:t> </w:t>
            </w:r>
          </w:p>
        </w:tc>
      </w:tr>
      <w:tr>
        <w:trPr/>
        <w:tc>
          <w:tcPr>
            <w:tcW w:w="469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04"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469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Change in plan assets:</w:t>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Fair value of plan assets at January 1,</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312,303</w:t>
            </w:r>
            <w:r>
              <w:rPr>
                <w:rFonts w:ascii="Times New Roman;serif" w:hAnsi="Times New Roman;serif"/>
                <w:caps w:val="false"/>
                <w:smallCaps w:val="false"/>
                <w:color w:val="000000"/>
                <w:sz w:val="22"/>
              </w:rPr>
              <w:t> </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333,176</w:t>
            </w:r>
            <w:r>
              <w:rPr>
                <w:rFonts w:ascii="Times New Roman;serif" w:hAnsi="Times New Roman;serif"/>
                <w:caps w:val="false"/>
                <w:smallCaps w:val="false"/>
                <w:color w:val="000000"/>
                <w:sz w:val="22"/>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2"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95,005</w:t>
            </w:r>
            <w:r>
              <w:rPr>
                <w:rFonts w:ascii="Times New Roman;serif" w:hAnsi="Times New Roman;serif"/>
                <w:caps w:val="false"/>
                <w:smallCaps w:val="false"/>
                <w:color w:val="000000"/>
                <w:sz w:val="22"/>
              </w:rPr>
              <w:t> </w:t>
            </w:r>
          </w:p>
        </w:tc>
        <w:tc>
          <w:tcPr>
            <w:tcW w:w="312" w:type="dxa"/>
            <w:tcBorders/>
            <w:shd w:fill="CCEEFF" w:val="clear"/>
            <w:vAlign w:val="center"/>
          </w:tcPr>
          <w:p>
            <w:pPr>
              <w:pStyle w:val="TableContents"/>
              <w:bidi w:val="0"/>
              <w:spacing w:before="0" w:after="283"/>
              <w:jc w:val="left"/>
              <w:rPr>
                <w:sz w:val="4"/>
                <w:szCs w:val="4"/>
              </w:rPr>
            </w:pPr>
            <w:r>
              <w:rPr>
                <w:sz w:val="4"/>
                <w:szCs w:val="4"/>
              </w:rPr>
            </w:r>
          </w:p>
        </w:tc>
        <w:tc>
          <w:tcPr>
            <w:tcW w:w="1204"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85,994</w:t>
            </w:r>
            <w:r>
              <w:rPr>
                <w:rFonts w:ascii="Times New Roman;serif" w:hAnsi="Times New Roman;serif"/>
                <w:caps w:val="false"/>
                <w:smallCaps w:val="false"/>
                <w:color w:val="000000"/>
                <w:sz w:val="22"/>
              </w:rPr>
              <w:t> </w:t>
            </w:r>
          </w:p>
        </w:tc>
      </w:tr>
      <w:tr>
        <w:trPr/>
        <w:tc>
          <w:tcPr>
            <w:tcW w:w="469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Actual return on plan assets</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9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(4,959)</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946"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7,648</w:t>
            </w:r>
            <w:r>
              <w:rPr>
                <w:rFonts w:ascii="Times New Roman;serif" w:hAnsi="Times New Roman;serif"/>
                <w:caps w:val="false"/>
                <w:smallCaps w:val="false"/>
                <w:color w:val="000000"/>
                <w:sz w:val="22"/>
              </w:rPr>
              <w:t> </w:t>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11,781</w:t>
            </w:r>
            <w:r>
              <w:rPr>
                <w:rFonts w:ascii="Times New Roman;serif" w:hAnsi="Times New Roman;serif"/>
                <w:caps w:val="false"/>
                <w:smallCaps w:val="false"/>
                <w:color w:val="000000"/>
                <w:sz w:val="22"/>
              </w:rPr>
              <w:t> </w:t>
            </w:r>
          </w:p>
        </w:tc>
        <w:tc>
          <w:tcPr>
            <w:tcW w:w="31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12,060</w:t>
            </w:r>
            <w:r>
              <w:rPr>
                <w:rFonts w:ascii="Times New Roman;serif" w:hAnsi="Times New Roman;serif"/>
                <w:caps w:val="false"/>
                <w:smallCaps w:val="false"/>
                <w:color w:val="000000"/>
                <w:sz w:val="22"/>
              </w:rPr>
              <w:t> </w:t>
            </w:r>
          </w:p>
        </w:tc>
      </w:tr>
      <w:tr>
        <w:trPr/>
        <w:tc>
          <w:tcPr>
            <w:tcW w:w="469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Employer contributions</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9,393</w:t>
            </w:r>
            <w:r>
              <w:rPr>
                <w:rFonts w:ascii="Times New Roman;serif" w:hAnsi="Times New Roman;serif"/>
                <w:caps w:val="false"/>
                <w:smallCaps w:val="false"/>
                <w:color w:val="000000"/>
                <w:sz w:val="22"/>
              </w:rPr>
              <w:t> </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20,343</w:t>
            </w:r>
            <w:r>
              <w:rPr>
                <w:rFonts w:ascii="Times New Roman;serif" w:hAnsi="Times New Roman;serif"/>
                <w:caps w:val="false"/>
                <w:smallCaps w:val="false"/>
                <w:color w:val="000000"/>
                <w:sz w:val="22"/>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2"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312" w:type="dxa"/>
            <w:tcBorders/>
            <w:shd w:fill="CCEEFF" w:val="clear"/>
            <w:vAlign w:val="center"/>
          </w:tcPr>
          <w:p>
            <w:pPr>
              <w:pStyle w:val="TableContents"/>
              <w:bidi w:val="0"/>
              <w:spacing w:before="0" w:after="283"/>
              <w:jc w:val="left"/>
              <w:rPr>
                <w:sz w:val="4"/>
                <w:szCs w:val="4"/>
              </w:rPr>
            </w:pPr>
            <w:r>
              <w:rPr>
                <w:sz w:val="4"/>
                <w:szCs w:val="4"/>
              </w:rPr>
            </w:r>
          </w:p>
        </w:tc>
        <w:tc>
          <w:tcPr>
            <w:tcW w:w="1204"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469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Participants' contributions</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9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9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121</w:t>
            </w:r>
            <w:r>
              <w:rPr>
                <w:rFonts w:ascii="Times New Roman;serif" w:hAnsi="Times New Roman;serif"/>
                <w:caps w:val="false"/>
                <w:smallCaps w:val="false"/>
                <w:color w:val="000000"/>
                <w:sz w:val="22"/>
              </w:rPr>
              <w:t> </w:t>
            </w:r>
          </w:p>
        </w:tc>
        <w:tc>
          <w:tcPr>
            <w:tcW w:w="31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106</w:t>
            </w:r>
            <w:r>
              <w:rPr>
                <w:rFonts w:ascii="Times New Roman;serif" w:hAnsi="Times New Roman;serif"/>
                <w:caps w:val="false"/>
                <w:smallCaps w:val="false"/>
                <w:color w:val="000000"/>
                <w:sz w:val="22"/>
              </w:rPr>
              <w:t> </w:t>
            </w:r>
          </w:p>
        </w:tc>
      </w:tr>
      <w:tr>
        <w:trPr/>
        <w:tc>
          <w:tcPr>
            <w:tcW w:w="469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Benefits paid</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(23,085)</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94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(18,517)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2"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(6,605)</w:t>
            </w:r>
          </w:p>
        </w:tc>
        <w:tc>
          <w:tcPr>
            <w:tcW w:w="312" w:type="dxa"/>
            <w:tcBorders/>
            <w:shd w:fill="CCEEFF" w:val="clear"/>
            <w:vAlign w:val="center"/>
          </w:tcPr>
          <w:p>
            <w:pPr>
              <w:pStyle w:val="TableContents"/>
              <w:bidi w:val="0"/>
              <w:spacing w:before="0" w:after="283"/>
              <w:jc w:val="left"/>
              <w:rPr>
                <w:sz w:val="4"/>
                <w:szCs w:val="4"/>
              </w:rPr>
            </w:pPr>
            <w:r>
              <w:rPr>
                <w:sz w:val="4"/>
                <w:szCs w:val="4"/>
              </w:rPr>
            </w:r>
          </w:p>
        </w:tc>
        <w:tc>
          <w:tcPr>
            <w:tcW w:w="1204"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(3,155)</w:t>
            </w:r>
          </w:p>
        </w:tc>
      </w:tr>
      <w:tr>
        <w:trPr/>
        <w:tc>
          <w:tcPr>
            <w:tcW w:w="469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Settlements</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9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94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(30,347)</w:t>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(6,052)</w:t>
            </w:r>
          </w:p>
        </w:tc>
        <w:tc>
          <w:tcPr>
            <w:tcW w:w="312"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469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Fair value of plan assets at December 31,</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293,652</w:t>
            </w:r>
            <w:r>
              <w:rPr>
                <w:rFonts w:ascii="Times New Roman;serif" w:hAnsi="Times New Roman;serif"/>
                <w:caps w:val="false"/>
                <w:smallCaps w:val="false"/>
                <w:color w:val="000000"/>
                <w:sz w:val="22"/>
              </w:rPr>
              <w:t> </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312,303</w:t>
            </w:r>
            <w:r>
              <w:rPr>
                <w:rFonts w:ascii="Times New Roman;serif" w:hAnsi="Times New Roman;serif"/>
                <w:caps w:val="false"/>
                <w:smallCaps w:val="false"/>
                <w:color w:val="000000"/>
                <w:sz w:val="22"/>
              </w:rPr>
              <w:t> </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94,250</w:t>
            </w:r>
            <w:r>
              <w:rPr>
                <w:rFonts w:ascii="Times New Roman;serif" w:hAnsi="Times New Roman;serif"/>
                <w:caps w:val="false"/>
                <w:smallCaps w:val="false"/>
                <w:color w:val="000000"/>
                <w:sz w:val="22"/>
              </w:rPr>
              <w:t> </w:t>
            </w:r>
          </w:p>
        </w:tc>
        <w:tc>
          <w:tcPr>
            <w:tcW w:w="31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04"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95,005</w:t>
            </w:r>
            <w:r>
              <w:rPr>
                <w:rFonts w:ascii="Times New Roman;serif" w:hAnsi="Times New Roman;serif"/>
                <w:caps w:val="false"/>
                <w:smallCaps w:val="false"/>
                <w:color w:val="000000"/>
                <w:sz w:val="22"/>
              </w:rPr>
              <w:t> </w:t>
            </w:r>
          </w:p>
        </w:tc>
      </w:tr>
      <w:tr>
        <w:trPr/>
        <w:tc>
          <w:tcPr>
            <w:tcW w:w="4696"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94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4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04"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469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Funded status of plan:</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4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312" w:type="dxa"/>
            <w:tcBorders/>
            <w:shd w:fill="CCEEFF" w:val="clear"/>
            <w:vAlign w:val="center"/>
          </w:tcPr>
          <w:p>
            <w:pPr>
              <w:pStyle w:val="TableContents"/>
              <w:bidi w:val="0"/>
              <w:spacing w:before="0" w:after="283"/>
              <w:jc w:val="left"/>
              <w:rPr>
                <w:sz w:val="4"/>
                <w:szCs w:val="4"/>
              </w:rPr>
            </w:pPr>
            <w:r>
              <w:rPr>
                <w:sz w:val="4"/>
                <w:szCs w:val="4"/>
              </w:rPr>
            </w:r>
          </w:p>
        </w:tc>
        <w:tc>
          <w:tcPr>
            <w:tcW w:w="1141" w:type="dxa"/>
            <w:tcBorders/>
            <w:shd w:fill="CCEEFF" w:val="clear"/>
            <w:vAlign w:val="center"/>
          </w:tcPr>
          <w:p>
            <w:pPr>
              <w:pStyle w:val="TableContents"/>
              <w:bidi w:val="0"/>
              <w:spacing w:before="0" w:after="283"/>
              <w:jc w:val="left"/>
              <w:rPr>
                <w:sz w:val="4"/>
                <w:szCs w:val="4"/>
              </w:rPr>
            </w:pPr>
            <w:r>
              <w:rPr>
                <w:sz w:val="4"/>
                <w:szCs w:val="4"/>
              </w:rPr>
            </w:r>
          </w:p>
        </w:tc>
        <w:tc>
          <w:tcPr>
            <w:tcW w:w="312" w:type="dxa"/>
            <w:tcBorders/>
            <w:shd w:fill="CCEEFF" w:val="clear"/>
            <w:vAlign w:val="center"/>
          </w:tcPr>
          <w:p>
            <w:pPr>
              <w:pStyle w:val="TableContents"/>
              <w:bidi w:val="0"/>
              <w:spacing w:before="0" w:after="283"/>
              <w:jc w:val="left"/>
              <w:rPr>
                <w:sz w:val="4"/>
                <w:szCs w:val="4"/>
              </w:rPr>
            </w:pPr>
            <w:r>
              <w:rPr>
                <w:sz w:val="4"/>
                <w:szCs w:val="4"/>
              </w:rPr>
            </w:r>
          </w:p>
        </w:tc>
        <w:tc>
          <w:tcPr>
            <w:tcW w:w="1204" w:type="dxa"/>
            <w:tcBorders/>
            <w:shd w:fill="CCEEFF" w:val="clear"/>
            <w:vAlign w:val="center"/>
          </w:tcPr>
          <w:p>
            <w:pPr>
              <w:pStyle w:val="TableContents"/>
              <w:bidi w:val="0"/>
              <w:spacing w:before="0" w:after="283"/>
              <w:jc w:val="left"/>
              <w:rPr>
                <w:sz w:val="4"/>
                <w:szCs w:val="4"/>
              </w:rPr>
            </w:pPr>
            <w:r>
              <w:rPr>
                <w:sz w:val="4"/>
                <w:szCs w:val="4"/>
              </w:rPr>
            </w:r>
          </w:p>
        </w:tc>
      </w:tr>
      <w:tr>
        <w:trPr/>
        <w:tc>
          <w:tcPr>
            <w:tcW w:w="469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Net asset / (liability) recognized at December 31,</w:t>
            </w:r>
          </w:p>
        </w:tc>
        <w:tc>
          <w:tcPr>
            <w:tcW w:w="226"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46"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(1,384)</w:t>
            </w:r>
          </w:p>
        </w:tc>
        <w:tc>
          <w:tcPr>
            <w:tcW w:w="226"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46"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(1,395)</w:t>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41"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11,286</w:t>
            </w:r>
            <w:r>
              <w:rPr>
                <w:rFonts w:ascii="Times New Roman;serif" w:hAnsi="Times New Roman;serif"/>
                <w:caps w:val="false"/>
                <w:smallCaps w:val="false"/>
                <w:color w:val="000000"/>
                <w:sz w:val="22"/>
              </w:rPr>
              <w:t> </w:t>
            </w:r>
          </w:p>
        </w:tc>
        <w:tc>
          <w:tcPr>
            <w:tcW w:w="312"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204"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3,503</w:t>
            </w:r>
            <w:r>
              <w:rPr>
                <w:rFonts w:ascii="Times New Roman;serif" w:hAnsi="Times New Roman;serif"/>
                <w:caps w:val="false"/>
                <w:smallCaps w:val="false"/>
                <w:color w:val="000000"/>
                <w:sz w:val="22"/>
              </w:rPr>
              <w:t> </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provides the net liability recognized on the consolidated balance sheets at December 31:</w:t>
      </w:r>
    </w:p>
    <w:tbl>
      <w:tblPr>
        <w:tblW w:w="8454" w:type="dxa"/>
        <w:jc w:val="left"/>
        <w:tblInd w:w="0" w:type="dxa"/>
        <w:tblLayout w:type="fixed"/>
        <w:tblCellMar>
          <w:top w:w="0" w:type="dxa"/>
          <w:left w:w="0" w:type="dxa"/>
          <w:bottom w:w="0" w:type="dxa"/>
          <w:right w:w="0" w:type="dxa"/>
        </w:tblCellMar>
      </w:tblPr>
      <w:tblGrid>
        <w:gridCol w:w="3091"/>
        <w:gridCol w:w="226"/>
        <w:gridCol w:w="916"/>
        <w:gridCol w:w="226"/>
        <w:gridCol w:w="916"/>
        <w:gridCol w:w="109"/>
        <w:gridCol w:w="283"/>
        <w:gridCol w:w="1201"/>
        <w:gridCol w:w="283"/>
        <w:gridCol w:w="1203"/>
      </w:tblGrid>
      <w:tr>
        <w:trPr/>
        <w:tc>
          <w:tcPr>
            <w:tcW w:w="309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3"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before="0" w:after="283"/>
              <w:jc w:val="left"/>
              <w:rPr>
                <w:sz w:val="4"/>
                <w:szCs w:val="4"/>
              </w:rPr>
            </w:pPr>
            <w:r>
              <w:rPr>
                <w:sz w:val="4"/>
                <w:szCs w:val="4"/>
              </w:rPr>
            </w:r>
          </w:p>
        </w:tc>
        <w:tc>
          <w:tcPr>
            <w:tcW w:w="283" w:type="dxa"/>
            <w:tcBorders/>
            <w:shd w:fill="FFFFFF" w:val="clear"/>
            <w:vAlign w:val="center"/>
          </w:tcPr>
          <w:p>
            <w:pPr>
              <w:pStyle w:val="TableContents"/>
              <w:bidi w:val="0"/>
              <w:spacing w:before="0" w:after="283"/>
              <w:jc w:val="left"/>
              <w:rPr>
                <w:sz w:val="4"/>
                <w:szCs w:val="4"/>
              </w:rPr>
            </w:pPr>
            <w:r>
              <w:rPr>
                <w:sz w:val="4"/>
                <w:szCs w:val="4"/>
              </w:rPr>
            </w:r>
          </w:p>
        </w:tc>
        <w:tc>
          <w:tcPr>
            <w:tcW w:w="1203" w:type="dxa"/>
            <w:tcBorders/>
            <w:shd w:fill="FFFFFF" w:val="clear"/>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3"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before="0" w:after="283"/>
              <w:jc w:val="left"/>
              <w:rPr>
                <w:sz w:val="4"/>
                <w:szCs w:val="4"/>
              </w:rPr>
            </w:pPr>
            <w:r>
              <w:rPr>
                <w:sz w:val="4"/>
                <w:szCs w:val="4"/>
              </w:rPr>
            </w:r>
          </w:p>
        </w:tc>
        <w:tc>
          <w:tcPr>
            <w:tcW w:w="283" w:type="dxa"/>
            <w:tcBorders/>
            <w:shd w:fill="FFFFFF" w:val="clear"/>
            <w:vAlign w:val="center"/>
          </w:tcPr>
          <w:p>
            <w:pPr>
              <w:pStyle w:val="TableContents"/>
              <w:bidi w:val="0"/>
              <w:spacing w:before="0" w:after="283"/>
              <w:jc w:val="left"/>
              <w:rPr>
                <w:sz w:val="4"/>
                <w:szCs w:val="4"/>
              </w:rPr>
            </w:pPr>
            <w:r>
              <w:rPr>
                <w:sz w:val="4"/>
                <w:szCs w:val="4"/>
              </w:rPr>
            </w:r>
          </w:p>
        </w:tc>
        <w:tc>
          <w:tcPr>
            <w:tcW w:w="1203" w:type="dxa"/>
            <w:tcBorders/>
            <w:shd w:fill="FFFFFF" w:val="clear"/>
            <w:vAlign w:val="center"/>
          </w:tcPr>
          <w:p>
            <w:pPr>
              <w:pStyle w:val="TableContents"/>
              <w:bidi w:val="0"/>
              <w:spacing w:before="0" w:after="283"/>
              <w:jc w:val="left"/>
              <w:rPr>
                <w:sz w:val="4"/>
                <w:szCs w:val="4"/>
              </w:rPr>
            </w:pPr>
            <w:r>
              <w:rPr>
                <w:sz w:val="4"/>
                <w:szCs w:val="4"/>
              </w:rPr>
            </w:r>
          </w:p>
        </w:tc>
      </w:tr>
      <w:tr>
        <w:trPr/>
        <w:tc>
          <w:tcPr>
            <w:tcW w:w="3091" w:type="dxa"/>
            <w:tcBorders/>
            <w:shd w:fill="FFFFFF" w:val="clear"/>
            <w:vAlign w:val="center"/>
          </w:tcPr>
          <w:p>
            <w:pPr>
              <w:pStyle w:val="TableContents"/>
              <w:bidi w:val="0"/>
              <w:spacing w:before="0" w:after="283"/>
              <w:jc w:val="left"/>
              <w:rPr>
                <w:sz w:val="4"/>
                <w:szCs w:val="4"/>
              </w:rPr>
            </w:pPr>
            <w:r>
              <w:rPr>
                <w:sz w:val="4"/>
                <w:szCs w:val="4"/>
              </w:rPr>
            </w:r>
          </w:p>
        </w:tc>
        <w:tc>
          <w:tcPr>
            <w:tcW w:w="2284"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Pension Benefits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970"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Post-retirement Benefits</w:t>
            </w:r>
          </w:p>
        </w:tc>
      </w:tr>
      <w:tr>
        <w:trPr/>
        <w:tc>
          <w:tcPr>
            <w:tcW w:w="309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0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1486"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r>
      <w:tr>
        <w:trPr/>
        <w:tc>
          <w:tcPr>
            <w:tcW w:w="30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Non-current asset</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16,475</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16,325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201" w:type="dxa"/>
            <w:tcBorders>
              <w:top w:val="single" w:sz="8" w:space="0" w:color="000000"/>
            </w:tcBorders>
            <w:shd w:fill="CCEEFF" w:val="clear"/>
            <w:tcMar>
              <w:top w:w="2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29,508</w:t>
            </w:r>
          </w:p>
        </w:tc>
        <w:tc>
          <w:tcPr>
            <w:tcW w:w="283"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203"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26,700</w:t>
            </w:r>
          </w:p>
        </w:tc>
      </w:tr>
      <w:tr>
        <w:trPr/>
        <w:tc>
          <w:tcPr>
            <w:tcW w:w="30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Current liability</w:t>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(1,844)</w:t>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(1,334)</w:t>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(557)</w:t>
            </w:r>
          </w:p>
        </w:tc>
        <w:tc>
          <w:tcPr>
            <w:tcW w:w="283"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(733)</w:t>
            </w:r>
          </w:p>
        </w:tc>
      </w:tr>
      <w:tr>
        <w:trPr/>
        <w:tc>
          <w:tcPr>
            <w:tcW w:w="309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Noncurrent liability</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(16,015)</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(16,386)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(17,665)</w:t>
            </w:r>
          </w:p>
        </w:tc>
        <w:tc>
          <w:tcPr>
            <w:tcW w:w="283"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03" w:type="dxa"/>
            <w:tcBorders>
              <w:bottom w:val="single" w:sz="8" w:space="0" w:color="000000"/>
            </w:tcBorders>
            <w:shd w:fill="CCEEFF" w:val="clear"/>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(22,464)</w:t>
            </w:r>
          </w:p>
        </w:tc>
      </w:tr>
      <w:tr>
        <w:trPr/>
        <w:tc>
          <w:tcPr>
            <w:tcW w:w="309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Net asset / (liability) recognized</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(1,384)</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(1,395)</w:t>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20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43"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11,286</w:t>
            </w:r>
          </w:p>
        </w:tc>
        <w:tc>
          <w:tcPr>
            <w:tcW w:w="28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203"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3,503</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provides selected information about plans with accumulated benefit obligation and projected benefit obligation in excess of plan assets:  </w:t>
      </w:r>
    </w:p>
    <w:tbl>
      <w:tblPr>
        <w:tblW w:w="10205" w:type="dxa"/>
        <w:jc w:val="left"/>
        <w:tblInd w:w="0" w:type="dxa"/>
        <w:tblLayout w:type="fixed"/>
        <w:tblCellMar>
          <w:top w:w="0" w:type="dxa"/>
          <w:left w:w="0" w:type="dxa"/>
          <w:bottom w:w="0" w:type="dxa"/>
          <w:right w:w="0" w:type="dxa"/>
        </w:tblCellMar>
      </w:tblPr>
      <w:tblGrid>
        <w:gridCol w:w="3832"/>
        <w:gridCol w:w="279"/>
        <w:gridCol w:w="926"/>
        <w:gridCol w:w="109"/>
        <w:gridCol w:w="415"/>
        <w:gridCol w:w="1378"/>
        <w:gridCol w:w="109"/>
        <w:gridCol w:w="279"/>
        <w:gridCol w:w="926"/>
        <w:gridCol w:w="109"/>
        <w:gridCol w:w="407"/>
        <w:gridCol w:w="1436"/>
      </w:tblGrid>
      <w:tr>
        <w:trPr/>
        <w:tc>
          <w:tcPr>
            <w:tcW w:w="3832" w:type="dxa"/>
            <w:tcBorders/>
            <w:shd w:fill="FFFFFF" w:val="clear"/>
            <w:vAlign w:val="center"/>
          </w:tcPr>
          <w:p>
            <w:pPr>
              <w:pStyle w:val="TableContents"/>
              <w:bidi w:val="0"/>
              <w:spacing w:before="0" w:after="283"/>
              <w:jc w:val="left"/>
              <w:rPr>
                <w:sz w:val="4"/>
                <w:szCs w:val="4"/>
              </w:rPr>
            </w:pPr>
            <w:r>
              <w:rPr>
                <w:sz w:val="4"/>
                <w:szCs w:val="4"/>
              </w:rPr>
            </w:r>
          </w:p>
        </w:tc>
        <w:tc>
          <w:tcPr>
            <w:tcW w:w="279" w:type="dxa"/>
            <w:tcBorders/>
            <w:shd w:fill="FFFFFF" w:val="clear"/>
            <w:vAlign w:val="center"/>
          </w:tcPr>
          <w:p>
            <w:pPr>
              <w:pStyle w:val="TableContents"/>
              <w:bidi w:val="0"/>
              <w:spacing w:before="0" w:after="283"/>
              <w:jc w:val="left"/>
              <w:rPr>
                <w:sz w:val="4"/>
                <w:szCs w:val="4"/>
              </w:rPr>
            </w:pPr>
            <w:r>
              <w:rPr>
                <w:sz w:val="4"/>
                <w:szCs w:val="4"/>
              </w:rPr>
            </w:r>
          </w:p>
        </w:tc>
        <w:tc>
          <w:tcPr>
            <w:tcW w:w="9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137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9" w:type="dxa"/>
            <w:tcBorders/>
            <w:shd w:fill="FFFFFF" w:val="clear"/>
            <w:vAlign w:val="center"/>
          </w:tcPr>
          <w:p>
            <w:pPr>
              <w:pStyle w:val="TableContents"/>
              <w:bidi w:val="0"/>
              <w:spacing w:before="0" w:after="283"/>
              <w:jc w:val="left"/>
              <w:rPr>
                <w:sz w:val="4"/>
                <w:szCs w:val="4"/>
              </w:rPr>
            </w:pPr>
            <w:r>
              <w:rPr>
                <w:sz w:val="4"/>
                <w:szCs w:val="4"/>
              </w:rPr>
            </w:r>
          </w:p>
        </w:tc>
        <w:tc>
          <w:tcPr>
            <w:tcW w:w="9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3832" w:type="dxa"/>
            <w:tcBorders/>
            <w:shd w:fill="FFFFFF" w:val="clear"/>
            <w:vAlign w:val="center"/>
          </w:tcPr>
          <w:p>
            <w:pPr>
              <w:pStyle w:val="TableContents"/>
              <w:bidi w:val="0"/>
              <w:spacing w:before="0" w:after="283"/>
              <w:jc w:val="left"/>
              <w:rPr>
                <w:sz w:val="4"/>
                <w:szCs w:val="4"/>
              </w:rPr>
            </w:pPr>
            <w:r>
              <w:rPr>
                <w:sz w:val="4"/>
                <w:szCs w:val="4"/>
              </w:rPr>
            </w:r>
          </w:p>
        </w:tc>
        <w:tc>
          <w:tcPr>
            <w:tcW w:w="279" w:type="dxa"/>
            <w:tcBorders/>
            <w:shd w:fill="FFFFFF" w:val="clear"/>
            <w:vAlign w:val="center"/>
          </w:tcPr>
          <w:p>
            <w:pPr>
              <w:pStyle w:val="TableContents"/>
              <w:bidi w:val="0"/>
              <w:spacing w:before="0" w:after="283"/>
              <w:jc w:val="left"/>
              <w:rPr>
                <w:sz w:val="4"/>
                <w:szCs w:val="4"/>
              </w:rPr>
            </w:pPr>
            <w:r>
              <w:rPr>
                <w:sz w:val="4"/>
                <w:szCs w:val="4"/>
              </w:rPr>
            </w:r>
          </w:p>
        </w:tc>
        <w:tc>
          <w:tcPr>
            <w:tcW w:w="9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shd w:fill="FFFFFF" w:val="clear"/>
            <w:vAlign w:val="center"/>
          </w:tcPr>
          <w:p>
            <w:pPr>
              <w:pStyle w:val="TableContents"/>
              <w:bidi w:val="0"/>
              <w:spacing w:before="0" w:after="283"/>
              <w:jc w:val="left"/>
              <w:rPr>
                <w:sz w:val="4"/>
                <w:szCs w:val="4"/>
              </w:rPr>
            </w:pPr>
            <w:r>
              <w:rPr>
                <w:sz w:val="4"/>
                <w:szCs w:val="4"/>
              </w:rPr>
            </w:r>
          </w:p>
        </w:tc>
        <w:tc>
          <w:tcPr>
            <w:tcW w:w="1378"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9" w:type="dxa"/>
            <w:tcBorders/>
            <w:shd w:fill="FFFFFF" w:val="clear"/>
            <w:vAlign w:val="center"/>
          </w:tcPr>
          <w:p>
            <w:pPr>
              <w:pStyle w:val="TableContents"/>
              <w:bidi w:val="0"/>
              <w:spacing w:before="0" w:after="283"/>
              <w:jc w:val="left"/>
              <w:rPr>
                <w:sz w:val="4"/>
                <w:szCs w:val="4"/>
              </w:rPr>
            </w:pPr>
            <w:r>
              <w:rPr>
                <w:sz w:val="4"/>
                <w:szCs w:val="4"/>
              </w:rPr>
            </w:r>
          </w:p>
        </w:tc>
        <w:tc>
          <w:tcPr>
            <w:tcW w:w="9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shd w:fill="FFFFFF" w:val="clear"/>
            <w:vAlign w:val="center"/>
          </w:tcPr>
          <w:p>
            <w:pPr>
              <w:pStyle w:val="TableContents"/>
              <w:bidi w:val="0"/>
              <w:spacing w:before="0" w:after="283"/>
              <w:jc w:val="left"/>
              <w:rPr>
                <w:sz w:val="4"/>
                <w:szCs w:val="4"/>
              </w:rPr>
            </w:pPr>
            <w:r>
              <w:rPr>
                <w:sz w:val="4"/>
                <w:szCs w:val="4"/>
              </w:rPr>
            </w:r>
          </w:p>
        </w:tc>
        <w:tc>
          <w:tcPr>
            <w:tcW w:w="1436" w:type="dxa"/>
            <w:tcBorders/>
            <w:shd w:fill="FFFFFF" w:val="clear"/>
            <w:vAlign w:val="center"/>
          </w:tcPr>
          <w:p>
            <w:pPr>
              <w:pStyle w:val="TableContents"/>
              <w:bidi w:val="0"/>
              <w:spacing w:before="0" w:after="283"/>
              <w:jc w:val="left"/>
              <w:rPr>
                <w:sz w:val="4"/>
                <w:szCs w:val="4"/>
              </w:rPr>
            </w:pPr>
            <w:r>
              <w:rPr>
                <w:sz w:val="4"/>
                <w:szCs w:val="4"/>
              </w:rPr>
            </w:r>
          </w:p>
        </w:tc>
      </w:tr>
      <w:tr>
        <w:trPr/>
        <w:tc>
          <w:tcPr>
            <w:tcW w:w="3832" w:type="dxa"/>
            <w:tcBorders/>
            <w:shd w:fill="FFFFFF" w:val="clear"/>
            <w:vAlign w:val="center"/>
          </w:tcPr>
          <w:p>
            <w:pPr>
              <w:pStyle w:val="TableContents"/>
              <w:bidi w:val="0"/>
              <w:spacing w:before="0" w:after="283"/>
              <w:jc w:val="left"/>
              <w:rPr>
                <w:sz w:val="4"/>
                <w:szCs w:val="4"/>
              </w:rPr>
            </w:pPr>
            <w:r>
              <w:rPr>
                <w:sz w:val="4"/>
                <w:szCs w:val="4"/>
              </w:rPr>
            </w:r>
          </w:p>
        </w:tc>
        <w:tc>
          <w:tcPr>
            <w:tcW w:w="3107" w:type="dxa"/>
            <w:gridSpan w:val="5"/>
            <w:tcBorders/>
            <w:shd w:fill="FFFF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December 31,</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157" w:type="dxa"/>
            <w:gridSpan w:val="5"/>
            <w:tcBorders/>
            <w:shd w:fill="FFFF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December 31,</w:t>
            </w:r>
          </w:p>
        </w:tc>
      </w:tr>
      <w:tr>
        <w:trPr/>
        <w:tc>
          <w:tcPr>
            <w:tcW w:w="3832" w:type="dxa"/>
            <w:tcBorders/>
            <w:shd w:fill="FFFFFF" w:val="clear"/>
            <w:vAlign w:val="center"/>
          </w:tcPr>
          <w:p>
            <w:pPr>
              <w:pStyle w:val="TableContents"/>
              <w:bidi w:val="0"/>
              <w:spacing w:before="0" w:after="283"/>
              <w:jc w:val="left"/>
              <w:rPr>
                <w:sz w:val="4"/>
                <w:szCs w:val="4"/>
              </w:rPr>
            </w:pPr>
            <w:r>
              <w:rPr>
                <w:sz w:val="4"/>
                <w:szCs w:val="4"/>
              </w:rPr>
            </w:r>
          </w:p>
        </w:tc>
        <w:tc>
          <w:tcPr>
            <w:tcW w:w="3107" w:type="dxa"/>
            <w:gridSpan w:val="5"/>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157" w:type="dxa"/>
            <w:gridSpan w:val="5"/>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r>
      <w:tr>
        <w:trPr/>
        <w:tc>
          <w:tcPr>
            <w:tcW w:w="3832" w:type="dxa"/>
            <w:tcBorders/>
            <w:shd w:fill="FFFFFF" w:val="clear"/>
            <w:vAlign w:val="center"/>
          </w:tcPr>
          <w:p>
            <w:pPr>
              <w:pStyle w:val="TableContents"/>
              <w:bidi w:val="0"/>
              <w:spacing w:before="0" w:after="283"/>
              <w:jc w:val="left"/>
              <w:rPr>
                <w:sz w:val="4"/>
                <w:szCs w:val="4"/>
              </w:rPr>
            </w:pPr>
            <w:r>
              <w:rPr>
                <w:sz w:val="4"/>
                <w:szCs w:val="4"/>
              </w:rPr>
            </w:r>
          </w:p>
        </w:tc>
        <w:tc>
          <w:tcPr>
            <w:tcW w:w="1205"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Pension Benefits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93"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Other </w:t>
              <w:br/>
              <w:t>‎Post-retirement Benefits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05"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Pension Benefits</w:t>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843"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Other </w:t>
              <w:br/>
              <w:t>‎Post-retirement Benefits</w:t>
            </w:r>
          </w:p>
        </w:tc>
      </w:tr>
      <w:tr>
        <w:trPr/>
        <w:tc>
          <w:tcPr>
            <w:tcW w:w="3832" w:type="dxa"/>
            <w:tcBorders/>
            <w:shd w:fill="FFFFFF" w:val="clear"/>
            <w:vAlign w:val="center"/>
          </w:tcPr>
          <w:p>
            <w:pPr>
              <w:pStyle w:val="TableContents"/>
              <w:bidi w:val="0"/>
              <w:spacing w:lineRule="auto" w:line="259" w:before="0" w:after="1"/>
              <w:jc w:val="left"/>
              <w:rPr>
                <w:rFonts w:ascii="Times New Roman;serif" w:hAnsi="Times New Roman;serif"/>
                <w:b w:val="false"/>
                <w:i/>
                <w:color w:val="000000"/>
                <w:sz w:val="22"/>
              </w:rPr>
            </w:pPr>
            <w:r>
              <w:rPr>
                <w:rFonts w:ascii="Times New Roman;serif" w:hAnsi="Times New Roman;serif"/>
                <w:b w:val="false"/>
                <w:i/>
                <w:color w:val="000000"/>
                <w:sz w:val="22"/>
              </w:rPr>
              <w:t>Selected information for plans with projected benefit obligation in excess of plan assets:</w:t>
            </w:r>
          </w:p>
        </w:tc>
        <w:tc>
          <w:tcPr>
            <w:tcW w:w="27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37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43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3832"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Projected benefit obligation</w:t>
            </w:r>
          </w:p>
        </w:tc>
        <w:tc>
          <w:tcPr>
            <w:tcW w:w="279"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26"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17,858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378"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26"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17,720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43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N/A</w:t>
            </w:r>
          </w:p>
        </w:tc>
      </w:tr>
      <w:tr>
        <w:trPr/>
        <w:tc>
          <w:tcPr>
            <w:tcW w:w="3832"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Fair value of plan assets</w:t>
            </w:r>
          </w:p>
        </w:tc>
        <w:tc>
          <w:tcPr>
            <w:tcW w:w="279"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26"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378"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N/A</w:t>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26"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43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N/A</w:t>
            </w:r>
          </w:p>
        </w:tc>
      </w:tr>
      <w:tr>
        <w:trPr/>
        <w:tc>
          <w:tcPr>
            <w:tcW w:w="3832" w:type="dxa"/>
            <w:tcBorders/>
            <w:vAlign w:val="center"/>
          </w:tcPr>
          <w:p>
            <w:pPr>
              <w:pStyle w:val="TableContents"/>
              <w:bidi w:val="0"/>
              <w:spacing w:lineRule="auto" w:line="259" w:before="0" w:after="1"/>
              <w:jc w:val="left"/>
              <w:rPr>
                <w:rFonts w:ascii="Times New Roman;serif" w:hAnsi="Times New Roman;serif"/>
                <w:b w:val="false"/>
                <w:i/>
                <w:color w:val="000000"/>
                <w:sz w:val="22"/>
              </w:rPr>
            </w:pPr>
            <w:r>
              <w:rPr>
                <w:rFonts w:ascii="Times New Roman;serif" w:hAnsi="Times New Roman;serif"/>
                <w:b w:val="false"/>
                <w:i/>
                <w:color w:val="000000"/>
                <w:sz w:val="22"/>
              </w:rPr>
              <w:t>Selected information for plans with accumulated benefit obligation in excess of plan assets:</w:t>
            </w:r>
          </w:p>
        </w:tc>
        <w:tc>
          <w:tcPr>
            <w:tcW w:w="27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3832"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Accumulated benefit obligation</w:t>
            </w:r>
          </w:p>
        </w:tc>
        <w:tc>
          <w:tcPr>
            <w:tcW w:w="279"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26"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15,352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15"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37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30,072</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79"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26"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14,843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07"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436"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35,154</w:t>
            </w:r>
          </w:p>
        </w:tc>
      </w:tr>
      <w:tr>
        <w:trPr/>
        <w:tc>
          <w:tcPr>
            <w:tcW w:w="3832"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Fair value of plan assets</w:t>
            </w:r>
          </w:p>
        </w:tc>
        <w:tc>
          <w:tcPr>
            <w:tcW w:w="279"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26"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37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13,507</w:t>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26"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436"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11,957</w:t>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provides the components of net periodic benefit costs for the years ended December 31:</w:t>
      </w:r>
    </w:p>
    <w:tbl>
      <w:tblPr>
        <w:tblW w:w="10205" w:type="dxa"/>
        <w:jc w:val="left"/>
        <w:tblInd w:w="0" w:type="dxa"/>
        <w:tblLayout w:type="fixed"/>
        <w:tblCellMar>
          <w:top w:w="0" w:type="dxa"/>
          <w:left w:w="0" w:type="dxa"/>
          <w:bottom w:w="0" w:type="dxa"/>
          <w:right w:w="0" w:type="dxa"/>
        </w:tblCellMar>
      </w:tblPr>
      <w:tblGrid>
        <w:gridCol w:w="3623"/>
        <w:gridCol w:w="226"/>
        <w:gridCol w:w="905"/>
        <w:gridCol w:w="226"/>
        <w:gridCol w:w="905"/>
        <w:gridCol w:w="226"/>
        <w:gridCol w:w="905"/>
        <w:gridCol w:w="109"/>
        <w:gridCol w:w="226"/>
        <w:gridCol w:w="785"/>
        <w:gridCol w:w="226"/>
        <w:gridCol w:w="785"/>
        <w:gridCol w:w="226"/>
        <w:gridCol w:w="832"/>
      </w:tblGrid>
      <w:tr>
        <w:trPr/>
        <w:tc>
          <w:tcPr>
            <w:tcW w:w="3623"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05"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05"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0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before="0" w:after="283"/>
              <w:jc w:val="left"/>
              <w:rPr>
                <w:sz w:val="4"/>
                <w:szCs w:val="4"/>
              </w:rPr>
            </w:pPr>
            <w:r>
              <w:rPr>
                <w:sz w:val="4"/>
                <w:szCs w:val="4"/>
              </w:rPr>
            </w:r>
          </w:p>
        </w:tc>
      </w:tr>
      <w:tr>
        <w:trPr/>
        <w:tc>
          <w:tcPr>
            <w:tcW w:w="3623"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05"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05"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0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85"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832" w:type="dxa"/>
            <w:tcBorders/>
            <w:shd w:fill="FFFFFF" w:val="clear"/>
            <w:vAlign w:val="center"/>
          </w:tcPr>
          <w:p>
            <w:pPr>
              <w:pStyle w:val="TableContents"/>
              <w:bidi w:val="0"/>
              <w:spacing w:before="0" w:after="283"/>
              <w:jc w:val="left"/>
              <w:rPr>
                <w:sz w:val="4"/>
                <w:szCs w:val="4"/>
              </w:rPr>
            </w:pPr>
            <w:r>
              <w:rPr>
                <w:sz w:val="4"/>
                <w:szCs w:val="4"/>
              </w:rPr>
            </w:r>
          </w:p>
        </w:tc>
      </w:tr>
      <w:tr>
        <w:trPr/>
        <w:tc>
          <w:tcPr>
            <w:tcW w:w="3623" w:type="dxa"/>
            <w:tcBorders/>
            <w:shd w:fill="FFFFFF" w:val="clear"/>
            <w:vAlign w:val="center"/>
          </w:tcPr>
          <w:p>
            <w:pPr>
              <w:pStyle w:val="TableContents"/>
              <w:bidi w:val="0"/>
              <w:spacing w:before="0" w:after="283"/>
              <w:jc w:val="left"/>
              <w:rPr>
                <w:sz w:val="4"/>
                <w:szCs w:val="4"/>
              </w:rPr>
            </w:pPr>
            <w:r>
              <w:rPr>
                <w:sz w:val="4"/>
                <w:szCs w:val="4"/>
              </w:rPr>
            </w:r>
          </w:p>
        </w:tc>
        <w:tc>
          <w:tcPr>
            <w:tcW w:w="3393" w:type="dxa"/>
            <w:gridSpan w:val="6"/>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Pension Benefits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080" w:type="dxa"/>
            <w:gridSpan w:val="6"/>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Post-retirement Benefits</w:t>
            </w:r>
          </w:p>
        </w:tc>
      </w:tr>
      <w:tr>
        <w:trPr/>
        <w:tc>
          <w:tcPr>
            <w:tcW w:w="3623"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0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832"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3623"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Service cost</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05"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1,429</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05"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1,507</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05"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2,587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85"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1,453</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85"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1,347</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32"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1,911</w:t>
            </w:r>
          </w:p>
        </w:tc>
      </w:tr>
      <w:tr>
        <w:trPr/>
        <w:tc>
          <w:tcPr>
            <w:tcW w:w="3623"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Interest cost</w:t>
            </w:r>
          </w:p>
        </w:tc>
        <w:tc>
          <w:tcPr>
            <w:tcW w:w="22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15,632</w:t>
            </w:r>
          </w:p>
        </w:tc>
        <w:tc>
          <w:tcPr>
            <w:tcW w:w="22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16,007</w:t>
            </w:r>
          </w:p>
        </w:tc>
        <w:tc>
          <w:tcPr>
            <w:tcW w:w="22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13,806</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4,450</w:t>
            </w:r>
          </w:p>
        </w:tc>
        <w:tc>
          <w:tcPr>
            <w:tcW w:w="22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4,476</w:t>
            </w:r>
          </w:p>
        </w:tc>
        <w:tc>
          <w:tcPr>
            <w:tcW w:w="22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3,369</w:t>
            </w:r>
          </w:p>
        </w:tc>
      </w:tr>
      <w:tr>
        <w:trPr/>
        <w:tc>
          <w:tcPr>
            <w:tcW w:w="3623"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Expected return on plan assets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(18,782)</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(22,223)</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(22,004)</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8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(4,420)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8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(4,372)</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(4,502)</w:t>
            </w:r>
          </w:p>
        </w:tc>
      </w:tr>
      <w:tr>
        <w:trPr/>
        <w:tc>
          <w:tcPr>
            <w:tcW w:w="3623"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Amortization of prior service cost (credit)</w:t>
            </w:r>
          </w:p>
        </w:tc>
        <w:tc>
          <w:tcPr>
            <w:tcW w:w="22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325</w:t>
            </w:r>
          </w:p>
        </w:tc>
        <w:tc>
          <w:tcPr>
            <w:tcW w:w="22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684</w:t>
            </w:r>
          </w:p>
        </w:tc>
        <w:tc>
          <w:tcPr>
            <w:tcW w:w="226"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536</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3623"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Amortization of actuarial loss (gain)</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3,003</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2,962</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0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2,043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8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(1,068)</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785"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(1,317)</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83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(1,336)</w:t>
            </w:r>
          </w:p>
        </w:tc>
      </w:tr>
      <w:tr>
        <w:trPr/>
        <w:tc>
          <w:tcPr>
            <w:tcW w:w="3623"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Net periodic benefit cost/(credit)</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0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1,607</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0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(1,063)</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0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(3,032)</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8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415</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85"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134</w:t>
            </w:r>
          </w:p>
        </w:tc>
        <w:tc>
          <w:tcPr>
            <w:tcW w:w="2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832"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(558)</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Company records the underfunded/overfunded status of its pension and other post-retirement benefit plans on its consolidated balance sheets and records a regulatory asset/liability for these costs that would otherwise be charged to stockholders’ equity, as the Company anticipates recoverability of the costs through customer rates to be probable. Changes in the plans’ funded status will affect the assets and liabilities recorded on the balance sheet. Due to the Company’s regulatory treatment, the recognition of the funded status is recorded as a regulatory asset pursuant to the FASB’s accounting guidance for regulated operations.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provides the amounts recognized in regulatory assets and regulatory liabilities that have not been recognized as components of net periodic benefit cost as of December 31:</w:t>
      </w:r>
    </w:p>
    <w:tbl>
      <w:tblPr>
        <w:tblW w:w="9223" w:type="dxa"/>
        <w:jc w:val="left"/>
        <w:tblInd w:w="0" w:type="dxa"/>
        <w:tblLayout w:type="fixed"/>
        <w:tblCellMar>
          <w:top w:w="0" w:type="dxa"/>
          <w:left w:w="0" w:type="dxa"/>
          <w:bottom w:w="0" w:type="dxa"/>
          <w:right w:w="0" w:type="dxa"/>
        </w:tblCellMar>
      </w:tblPr>
      <w:tblGrid>
        <w:gridCol w:w="3556"/>
        <w:gridCol w:w="226"/>
        <w:gridCol w:w="766"/>
        <w:gridCol w:w="226"/>
        <w:gridCol w:w="766"/>
        <w:gridCol w:w="109"/>
        <w:gridCol w:w="448"/>
        <w:gridCol w:w="1718"/>
        <w:gridCol w:w="448"/>
        <w:gridCol w:w="120"/>
        <w:gridCol w:w="840"/>
      </w:tblGrid>
      <w:tr>
        <w:trPr/>
        <w:tc>
          <w:tcPr>
            <w:tcW w:w="355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48" w:type="dxa"/>
            <w:tcBorders/>
            <w:shd w:fill="FFFFFF" w:val="clear"/>
            <w:vAlign w:val="center"/>
          </w:tcPr>
          <w:p>
            <w:pPr>
              <w:pStyle w:val="TableContents"/>
              <w:bidi w:val="0"/>
              <w:spacing w:before="0" w:after="283"/>
              <w:jc w:val="left"/>
              <w:rPr>
                <w:sz w:val="4"/>
                <w:szCs w:val="4"/>
              </w:rPr>
            </w:pPr>
            <w:r>
              <w:rPr>
                <w:sz w:val="4"/>
                <w:szCs w:val="4"/>
              </w:rPr>
            </w:r>
          </w:p>
        </w:tc>
        <w:tc>
          <w:tcPr>
            <w:tcW w:w="1718" w:type="dxa"/>
            <w:tcBorders/>
            <w:shd w:fill="FFFFFF" w:val="cle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vAlign w:val="center"/>
          </w:tcPr>
          <w:p>
            <w:pPr>
              <w:pStyle w:val="TableContents"/>
              <w:bidi w:val="0"/>
              <w:spacing w:before="0" w:after="283"/>
              <w:jc w:val="left"/>
              <w:rPr>
                <w:sz w:val="4"/>
                <w:szCs w:val="4"/>
              </w:rPr>
            </w:pPr>
            <w:r>
              <w:rPr>
                <w:sz w:val="4"/>
                <w:szCs w:val="4"/>
              </w:rPr>
            </w:r>
          </w:p>
        </w:tc>
        <w:tc>
          <w:tcPr>
            <w:tcW w:w="840" w:type="dxa"/>
            <w:tcBorders/>
            <w:shd w:fill="FFFFFF" w:val="clear"/>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76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48" w:type="dxa"/>
            <w:tcBorders/>
            <w:shd w:fill="FFFFFF" w:val="clear"/>
            <w:vAlign w:val="center"/>
          </w:tcPr>
          <w:p>
            <w:pPr>
              <w:pStyle w:val="TableContents"/>
              <w:bidi w:val="0"/>
              <w:spacing w:before="0" w:after="283"/>
              <w:jc w:val="left"/>
              <w:rPr>
                <w:sz w:val="4"/>
                <w:szCs w:val="4"/>
              </w:rPr>
            </w:pPr>
            <w:r>
              <w:rPr>
                <w:sz w:val="4"/>
                <w:szCs w:val="4"/>
              </w:rPr>
            </w:r>
          </w:p>
        </w:tc>
        <w:tc>
          <w:tcPr>
            <w:tcW w:w="1718" w:type="dxa"/>
            <w:tcBorders/>
            <w:shd w:fill="FFFFFF" w:val="clear"/>
            <w:vAlign w:val="center"/>
          </w:tcPr>
          <w:p>
            <w:pPr>
              <w:pStyle w:val="TableContents"/>
              <w:bidi w:val="0"/>
              <w:spacing w:before="0" w:after="283"/>
              <w:jc w:val="left"/>
              <w:rPr>
                <w:sz w:val="4"/>
                <w:szCs w:val="4"/>
              </w:rPr>
            </w:pPr>
            <w:r>
              <w:rPr>
                <w:sz w:val="4"/>
                <w:szCs w:val="4"/>
              </w:rPr>
            </w:r>
          </w:p>
        </w:tc>
        <w:tc>
          <w:tcPr>
            <w:tcW w:w="568" w:type="dxa"/>
            <w:gridSpan w:val="2"/>
            <w:tcBorders/>
            <w:shd w:fill="FFFFFF" w:val="clear"/>
            <w:vAlign w:val="center"/>
          </w:tcPr>
          <w:p>
            <w:pPr>
              <w:pStyle w:val="TableContents"/>
              <w:bidi w:val="0"/>
              <w:spacing w:before="0" w:after="283"/>
              <w:jc w:val="left"/>
              <w:rPr>
                <w:sz w:val="4"/>
                <w:szCs w:val="4"/>
              </w:rPr>
            </w:pPr>
            <w:r>
              <w:rPr>
                <w:sz w:val="4"/>
                <w:szCs w:val="4"/>
              </w:rPr>
            </w:r>
          </w:p>
        </w:tc>
        <w:tc>
          <w:tcPr>
            <w:tcW w:w="840" w:type="dxa"/>
            <w:tcBorders/>
            <w:shd w:fill="FFFFFF" w:val="clear"/>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left"/>
              <w:rPr>
                <w:sz w:val="4"/>
                <w:szCs w:val="4"/>
              </w:rPr>
            </w:pPr>
            <w:r>
              <w:rPr>
                <w:sz w:val="4"/>
                <w:szCs w:val="4"/>
              </w:rPr>
            </w:r>
          </w:p>
        </w:tc>
        <w:tc>
          <w:tcPr>
            <w:tcW w:w="1984"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Pension Benefits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74" w:type="dxa"/>
            <w:gridSpan w:val="5"/>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Post-retirement Benefits</w:t>
            </w:r>
          </w:p>
        </w:tc>
      </w:tr>
      <w:tr>
        <w:trPr/>
        <w:tc>
          <w:tcPr>
            <w:tcW w:w="355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6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66"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1408" w:type="dxa"/>
            <w:gridSpan w:val="3"/>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r>
      <w:tr>
        <w:trPr/>
        <w:tc>
          <w:tcPr>
            <w:tcW w:w="35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Net actuarial loss (gain)</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92,190</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6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84,030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71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(24,504)</w:t>
            </w:r>
          </w:p>
        </w:tc>
        <w:tc>
          <w:tcPr>
            <w:tcW w:w="44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60" w:type="dxa"/>
            <w:gridSpan w:val="2"/>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(21,257)</w:t>
            </w:r>
          </w:p>
        </w:tc>
      </w:tr>
      <w:tr>
        <w:trPr/>
        <w:tc>
          <w:tcPr>
            <w:tcW w:w="355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Prior service cost (credit)</w:t>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1,540</w:t>
            </w:r>
          </w:p>
        </w:tc>
        <w:tc>
          <w:tcPr>
            <w:tcW w:w="22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1,866</w:t>
            </w:r>
          </w:p>
        </w:tc>
        <w:tc>
          <w:tcPr>
            <w:tcW w:w="109"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448" w:type="dxa"/>
            <w:tcBorders/>
            <w:vAlign w:val="center"/>
          </w:tcPr>
          <w:p>
            <w:pPr>
              <w:pStyle w:val="TableContents"/>
              <w:bidi w:val="0"/>
              <w:spacing w:before="0" w:after="283"/>
              <w:jc w:val="left"/>
              <w:rPr>
                <w:sz w:val="4"/>
                <w:szCs w:val="4"/>
              </w:rPr>
            </w:pPr>
            <w:r>
              <w:rPr>
                <w:sz w:val="4"/>
                <w:szCs w:val="4"/>
              </w:rPr>
            </w:r>
          </w:p>
        </w:tc>
        <w:tc>
          <w:tcPr>
            <w:tcW w:w="960" w:type="dxa"/>
            <w:gridSpan w:val="2"/>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355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recognized in regulatory assets</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6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93,730</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76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85,896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44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71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(24,504)</w:t>
            </w:r>
          </w:p>
        </w:tc>
        <w:tc>
          <w:tcPr>
            <w:tcW w:w="44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60" w:type="dxa"/>
            <w:gridSpan w:val="2"/>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(21,257)</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Accounting for pensions and other post-retirement benefits requires an extensive use of assumptions about the discount rate, expected return on plan assets, the rate of future compensation increases received by the Company’s employees, mortality, turnover and medical costs. Each assumption is reviewed annually with assistance from the Company’s actuarial consultant who provides guidance in establishing the assumptions. The assumptions are selected to represent the average expected experience over time and may differ in any one year from actual experience due to changes in capital markets and the overall economy. These differences will impact the amount of pension and other post-retirement benefit expense that the Company recognizes.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significant assumptions related to the Company’s benefit obligations are as follows:</w:t>
      </w:r>
    </w:p>
    <w:tbl>
      <w:tblPr>
        <w:tblW w:w="10205" w:type="dxa"/>
        <w:jc w:val="left"/>
        <w:tblInd w:w="0" w:type="dxa"/>
        <w:tblLayout w:type="fixed"/>
        <w:tblCellMar>
          <w:top w:w="0" w:type="dxa"/>
          <w:left w:w="0" w:type="dxa"/>
          <w:bottom w:w="0" w:type="dxa"/>
          <w:right w:w="0" w:type="dxa"/>
        </w:tblCellMar>
      </w:tblPr>
      <w:tblGrid>
        <w:gridCol w:w="6090"/>
        <w:gridCol w:w="810"/>
        <w:gridCol w:w="810"/>
        <w:gridCol w:w="109"/>
        <w:gridCol w:w="1166"/>
        <w:gridCol w:w="1220"/>
      </w:tblGrid>
      <w:tr>
        <w:trPr/>
        <w:tc>
          <w:tcPr>
            <w:tcW w:w="6090" w:type="dxa"/>
            <w:tcBorders/>
            <w:shd w:fill="FFFFFF" w:val="clear"/>
            <w:vAlign w:val="center"/>
          </w:tcPr>
          <w:p>
            <w:pPr>
              <w:pStyle w:val="TableContents"/>
              <w:bidi w:val="0"/>
              <w:spacing w:before="0" w:after="283"/>
              <w:jc w:val="left"/>
              <w:rPr>
                <w:sz w:val="4"/>
                <w:szCs w:val="4"/>
              </w:rPr>
            </w:pPr>
            <w:r>
              <w:rPr>
                <w:sz w:val="4"/>
                <w:szCs w:val="4"/>
              </w:rPr>
            </w:r>
          </w:p>
        </w:tc>
        <w:tc>
          <w:tcPr>
            <w:tcW w:w="810" w:type="dxa"/>
            <w:tcBorders/>
            <w:shd w:fill="FFFFFF" w:val="clear"/>
            <w:vAlign w:val="center"/>
          </w:tcPr>
          <w:p>
            <w:pPr>
              <w:pStyle w:val="TableContents"/>
              <w:bidi w:val="0"/>
              <w:spacing w:before="0" w:after="283"/>
              <w:jc w:val="left"/>
              <w:rPr>
                <w:sz w:val="4"/>
                <w:szCs w:val="4"/>
              </w:rPr>
            </w:pPr>
            <w:r>
              <w:rPr>
                <w:sz w:val="4"/>
                <w:szCs w:val="4"/>
              </w:rPr>
            </w:r>
          </w:p>
        </w:tc>
        <w:tc>
          <w:tcPr>
            <w:tcW w:w="81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6" w:type="dxa"/>
            <w:tcBorders/>
            <w:shd w:fill="FFFFFF" w:val="clear"/>
            <w:vAlign w:val="center"/>
          </w:tcPr>
          <w:p>
            <w:pPr>
              <w:pStyle w:val="TableContents"/>
              <w:bidi w:val="0"/>
              <w:spacing w:before="0" w:after="283"/>
              <w:jc w:val="left"/>
              <w:rPr>
                <w:sz w:val="4"/>
                <w:szCs w:val="4"/>
              </w:rPr>
            </w:pPr>
            <w:r>
              <w:rPr>
                <w:sz w:val="4"/>
                <w:szCs w:val="4"/>
              </w:rPr>
            </w:r>
          </w:p>
        </w:tc>
        <w:tc>
          <w:tcPr>
            <w:tcW w:w="1220" w:type="dxa"/>
            <w:tcBorders/>
            <w:shd w:fill="FFFFFF" w:val="clear"/>
            <w:vAlign w:val="center"/>
          </w:tcPr>
          <w:p>
            <w:pPr>
              <w:pStyle w:val="TableContents"/>
              <w:bidi w:val="0"/>
              <w:spacing w:before="0" w:after="283"/>
              <w:jc w:val="left"/>
              <w:rPr>
                <w:sz w:val="4"/>
                <w:szCs w:val="4"/>
              </w:rPr>
            </w:pPr>
            <w:r>
              <w:rPr>
                <w:sz w:val="4"/>
                <w:szCs w:val="4"/>
              </w:rPr>
            </w:r>
          </w:p>
        </w:tc>
      </w:tr>
      <w:tr>
        <w:trPr/>
        <w:tc>
          <w:tcPr>
            <w:tcW w:w="6090" w:type="dxa"/>
            <w:tcBorders/>
            <w:shd w:fill="FFFFFF" w:val="clear"/>
            <w:vAlign w:val="center"/>
          </w:tcPr>
          <w:p>
            <w:pPr>
              <w:pStyle w:val="TableContents"/>
              <w:bidi w:val="0"/>
              <w:spacing w:before="0" w:after="283"/>
              <w:jc w:val="left"/>
              <w:rPr>
                <w:sz w:val="4"/>
                <w:szCs w:val="4"/>
              </w:rPr>
            </w:pPr>
            <w:r>
              <w:rPr>
                <w:sz w:val="4"/>
                <w:szCs w:val="4"/>
              </w:rPr>
            </w:r>
          </w:p>
        </w:tc>
        <w:tc>
          <w:tcPr>
            <w:tcW w:w="810" w:type="dxa"/>
            <w:tcBorders/>
            <w:shd w:fill="FFFFFF" w:val="clear"/>
            <w:vAlign w:val="center"/>
          </w:tcPr>
          <w:p>
            <w:pPr>
              <w:pStyle w:val="TableContents"/>
              <w:bidi w:val="0"/>
              <w:spacing w:before="0" w:after="283"/>
              <w:jc w:val="left"/>
              <w:rPr>
                <w:sz w:val="4"/>
                <w:szCs w:val="4"/>
              </w:rPr>
            </w:pPr>
            <w:r>
              <w:rPr>
                <w:sz w:val="4"/>
                <w:szCs w:val="4"/>
              </w:rPr>
            </w:r>
          </w:p>
        </w:tc>
        <w:tc>
          <w:tcPr>
            <w:tcW w:w="81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6" w:type="dxa"/>
            <w:tcBorders/>
            <w:shd w:fill="FFFFFF" w:val="clear"/>
            <w:vAlign w:val="center"/>
          </w:tcPr>
          <w:p>
            <w:pPr>
              <w:pStyle w:val="TableContents"/>
              <w:bidi w:val="0"/>
              <w:spacing w:before="0" w:after="283"/>
              <w:jc w:val="left"/>
              <w:rPr>
                <w:sz w:val="4"/>
                <w:szCs w:val="4"/>
              </w:rPr>
            </w:pPr>
            <w:r>
              <w:rPr>
                <w:sz w:val="4"/>
                <w:szCs w:val="4"/>
              </w:rPr>
            </w:r>
          </w:p>
        </w:tc>
        <w:tc>
          <w:tcPr>
            <w:tcW w:w="1220" w:type="dxa"/>
            <w:tcBorders/>
            <w:shd w:fill="FFFFFF" w:val="clear"/>
            <w:vAlign w:val="center"/>
          </w:tcPr>
          <w:p>
            <w:pPr>
              <w:pStyle w:val="TableContents"/>
              <w:bidi w:val="0"/>
              <w:spacing w:before="0" w:after="283"/>
              <w:jc w:val="left"/>
              <w:rPr>
                <w:sz w:val="4"/>
                <w:szCs w:val="4"/>
              </w:rPr>
            </w:pPr>
            <w:r>
              <w:rPr>
                <w:sz w:val="4"/>
                <w:szCs w:val="4"/>
              </w:rPr>
            </w:r>
          </w:p>
        </w:tc>
      </w:tr>
      <w:tr>
        <w:trPr/>
        <w:tc>
          <w:tcPr>
            <w:tcW w:w="6090" w:type="dxa"/>
            <w:tcBorders/>
            <w:shd w:fill="FFFFFF" w:val="clear"/>
            <w:vAlign w:val="center"/>
          </w:tcPr>
          <w:p>
            <w:pPr>
              <w:pStyle w:val="TableContents"/>
              <w:bidi w:val="0"/>
              <w:spacing w:before="0" w:after="283"/>
              <w:jc w:val="left"/>
              <w:rPr>
                <w:sz w:val="4"/>
                <w:szCs w:val="4"/>
              </w:rPr>
            </w:pPr>
            <w:r>
              <w:rPr>
                <w:sz w:val="4"/>
                <w:szCs w:val="4"/>
              </w:rPr>
            </w:r>
          </w:p>
        </w:tc>
        <w:tc>
          <w:tcPr>
            <w:tcW w:w="1620"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Pension Benefits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386"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Post-retirement Benefits</w:t>
            </w:r>
          </w:p>
        </w:tc>
      </w:tr>
      <w:tr>
        <w:trPr/>
        <w:tc>
          <w:tcPr>
            <w:tcW w:w="6090" w:type="dxa"/>
            <w:tcBorders/>
            <w:shd w:fill="FFFFFF" w:val="cle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81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122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r>
      <w:tr>
        <w:trPr/>
        <w:tc>
          <w:tcPr>
            <w:tcW w:w="609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Weighted Average Assumptions Used to Determine Benefit Obligations as of December 31,</w:t>
            </w:r>
          </w:p>
        </w:tc>
        <w:tc>
          <w:tcPr>
            <w:tcW w:w="810"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10"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6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20"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6090"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Discount rate</w:t>
            </w:r>
          </w:p>
        </w:tc>
        <w:tc>
          <w:tcPr>
            <w:tcW w:w="81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5.64%</w:t>
            </w:r>
          </w:p>
        </w:tc>
        <w:tc>
          <w:tcPr>
            <w:tcW w:w="81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5.65%</w:t>
            </w:r>
          </w:p>
        </w:tc>
        <w:tc>
          <w:tcPr>
            <w:tcW w:w="122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5.09%</w:t>
            </w:r>
          </w:p>
        </w:tc>
      </w:tr>
      <w:tr>
        <w:trPr/>
        <w:tc>
          <w:tcPr>
            <w:tcW w:w="6090"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Rate of compensation increase </w:t>
            </w:r>
          </w:p>
        </w:tc>
        <w:tc>
          <w:tcPr>
            <w:tcW w:w="81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3.0-4.0%</w:t>
            </w:r>
          </w:p>
        </w:tc>
        <w:tc>
          <w:tcPr>
            <w:tcW w:w="81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3.0-4.0%</w:t>
            </w:r>
          </w:p>
        </w:tc>
        <w:tc>
          <w:tcPr>
            <w:tcW w:w="10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n/a</w:t>
            </w:r>
          </w:p>
        </w:tc>
        <w:tc>
          <w:tcPr>
            <w:tcW w:w="122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n/a</w:t>
            </w:r>
          </w:p>
        </w:tc>
      </w:tr>
      <w:tr>
        <w:trPr/>
        <w:tc>
          <w:tcPr>
            <w:tcW w:w="609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6090"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Assumed Health Care Cost Trend Rates Used to Determine Benefit Obligations as of December 31,</w:t>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6090"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Health care cost trend rate</w:t>
            </w:r>
          </w:p>
        </w:tc>
        <w:tc>
          <w:tcPr>
            <w:tcW w:w="81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n/a</w:t>
            </w:r>
          </w:p>
        </w:tc>
        <w:tc>
          <w:tcPr>
            <w:tcW w:w="81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6.50%</w:t>
            </w:r>
          </w:p>
        </w:tc>
        <w:tc>
          <w:tcPr>
            <w:tcW w:w="122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6.25%</w:t>
            </w:r>
          </w:p>
        </w:tc>
      </w:tr>
      <w:tr>
        <w:trPr/>
        <w:tc>
          <w:tcPr>
            <w:tcW w:w="6090"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Rate to which the cost trend is assumed to decline (the ultimate trend rate)</w:t>
            </w:r>
          </w:p>
        </w:tc>
        <w:tc>
          <w:tcPr>
            <w:tcW w:w="81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n/a</w:t>
            </w:r>
          </w:p>
        </w:tc>
        <w:tc>
          <w:tcPr>
            <w:tcW w:w="81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n/a</w:t>
            </w:r>
          </w:p>
        </w:tc>
        <w:tc>
          <w:tcPr>
            <w:tcW w:w="109"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w:t>
            </w:r>
          </w:p>
        </w:tc>
        <w:tc>
          <w:tcPr>
            <w:tcW w:w="122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w:t>
            </w:r>
          </w:p>
        </w:tc>
      </w:tr>
      <w:tr>
        <w:trPr/>
        <w:tc>
          <w:tcPr>
            <w:tcW w:w="6090"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 that the rate reaches the ultimate trend rate</w:t>
            </w:r>
          </w:p>
        </w:tc>
        <w:tc>
          <w:tcPr>
            <w:tcW w:w="81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n/a</w:t>
            </w:r>
          </w:p>
        </w:tc>
        <w:tc>
          <w:tcPr>
            <w:tcW w:w="810"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116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2032</w:t>
            </w:r>
          </w:p>
        </w:tc>
        <w:tc>
          <w:tcPr>
            <w:tcW w:w="122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2029</w:t>
            </w:r>
          </w:p>
        </w:tc>
      </w:tr>
    </w:tbl>
    <w:p>
      <w:pPr>
        <w:pStyle w:val="TextBody"/>
        <w:bidi w:val="0"/>
        <w:spacing w:lineRule="auto" w:line="259"/>
        <w:rPr>
          <w:rFonts w:ascii="Times New Roman;serif" w:hAnsi="Times New Roman;serif"/>
          <w:b w:val="false"/>
          <w:i/>
          <w:sz w:val="16"/>
        </w:rPr>
      </w:pPr>
      <w:r>
        <w:rPr>
          <w:rFonts w:ascii="Times New Roman;serif" w:hAnsi="Times New Roman;serif"/>
          <w:b w:val="false"/>
          <w:i/>
          <w:sz w:val="16"/>
        </w:rPr>
        <w:t>n/a – Assumption is not applicable.</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significant assumptions related to the Company’s net periodic benefit costs are as follows:</w:t>
      </w:r>
    </w:p>
    <w:tbl>
      <w:tblPr>
        <w:tblW w:w="10205" w:type="dxa"/>
        <w:jc w:val="left"/>
        <w:tblInd w:w="0" w:type="dxa"/>
        <w:tblLayout w:type="fixed"/>
        <w:tblCellMar>
          <w:top w:w="0" w:type="dxa"/>
          <w:left w:w="0" w:type="dxa"/>
          <w:bottom w:w="0" w:type="dxa"/>
          <w:right w:w="0" w:type="dxa"/>
        </w:tblCellMar>
      </w:tblPr>
      <w:tblGrid>
        <w:gridCol w:w="5189"/>
        <w:gridCol w:w="691"/>
        <w:gridCol w:w="109"/>
        <w:gridCol w:w="706"/>
        <w:gridCol w:w="706"/>
        <w:gridCol w:w="109"/>
        <w:gridCol w:w="893"/>
        <w:gridCol w:w="893"/>
        <w:gridCol w:w="909"/>
      </w:tblGrid>
      <w:tr>
        <w:trPr/>
        <w:tc>
          <w:tcPr>
            <w:tcW w:w="518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before="0" w:after="283"/>
              <w:jc w:val="left"/>
              <w:rPr>
                <w:sz w:val="4"/>
                <w:szCs w:val="4"/>
              </w:rPr>
            </w:pPr>
            <w:r>
              <w:rPr>
                <w:sz w:val="4"/>
                <w:szCs w:val="4"/>
              </w:rPr>
            </w:r>
          </w:p>
        </w:tc>
        <w:tc>
          <w:tcPr>
            <w:tcW w:w="909" w:type="dxa"/>
            <w:tcBorders/>
            <w:shd w:fill="FFFFFF" w:val="clear"/>
            <w:vAlign w:val="center"/>
          </w:tcPr>
          <w:p>
            <w:pPr>
              <w:pStyle w:val="TableContents"/>
              <w:bidi w:val="0"/>
              <w:spacing w:before="0" w:after="283"/>
              <w:jc w:val="left"/>
              <w:rPr>
                <w:sz w:val="4"/>
                <w:szCs w:val="4"/>
              </w:rPr>
            </w:pPr>
            <w:r>
              <w:rPr>
                <w:sz w:val="4"/>
                <w:szCs w:val="4"/>
              </w:rPr>
            </w:r>
          </w:p>
        </w:tc>
      </w:tr>
      <w:tr>
        <w:trPr/>
        <w:tc>
          <w:tcPr>
            <w:tcW w:w="518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shd w:fill="FFFFFF" w:val="clear"/>
            <w:vAlign w:val="center"/>
          </w:tcPr>
          <w:p>
            <w:pPr>
              <w:pStyle w:val="TableContents"/>
              <w:bidi w:val="0"/>
              <w:spacing w:before="0" w:after="283"/>
              <w:jc w:val="left"/>
              <w:rPr>
                <w:sz w:val="4"/>
                <w:szCs w:val="4"/>
              </w:rPr>
            </w:pPr>
            <w:r>
              <w:rPr>
                <w:sz w:val="4"/>
                <w:szCs w:val="4"/>
              </w:rPr>
            </w:r>
          </w:p>
        </w:tc>
        <w:tc>
          <w:tcPr>
            <w:tcW w:w="909" w:type="dxa"/>
            <w:tcBorders/>
            <w:shd w:fill="FFFFFF" w:val="clear"/>
            <w:vAlign w:val="center"/>
          </w:tcPr>
          <w:p>
            <w:pPr>
              <w:pStyle w:val="TableContents"/>
              <w:bidi w:val="0"/>
              <w:spacing w:before="0" w:after="283"/>
              <w:jc w:val="left"/>
              <w:rPr>
                <w:sz w:val="4"/>
                <w:szCs w:val="4"/>
              </w:rPr>
            </w:pPr>
            <w:r>
              <w:rPr>
                <w:sz w:val="4"/>
                <w:szCs w:val="4"/>
              </w:rPr>
            </w:r>
          </w:p>
        </w:tc>
      </w:tr>
      <w:tr>
        <w:trPr/>
        <w:tc>
          <w:tcPr>
            <w:tcW w:w="5189" w:type="dxa"/>
            <w:tcBorders/>
            <w:shd w:fill="FFFFFF" w:val="clear"/>
            <w:vAlign w:val="center"/>
          </w:tcPr>
          <w:p>
            <w:pPr>
              <w:pStyle w:val="TableContents"/>
              <w:bidi w:val="0"/>
              <w:spacing w:before="0" w:after="283"/>
              <w:jc w:val="left"/>
              <w:rPr>
                <w:sz w:val="4"/>
                <w:szCs w:val="4"/>
              </w:rPr>
            </w:pPr>
            <w:r>
              <w:rPr>
                <w:sz w:val="4"/>
                <w:szCs w:val="4"/>
              </w:rPr>
            </w:r>
          </w:p>
        </w:tc>
        <w:tc>
          <w:tcPr>
            <w:tcW w:w="2212"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Pension Benefits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95" w:type="dxa"/>
            <w:gridSpan w:val="3"/>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Other Post-retirement Benefits</w:t>
            </w:r>
          </w:p>
        </w:tc>
      </w:tr>
      <w:tr>
        <w:trPr/>
        <w:tc>
          <w:tcPr>
            <w:tcW w:w="5189" w:type="dxa"/>
            <w:tcBorders/>
            <w:shd w:fill="FFFFFF" w:val="clear"/>
            <w:vAlign w:val="center"/>
          </w:tcPr>
          <w:p>
            <w:pPr>
              <w:pStyle w:val="TableContents"/>
              <w:bidi w:val="0"/>
              <w:spacing w:before="0" w:after="283"/>
              <w:jc w:val="left"/>
              <w:rPr>
                <w:sz w:val="4"/>
                <w:szCs w:val="4"/>
              </w:rPr>
            </w:pPr>
            <w:r>
              <w:rPr>
                <w:sz w:val="4"/>
                <w:szCs w:val="4"/>
              </w:rPr>
            </w:r>
          </w:p>
        </w:tc>
        <w:tc>
          <w:tcPr>
            <w:tcW w:w="69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2024</w:t>
            </w:r>
          </w:p>
        </w:tc>
        <w:tc>
          <w:tcPr>
            <w:tcW w:w="10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2023</w:t>
            </w:r>
          </w:p>
        </w:tc>
        <w:tc>
          <w:tcPr>
            <w:tcW w:w="70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2022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2024</w:t>
            </w:r>
          </w:p>
        </w:tc>
        <w:tc>
          <w:tcPr>
            <w:tcW w:w="89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2023</w:t>
            </w:r>
          </w:p>
        </w:tc>
        <w:tc>
          <w:tcPr>
            <w:tcW w:w="909"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2022</w:t>
            </w:r>
          </w:p>
        </w:tc>
      </w:tr>
      <w:tr>
        <w:trPr/>
        <w:tc>
          <w:tcPr>
            <w:tcW w:w="5189"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Weighted Average Assumptions Used to Determine Net Periodic Benefit Costs for Years Ended December 31,</w:t>
            </w:r>
          </w:p>
        </w:tc>
        <w:tc>
          <w:tcPr>
            <w:tcW w:w="69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0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89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90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5189"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Discount rate *</w:t>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5.17%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5.51%</w:t>
            </w:r>
          </w:p>
        </w:tc>
        <w:tc>
          <w:tcPr>
            <w:tcW w:w="70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2.91%</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5.09%</w:t>
            </w:r>
          </w:p>
        </w:tc>
        <w:tc>
          <w:tcPr>
            <w:tcW w:w="8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5.45%</w:t>
            </w:r>
          </w:p>
        </w:tc>
        <w:tc>
          <w:tcPr>
            <w:tcW w:w="90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2.96%</w:t>
            </w:r>
          </w:p>
        </w:tc>
      </w:tr>
      <w:tr>
        <w:trPr/>
        <w:tc>
          <w:tcPr>
            <w:tcW w:w="5189"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Expected return on plan assets</w:t>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6.20%</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6.80%</w:t>
            </w:r>
          </w:p>
        </w:tc>
        <w:tc>
          <w:tcPr>
            <w:tcW w:w="70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5.40%</w:t>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3.91%-6.2%</w:t>
            </w:r>
          </w:p>
        </w:tc>
        <w:tc>
          <w:tcPr>
            <w:tcW w:w="89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4.28%-6.8%</w:t>
            </w:r>
          </w:p>
        </w:tc>
        <w:tc>
          <w:tcPr>
            <w:tcW w:w="90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3.4%-5.4%</w:t>
            </w:r>
          </w:p>
        </w:tc>
      </w:tr>
      <w:tr>
        <w:trPr/>
        <w:tc>
          <w:tcPr>
            <w:tcW w:w="5189"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Rate of compensation increase</w:t>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3.0-4.0%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3.0-4.0%</w:t>
            </w:r>
          </w:p>
        </w:tc>
        <w:tc>
          <w:tcPr>
            <w:tcW w:w="70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3.0-4.0%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n/a</w:t>
            </w:r>
          </w:p>
        </w:tc>
        <w:tc>
          <w:tcPr>
            <w:tcW w:w="89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n/a</w:t>
            </w:r>
          </w:p>
        </w:tc>
        <w:tc>
          <w:tcPr>
            <w:tcW w:w="909"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n/a</w:t>
            </w:r>
          </w:p>
        </w:tc>
      </w:tr>
      <w:tr>
        <w:trPr/>
        <w:tc>
          <w:tcPr>
            <w:tcW w:w="51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r>
      <w:tr>
        <w:trPr/>
        <w:tc>
          <w:tcPr>
            <w:tcW w:w="518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Assumed Health Care Cost Trend Rates Used to Determine Net Periodic Benefit Costs for Years Ended December 31,</w:t>
            </w:r>
          </w:p>
        </w:tc>
        <w:tc>
          <w:tcPr>
            <w:tcW w:w="691"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before="0" w:after="283"/>
              <w:jc w:val="left"/>
              <w:rPr>
                <w:sz w:val="4"/>
                <w:szCs w:val="4"/>
              </w:rPr>
            </w:pPr>
            <w:r>
              <w:rPr>
                <w:sz w:val="4"/>
                <w:szCs w:val="4"/>
              </w:rPr>
            </w:r>
          </w:p>
        </w:tc>
        <w:tc>
          <w:tcPr>
            <w:tcW w:w="909" w:type="dxa"/>
            <w:tcBorders/>
            <w:shd w:fill="CCEEFF" w:val="clear"/>
            <w:vAlign w:val="center"/>
          </w:tcPr>
          <w:p>
            <w:pPr>
              <w:pStyle w:val="TableContents"/>
              <w:bidi w:val="0"/>
              <w:spacing w:before="0" w:after="283"/>
              <w:jc w:val="left"/>
              <w:rPr>
                <w:sz w:val="4"/>
                <w:szCs w:val="4"/>
              </w:rPr>
            </w:pPr>
            <w:r>
              <w:rPr>
                <w:sz w:val="4"/>
                <w:szCs w:val="4"/>
              </w:rPr>
            </w:r>
          </w:p>
        </w:tc>
      </w:tr>
      <w:tr>
        <w:trPr/>
        <w:tc>
          <w:tcPr>
            <w:tcW w:w="5189"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Health care cost trend rate</w:t>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n/a</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n/a</w:t>
            </w:r>
          </w:p>
        </w:tc>
        <w:tc>
          <w:tcPr>
            <w:tcW w:w="70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n/a</w:t>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6.25%</w:t>
            </w:r>
          </w:p>
        </w:tc>
        <w:tc>
          <w:tcPr>
            <w:tcW w:w="89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6.50%</w:t>
            </w:r>
          </w:p>
        </w:tc>
        <w:tc>
          <w:tcPr>
            <w:tcW w:w="90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6.3%</w:t>
            </w:r>
          </w:p>
        </w:tc>
      </w:tr>
      <w:tr>
        <w:trPr/>
        <w:tc>
          <w:tcPr>
            <w:tcW w:w="5189"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Rate to which the cost trend is assumed to decline (the ultimate trend rate)</w:t>
            </w:r>
          </w:p>
        </w:tc>
        <w:tc>
          <w:tcPr>
            <w:tcW w:w="69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70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n/a</w:t>
            </w:r>
          </w:p>
        </w:tc>
        <w:tc>
          <w:tcPr>
            <w:tcW w:w="706"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n/a</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893"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5.0%</w:t>
            </w:r>
          </w:p>
        </w:tc>
        <w:tc>
          <w:tcPr>
            <w:tcW w:w="8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5.0%</w:t>
            </w:r>
          </w:p>
        </w:tc>
        <w:tc>
          <w:tcPr>
            <w:tcW w:w="90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5.0%</w:t>
            </w:r>
          </w:p>
        </w:tc>
      </w:tr>
      <w:tr>
        <w:trPr/>
        <w:tc>
          <w:tcPr>
            <w:tcW w:w="5189"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Year that the rate reaches the ultimate trend rate</w:t>
            </w:r>
          </w:p>
        </w:tc>
        <w:tc>
          <w:tcPr>
            <w:tcW w:w="69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n/a</w:t>
            </w:r>
          </w:p>
        </w:tc>
        <w:tc>
          <w:tcPr>
            <w:tcW w:w="10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n/a</w:t>
            </w:r>
          </w:p>
        </w:tc>
        <w:tc>
          <w:tcPr>
            <w:tcW w:w="706"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n/a</w:t>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2029</w:t>
            </w:r>
          </w:p>
        </w:tc>
        <w:tc>
          <w:tcPr>
            <w:tcW w:w="89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2029</w:t>
            </w:r>
          </w:p>
        </w:tc>
        <w:tc>
          <w:tcPr>
            <w:tcW w:w="90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1"/>
              </w:rPr>
            </w:pPr>
            <w:r>
              <w:rPr>
                <w:rFonts w:ascii="Times New Roman;serif" w:hAnsi="Times New Roman;serif"/>
                <w:b w:val="false"/>
                <w:i w:val="false"/>
                <w:caps w:val="false"/>
                <w:smallCaps w:val="false"/>
                <w:color w:val="000000"/>
                <w:sz w:val="21"/>
              </w:rPr>
              <w:t>2027</w:t>
            </w:r>
          </w:p>
        </w:tc>
      </w:tr>
    </w:tbl>
    <w:p>
      <w:pPr>
        <w:pStyle w:val="TextBody"/>
        <w:bidi w:val="0"/>
        <w:spacing w:lineRule="auto" w:line="259"/>
        <w:rPr>
          <w:rFonts w:ascii="Times New Roman;serif" w:hAnsi="Times New Roman;serif"/>
          <w:sz w:val="16"/>
        </w:rPr>
      </w:pPr>
      <w:r>
        <w:rPr>
          <w:rFonts w:ascii="Times New Roman;serif" w:hAnsi="Times New Roman;serif"/>
          <w:b w:val="false"/>
          <w:i/>
          <w:sz w:val="16"/>
        </w:rPr>
        <w:t>n/a – Assumption is not applicable</w:t>
      </w:r>
      <w:r>
        <w:rPr>
          <w:rFonts w:ascii="Times New Roman;serif" w:hAnsi="Times New Roman;serif"/>
          <w:b w:val="false"/>
          <w:i w:val="false"/>
          <w:caps w:val="false"/>
          <w:smallCaps w:val="false"/>
          <w:sz w:val="16"/>
        </w:rPr>
        <w:t>.</w:t>
      </w:r>
    </w:p>
    <w:p>
      <w:pPr>
        <w:pStyle w:val="TextBody"/>
        <w:bidi w:val="0"/>
        <w:spacing w:lineRule="auto" w:line="259"/>
        <w:rPr>
          <w:rFonts w:ascii="Times New Roman;serif" w:hAnsi="Times New Roman;serif"/>
          <w:b w:val="false"/>
          <w:i/>
          <w:sz w:val="18"/>
        </w:rPr>
      </w:pPr>
      <w:r>
        <w:rPr>
          <w:rFonts w:ascii="Times New Roman;serif" w:hAnsi="Times New Roman;serif"/>
          <w:b w:val="false"/>
          <w:i/>
          <w:sz w:val="18"/>
        </w:rPr>
        <w:t>* In 2023 and 2022, the Company remeasured its qualified pension plan assets and liabilities in accordance with settlement accounting rules. The discount rate used for the remeasurement and for the calculation of the net periodic benefit cost for the remainder of the year in 2023 and 2022 was 5.20% and 5.58%, respectively.</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Company’s discount rate assumption, which is utilized to calculate the present value of the projected benefit payments of our post-retirement benefits, was determined by selecting a hypothetical portfolio of high-quality corporate bonds appropriate to match the projected benefit payments of the plans. The selected bond portfolio was derived from a universe of Aa-graded corporate bonds. The discount rate was then developed as the rate that equates the market value of the bonds purchased to the discounted value of the plan’s benefit payments. The Company’s pension expense and liability (benefit obligations) increases as the discount rate is reduced.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Company’s expected return on plan assets is determined by evaluating the asset class return expectations with its advisors as well as actual, long-term, historical results of our asset returns. The Company’s market related value of plan assets is equal to the fair value of the plan’s assets as of the last day of its fiscal year, and is a determinant for the expected return on plan assets which is a component of post-retirement benefits expense. The Company’s pension expense increases as the expected return on plan assets decreases. The Company believes its actual long-term asset allocation on average will approximate the targeted allocation. The Company’s investment strategy is to earn a reasonable rate of return while maintaining risk at acceptable levels. Risk is managed through fixed income investments to manage interest rate exposures that impact the valuation of liabilities and through the diversification of investments across and within various asset categories. Over time, as the plan’s funded status increases, the target allocation of return-seeking assets (e.g., equities and other instruments with a similar risk profile) may decline and the target allocation of liability-hedging assets (e.g., fixed income and other instruments with a similar risk profile) may increase. Investment returns are compared to a total plan benchmark constructed by applying the plan’s asset allocation target weightings to passive index returns representative of the respective asset classes in which the plan invests. The Retirement and Employee Benefits Committee meets quarterly to review plan investments and management monitors investment performance quarterly through a performance report prepared by an external consulting firm.</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target allocation by asset class as of December 31, 2024, along with the actual allocation of the Company’s pension plan assets, are as follows:</w:t>
      </w:r>
    </w:p>
    <w:tbl>
      <w:tblPr>
        <w:tblW w:w="8330" w:type="dxa"/>
        <w:jc w:val="left"/>
        <w:tblInd w:w="0" w:type="dxa"/>
        <w:tblLayout w:type="fixed"/>
        <w:tblCellMar>
          <w:top w:w="0" w:type="dxa"/>
          <w:left w:w="0" w:type="dxa"/>
          <w:bottom w:w="0" w:type="dxa"/>
          <w:right w:w="0" w:type="dxa"/>
        </w:tblCellMar>
      </w:tblPr>
      <w:tblGrid>
        <w:gridCol w:w="2326"/>
        <w:gridCol w:w="1741"/>
        <w:gridCol w:w="109"/>
        <w:gridCol w:w="2867"/>
        <w:gridCol w:w="532"/>
        <w:gridCol w:w="755"/>
      </w:tblGrid>
      <w:tr>
        <w:trPr/>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67" w:type="dxa"/>
            <w:tcBorders/>
            <w:shd w:fill="FFFFFF" w:val="clear"/>
            <w:vAlign w:val="center"/>
          </w:tcPr>
          <w:p>
            <w:pPr>
              <w:pStyle w:val="TableContents"/>
              <w:bidi w:val="0"/>
              <w:spacing w:before="0" w:after="283"/>
              <w:jc w:val="left"/>
              <w:rPr>
                <w:sz w:val="4"/>
                <w:szCs w:val="4"/>
              </w:rPr>
            </w:pPr>
            <w:r>
              <w:rPr>
                <w:sz w:val="4"/>
                <w:szCs w:val="4"/>
              </w:rPr>
            </w:r>
          </w:p>
        </w:tc>
        <w:tc>
          <w:tcPr>
            <w:tcW w:w="532" w:type="dxa"/>
            <w:tcBorders/>
            <w:shd w:fill="FFFFFF" w:val="clear"/>
            <w:vAlign w:val="center"/>
          </w:tcPr>
          <w:p>
            <w:pPr>
              <w:pStyle w:val="TableContents"/>
              <w:bidi w:val="0"/>
              <w:spacing w:before="0" w:after="283"/>
              <w:jc w:val="left"/>
              <w:rPr>
                <w:sz w:val="4"/>
                <w:szCs w:val="4"/>
              </w:rPr>
            </w:pPr>
            <w:r>
              <w:rPr>
                <w:sz w:val="4"/>
                <w:szCs w:val="4"/>
              </w:rPr>
            </w:r>
          </w:p>
        </w:tc>
        <w:tc>
          <w:tcPr>
            <w:tcW w:w="755" w:type="dxa"/>
            <w:tcBorders/>
            <w:shd w:fill="FFFFFF" w:val="clear"/>
            <w:vAlign w:val="center"/>
          </w:tcPr>
          <w:p>
            <w:pPr>
              <w:pStyle w:val="TableContents"/>
              <w:bidi w:val="0"/>
              <w:spacing w:before="0" w:after="283"/>
              <w:jc w:val="left"/>
              <w:rPr>
                <w:sz w:val="4"/>
                <w:szCs w:val="4"/>
              </w:rPr>
            </w:pPr>
            <w:r>
              <w:rPr>
                <w:sz w:val="4"/>
                <w:szCs w:val="4"/>
              </w:rPr>
            </w:r>
          </w:p>
        </w:tc>
      </w:tr>
      <w:tr>
        <w:trPr/>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4" w:type="dxa"/>
            <w:gridSpan w:val="3"/>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Percentage of Plan Assets at December 31,</w:t>
            </w:r>
          </w:p>
        </w:tc>
      </w:tr>
      <w:tr>
        <w:trPr/>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1741"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Target Allocation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6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2024</w:t>
            </w:r>
          </w:p>
        </w:tc>
        <w:tc>
          <w:tcPr>
            <w:tcW w:w="128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2023</w:t>
            </w:r>
          </w:p>
        </w:tc>
      </w:tr>
      <w:tr>
        <w:trPr/>
        <w:tc>
          <w:tcPr>
            <w:tcW w:w="23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Return seeking assets</w:t>
            </w:r>
          </w:p>
        </w:tc>
        <w:tc>
          <w:tcPr>
            <w:tcW w:w="174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20-40%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67"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39%</w:t>
            </w:r>
          </w:p>
        </w:tc>
        <w:tc>
          <w:tcPr>
            <w:tcW w:w="1287" w:type="dxa"/>
            <w:gridSpan w:val="2"/>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38%</w:t>
            </w:r>
          </w:p>
        </w:tc>
      </w:tr>
      <w:tr>
        <w:trPr/>
        <w:tc>
          <w:tcPr>
            <w:tcW w:w="23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Liability hedging assets</w:t>
            </w:r>
          </w:p>
        </w:tc>
        <w:tc>
          <w:tcPr>
            <w:tcW w:w="174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60-80%</w:t>
            </w:r>
          </w:p>
        </w:tc>
        <w:tc>
          <w:tcPr>
            <w:tcW w:w="109" w:type="dxa"/>
            <w:tcBorders/>
            <w:vAlign w:val="center"/>
          </w:tcPr>
          <w:p>
            <w:pPr>
              <w:pStyle w:val="TableContents"/>
              <w:bidi w:val="0"/>
              <w:spacing w:before="0" w:after="283"/>
              <w:jc w:val="left"/>
              <w:rPr>
                <w:sz w:val="4"/>
                <w:szCs w:val="4"/>
              </w:rPr>
            </w:pPr>
            <w:r>
              <w:rPr>
                <w:sz w:val="4"/>
                <w:szCs w:val="4"/>
              </w:rPr>
            </w:r>
          </w:p>
        </w:tc>
        <w:tc>
          <w:tcPr>
            <w:tcW w:w="2867"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61%</w:t>
            </w:r>
          </w:p>
        </w:tc>
        <w:tc>
          <w:tcPr>
            <w:tcW w:w="1287"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62%</w:t>
            </w:r>
          </w:p>
        </w:tc>
      </w:tr>
      <w:tr>
        <w:trPr/>
        <w:tc>
          <w:tcPr>
            <w:tcW w:w="23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Total</w:t>
            </w:r>
          </w:p>
        </w:tc>
        <w:tc>
          <w:tcPr>
            <w:tcW w:w="174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6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100%</w:t>
            </w:r>
          </w:p>
        </w:tc>
        <w:tc>
          <w:tcPr>
            <w:tcW w:w="1287" w:type="dxa"/>
            <w:gridSpan w:val="2"/>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100%</w:t>
            </w:r>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fair value of the Company’s pension plans’ assets at December 31, 2024 by asset class are as follows: </w:t>
      </w:r>
    </w:p>
    <w:tbl>
      <w:tblPr>
        <w:tblW w:w="9396" w:type="dxa"/>
        <w:jc w:val="left"/>
        <w:tblInd w:w="0" w:type="dxa"/>
        <w:tblLayout w:type="fixed"/>
        <w:tblCellMar>
          <w:top w:w="0" w:type="dxa"/>
          <w:left w:w="0" w:type="dxa"/>
          <w:bottom w:w="0" w:type="dxa"/>
          <w:right w:w="0" w:type="dxa"/>
        </w:tblCellMar>
      </w:tblPr>
      <w:tblGrid>
        <w:gridCol w:w="2596"/>
        <w:gridCol w:w="211"/>
        <w:gridCol w:w="748"/>
        <w:gridCol w:w="211"/>
        <w:gridCol w:w="721"/>
        <w:gridCol w:w="211"/>
        <w:gridCol w:w="721"/>
        <w:gridCol w:w="211"/>
        <w:gridCol w:w="2326"/>
        <w:gridCol w:w="331"/>
        <w:gridCol w:w="211"/>
        <w:gridCol w:w="898"/>
      </w:tblGrid>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1</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2</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3</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326"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Assets measured at NAV (a)</w:t>
            </w:r>
          </w:p>
        </w:tc>
        <w:tc>
          <w:tcPr>
            <w:tcW w:w="331" w:type="dxa"/>
            <w:tcBorders/>
            <w:shd w:fill="FFFFFF" w:val="clear"/>
            <w:vAlign w:val="center"/>
          </w:tcPr>
          <w:p>
            <w:pPr>
              <w:pStyle w:val="TableContents"/>
              <w:bidi w:val="0"/>
              <w:spacing w:before="0" w:after="283"/>
              <w:jc w:val="left"/>
              <w:rPr>
                <w:sz w:val="4"/>
                <w:szCs w:val="4"/>
              </w:rPr>
            </w:pPr>
            <w:r>
              <w:rPr>
                <w:sz w:val="4"/>
                <w:szCs w:val="4"/>
              </w:rPr>
            </w:r>
          </w:p>
        </w:tc>
        <w:tc>
          <w:tcPr>
            <w:tcW w:w="1109"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Common stock</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13,726</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32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13,726</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Return seeking assets:</w:t>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Global equities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232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8,677</w:t>
            </w:r>
          </w:p>
        </w:tc>
        <w:tc>
          <w:tcPr>
            <w:tcW w:w="331" w:type="dxa"/>
            <w:tcBorders/>
            <w:shd w:fill="CCEEFF" w:val="clear"/>
            <w:vAlign w:val="center"/>
          </w:tcPr>
          <w:p>
            <w:pPr>
              <w:pStyle w:val="TableContents"/>
              <w:bidi w:val="0"/>
              <w:spacing w:before="0" w:after="283"/>
              <w:ind w:left="0" w:right="245"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8,677</w:t>
            </w:r>
          </w:p>
        </w:tc>
      </w:tr>
      <w:tr>
        <w:trPr/>
        <w:tc>
          <w:tcPr>
            <w:tcW w:w="2596" w:type="dxa"/>
            <w:tcBorders/>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Hedge / diversifying strategies</w:t>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54,807</w:t>
            </w:r>
          </w:p>
        </w:tc>
        <w:tc>
          <w:tcPr>
            <w:tcW w:w="331" w:type="dxa"/>
            <w:tcBorders/>
            <w:vAlign w:val="center"/>
          </w:tcPr>
          <w:p>
            <w:pPr>
              <w:pStyle w:val="TableContents"/>
              <w:bidi w:val="0"/>
              <w:spacing w:before="0" w:after="283"/>
              <w:ind w:left="0" w:right="115"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54,807</w:t>
            </w:r>
          </w:p>
        </w:tc>
      </w:tr>
      <w:tr>
        <w:trPr/>
        <w:tc>
          <w:tcPr>
            <w:tcW w:w="2596" w:type="dxa"/>
            <w:tcBorders/>
            <w:shd w:fill="CCEEFF" w:val="clear"/>
            <w:vAlign w:val="center"/>
          </w:tcPr>
          <w:p>
            <w:pPr>
              <w:pStyle w:val="TableContents"/>
              <w:bidi w:val="0"/>
              <w:spacing w:lineRule="auto" w:line="259" w:before="0" w:after="283"/>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Credit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232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37,813</w:t>
            </w:r>
          </w:p>
        </w:tc>
        <w:tc>
          <w:tcPr>
            <w:tcW w:w="331"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37,813</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Liability hedging assets</w:t>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172,654</w:t>
            </w:r>
          </w:p>
        </w:tc>
        <w:tc>
          <w:tcPr>
            <w:tcW w:w="331" w:type="dxa"/>
            <w:tcBorders/>
            <w:vAlign w:val="center"/>
          </w:tcPr>
          <w:p>
            <w:pPr>
              <w:pStyle w:val="TableContents"/>
              <w:bidi w:val="0"/>
              <w:spacing w:before="0" w:after="283"/>
              <w:ind w:left="0" w:right="115"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172,654</w:t>
            </w:r>
          </w:p>
        </w:tc>
      </w:tr>
      <w:tr>
        <w:trPr/>
        <w:tc>
          <w:tcPr>
            <w:tcW w:w="259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5,975</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2326"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1"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211"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shd w:fill="CCEEFF" w:val="clear"/>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5,975</w:t>
            </w:r>
          </w:p>
        </w:tc>
      </w:tr>
      <w:tr>
        <w:trPr/>
        <w:tc>
          <w:tcPr>
            <w:tcW w:w="259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pension assets</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19,701</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326"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273,951</w:t>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8" w:space="0" w:color="000000"/>
              <w:bottom w:val="double" w:sz="6" w:space="0" w:color="000000"/>
            </w:tcBorders>
            <w:tcMar>
              <w:top w:w="28" w:type="dxa"/>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293,652</w:t>
            </w:r>
          </w:p>
        </w:tc>
      </w:tr>
    </w:tbl>
    <w:p>
      <w:pPr>
        <w:pStyle w:val="TextBody"/>
        <w:bidi w:val="0"/>
        <w:spacing w:lineRule="auto" w:line="259"/>
        <w:ind w:left="720" w:right="0" w:hanging="36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(a)Assets that are measured at fair value using the NAV per share practical expedient have not been classified in the fair value hierarchy.</w:t>
      </w:r>
    </w:p>
    <w:p>
      <w:pPr>
        <w:pStyle w:val="TextBody"/>
        <w:bidi w:val="0"/>
        <w:spacing w:lineRule="auto" w:line="259"/>
        <w:ind w:left="360" w:right="0" w:hanging="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fair value of the Company’s pension plans’ assets at December 31, 2023 by asset class are as follows:</w:t>
      </w:r>
    </w:p>
    <w:tbl>
      <w:tblPr>
        <w:tblW w:w="9174" w:type="dxa"/>
        <w:jc w:val="left"/>
        <w:tblInd w:w="0" w:type="dxa"/>
        <w:tblLayout w:type="fixed"/>
        <w:tblCellMar>
          <w:top w:w="0" w:type="dxa"/>
          <w:left w:w="0" w:type="dxa"/>
          <w:bottom w:w="0" w:type="dxa"/>
          <w:right w:w="0" w:type="dxa"/>
        </w:tblCellMar>
      </w:tblPr>
      <w:tblGrid>
        <w:gridCol w:w="2596"/>
        <w:gridCol w:w="211"/>
        <w:gridCol w:w="748"/>
        <w:gridCol w:w="211"/>
        <w:gridCol w:w="721"/>
        <w:gridCol w:w="211"/>
        <w:gridCol w:w="721"/>
        <w:gridCol w:w="211"/>
        <w:gridCol w:w="2326"/>
        <w:gridCol w:w="109"/>
        <w:gridCol w:w="211"/>
        <w:gridCol w:w="898"/>
      </w:tblGrid>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898" w:type="dxa"/>
            <w:tcBorders/>
            <w:shd w:fill="FFFFFF" w:val="clear"/>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1</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2</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3</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326"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Assets measured at NAV (a)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09"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w:t>
            </w:r>
          </w:p>
        </w:tc>
      </w:tr>
      <w:tr>
        <w:trPr/>
        <w:tc>
          <w:tcPr>
            <w:tcW w:w="2596" w:type="dxa"/>
            <w:tcBorders/>
            <w:shd w:fill="FFFF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Common stock</w:t>
            </w:r>
          </w:p>
        </w:tc>
        <w:tc>
          <w:tcPr>
            <w:tcW w:w="211" w:type="dxa"/>
            <w:tcBorders>
              <w:top w:val="single" w:sz="8" w:space="0" w:color="000000"/>
            </w:tcBorders>
            <w:shd w:fill="FFFF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8" w:space="0" w:color="000000"/>
            </w:tcBorders>
            <w:shd w:fill="FFFF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14,115</w:t>
            </w:r>
          </w:p>
        </w:tc>
        <w:tc>
          <w:tcPr>
            <w:tcW w:w="211" w:type="dxa"/>
            <w:tcBorders>
              <w:top w:val="single" w:sz="8" w:space="0" w:color="000000"/>
            </w:tcBorders>
            <w:shd w:fill="FFFF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tcBorders>
            <w:shd w:fill="FFFF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top w:val="single" w:sz="8" w:space="0" w:color="000000"/>
            </w:tcBorders>
            <w:shd w:fill="FFFF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tcBorders>
            <w:shd w:fill="FFFF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top w:val="single" w:sz="8" w:space="0" w:color="000000"/>
            </w:tcBorders>
            <w:shd w:fill="FFFF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326" w:type="dxa"/>
            <w:tcBorders>
              <w:top w:val="single" w:sz="8" w:space="0" w:color="000000"/>
            </w:tcBorders>
            <w:shd w:fill="FFFF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8" w:space="0" w:color="000000"/>
            </w:tcBorders>
            <w:shd w:fill="FFFFFF" w:val="clear"/>
            <w:tcMar>
              <w:top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14,115</w:t>
            </w:r>
          </w:p>
        </w:tc>
      </w:tr>
      <w:tr>
        <w:trPr/>
        <w:tc>
          <w:tcPr>
            <w:tcW w:w="259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Return seeking assets: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2326" w:type="dxa"/>
            <w:tcBorders/>
            <w:shd w:fill="CCEEFF" w:val="clear"/>
            <w:vAlign w:val="center"/>
          </w:tcPr>
          <w:p>
            <w:pPr>
              <w:pStyle w:val="TableContents"/>
              <w:bidi w:val="0"/>
              <w:spacing w:before="0" w:after="283"/>
              <w:jc w:val="left"/>
              <w:rPr>
                <w:sz w:val="4"/>
                <w:szCs w:val="4"/>
              </w:rPr>
            </w:pPr>
            <w:r>
              <w:rPr>
                <w:sz w:val="4"/>
                <w:szCs w:val="4"/>
              </w:rPr>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before="0" w:after="283"/>
              <w:jc w:val="left"/>
              <w:rPr>
                <w:sz w:val="4"/>
                <w:szCs w:val="4"/>
              </w:rPr>
            </w:pPr>
            <w:r>
              <w:rPr>
                <w:sz w:val="4"/>
                <w:szCs w:val="4"/>
              </w:rPr>
            </w:r>
          </w:p>
        </w:tc>
      </w:tr>
      <w:tr>
        <w:trPr/>
        <w:tc>
          <w:tcPr>
            <w:tcW w:w="259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Global equities</w:t>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9,226</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9,226</w:t>
            </w:r>
          </w:p>
        </w:tc>
      </w:tr>
      <w:tr>
        <w:trPr/>
        <w:tc>
          <w:tcPr>
            <w:tcW w:w="259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Hedge / diversifying strategies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2326"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57,608</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57,608</w:t>
            </w:r>
          </w:p>
        </w:tc>
      </w:tr>
      <w:tr>
        <w:trPr/>
        <w:tc>
          <w:tcPr>
            <w:tcW w:w="259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Credit</w:t>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37,798</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37,798</w:t>
            </w:r>
          </w:p>
        </w:tc>
      </w:tr>
      <w:tr>
        <w:trPr/>
        <w:tc>
          <w:tcPr>
            <w:tcW w:w="259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Liability hedging assets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2326"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186,317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89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186,317</w:t>
            </w:r>
          </w:p>
        </w:tc>
      </w:tr>
      <w:tr>
        <w:trPr/>
        <w:tc>
          <w:tcPr>
            <w:tcW w:w="259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7,239</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26"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898"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7,239</w:t>
            </w:r>
          </w:p>
        </w:tc>
      </w:tr>
      <w:tr>
        <w:trPr/>
        <w:tc>
          <w:tcPr>
            <w:tcW w:w="259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pension assets</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21,354</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3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290,949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89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312,303</w:t>
            </w:r>
          </w:p>
        </w:tc>
      </w:tr>
    </w:tbl>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Equity securities include our common stock in the amounts of $13,726</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or 4.7% and $14,115</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or 4.5% of total pension plans’ assets as of December 31, 2024 and 2023, respectively.</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target allocation by asset class as of December 31, 2024, and actual asset allocation of the Company’s other post-retirement benefit plans, are as follows:</w:t>
      </w:r>
    </w:p>
    <w:tbl>
      <w:tblPr>
        <w:tblW w:w="8330" w:type="dxa"/>
        <w:jc w:val="left"/>
        <w:tblInd w:w="0" w:type="dxa"/>
        <w:tblLayout w:type="fixed"/>
        <w:tblCellMar>
          <w:top w:w="0" w:type="dxa"/>
          <w:left w:w="0" w:type="dxa"/>
          <w:bottom w:w="0" w:type="dxa"/>
          <w:right w:w="0" w:type="dxa"/>
        </w:tblCellMar>
      </w:tblPr>
      <w:tblGrid>
        <w:gridCol w:w="2326"/>
        <w:gridCol w:w="1741"/>
        <w:gridCol w:w="109"/>
        <w:gridCol w:w="2867"/>
        <w:gridCol w:w="532"/>
        <w:gridCol w:w="755"/>
      </w:tblGrid>
      <w:tr>
        <w:trPr/>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67" w:type="dxa"/>
            <w:tcBorders/>
            <w:shd w:fill="FFFFFF" w:val="clear"/>
            <w:vAlign w:val="center"/>
          </w:tcPr>
          <w:p>
            <w:pPr>
              <w:pStyle w:val="TableContents"/>
              <w:bidi w:val="0"/>
              <w:spacing w:before="0" w:after="283"/>
              <w:jc w:val="left"/>
              <w:rPr>
                <w:sz w:val="4"/>
                <w:szCs w:val="4"/>
              </w:rPr>
            </w:pPr>
            <w:r>
              <w:rPr>
                <w:sz w:val="4"/>
                <w:szCs w:val="4"/>
              </w:rPr>
            </w:r>
          </w:p>
        </w:tc>
        <w:tc>
          <w:tcPr>
            <w:tcW w:w="532" w:type="dxa"/>
            <w:tcBorders/>
            <w:shd w:fill="FFFFFF" w:val="clear"/>
            <w:vAlign w:val="center"/>
          </w:tcPr>
          <w:p>
            <w:pPr>
              <w:pStyle w:val="TableContents"/>
              <w:bidi w:val="0"/>
              <w:spacing w:before="0" w:after="283"/>
              <w:jc w:val="left"/>
              <w:rPr>
                <w:sz w:val="4"/>
                <w:szCs w:val="4"/>
              </w:rPr>
            </w:pPr>
            <w:r>
              <w:rPr>
                <w:sz w:val="4"/>
                <w:szCs w:val="4"/>
              </w:rPr>
            </w:r>
          </w:p>
        </w:tc>
        <w:tc>
          <w:tcPr>
            <w:tcW w:w="755" w:type="dxa"/>
            <w:tcBorders/>
            <w:shd w:fill="FFFFFF" w:val="clear"/>
            <w:vAlign w:val="center"/>
          </w:tcPr>
          <w:p>
            <w:pPr>
              <w:pStyle w:val="TableContents"/>
              <w:bidi w:val="0"/>
              <w:spacing w:before="0" w:after="283"/>
              <w:jc w:val="left"/>
              <w:rPr>
                <w:sz w:val="4"/>
                <w:szCs w:val="4"/>
              </w:rPr>
            </w:pPr>
            <w:r>
              <w:rPr>
                <w:sz w:val="4"/>
                <w:szCs w:val="4"/>
              </w:rPr>
            </w:r>
          </w:p>
        </w:tc>
      </w:tr>
      <w:tr>
        <w:trPr/>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174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4154" w:type="dxa"/>
            <w:gridSpan w:val="3"/>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Percentage of Plan Assets at December 31,</w:t>
            </w:r>
          </w:p>
        </w:tc>
      </w:tr>
      <w:tr>
        <w:trPr/>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1741"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Target Allocation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867"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1287" w:type="dxa"/>
            <w:gridSpan w:val="2"/>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r>
      <w:tr>
        <w:trPr/>
        <w:tc>
          <w:tcPr>
            <w:tcW w:w="23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Return seeking assets</w:t>
            </w:r>
          </w:p>
        </w:tc>
        <w:tc>
          <w:tcPr>
            <w:tcW w:w="174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50-70%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67" w:type="dxa"/>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65%</w:t>
            </w:r>
          </w:p>
        </w:tc>
        <w:tc>
          <w:tcPr>
            <w:tcW w:w="1287" w:type="dxa"/>
            <w:gridSpan w:val="2"/>
            <w:tcBorders>
              <w:top w:val="single" w:sz="8" w:space="0" w:color="000000"/>
            </w:tcBorders>
            <w:shd w:fill="CCEEFF" w:val="clear"/>
            <w:tcMar>
              <w:top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68%</w:t>
            </w:r>
          </w:p>
        </w:tc>
      </w:tr>
      <w:tr>
        <w:trPr/>
        <w:tc>
          <w:tcPr>
            <w:tcW w:w="232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Liability hedging assets</w:t>
            </w:r>
          </w:p>
        </w:tc>
        <w:tc>
          <w:tcPr>
            <w:tcW w:w="1741"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30-50%</w:t>
            </w:r>
          </w:p>
        </w:tc>
        <w:tc>
          <w:tcPr>
            <w:tcW w:w="109" w:type="dxa"/>
            <w:tcBorders/>
            <w:vAlign w:val="center"/>
          </w:tcPr>
          <w:p>
            <w:pPr>
              <w:pStyle w:val="TableContents"/>
              <w:bidi w:val="0"/>
              <w:spacing w:before="0" w:after="283"/>
              <w:jc w:val="left"/>
              <w:rPr>
                <w:sz w:val="4"/>
                <w:szCs w:val="4"/>
              </w:rPr>
            </w:pPr>
            <w:r>
              <w:rPr>
                <w:sz w:val="4"/>
                <w:szCs w:val="4"/>
              </w:rPr>
            </w:r>
          </w:p>
        </w:tc>
        <w:tc>
          <w:tcPr>
            <w:tcW w:w="2867" w:type="dxa"/>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35%</w:t>
            </w:r>
          </w:p>
        </w:tc>
        <w:tc>
          <w:tcPr>
            <w:tcW w:w="1287" w:type="dxa"/>
            <w:gridSpan w:val="2"/>
            <w:tcBorders>
              <w:bottom w:val="single" w:sz="8" w:space="0" w:color="000000"/>
            </w:tcBorders>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32%</w:t>
            </w:r>
          </w:p>
        </w:tc>
      </w:tr>
      <w:tr>
        <w:trPr/>
        <w:tc>
          <w:tcPr>
            <w:tcW w:w="23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w:t>
            </w:r>
          </w:p>
        </w:tc>
        <w:tc>
          <w:tcPr>
            <w:tcW w:w="174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86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100%</w:t>
            </w:r>
          </w:p>
        </w:tc>
        <w:tc>
          <w:tcPr>
            <w:tcW w:w="1287" w:type="dxa"/>
            <w:gridSpan w:val="2"/>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100%</w:t>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fair value of the Company’s other post-retirement benefit plans’ assets at December 31, 2024 by asset class are as follows:</w:t>
      </w:r>
    </w:p>
    <w:tbl>
      <w:tblPr>
        <w:tblW w:w="9501" w:type="dxa"/>
        <w:jc w:val="left"/>
        <w:tblInd w:w="0" w:type="dxa"/>
        <w:tblLayout w:type="fixed"/>
        <w:tblCellMar>
          <w:top w:w="0" w:type="dxa"/>
          <w:left w:w="0" w:type="dxa"/>
          <w:bottom w:w="0" w:type="dxa"/>
          <w:right w:w="0" w:type="dxa"/>
        </w:tblCellMar>
      </w:tblPr>
      <w:tblGrid>
        <w:gridCol w:w="2806"/>
        <w:gridCol w:w="211"/>
        <w:gridCol w:w="748"/>
        <w:gridCol w:w="211"/>
        <w:gridCol w:w="721"/>
        <w:gridCol w:w="211"/>
        <w:gridCol w:w="721"/>
        <w:gridCol w:w="211"/>
        <w:gridCol w:w="2326"/>
        <w:gridCol w:w="331"/>
        <w:gridCol w:w="211"/>
        <w:gridCol w:w="793"/>
      </w:tblGrid>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2823" w:type="dxa"/>
            <w:gridSpan w:val="6"/>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1</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2</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3</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326"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Assets measured at NAV (a)</w:t>
            </w:r>
          </w:p>
        </w:tc>
        <w:tc>
          <w:tcPr>
            <w:tcW w:w="331" w:type="dxa"/>
            <w:tcBorders/>
            <w:shd w:fill="FFFFFF" w:val="clear"/>
            <w:vAlign w:val="center"/>
          </w:tcPr>
          <w:p>
            <w:pPr>
              <w:pStyle w:val="TableContents"/>
              <w:bidi w:val="0"/>
              <w:spacing w:before="0" w:after="283"/>
              <w:jc w:val="left"/>
              <w:rPr>
                <w:sz w:val="4"/>
                <w:szCs w:val="4"/>
              </w:rPr>
            </w:pPr>
            <w:r>
              <w:rPr>
                <w:sz w:val="4"/>
                <w:szCs w:val="4"/>
              </w:rPr>
            </w:r>
          </w:p>
        </w:tc>
        <w:tc>
          <w:tcPr>
            <w:tcW w:w="1004"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w:t>
            </w:r>
          </w:p>
        </w:tc>
      </w:tr>
      <w:tr>
        <w:trPr/>
        <w:tc>
          <w:tcPr>
            <w:tcW w:w="2806" w:type="dxa"/>
            <w:tcBorders/>
            <w:shd w:fill="FFFF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Return seeking assets:</w:t>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3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80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Global equities</w:t>
            </w:r>
          </w:p>
        </w:tc>
        <w:tc>
          <w:tcPr>
            <w:tcW w:w="21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30,978</w:t>
            </w:r>
          </w:p>
        </w:tc>
        <w:tc>
          <w:tcPr>
            <w:tcW w:w="21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32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20,020</w:t>
            </w:r>
          </w:p>
        </w:tc>
        <w:tc>
          <w:tcPr>
            <w:tcW w:w="331" w:type="dxa"/>
            <w:tcBorders/>
            <w:shd w:fill="CCEEFF" w:val="clear"/>
            <w:vAlign w:val="center"/>
          </w:tcPr>
          <w:p>
            <w:pPr>
              <w:pStyle w:val="TableContents"/>
              <w:bidi w:val="0"/>
              <w:spacing w:before="0" w:after="283"/>
              <w:ind w:left="0" w:right="245" w:hanging="0"/>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50,998</w:t>
            </w:r>
          </w:p>
        </w:tc>
      </w:tr>
      <w:tr>
        <w:trPr/>
        <w:tc>
          <w:tcPr>
            <w:tcW w:w="280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 securities</w:t>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6,750</w:t>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3,713</w:t>
            </w:r>
          </w:p>
        </w:tc>
        <w:tc>
          <w:tcPr>
            <w:tcW w:w="331" w:type="dxa"/>
            <w:tcBorders/>
            <w:vAlign w:val="center"/>
          </w:tcPr>
          <w:p>
            <w:pPr>
              <w:pStyle w:val="TableContents"/>
              <w:bidi w:val="0"/>
              <w:spacing w:before="0" w:after="283"/>
              <w:ind w:left="0" w:right="115" w:hanging="0"/>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10,463</w:t>
            </w:r>
          </w:p>
        </w:tc>
      </w:tr>
      <w:tr>
        <w:trPr/>
        <w:tc>
          <w:tcPr>
            <w:tcW w:w="280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Liability hedging assets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15,325</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232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11,237</w:t>
            </w:r>
          </w:p>
        </w:tc>
        <w:tc>
          <w:tcPr>
            <w:tcW w:w="331"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26,562</w:t>
            </w:r>
          </w:p>
        </w:tc>
      </w:tr>
      <w:tr>
        <w:trPr/>
        <w:tc>
          <w:tcPr>
            <w:tcW w:w="280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6,227</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2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331" w:type="dxa"/>
            <w:tcBorders/>
            <w:vAlign w:val="center"/>
          </w:tcPr>
          <w:p>
            <w:pPr>
              <w:pStyle w:val="TableContents"/>
              <w:bidi w:val="0"/>
              <w:spacing w:before="0" w:after="283"/>
              <w:ind w:left="0" w:right="115" w:hanging="0"/>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6,227</w:t>
            </w:r>
          </w:p>
        </w:tc>
      </w:tr>
      <w:tr>
        <w:trPr/>
        <w:tc>
          <w:tcPr>
            <w:tcW w:w="280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other post-retirement assets</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59,280</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3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34,970</w:t>
            </w:r>
          </w:p>
        </w:tc>
        <w:tc>
          <w:tcPr>
            <w:tcW w:w="331"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94,250</w:t>
            </w:r>
          </w:p>
        </w:tc>
      </w:tr>
    </w:tbl>
    <w:p>
      <w:pPr>
        <w:pStyle w:val="TextBody"/>
        <w:bidi w:val="0"/>
        <w:spacing w:lineRule="auto" w:line="276"/>
        <w:ind w:left="720" w:right="0" w:hanging="36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(a)Assets that are measured at fair value using the NAV per share practical expedient have not been classified in the fair value hierarchy.</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fair value of the Company’s other post-retirement benefit plans’ assets at December 31, 2023 by asset class are as follows:</w:t>
      </w:r>
    </w:p>
    <w:tbl>
      <w:tblPr>
        <w:tblW w:w="9279" w:type="dxa"/>
        <w:jc w:val="left"/>
        <w:tblInd w:w="0" w:type="dxa"/>
        <w:tblLayout w:type="fixed"/>
        <w:tblCellMar>
          <w:top w:w="0" w:type="dxa"/>
          <w:left w:w="0" w:type="dxa"/>
          <w:bottom w:w="0" w:type="dxa"/>
          <w:right w:w="0" w:type="dxa"/>
        </w:tblCellMar>
      </w:tblPr>
      <w:tblGrid>
        <w:gridCol w:w="2806"/>
        <w:gridCol w:w="211"/>
        <w:gridCol w:w="748"/>
        <w:gridCol w:w="211"/>
        <w:gridCol w:w="721"/>
        <w:gridCol w:w="211"/>
        <w:gridCol w:w="721"/>
        <w:gridCol w:w="211"/>
        <w:gridCol w:w="2326"/>
        <w:gridCol w:w="109"/>
        <w:gridCol w:w="211"/>
        <w:gridCol w:w="793"/>
      </w:tblGrid>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48"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21"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232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793" w:type="dxa"/>
            <w:tcBorders/>
            <w:shd w:fill="FFFFFF" w:val="clear"/>
            <w:vAlign w:val="center"/>
          </w:tcPr>
          <w:p>
            <w:pPr>
              <w:pStyle w:val="TableContents"/>
              <w:bidi w:val="0"/>
              <w:spacing w:before="0" w:after="283"/>
              <w:jc w:val="left"/>
              <w:rPr>
                <w:sz w:val="4"/>
                <w:szCs w:val="4"/>
              </w:rPr>
            </w:pPr>
            <w:r>
              <w:rPr>
                <w:sz w:val="4"/>
                <w:szCs w:val="4"/>
              </w:rPr>
            </w:r>
          </w:p>
        </w:tc>
      </w:tr>
      <w:tr>
        <w:trPr/>
        <w:tc>
          <w:tcPr>
            <w:tcW w:w="280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1</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2</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Level 3</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2326"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Assets measured at NAV (a)</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04" w:type="dxa"/>
            <w:gridSpan w:val="2"/>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w:t>
            </w:r>
          </w:p>
        </w:tc>
      </w:tr>
      <w:tr>
        <w:trPr/>
        <w:tc>
          <w:tcPr>
            <w:tcW w:w="2806" w:type="dxa"/>
            <w:tcBorders/>
            <w:shd w:fill="FFFF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Return seeking assets:</w:t>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4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2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3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793"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280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Global equities</w:t>
            </w:r>
          </w:p>
        </w:tc>
        <w:tc>
          <w:tcPr>
            <w:tcW w:w="21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34,209</w:t>
            </w:r>
          </w:p>
        </w:tc>
        <w:tc>
          <w:tcPr>
            <w:tcW w:w="21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326"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19,890</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54,099</w:t>
            </w:r>
          </w:p>
        </w:tc>
      </w:tr>
      <w:tr>
        <w:trPr/>
        <w:tc>
          <w:tcPr>
            <w:tcW w:w="280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Real estate securities</w:t>
            </w:r>
          </w:p>
        </w:tc>
        <w:tc>
          <w:tcPr>
            <w:tcW w:w="21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7,041</w:t>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3,653</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10,694</w:t>
            </w:r>
          </w:p>
        </w:tc>
      </w:tr>
      <w:tr>
        <w:trPr/>
        <w:tc>
          <w:tcPr>
            <w:tcW w:w="280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Liability hedging assets</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48"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16,949</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21"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2326"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9,473</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shd w:fill="CCEEFF" w:val="clear"/>
            <w:vAlign w:val="center"/>
          </w:tcPr>
          <w:p>
            <w:pPr>
              <w:pStyle w:val="TableContents"/>
              <w:bidi w:val="0"/>
              <w:spacing w:before="0" w:after="283"/>
              <w:jc w:val="left"/>
              <w:rPr>
                <w:sz w:val="4"/>
                <w:szCs w:val="4"/>
              </w:rPr>
            </w:pPr>
            <w:r>
              <w:rPr>
                <w:sz w:val="4"/>
                <w:szCs w:val="4"/>
              </w:rPr>
            </w:r>
          </w:p>
        </w:tc>
        <w:tc>
          <w:tcPr>
            <w:tcW w:w="793" w:type="dxa"/>
            <w:tcBorders/>
            <w:shd w:fill="CCEEFF" w:val="cle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26,422</w:t>
            </w:r>
          </w:p>
        </w:tc>
      </w:tr>
      <w:tr>
        <w:trPr/>
        <w:tc>
          <w:tcPr>
            <w:tcW w:w="280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Cash and cash equivalents</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48"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3,790</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21"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2326"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793" w:type="dxa"/>
            <w:tcBorders>
              <w:bottom w:val="single" w:sz="8" w:space="0" w:color="000000"/>
            </w:tcBorders>
            <w:tcMar>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3,790</w:t>
            </w:r>
          </w:p>
        </w:tc>
      </w:tr>
      <w:tr>
        <w:trPr/>
        <w:tc>
          <w:tcPr>
            <w:tcW w:w="280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other post-retirement assets</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4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61,989</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2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3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33,016</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79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95,005</w:t>
            </w:r>
          </w:p>
        </w:tc>
      </w:tr>
    </w:tbl>
    <w:p>
      <w:pPr>
        <w:pStyle w:val="TextBody"/>
        <w:bidi w:val="0"/>
        <w:spacing w:lineRule="auto" w:line="259"/>
        <w:rPr>
          <w:rFonts w:ascii="Times New Roman;serif" w:hAnsi="Times New Roman;serif"/>
          <w:b/>
          <w:i/>
          <w:sz w:val="22"/>
        </w:rPr>
      </w:pPr>
      <w:r>
        <w:rPr>
          <w:rFonts w:ascii="Times New Roman;serif" w:hAnsi="Times New Roman;serif"/>
          <w:b/>
          <w:i/>
          <w:sz w:val="22"/>
        </w:rPr>
        <w:t>Valuation Techniques Used to Determine Fair Value</w:t>
      </w:r>
    </w:p>
    <w:p>
      <w:pPr>
        <w:pStyle w:val="TextBody"/>
        <w:bidi w:val="0"/>
        <w:spacing w:lineRule="auto" w:line="259"/>
        <w:ind w:left="720" w:right="0" w:hanging="360"/>
        <w:rPr/>
      </w:pPr>
      <w:r>
        <w:rPr>
          <w:caps w:val="false"/>
          <w:smallCaps w:val="false"/>
        </w:rPr>
        <w:t></w:t>
      </w:r>
      <w:r>
        <w:rPr>
          <w:rFonts w:ascii="Times New Roman;serif" w:hAnsi="Times New Roman;serif"/>
          <w:b w:val="false"/>
          <w:i/>
          <w:sz w:val="22"/>
        </w:rPr>
        <w:t>Common Stocks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 </w:t>
      </w:r>
      <w:r>
        <w:rPr>
          <w:rFonts w:ascii="Times New Roman;serif" w:hAnsi="Times New Roman;serif"/>
          <w:b w:val="false"/>
          <w:i w:val="false"/>
          <w:caps w:val="false"/>
          <w:smallCaps w:val="false"/>
          <w:color w:val="000000"/>
          <w:sz w:val="22"/>
        </w:rPr>
        <w:t xml:space="preserve">Investments in common stocks are valued using unadjusted quoted prices obtained from active markets. </w:t>
      </w:r>
    </w:p>
    <w:p>
      <w:pPr>
        <w:pStyle w:val="TextBody"/>
        <w:bidi w:val="0"/>
        <w:spacing w:lineRule="auto" w:line="259"/>
        <w:ind w:left="720" w:right="0" w:hanging="360"/>
        <w:rPr/>
      </w:pPr>
      <w:r>
        <w:rPr>
          <w:caps w:val="false"/>
          <w:smallCaps w:val="false"/>
        </w:rPr>
        <w:t></w:t>
      </w:r>
      <w:r>
        <w:rPr>
          <w:rFonts w:ascii="Times New Roman;serif" w:hAnsi="Times New Roman;serif"/>
          <w:b w:val="false"/>
          <w:i/>
          <w:sz w:val="22"/>
        </w:rPr>
        <w:t xml:space="preserve">Return Seeking Assets – </w:t>
      </w:r>
      <w:r>
        <w:rPr>
          <w:rFonts w:ascii="Times New Roman;serif" w:hAnsi="Times New Roman;serif"/>
          <w:b w:val="false"/>
          <w:i w:val="false"/>
          <w:caps w:val="false"/>
          <w:smallCaps w:val="false"/>
          <w:sz w:val="22"/>
        </w:rPr>
        <w:t>Investments in return seeking assets consists of the following:</w:t>
      </w:r>
    </w:p>
    <w:p>
      <w:pPr>
        <w:pStyle w:val="TextBody"/>
        <w:bidi w:val="0"/>
        <w:spacing w:lineRule="auto" w:line="259"/>
        <w:ind w:left="1440" w:right="0" w:hanging="360"/>
        <w:rPr>
          <w:rFonts w:ascii="Times New Roman;serif" w:hAnsi="Times New Roman;serif"/>
          <w:sz w:val="22"/>
        </w:rPr>
      </w:pPr>
      <w:r>
        <w:rPr>
          <w:rFonts w:ascii="Courier New" w:hAnsi="Courier New"/>
          <w:b w:val="false"/>
          <w:i w:val="false"/>
          <w:caps w:val="false"/>
          <w:smallCaps w:val="false"/>
          <w:sz w:val="22"/>
        </w:rPr>
        <w:t>o</w:t>
      </w:r>
      <w:r>
        <w:rPr>
          <w:rFonts w:ascii="Times New Roman;serif" w:hAnsi="Times New Roman;serif"/>
          <w:b w:val="false"/>
          <w:i w:val="false"/>
          <w:caps w:val="false"/>
          <w:smallCaps w:val="false"/>
          <w:sz w:val="22"/>
        </w:rPr>
        <w:t xml:space="preserve">Global equities, which consist of common and preferred shares of stock, traded on U.S. or foreign exchanges that are valued using unadjusted quoted prices obtained from active markets, or commingled fund vehicles, consisting of such securities valued using NAV, which are not classified within the fair value hierarchy. </w:t>
      </w:r>
    </w:p>
    <w:p>
      <w:pPr>
        <w:pStyle w:val="TextBody"/>
        <w:bidi w:val="0"/>
        <w:spacing w:lineRule="auto" w:line="259"/>
        <w:ind w:left="1440" w:right="0" w:hanging="360"/>
        <w:rPr>
          <w:rFonts w:ascii="Times New Roman;serif" w:hAnsi="Times New Roman;serif"/>
          <w:sz w:val="22"/>
        </w:rPr>
      </w:pPr>
      <w:r>
        <w:rPr>
          <w:rFonts w:ascii="Courier New" w:hAnsi="Courier New"/>
          <w:b w:val="false"/>
          <w:i w:val="false"/>
          <w:caps w:val="false"/>
          <w:smallCaps w:val="false"/>
          <w:sz w:val="22"/>
        </w:rPr>
        <w:t>o</w:t>
      </w:r>
      <w:r>
        <w:rPr>
          <w:rFonts w:ascii="Times New Roman;serif" w:hAnsi="Times New Roman;serif"/>
          <w:b w:val="false"/>
          <w:i w:val="false"/>
          <w:caps w:val="false"/>
          <w:smallCaps w:val="false"/>
          <w:sz w:val="22"/>
        </w:rPr>
        <w:t xml:space="preserve">Real estate securities, which consist of securities, traded on U.S. or foreign exchanges that are valued using unadjusted quoted prices obtained from active markets, or for real estate commingle fund vehicles that are not publicly quoted, the fund administrators value the funds using the NAV per fund share, derived from the quoted prices in active markets of the underlying securities and are not classified within the fair value hierarchy. </w:t>
      </w:r>
    </w:p>
    <w:p>
      <w:pPr>
        <w:pStyle w:val="TextBody"/>
        <w:bidi w:val="0"/>
        <w:spacing w:lineRule="auto" w:line="259" w:before="0" w:after="120"/>
        <w:ind w:left="1440" w:right="0" w:hanging="360"/>
        <w:rPr>
          <w:rFonts w:ascii="Times New Roman;serif" w:hAnsi="Times New Roman;serif"/>
          <w:sz w:val="22"/>
        </w:rPr>
      </w:pPr>
      <w:r>
        <w:rPr>
          <w:rFonts w:ascii="Courier New" w:hAnsi="Courier New"/>
          <w:b w:val="false"/>
          <w:i w:val="false"/>
          <w:caps w:val="false"/>
          <w:smallCaps w:val="false"/>
          <w:sz w:val="22"/>
        </w:rPr>
        <w:t>o</w:t>
      </w:r>
      <w:r>
        <w:rPr>
          <w:rFonts w:ascii="Times New Roman;serif" w:hAnsi="Times New Roman;serif"/>
          <w:b w:val="false"/>
          <w:i w:val="false"/>
          <w:caps w:val="false"/>
          <w:smallCaps w:val="false"/>
          <w:sz w:val="22"/>
        </w:rPr>
        <w:t xml:space="preserve">Hedge / diversifying strategies, which consist of a multi-manager fund vehicle having underlying exposures that collectively seek to provide low correlation of return to equity and fixed income markets, thereby offering diversification. As a multi-manager fund investment, NAV is derived from underlying manager NAVs, which are derived from the quoted prices in active markets of the underlying securities and are not classified within the fair value hierarchy. </w:t>
      </w:r>
    </w:p>
    <w:p>
      <w:pPr>
        <w:pStyle w:val="TextBody"/>
        <w:bidi w:val="0"/>
        <w:spacing w:lineRule="auto" w:line="259"/>
        <w:rPr>
          <w:caps w:val="false"/>
          <w:smallCaps w:val="false"/>
        </w:rPr>
      </w:pPr>
      <w:r>
        <w:rPr>
          <w:caps w:val="false"/>
          <w:smallCaps w:val="false"/>
        </w:rPr>
        <w:t> </w:t>
      </w:r>
    </w:p>
    <w:p>
      <w:pPr>
        <w:pStyle w:val="TextBody"/>
        <w:bidi w:val="0"/>
        <w:spacing w:lineRule="auto" w:line="259" w:before="0" w:after="120"/>
        <w:ind w:left="1440" w:right="0" w:hanging="360"/>
        <w:rPr>
          <w:rFonts w:ascii="Times New Roman;serif" w:hAnsi="Times New Roman;serif"/>
          <w:sz w:val="22"/>
        </w:rPr>
      </w:pPr>
      <w:r>
        <w:rPr>
          <w:rFonts w:ascii="Courier New" w:hAnsi="Courier New"/>
          <w:b w:val="false"/>
          <w:i w:val="false"/>
          <w:caps w:val="false"/>
          <w:smallCaps w:val="false"/>
          <w:sz w:val="22"/>
        </w:rPr>
        <w:t>o</w:t>
      </w:r>
      <w:r>
        <w:rPr>
          <w:rFonts w:ascii="Times New Roman;serif" w:hAnsi="Times New Roman;serif"/>
          <w:b w:val="false"/>
          <w:i w:val="false"/>
          <w:caps w:val="false"/>
          <w:smallCaps w:val="false"/>
          <w:sz w:val="22"/>
        </w:rPr>
        <w:t xml:space="preserve">Credit, which consist of certain opportunistic, return-oriented credits which primarily include below investment grade bonds (i.e. high yield bonds), bank loans, and securitized debt. Credits are valued using the NAV per fund share, derived from either quoted prices in active markets of the underlying securities, or less active markets, or quotes of similar assets, and are not classified within the fair value hierarchy.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ind w:left="720" w:right="0" w:hanging="360"/>
        <w:rPr/>
      </w:pPr>
      <w:r>
        <w:rPr>
          <w:caps w:val="false"/>
          <w:smallCaps w:val="false"/>
        </w:rPr>
        <w:t></w:t>
      </w:r>
      <w:r>
        <w:rPr>
          <w:rFonts w:ascii="Times New Roman;serif" w:hAnsi="Times New Roman;serif"/>
          <w:b w:val="false"/>
          <w:i/>
          <w:sz w:val="22"/>
        </w:rPr>
        <w:t xml:space="preserve">Liability Hedging Assets – </w:t>
      </w:r>
      <w:r>
        <w:rPr>
          <w:rFonts w:ascii="Times New Roman;serif" w:hAnsi="Times New Roman;serif"/>
          <w:b w:val="false"/>
          <w:i w:val="false"/>
          <w:caps w:val="false"/>
          <w:smallCaps w:val="false"/>
          <w:sz w:val="22"/>
        </w:rPr>
        <w:t xml:space="preserve">Investments in liability hedging assets consist of funds investing in high-quality fixed income securities (i.e. U.S. Treasury securities and government bonds), and for funds for which market quotations are readily available, are valued at the last reported closing price on the primary market or exchange on which they are traded. Funds for which market quotations are not readily available, are valued using the NAV per fund share, derived from the quoted prices in active markets of the underlying securities and are not classified within the fair value hierarchy. </w:t>
      </w:r>
    </w:p>
    <w:p>
      <w:pPr>
        <w:pStyle w:val="TextBody"/>
        <w:bidi w:val="0"/>
        <w:spacing w:lineRule="auto" w:line="259" w:before="0" w:after="120"/>
        <w:ind w:left="720" w:right="0" w:hanging="360"/>
        <w:rPr/>
      </w:pPr>
      <w:r>
        <w:rPr>
          <w:caps w:val="false"/>
          <w:smallCaps w:val="false"/>
        </w:rPr>
        <w:t></w:t>
      </w:r>
      <w:r>
        <w:rPr>
          <w:rFonts w:ascii="Times New Roman;serif" w:hAnsi="Times New Roman;serif"/>
          <w:b w:val="false"/>
          <w:i/>
          <w:sz w:val="22"/>
        </w:rPr>
        <w:t xml:space="preserve">Cash and Cash Equivalents – </w:t>
      </w:r>
      <w:r>
        <w:rPr>
          <w:rFonts w:ascii="Times New Roman;serif" w:hAnsi="Times New Roman;serif"/>
          <w:b w:val="false"/>
          <w:i w:val="false"/>
          <w:caps w:val="false"/>
          <w:smallCaps w:val="false"/>
          <w:sz w:val="22"/>
        </w:rPr>
        <w:t xml:space="preserve">Investments in </w:t>
      </w:r>
      <w:r>
        <w:rPr>
          <w:rFonts w:ascii="Times New Roman;serif" w:hAnsi="Times New Roman;serif"/>
          <w:b w:val="false"/>
          <w:i w:val="false"/>
          <w:caps w:val="false"/>
          <w:smallCaps w:val="false"/>
          <w:color w:val="000000"/>
          <w:sz w:val="22"/>
        </w:rPr>
        <w:t>cash and cash equivalents are comprised of both uninvested cash and money market funds. The uninvested cash is valued based on its carrying value, and the money market funds are valued utilizing the net asset value per unit obtained from published market prices.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Funding requirements for qualified defined benefit pension plans are determined by government regulations and not by accounting pronouncements. In accordance with funding rules and the Company’s funding policy, during 2025 our pension contribution is expected to be $3,945.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Company has a 401(k) savings plan, which is a defined contribution plan and covers substantially all employees. The Company makes matching contributions that are based on a percentage of an employee’s contribution, subject to specific limitations, as well as, non-discretionary contributions based on eligible hourly wages for certain union employees, discretionary year-end contributions based on an employee’s eligible compensation, and employer profit sharing contributions. Participants may diversify their Company matching account balances into other investments offered under the 401(k) savings plan. The Company’s contributions, which are recorded as compensation expense, were $24,921, $23,519, and $21,758, for the years ended December 31, 2024, 2023, and 2022, respectively. </w:t>
      </w:r>
    </w:p>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t xml:space="preserve">Note 17 – </w:t>
      </w:r>
      <w:r>
        <w:rPr>
          <w:rFonts w:ascii="Times New Roman;serif" w:hAnsi="Times New Roman;serif"/>
          <w:b/>
          <w:i/>
          <w:sz w:val="22"/>
        </w:rPr>
        <w:t>Rate Activity</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On February 7, 2025, the Pennsylvania Public Utility Commission (“PAPUC”)</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issued an order approving, with certain minor modifications, the joint petition for non-unanimous partial settlement filed by Aqua Pennsylvania, Office of Consumer Advocate and other groups, that allowed a base rate increase designed to increase total annual operating revenues by $73,000. New rates went into effect on February 22, 2025. At the time the rate order was received, the rates in effect also included $37,940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 Distribution System Improvement Charges (“DSIC”), which was 6.73% above prior base rates. Consequently, the aggregate annual base rates increased by $110,940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since the last base rate increase and DSIC was reset to zero.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On November 25, 2024, the Company’s natural gas operating division in Kentucky filed an application with the Kentucky Public Service Commission a rate case designed to increase rates by $10,910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or 19.0% on an annual basis. The Company anticipates a final order to be issued by June 2025.</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On November 21, 2024, Aqua Illinois received an order from the Illinois Commerce Commission designed to provide an increase in revenues of $11,632</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or 11.4% on an annual basis. New rates went into effect on December 5, 2024.</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On October 9, 2024, Aqua New Jersey received an order from the New Jersey Board of Public Utilities that was designed to provide an increase in water rates of $2,250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on an annual basis. The order also approved the recovery of customer-side lead service line replacement costs of $11,535, that have been deferred from April 2021 through June 2024, through the use of a customer surcharge over a three-year period. New rates went into effect on October 15, 2024.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On September 12, 2024, the PAPUC issued an order approving the settlement agreement to the general rate case filed by the Company’s regulated natural gas operating subsidiary, Peoples Natural Gas, that allowed base rate increases designed to increase total annual operating revenues by $93,000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or 11.1%.  At the time the rate order was received, the rates in effect included various surcharges and credits, such as the Distribution System Improvement Charges (“DSIC”) and Tax Cuts and Jobs Act (“TCJA”) amortization credits totaling approximately $21,000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on an annual basis. The order also provided an annualized change in gathering and other operating revenues of approximately $3,000. Consequently, the aggregate annual base rates increased approximately $111,000, as the DSIC was reset to zero, and the TCJA amortization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credit, other surcharges and other operating revenues were adjusted.  New rates went into effect on September 27, 2024.  The order also approved the implementation of a weather normalization adjustment mechanism (WNA), which is applied to customer bills during the heating season of October through May each year.  The weather normalization adjustment mechanism is designed to stabilize our residential and commercial customers’ distribution charges by adjusting billings based on temperature variances from average weather, which effectively decreases rates when the weather is colder than average, and increases rates when the weather is warmer than average.  The Company expects the weather normalization adjustment mechanism to result in reduced earnings volatility during the heating season.  On October 11, 2024, the Pennsylvania Office of the Consumer Advocate (OCA) appealed this rate case to the Commonwealth Court. On February 12, 2025, the Office of Consumer Advocate discontinued its appeal on all but one non-revenue matter which can potentially be resolved through settlement.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On September 12, 2024, the Company’s regulated water and wastewater operating subsidiary in Virginia, Aqua Virginia, received an order from the State Corporation Commission approving an increase in revenues by $5,490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or 23.8% on an annual basis. The Company implemented interim rates in February 2024 and has refunded to customers the difference between interim and final approved rates in December 2024.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On December 13, 2023, the Company’s regulated water and wastewater utility operating divisions in Ohio received an order from the Public Utilities Commission of Ohio designed to increase operating revenues by $4,850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annually. New rates for water and sewer service went into effect on December 13, 2023.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On September 28, 2023, the Company’s regulated water and wastewater operating subsidiary in Texas, Aqua Texas, received a final order from the Public Utility Commission of Texas approving infrastructure rehabilitation surcharges designed to increase revenues by $8,388</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annually. The rates authorized on March 28, 2023 and implemented on an interim basis effective April 1, 2023 did not change with the final order.</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On June 5, 2023, the Company’s regulated water and wastewater operating subsidiary in North Carolina, Aqua North Carolina, received an order from the North Carolina Utilities Commission designed to increase rates by $14,001</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 the first year of new rates being implemented, then by an additional $3,743</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$4,130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in the second and third years, respectively. In February 2023, the Company had implemented interim rates, based on an estimate of the final outcome of the order, and no refunds or additional billings were required for the difference between interim and final approved rates.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On January 3, 2022, the Company’s natural gas operating division in Kentucky received an order from the Kentucky Public Service Commission resulting in an increase of $5,238</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 annual revenues, and new rates went into effect on January 4, 2022. On June 7, 2022, an additional $260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was approved and made effective by the Commission, resulting from a rehearing requested by the operating division.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In addition to the Illinois, New Jersey, Virginia, North Carolina, Ohio, Pennsylvania, and Kentucky base rate awards noted above, the Company’s operating subsidiaries were allowed annualized rate increases of $2,127</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 2024, $1,703</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 2023, and $1,378</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 2022, represented by four, three, and two</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rate decisions, respectively. Revenues recognized in aggregate from all of the base rate increases realized in the year of grant were approximately $34,832, $10,109, and $51,163, in 2024, 2023, and 2022, respectively.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Eight</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states in which the Company operates permit water and wastewater utilities to add a surcharge to their water or wastewater bills to offset the additional depreciation and capital costs related to infrastructure system replacement and rehabilitation projects completed and placed into service between base rate filings. Additionally, Pennsylvania and Kentucky allow for the use of an infrastructure rehabilitation surcharge for natural gas utility systems. The surcharge for infrastructure system replacements and rehabilitations is typically adjusted periodically based on additional qualified capital expenditures completed or anticipated in a future period, is capped as a percentage of base rates, generally at 5% to 12.75%, and is reset to zero</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when new base rates that reflect the costs of those additions become effective or when a utility’s earnings exceed a regulatory benchmark. During 2024, the Company received approval to bill infrastructure rehabilitation surcharges designed to increase total operating revenues on an annual basis by $28,660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in its water and wastewater utility operating divisions in Pennsylvania and Illinois, and $1,170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in its gas utility operating division in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Kentucky. The surcharge for infrastructure system replacements and rehabilitations provided revenues in 2024, 2023, and 2022 of $45,750, $20,261, and $26,902, respectively.</w:t>
      </w:r>
    </w:p>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t xml:space="preserve">Note 18 – </w:t>
      </w:r>
      <w:r>
        <w:rPr>
          <w:rFonts w:ascii="Times New Roman;serif" w:hAnsi="Times New Roman;serif"/>
          <w:b/>
          <w:i/>
          <w:sz w:val="22"/>
        </w:rPr>
        <w:t>Segment Information</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Company identifies a business as an operating segment if: i) it engages in business activities from which it may earn revenues and incur expenses; ii) its operating results are regularly reviewed by the chief operating decision maker (“CODM”), who is the Company’s Chief Executive Officer, to make decisions about resources to be allocated to the segment and assess its performance; and iii) it has available discrete financial information. The CODM reviews financial information, such as budget-to-actual variances and comparisons against prior period, at the operating segment level, and uses that information when making decisions about the allocation of operating and capital resources to each segment. The CODM evaluates the performance of the Company’s reportable segments based on a number of factors, the primary measure being the net income (loss) of each segment.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The Company has eleven</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operating segments and has two</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reportable segments, the Regulated Water segment and the Regulated Natural Gas segment.</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The Regulated Water segment is comprised of eight</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operating segments representing its water and wastewater regulated utility companies, which are organized by the states where the Company provides water and wastewater services. The eight</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water and wastewater utility operating segments are aggregated into one</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reportable segment, because each of these operating segments has the following similarities: economic characteristics, nature of services, production processes, customers, water distribution or wastewater collection methods, and the nature of the regulatory environment. The Regulated Natural Gas segment is comprised of one</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operating segment representing natural gas utility companies for which the Company provides natural gas distribution services. Each reportable segment has a segment manager, the Aqua President for the Regulated Water segment and the Peoples President for the Regulated Natural Gas segment, that reports directly to the CODM.</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In addition to the Company’s two</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reportable segments, it includes two</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operating segments within the Other category below. These segments are not quantitatively significant and are comprised of its non-regulated natural gas operations and Aqua Resources. Non-regulated natural gas operations consist of utility service line protection solutions and repair services to households and the operation of gas marketing and production entities. Aqua Resources offers, through a third party, water and sewer service line protection solutions and repair services to households. In addition to these segments, Other is comprised of business activities not included in the reportable segments, corporate costs that have not been allocated to the Regulated Water and Regulated Natural Gas segments, and intersegment eliminations. Corporate costs include general and administrative expenses, and interest expense. The Company reports these corporate costs within Other as they relate to corporate-focused responsibilities and decisions and are not included in internal measures of segment operating performance used by the Company to measure the underlying performance of the operating segments.</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The accounting policies of the segments are the same as those applied in in the Company’s consolidated financial statements and described in Note 1 – </w:t>
      </w:r>
      <w:r>
        <w:rPr>
          <w:rFonts w:ascii="Times New Roman;serif" w:hAnsi="Times New Roman;serif"/>
          <w:b w:val="false"/>
          <w:i/>
          <w:sz w:val="22"/>
        </w:rPr>
        <w:t>Summary of Significant Policies</w:t>
      </w:r>
      <w:r>
        <w:rPr>
          <w:rFonts w:ascii="Times New Roman;serif" w:hAnsi="Times New Roman;serif"/>
          <w:b w:val="false"/>
          <w:i w:val="false"/>
          <w:caps w:val="false"/>
          <w:smallCaps w:val="false"/>
          <w:sz w:val="22"/>
        </w:rPr>
        <w:t>. Intersegment revenues represent natural gas sales by the Regulated Natural Gas segment to the non-regulated natural gas operations, at cost, which has a corresponding offsetting amount in purchased gas. The reportable segments’ financial results includes intercompany costs that are allocated by corporate and intercompany interest on push-down debt from corporate. All revenues of the Company are generated in the U.S., and all assets of the Company are located in the U.S.</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109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following table presents information about the Company’s reportable segments and reconciliations to consolidated amounts. Asset information by segment is not utilized for purposes of assessing performance or allocating resources and, as a result, such information is not presented: </w:t>
      </w:r>
    </w:p>
    <w:p>
      <w:pPr>
        <w:pStyle w:val="TextBody"/>
        <w:bidi w:val="0"/>
        <w:spacing w:lineRule="auto" w:line="259"/>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7"/>
        <w:gridCol w:w="211"/>
        <w:gridCol w:w="1190"/>
        <w:gridCol w:w="211"/>
        <w:gridCol w:w="1343"/>
        <w:gridCol w:w="211"/>
        <w:gridCol w:w="1530"/>
        <w:gridCol w:w="211"/>
        <w:gridCol w:w="1493"/>
        <w:gridCol w:w="211"/>
        <w:gridCol w:w="1201"/>
        <w:gridCol w:w="156"/>
      </w:tblGrid>
      <w:tr>
        <w:trPr/>
        <w:tc>
          <w:tcPr>
            <w:tcW w:w="2237"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90"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34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530"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49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before="0" w:after="283"/>
              <w:jc w:val="left"/>
              <w:rPr>
                <w:sz w:val="4"/>
                <w:szCs w:val="4"/>
              </w:rPr>
            </w:pPr>
            <w:r>
              <w:rPr>
                <w:sz w:val="4"/>
                <w:szCs w:val="4"/>
              </w:rPr>
            </w:r>
          </w:p>
        </w:tc>
        <w:tc>
          <w:tcPr>
            <w:tcW w:w="156" w:type="dxa"/>
            <w:tcBorders/>
            <w:shd w:fill="FFFFFF" w:val="clear"/>
            <w:vAlign w:val="center"/>
          </w:tcPr>
          <w:p>
            <w:pPr>
              <w:pStyle w:val="TableContents"/>
              <w:bidi w:val="0"/>
              <w:spacing w:before="0" w:after="283"/>
              <w:jc w:val="left"/>
              <w:rPr>
                <w:sz w:val="4"/>
                <w:szCs w:val="4"/>
              </w:rPr>
            </w:pPr>
            <w:r>
              <w:rPr>
                <w:sz w:val="4"/>
                <w:szCs w:val="4"/>
              </w:rPr>
            </w:r>
          </w:p>
        </w:tc>
      </w:tr>
      <w:tr>
        <w:trPr/>
        <w:tc>
          <w:tcPr>
            <w:tcW w:w="2237"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90"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34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530"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49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201" w:type="dxa"/>
            <w:tcBorders/>
            <w:shd w:fill="FFFFFF" w:val="clear"/>
            <w:vAlign w:val="center"/>
          </w:tcPr>
          <w:p>
            <w:pPr>
              <w:pStyle w:val="TableContents"/>
              <w:bidi w:val="0"/>
              <w:spacing w:before="0" w:after="283"/>
              <w:jc w:val="left"/>
              <w:rPr>
                <w:sz w:val="4"/>
                <w:szCs w:val="4"/>
              </w:rPr>
            </w:pPr>
            <w:r>
              <w:rPr>
                <w:sz w:val="4"/>
                <w:szCs w:val="4"/>
              </w:rPr>
            </w:r>
          </w:p>
        </w:tc>
        <w:tc>
          <w:tcPr>
            <w:tcW w:w="156" w:type="dxa"/>
            <w:tcBorders/>
            <w:shd w:fill="FFFFFF" w:val="clear"/>
            <w:vAlign w:val="center"/>
          </w:tcPr>
          <w:p>
            <w:pPr>
              <w:pStyle w:val="TableContents"/>
              <w:bidi w:val="0"/>
              <w:spacing w:before="0" w:after="283"/>
              <w:jc w:val="left"/>
              <w:rPr>
                <w:sz w:val="4"/>
                <w:szCs w:val="4"/>
              </w:rPr>
            </w:pPr>
            <w:r>
              <w:rPr>
                <w:sz w:val="4"/>
                <w:szCs w:val="4"/>
              </w:rPr>
            </w:r>
          </w:p>
        </w:tc>
      </w:tr>
      <w:tr>
        <w:trPr/>
        <w:tc>
          <w:tcPr>
            <w:tcW w:w="2237" w:type="dxa"/>
            <w:tcBorders/>
            <w:shd w:fill="FFFFFF" w:val="clear"/>
            <w:vAlign w:val="center"/>
          </w:tcPr>
          <w:p>
            <w:pPr>
              <w:pStyle w:val="TableContents"/>
              <w:bidi w:val="0"/>
              <w:spacing w:before="0" w:after="283"/>
              <w:jc w:val="left"/>
              <w:rPr>
                <w:sz w:val="4"/>
                <w:szCs w:val="4"/>
              </w:rPr>
            </w:pPr>
            <w:r>
              <w:rPr>
                <w:sz w:val="4"/>
                <w:szCs w:val="4"/>
              </w:rPr>
            </w:r>
          </w:p>
        </w:tc>
        <w:tc>
          <w:tcPr>
            <w:tcW w:w="7812" w:type="dxa"/>
            <w:gridSpan w:val="10"/>
            <w:tcBorders/>
            <w:shd w:fill="FFFFFF" w:val="clear"/>
            <w:vAlign w:val="center"/>
          </w:tcPr>
          <w:p>
            <w:pPr>
              <w:pStyle w:val="TableContents"/>
              <w:bidi w:val="0"/>
              <w:spacing w:before="0" w:after="283"/>
              <w:jc w:val="left"/>
              <w:rPr>
                <w:sz w:val="4"/>
                <w:szCs w:val="4"/>
              </w:rPr>
            </w:pPr>
            <w:r>
              <w:rPr>
                <w:sz w:val="4"/>
                <w:szCs w:val="4"/>
              </w:rPr>
            </w:r>
          </w:p>
        </w:tc>
        <w:tc>
          <w:tcPr>
            <w:tcW w:w="156" w:type="dxa"/>
            <w:tcBorders/>
            <w:shd w:fill="FFFFFF" w:val="clear"/>
            <w:vAlign w:val="center"/>
          </w:tcPr>
          <w:p>
            <w:pPr>
              <w:pStyle w:val="TableContents"/>
              <w:bidi w:val="0"/>
              <w:spacing w:before="0" w:after="283"/>
              <w:jc w:val="left"/>
              <w:rPr>
                <w:sz w:val="4"/>
                <w:szCs w:val="4"/>
              </w:rPr>
            </w:pPr>
            <w:r>
              <w:rPr>
                <w:sz w:val="4"/>
                <w:szCs w:val="4"/>
              </w:rPr>
            </w:r>
          </w:p>
        </w:tc>
      </w:tr>
      <w:tr>
        <w:trPr/>
        <w:tc>
          <w:tcPr>
            <w:tcW w:w="2237" w:type="dxa"/>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2024</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90"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Regulated Water</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343"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Regulated Natural Gas</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530"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Reportable Segments</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493"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and Eliminations</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Consolidated</w:t>
            </w:r>
          </w:p>
        </w:tc>
        <w:tc>
          <w:tcPr>
            <w:tcW w:w="156" w:type="dxa"/>
            <w:tcBorders/>
            <w:shd w:fill="FFFFFF" w:val="clear"/>
            <w:vAlign w:val="center"/>
          </w:tcPr>
          <w:p>
            <w:pPr>
              <w:pStyle w:val="TableContents"/>
              <w:bidi w:val="0"/>
              <w:spacing w:before="0" w:after="283"/>
              <w:jc w:val="left"/>
              <w:rPr>
                <w:sz w:val="4"/>
                <w:szCs w:val="4"/>
              </w:rPr>
            </w:pPr>
            <w:r>
              <w:rPr>
                <w:sz w:val="4"/>
                <w:szCs w:val="4"/>
              </w:rPr>
            </w:r>
          </w:p>
        </w:tc>
      </w:tr>
      <w:tr>
        <w:trPr/>
        <w:tc>
          <w:tcPr>
            <w:tcW w:w="22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Revenues from external customers</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0"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1,221,880</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4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840,453</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30"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2,062,333</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9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23,780</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0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2,086,113</w:t>
            </w:r>
          </w:p>
        </w:tc>
        <w:tc>
          <w:tcPr>
            <w:tcW w:w="156" w:type="dxa"/>
            <w:tcBorders/>
            <w:shd w:fill="CCEEFF" w:val="clear"/>
            <w:vAlign w:val="center"/>
          </w:tcPr>
          <w:p>
            <w:pPr>
              <w:pStyle w:val="TableContents"/>
              <w:bidi w:val="0"/>
              <w:spacing w:before="0" w:after="283"/>
              <w:jc w:val="left"/>
              <w:rPr>
                <w:sz w:val="4"/>
                <w:szCs w:val="4"/>
              </w:rPr>
            </w:pPr>
            <w:r>
              <w:rPr>
                <w:sz w:val="4"/>
                <w:szCs w:val="4"/>
              </w:rPr>
            </w:r>
          </w:p>
        </w:tc>
      </w:tr>
      <w:tr>
        <w:trPr/>
        <w:tc>
          <w:tcPr>
            <w:tcW w:w="22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Intersegment revenues </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90"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134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2,538</w:t>
            </w:r>
          </w:p>
        </w:tc>
        <w:tc>
          <w:tcPr>
            <w:tcW w:w="211" w:type="dxa"/>
            <w:tcBorders/>
            <w:vAlign w:val="center"/>
          </w:tcPr>
          <w:p>
            <w:pPr>
              <w:pStyle w:val="TableContents"/>
              <w:bidi w:val="0"/>
              <w:spacing w:before="0" w:after="283"/>
              <w:jc w:val="left"/>
              <w:rPr>
                <w:sz w:val="4"/>
                <w:szCs w:val="4"/>
              </w:rPr>
            </w:pPr>
            <w:r>
              <w:rPr>
                <w:sz w:val="4"/>
                <w:szCs w:val="4"/>
              </w:rPr>
            </w:r>
          </w:p>
        </w:tc>
        <w:tc>
          <w:tcPr>
            <w:tcW w:w="1530"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2,538</w:t>
            </w:r>
          </w:p>
        </w:tc>
        <w:tc>
          <w:tcPr>
            <w:tcW w:w="211" w:type="dxa"/>
            <w:tcBorders/>
            <w:vAlign w:val="center"/>
          </w:tcPr>
          <w:p>
            <w:pPr>
              <w:pStyle w:val="TableContents"/>
              <w:bidi w:val="0"/>
              <w:spacing w:before="0" w:after="283"/>
              <w:jc w:val="left"/>
              <w:rPr>
                <w:sz w:val="4"/>
                <w:szCs w:val="4"/>
              </w:rPr>
            </w:pPr>
            <w:r>
              <w:rPr>
                <w:sz w:val="4"/>
                <w:szCs w:val="4"/>
              </w:rPr>
            </w:r>
          </w:p>
        </w:tc>
        <w:tc>
          <w:tcPr>
            <w:tcW w:w="1493" w:type="dxa"/>
            <w:tcBorders>
              <w:bottom w:val="single" w:sz="8" w:space="0" w:color="000000"/>
            </w:tcBorders>
            <w:tcMar>
              <w:bottom w:w="28" w:type="dxa"/>
            </w:tcM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(2,538)</w:t>
            </w:r>
          </w:p>
        </w:tc>
        <w:tc>
          <w:tcPr>
            <w:tcW w:w="211" w:type="dxa"/>
            <w:tcBorders/>
            <w:vAlign w:val="center"/>
          </w:tcPr>
          <w:p>
            <w:pPr>
              <w:pStyle w:val="TableContents"/>
              <w:bidi w:val="0"/>
              <w:spacing w:before="0" w:after="283"/>
              <w:jc w:val="left"/>
              <w:rPr>
                <w:sz w:val="4"/>
                <w:szCs w:val="4"/>
              </w:rPr>
            </w:pPr>
            <w:r>
              <w:rPr>
                <w:sz w:val="4"/>
                <w:szCs w:val="4"/>
              </w:rPr>
            </w:r>
          </w:p>
        </w:tc>
        <w:tc>
          <w:tcPr>
            <w:tcW w:w="1201"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2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operating revenues</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0"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1,221,880</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4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842,991</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30"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2,064,871</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9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21,242</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01"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2,086,113</w:t>
            </w:r>
          </w:p>
        </w:tc>
        <w:tc>
          <w:tcPr>
            <w:tcW w:w="156" w:type="dxa"/>
            <w:tcBorders/>
            <w:shd w:fill="CCEEFF" w:val="clear"/>
            <w:vAlign w:val="center"/>
          </w:tcPr>
          <w:p>
            <w:pPr>
              <w:pStyle w:val="TableContents"/>
              <w:bidi w:val="0"/>
              <w:spacing w:before="0" w:after="283"/>
              <w:jc w:val="left"/>
              <w:rPr>
                <w:sz w:val="4"/>
                <w:szCs w:val="4"/>
              </w:rPr>
            </w:pPr>
            <w:r>
              <w:rPr>
                <w:sz w:val="4"/>
                <w:szCs w:val="4"/>
              </w:rPr>
            </w:r>
          </w:p>
        </w:tc>
      </w:tr>
      <w:tr>
        <w:trPr/>
        <w:tc>
          <w:tcPr>
            <w:tcW w:w="22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Operations and maintenance expense</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381,088</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207,176</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3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588,264</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9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(1,014)</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587,250</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2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Purchased gas</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267,226</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3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267,226</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9,783</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277,009</w:t>
            </w:r>
          </w:p>
        </w:tc>
        <w:tc>
          <w:tcPr>
            <w:tcW w:w="156" w:type="dxa"/>
            <w:tcBorders/>
            <w:shd w:fill="CCEEFF" w:val="clear"/>
            <w:vAlign w:val="center"/>
          </w:tcPr>
          <w:p>
            <w:pPr>
              <w:pStyle w:val="TableContents"/>
              <w:bidi w:val="0"/>
              <w:spacing w:before="0" w:after="283"/>
              <w:jc w:val="left"/>
              <w:rPr>
                <w:sz w:val="4"/>
                <w:szCs w:val="4"/>
              </w:rPr>
            </w:pPr>
            <w:r>
              <w:rPr>
                <w:sz w:val="4"/>
                <w:szCs w:val="4"/>
              </w:rPr>
            </w:r>
          </w:p>
        </w:tc>
      </w:tr>
      <w:tr>
        <w:trPr/>
        <w:tc>
          <w:tcPr>
            <w:tcW w:w="22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232,338</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135,814</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3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368,152</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9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1,400</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369,552</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2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other than income taxes</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68,006</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22,985</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3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90,991</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3,643</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94,634</w:t>
            </w:r>
          </w:p>
        </w:tc>
        <w:tc>
          <w:tcPr>
            <w:tcW w:w="156" w:type="dxa"/>
            <w:tcBorders/>
            <w:shd w:fill="CCEEFF" w:val="clear"/>
            <w:vAlign w:val="center"/>
          </w:tcPr>
          <w:p>
            <w:pPr>
              <w:pStyle w:val="TableContents"/>
              <w:bidi w:val="0"/>
              <w:spacing w:before="0" w:after="283"/>
              <w:jc w:val="left"/>
              <w:rPr>
                <w:sz w:val="4"/>
                <w:szCs w:val="4"/>
              </w:rPr>
            </w:pPr>
            <w:r>
              <w:rPr>
                <w:sz w:val="4"/>
                <w:szCs w:val="4"/>
              </w:rPr>
            </w:r>
          </w:p>
        </w:tc>
      </w:tr>
      <w:tr>
        <w:trPr/>
        <w:tc>
          <w:tcPr>
            <w:tcW w:w="22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Interest expense, net</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140,086</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4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92,988</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3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233,074</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9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66,075</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299,149</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2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Allowance for funds used during construction</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0"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(16,713)</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4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(4,597)</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30"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(21,310)</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0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(21,310)</w:t>
            </w:r>
          </w:p>
        </w:tc>
        <w:tc>
          <w:tcPr>
            <w:tcW w:w="156" w:type="dxa"/>
            <w:tcBorders/>
            <w:shd w:fill="CCEEFF" w:val="clear"/>
            <w:vAlign w:val="center"/>
          </w:tcPr>
          <w:p>
            <w:pPr>
              <w:pStyle w:val="TableContents"/>
              <w:bidi w:val="0"/>
              <w:spacing w:before="0" w:after="283"/>
              <w:jc w:val="left"/>
              <w:rPr>
                <w:sz w:val="4"/>
                <w:szCs w:val="4"/>
              </w:rPr>
            </w:pPr>
            <w:r>
              <w:rPr>
                <w:sz w:val="4"/>
                <w:szCs w:val="4"/>
              </w:rPr>
            </w:r>
          </w:p>
        </w:tc>
      </w:tr>
      <w:tr>
        <w:trPr/>
        <w:tc>
          <w:tcPr>
            <w:tcW w:w="2237" w:type="dxa"/>
            <w:tcBorders/>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 xml:space="preserve">Loss (gain) on sale of assets </w:t>
            </w:r>
            <w:r>
              <w:rPr>
                <w:rFonts w:ascii="Times New Roman;serif" w:hAnsi="Times New Roman;serif"/>
                <w:b w:val="false"/>
                <w:i w:val="false"/>
                <w:caps w:val="false"/>
                <w:smallCaps w:val="false"/>
                <w:color w:val="000000"/>
                <w:position w:val="7"/>
                <w:sz w:val="16"/>
                <w:sz w:val="20"/>
              </w:rPr>
              <w:t>(a)</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0"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(636)</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4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(91,581)</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30"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(92,217)</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9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0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(92,224)</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237"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 xml:space="preserve">Other segment items </w:t>
            </w:r>
            <w:r>
              <w:rPr>
                <w:rFonts w:ascii="Times New Roman;serif" w:hAnsi="Times New Roman;serif"/>
                <w:b w:val="false"/>
                <w:i w:val="false"/>
                <w:caps w:val="false"/>
                <w:smallCaps w:val="false"/>
                <w:color w:val="000000"/>
                <w:position w:val="7"/>
                <w:sz w:val="16"/>
                <w:sz w:val="20"/>
              </w:rPr>
              <w:t>(b)</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0"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(1,445)</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4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(644)</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30"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(2,089)</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9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664</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01"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(1,425)</w:t>
            </w:r>
          </w:p>
        </w:tc>
        <w:tc>
          <w:tcPr>
            <w:tcW w:w="156" w:type="dxa"/>
            <w:tcBorders/>
            <w:shd w:fill="CCEEFF" w:val="clear"/>
            <w:vAlign w:val="center"/>
          </w:tcPr>
          <w:p>
            <w:pPr>
              <w:pStyle w:val="TableContents"/>
              <w:bidi w:val="0"/>
              <w:spacing w:before="0" w:after="283"/>
              <w:jc w:val="left"/>
              <w:rPr>
                <w:sz w:val="4"/>
                <w:szCs w:val="4"/>
              </w:rPr>
            </w:pPr>
            <w:r>
              <w:rPr>
                <w:sz w:val="4"/>
                <w:szCs w:val="4"/>
              </w:rPr>
            </w:r>
          </w:p>
        </w:tc>
      </w:tr>
      <w:tr>
        <w:trPr/>
        <w:tc>
          <w:tcPr>
            <w:tcW w:w="22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 (benefit)</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68,851</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4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(79,993)</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30"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(11,142)</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93"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(10,694)</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01"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(21,836)</w:t>
            </w:r>
          </w:p>
        </w:tc>
        <w:tc>
          <w:tcPr>
            <w:tcW w:w="156" w:type="dxa"/>
            <w:tcBorders/>
            <w:vAlign w:val="center"/>
          </w:tcPr>
          <w:p>
            <w:pPr>
              <w:pStyle w:val="TableContents"/>
              <w:bidi w:val="0"/>
              <w:spacing w:before="0" w:after="283"/>
              <w:jc w:val="left"/>
              <w:rPr>
                <w:sz w:val="4"/>
                <w:szCs w:val="4"/>
              </w:rPr>
            </w:pPr>
            <w:r>
              <w:rPr>
                <w:sz w:val="4"/>
                <w:szCs w:val="4"/>
              </w:rPr>
            </w:r>
          </w:p>
        </w:tc>
      </w:tr>
      <w:tr>
        <w:trPr/>
        <w:tc>
          <w:tcPr>
            <w:tcW w:w="22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350,305</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4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293,617</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3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643,922</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9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(48,608)</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01"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595,314</w:t>
            </w:r>
          </w:p>
        </w:tc>
        <w:tc>
          <w:tcPr>
            <w:tcW w:w="156" w:type="dxa"/>
            <w:tcBorders/>
            <w:shd w:fill="CCEEFF" w:val="clear"/>
            <w:vAlign w:val="center"/>
          </w:tcPr>
          <w:p>
            <w:pPr>
              <w:pStyle w:val="TableContents"/>
              <w:bidi w:val="0"/>
              <w:spacing w:before="0" w:after="283"/>
              <w:jc w:val="left"/>
              <w:rPr>
                <w:sz w:val="4"/>
                <w:szCs w:val="4"/>
              </w:rPr>
            </w:pPr>
            <w:r>
              <w:rPr>
                <w:sz w:val="4"/>
                <w:szCs w:val="4"/>
              </w:rPr>
            </w:r>
          </w:p>
        </w:tc>
      </w:tr>
      <w:tr>
        <w:trPr/>
        <w:tc>
          <w:tcPr>
            <w:tcW w:w="223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 expenditures</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0"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726,698</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4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603,049</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3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1,329,747</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493"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01"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1,329,747</w:t>
            </w:r>
          </w:p>
        </w:tc>
        <w:tc>
          <w:tcPr>
            <w:tcW w:w="1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0" w:type="dxa"/>
          <w:left w:w="0" w:type="dxa"/>
          <w:bottom w:w="0" w:type="dxa"/>
          <w:right w:w="0" w:type="dxa"/>
        </w:tblCellMar>
      </w:tblPr>
      <w:tblGrid>
        <w:gridCol w:w="2283"/>
        <w:gridCol w:w="211"/>
        <w:gridCol w:w="1199"/>
        <w:gridCol w:w="211"/>
        <w:gridCol w:w="1360"/>
        <w:gridCol w:w="211"/>
        <w:gridCol w:w="1552"/>
        <w:gridCol w:w="211"/>
        <w:gridCol w:w="1507"/>
        <w:gridCol w:w="211"/>
        <w:gridCol w:w="1249"/>
      </w:tblGrid>
      <w:tr>
        <w:trPr/>
        <w:tc>
          <w:tcPr>
            <w:tcW w:w="228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9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360"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552"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507"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249" w:type="dxa"/>
            <w:tcBorders/>
            <w:shd w:fill="FFFFFF" w:val="clear"/>
            <w:vAlign w:val="center"/>
          </w:tcPr>
          <w:p>
            <w:pPr>
              <w:pStyle w:val="TableContents"/>
              <w:bidi w:val="0"/>
              <w:spacing w:before="0" w:after="283"/>
              <w:jc w:val="left"/>
              <w:rPr>
                <w:sz w:val="4"/>
                <w:szCs w:val="4"/>
              </w:rPr>
            </w:pPr>
            <w:r>
              <w:rPr>
                <w:sz w:val="4"/>
                <w:szCs w:val="4"/>
              </w:rPr>
            </w:r>
          </w:p>
        </w:tc>
      </w:tr>
      <w:tr>
        <w:trPr/>
        <w:tc>
          <w:tcPr>
            <w:tcW w:w="2283" w:type="dxa"/>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2023</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99"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Regulated Water</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360"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Regulated Natural Gas</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552"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Reportable Segments</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507"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and Eliminations</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49"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Consolidated</w:t>
            </w:r>
          </w:p>
        </w:tc>
      </w:tr>
      <w:tr>
        <w:trPr/>
        <w:tc>
          <w:tcPr>
            <w:tcW w:w="22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Revenues from external customers</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9"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1,153,376</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60"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860,586</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52"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2,013,962</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7"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39,862</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2,053,824</w:t>
            </w:r>
          </w:p>
        </w:tc>
      </w:tr>
      <w:tr>
        <w:trPr/>
        <w:tc>
          <w:tcPr>
            <w:tcW w:w="228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Intersegment revenues </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99"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1360" w:type="dxa"/>
            <w:tcBorders>
              <w:bottom w:val="single" w:sz="8" w:space="0" w:color="000000"/>
            </w:tcBorders>
            <w:tcMar>
              <w:bottom w:w="28" w:type="dxa"/>
            </w:tcMar>
            <w:vAlign w:val="center"/>
          </w:tcPr>
          <w:p>
            <w:pPr>
              <w:pStyle w:val="TableContents"/>
              <w:bidi w:val="0"/>
              <w:spacing w:lineRule="auto" w:line="259" w:before="0" w:after="283"/>
              <w:ind w:left="0" w:right="86"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3,173</w:t>
            </w:r>
          </w:p>
        </w:tc>
        <w:tc>
          <w:tcPr>
            <w:tcW w:w="211" w:type="dxa"/>
            <w:tcBorders/>
            <w:vAlign w:val="center"/>
          </w:tcPr>
          <w:p>
            <w:pPr>
              <w:pStyle w:val="TableContents"/>
              <w:bidi w:val="0"/>
              <w:spacing w:before="0" w:after="283"/>
              <w:jc w:val="left"/>
              <w:rPr>
                <w:sz w:val="4"/>
                <w:szCs w:val="4"/>
              </w:rPr>
            </w:pPr>
            <w:r>
              <w:rPr>
                <w:sz w:val="4"/>
                <w:szCs w:val="4"/>
              </w:rPr>
            </w:r>
          </w:p>
        </w:tc>
        <w:tc>
          <w:tcPr>
            <w:tcW w:w="1552"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3,173</w:t>
            </w:r>
          </w:p>
        </w:tc>
        <w:tc>
          <w:tcPr>
            <w:tcW w:w="211" w:type="dxa"/>
            <w:tcBorders/>
            <w:vAlign w:val="center"/>
          </w:tcPr>
          <w:p>
            <w:pPr>
              <w:pStyle w:val="TableContents"/>
              <w:bidi w:val="0"/>
              <w:spacing w:before="0" w:after="283"/>
              <w:jc w:val="left"/>
              <w:rPr>
                <w:sz w:val="4"/>
                <w:szCs w:val="4"/>
              </w:rPr>
            </w:pPr>
            <w:r>
              <w:rPr>
                <w:sz w:val="4"/>
                <w:szCs w:val="4"/>
              </w:rPr>
            </w:r>
          </w:p>
        </w:tc>
        <w:tc>
          <w:tcPr>
            <w:tcW w:w="1507"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(3,173)</w:t>
            </w:r>
          </w:p>
        </w:tc>
        <w:tc>
          <w:tcPr>
            <w:tcW w:w="211" w:type="dxa"/>
            <w:tcBorders/>
            <w:vAlign w:val="center"/>
          </w:tcPr>
          <w:p>
            <w:pPr>
              <w:pStyle w:val="TableContents"/>
              <w:bidi w:val="0"/>
              <w:spacing w:before="0" w:after="283"/>
              <w:jc w:val="left"/>
              <w:rPr>
                <w:sz w:val="4"/>
                <w:szCs w:val="4"/>
              </w:rPr>
            </w:pPr>
            <w:r>
              <w:rPr>
                <w:sz w:val="4"/>
                <w:szCs w:val="4"/>
              </w:rPr>
            </w:r>
          </w:p>
        </w:tc>
        <w:tc>
          <w:tcPr>
            <w:tcW w:w="1249"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2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operating revenues</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9"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1,153,376</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60"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863,759</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52"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2,017,135</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7"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36,689</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2,053,824</w:t>
            </w:r>
          </w:p>
        </w:tc>
      </w:tr>
      <w:tr>
        <w:trPr/>
        <w:tc>
          <w:tcPr>
            <w:tcW w:w="228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Operations and maintenance expense</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368,843</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6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209,073</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52"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577,916</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7"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(2,398)</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575,518</w:t>
            </w:r>
          </w:p>
        </w:tc>
      </w:tr>
      <w:tr>
        <w:trPr/>
        <w:tc>
          <w:tcPr>
            <w:tcW w:w="22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Purchased gas</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6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327,548</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52"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327,548</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24,758</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352,306</w:t>
            </w:r>
          </w:p>
        </w:tc>
      </w:tr>
      <w:tr>
        <w:trPr/>
        <w:tc>
          <w:tcPr>
            <w:tcW w:w="228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217,593</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6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125,263</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52"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342,856</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839</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343,695</w:t>
            </w:r>
          </w:p>
        </w:tc>
      </w:tr>
      <w:tr>
        <w:trPr/>
        <w:tc>
          <w:tcPr>
            <w:tcW w:w="22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other than income taxes</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62,759</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6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23,846</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52"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86,605</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3,603</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90,208</w:t>
            </w:r>
          </w:p>
        </w:tc>
      </w:tr>
      <w:tr>
        <w:trPr/>
        <w:tc>
          <w:tcPr>
            <w:tcW w:w="228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Interest expense, net </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124,680</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6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92,320</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52"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217,000</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62,961</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279,961</w:t>
            </w:r>
          </w:p>
        </w:tc>
      </w:tr>
      <w:tr>
        <w:trPr/>
        <w:tc>
          <w:tcPr>
            <w:tcW w:w="22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Allowance for funds used during construction</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9"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(14,786)</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60"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(2,181)</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52"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(16,967)</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(16,967)</w:t>
            </w:r>
          </w:p>
        </w:tc>
      </w:tr>
      <w:tr>
        <w:trPr/>
        <w:tc>
          <w:tcPr>
            <w:tcW w:w="228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Loss (gain) on sale of assets</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9"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(624)</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6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559</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52"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w:t>
            </w:r>
          </w:p>
        </w:tc>
      </w:tr>
      <w:tr>
        <w:trPr/>
        <w:tc>
          <w:tcPr>
            <w:tcW w:w="2283"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 xml:space="preserve">Other segment items </w:t>
            </w:r>
            <w:r>
              <w:rPr>
                <w:rFonts w:ascii="Times New Roman;serif" w:hAnsi="Times New Roman;serif"/>
                <w:b w:val="false"/>
                <w:i w:val="false"/>
                <w:caps w:val="false"/>
                <w:smallCaps w:val="false"/>
                <w:color w:val="000000"/>
                <w:position w:val="7"/>
                <w:sz w:val="16"/>
                <w:sz w:val="20"/>
              </w:rPr>
              <w:t>(b)</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9"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(3,596)</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6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121</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52"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(3,475)</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7"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862</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(2,613)</w:t>
            </w:r>
          </w:p>
        </w:tc>
      </w:tr>
      <w:tr>
        <w:trPr/>
        <w:tc>
          <w:tcPr>
            <w:tcW w:w="228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 (benefit)</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57,546</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60"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(113,353)</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52"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(55,807)</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7"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(10,638)</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(66,445)</w:t>
            </w:r>
          </w:p>
        </w:tc>
      </w:tr>
      <w:tr>
        <w:trPr/>
        <w:tc>
          <w:tcPr>
            <w:tcW w:w="2283"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Net income (loss) </w:t>
            </w:r>
          </w:p>
        </w:tc>
        <w:tc>
          <w:tcPr>
            <w:tcW w:w="21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340,961</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60"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200,563</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52"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541,524</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7"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(43,298)</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498,226</w:t>
            </w:r>
          </w:p>
        </w:tc>
      </w:tr>
      <w:tr>
        <w:trPr/>
        <w:tc>
          <w:tcPr>
            <w:tcW w:w="2283"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 expenditures</w:t>
            </w:r>
          </w:p>
        </w:tc>
        <w:tc>
          <w:tcPr>
            <w:tcW w:w="21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668,720</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60"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527,538</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52"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1,196,258</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7"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2,845</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1,199,103</w:t>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ESSENTIAL UTILITIES, INC. AND SUBSIDIARIES</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Notes to Consolidated Financial Statements (continued)</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(In thousands of dollars, except per share amounts)</w:t>
      </w:r>
    </w:p>
    <w:p>
      <w:pPr>
        <w:pStyle w:val="TextBody"/>
        <w:bidi w:val="0"/>
        <w:spacing w:lineRule="auto" w:line="259"/>
        <w:jc w:val="center"/>
        <w:rPr>
          <w:caps w:val="false"/>
          <w:smallCaps w:val="false"/>
          <w:color w:val="000000"/>
        </w:rPr>
      </w:pPr>
      <w:r>
        <w:rPr>
          <w:caps w:val="false"/>
          <w:smallCaps w:val="false"/>
          <w:color w:val="000000"/>
        </w:rPr>
        <w:t> </w:t>
      </w:r>
    </w:p>
    <w:tbl>
      <w:tblPr>
        <w:tblW w:w="10205" w:type="dxa"/>
        <w:jc w:val="left"/>
        <w:tblInd w:w="0" w:type="dxa"/>
        <w:tblLayout w:type="fixed"/>
        <w:tblCellMar>
          <w:top w:w="0" w:type="dxa"/>
          <w:left w:w="0" w:type="dxa"/>
          <w:bottom w:w="0" w:type="dxa"/>
          <w:right w:w="0" w:type="dxa"/>
        </w:tblCellMar>
      </w:tblPr>
      <w:tblGrid>
        <w:gridCol w:w="2269"/>
        <w:gridCol w:w="211"/>
        <w:gridCol w:w="1196"/>
        <w:gridCol w:w="211"/>
        <w:gridCol w:w="1388"/>
        <w:gridCol w:w="211"/>
        <w:gridCol w:w="1545"/>
        <w:gridCol w:w="211"/>
        <w:gridCol w:w="1503"/>
        <w:gridCol w:w="211"/>
        <w:gridCol w:w="1249"/>
      </w:tblGrid>
      <w:tr>
        <w:trPr/>
        <w:tc>
          <w:tcPr>
            <w:tcW w:w="2269"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196"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388"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545"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503" w:type="dxa"/>
            <w:tcBorders/>
            <w:shd w:fill="FFFFFF" w:val="clear"/>
            <w:vAlign w:val="center"/>
          </w:tcPr>
          <w:p>
            <w:pPr>
              <w:pStyle w:val="TableContents"/>
              <w:bidi w:val="0"/>
              <w:spacing w:before="0" w:after="283"/>
              <w:jc w:val="left"/>
              <w:rPr>
                <w:sz w:val="4"/>
                <w:szCs w:val="4"/>
              </w:rPr>
            </w:pPr>
            <w:r>
              <w:rPr>
                <w:sz w:val="4"/>
                <w:szCs w:val="4"/>
              </w:rPr>
            </w:r>
          </w:p>
        </w:tc>
        <w:tc>
          <w:tcPr>
            <w:tcW w:w="211" w:type="dxa"/>
            <w:tcBorders/>
            <w:shd w:fill="FFFFFF" w:val="clear"/>
            <w:vAlign w:val="center"/>
          </w:tcPr>
          <w:p>
            <w:pPr>
              <w:pStyle w:val="TableContents"/>
              <w:bidi w:val="0"/>
              <w:spacing w:before="0" w:after="283"/>
              <w:jc w:val="left"/>
              <w:rPr>
                <w:sz w:val="4"/>
                <w:szCs w:val="4"/>
              </w:rPr>
            </w:pPr>
            <w:r>
              <w:rPr>
                <w:sz w:val="4"/>
                <w:szCs w:val="4"/>
              </w:rPr>
            </w:r>
          </w:p>
        </w:tc>
        <w:tc>
          <w:tcPr>
            <w:tcW w:w="1249" w:type="dxa"/>
            <w:tcBorders/>
            <w:shd w:fill="FFFFFF" w:val="clear"/>
            <w:vAlign w:val="center"/>
          </w:tcPr>
          <w:p>
            <w:pPr>
              <w:pStyle w:val="TableContents"/>
              <w:bidi w:val="0"/>
              <w:spacing w:before="0" w:after="283"/>
              <w:jc w:val="left"/>
              <w:rPr>
                <w:sz w:val="4"/>
                <w:szCs w:val="4"/>
              </w:rPr>
            </w:pPr>
            <w:r>
              <w:rPr>
                <w:sz w:val="4"/>
                <w:szCs w:val="4"/>
              </w:rPr>
            </w:r>
          </w:p>
        </w:tc>
      </w:tr>
      <w:tr>
        <w:trPr/>
        <w:tc>
          <w:tcPr>
            <w:tcW w:w="2269" w:type="dxa"/>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color w:val="000000"/>
                <w:sz w:val="20"/>
              </w:rPr>
            </w:pPr>
            <w:r>
              <w:rPr>
                <w:rFonts w:ascii="Times New Roman;serif" w:hAnsi="Times New Roman;serif"/>
                <w:b/>
                <w:i w:val="false"/>
                <w:caps w:val="false"/>
                <w:smallCaps w:val="false"/>
                <w:color w:val="000000"/>
                <w:sz w:val="20"/>
              </w:rPr>
              <w:t>2022</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196"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Regulated Water</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388"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Regulated Natural Gas</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545"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Reportable Segments</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503"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Other and Eliminations</w:t>
            </w:r>
          </w:p>
        </w:tc>
        <w:tc>
          <w:tcPr>
            <w:tcW w:w="211"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249"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Consolidated</w:t>
            </w:r>
          </w:p>
        </w:tc>
      </w:tr>
      <w:tr>
        <w:trPr/>
        <w:tc>
          <w:tcPr>
            <w:tcW w:w="2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Revenues from external customers</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1,082,972</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8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1,139,570</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5"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2,222,542</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65,490</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2,288,032</w:t>
            </w:r>
          </w:p>
        </w:tc>
      </w:tr>
      <w:tr>
        <w:trPr/>
        <w:tc>
          <w:tcPr>
            <w:tcW w:w="22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Intersegment revenues </w:t>
            </w:r>
          </w:p>
        </w:tc>
        <w:tc>
          <w:tcPr>
            <w:tcW w:w="21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96"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before="0" w:after="283"/>
              <w:jc w:val="left"/>
              <w:rPr>
                <w:sz w:val="4"/>
                <w:szCs w:val="4"/>
              </w:rPr>
            </w:pPr>
            <w:r>
              <w:rPr>
                <w:sz w:val="4"/>
                <w:szCs w:val="4"/>
              </w:rPr>
            </w:r>
          </w:p>
        </w:tc>
        <w:tc>
          <w:tcPr>
            <w:tcW w:w="1388" w:type="dxa"/>
            <w:tcBorders>
              <w:bottom w:val="single" w:sz="8" w:space="0" w:color="000000"/>
            </w:tcBorders>
            <w:tcMar>
              <w:bottom w:w="28" w:type="dxa"/>
            </w:tcMar>
            <w:vAlign w:val="center"/>
          </w:tcPr>
          <w:p>
            <w:pPr>
              <w:pStyle w:val="TableContents"/>
              <w:bidi w:val="0"/>
              <w:spacing w:lineRule="auto" w:line="259" w:before="0" w:after="283"/>
              <w:ind w:left="0" w:right="86"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3,792</w:t>
            </w:r>
          </w:p>
        </w:tc>
        <w:tc>
          <w:tcPr>
            <w:tcW w:w="211" w:type="dxa"/>
            <w:tcBorders/>
            <w:vAlign w:val="center"/>
          </w:tcPr>
          <w:p>
            <w:pPr>
              <w:pStyle w:val="TableContents"/>
              <w:bidi w:val="0"/>
              <w:spacing w:before="0" w:after="283"/>
              <w:jc w:val="left"/>
              <w:rPr>
                <w:sz w:val="4"/>
                <w:szCs w:val="4"/>
              </w:rPr>
            </w:pPr>
            <w:r>
              <w:rPr>
                <w:sz w:val="4"/>
                <w:szCs w:val="4"/>
              </w:rPr>
            </w:r>
          </w:p>
        </w:tc>
        <w:tc>
          <w:tcPr>
            <w:tcW w:w="1545" w:type="dxa"/>
            <w:tcBorders>
              <w:bottom w:val="single" w:sz="8" w:space="0" w:color="000000"/>
            </w:tcBorders>
            <w:tcMar>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3,792</w:t>
            </w:r>
          </w:p>
        </w:tc>
        <w:tc>
          <w:tcPr>
            <w:tcW w:w="211" w:type="dxa"/>
            <w:tcBorders/>
            <w:vAlign w:val="center"/>
          </w:tcPr>
          <w:p>
            <w:pPr>
              <w:pStyle w:val="TableContents"/>
              <w:bidi w:val="0"/>
              <w:spacing w:before="0" w:after="283"/>
              <w:jc w:val="left"/>
              <w:rPr>
                <w:sz w:val="4"/>
                <w:szCs w:val="4"/>
              </w:rPr>
            </w:pPr>
            <w:r>
              <w:rPr>
                <w:sz w:val="4"/>
                <w:szCs w:val="4"/>
              </w:rPr>
            </w:r>
          </w:p>
        </w:tc>
        <w:tc>
          <w:tcPr>
            <w:tcW w:w="1503"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(3,792)</w:t>
            </w:r>
          </w:p>
        </w:tc>
        <w:tc>
          <w:tcPr>
            <w:tcW w:w="211" w:type="dxa"/>
            <w:tcBorders/>
            <w:vAlign w:val="center"/>
          </w:tcPr>
          <w:p>
            <w:pPr>
              <w:pStyle w:val="TableContents"/>
              <w:bidi w:val="0"/>
              <w:spacing w:before="0" w:after="283"/>
              <w:jc w:val="left"/>
              <w:rPr>
                <w:sz w:val="4"/>
                <w:szCs w:val="4"/>
              </w:rPr>
            </w:pPr>
            <w:r>
              <w:rPr>
                <w:sz w:val="4"/>
                <w:szCs w:val="4"/>
              </w:rPr>
            </w:r>
          </w:p>
        </w:tc>
        <w:tc>
          <w:tcPr>
            <w:tcW w:w="1249"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r>
      <w:tr>
        <w:trPr/>
        <w:tc>
          <w:tcPr>
            <w:tcW w:w="2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Total operating revenues</w:t>
            </w:r>
          </w:p>
        </w:tc>
        <w:tc>
          <w:tcPr>
            <w:tcW w:w="21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6"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1,082,972</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88"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1,143,362</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5"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2,226,334</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3"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61,698</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top w:val="single" w:sz="8" w:space="0" w:color="000000"/>
            </w:tcBorders>
            <w:shd w:fill="CCEEFF" w:val="clear"/>
            <w:tcMar>
              <w:top w:w="28" w:type="dxa"/>
            </w:tcM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2,288,032</w:t>
            </w:r>
          </w:p>
        </w:tc>
      </w:tr>
      <w:tr>
        <w:trPr/>
        <w:tc>
          <w:tcPr>
            <w:tcW w:w="22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Operations and maintenance expense</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370,850</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239,506</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610,356</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3,293</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613,649</w:t>
            </w:r>
          </w:p>
        </w:tc>
      </w:tr>
      <w:tr>
        <w:trPr/>
        <w:tc>
          <w:tcPr>
            <w:tcW w:w="2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Purchased gas</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551,009</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551,009</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50,986</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601,995</w:t>
            </w:r>
          </w:p>
        </w:tc>
      </w:tr>
      <w:tr>
        <w:trPr/>
        <w:tc>
          <w:tcPr>
            <w:tcW w:w="22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Depreciation and amortization</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201,392</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118,955</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320,347</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830</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321,177</w:t>
            </w:r>
          </w:p>
        </w:tc>
      </w:tr>
      <w:tr>
        <w:trPr/>
        <w:tc>
          <w:tcPr>
            <w:tcW w:w="2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Taxes other than income taxes</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64,472</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22,642</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87,114</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2,910</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90,024</w:t>
            </w:r>
          </w:p>
        </w:tc>
      </w:tr>
      <w:tr>
        <w:trPr/>
        <w:tc>
          <w:tcPr>
            <w:tcW w:w="22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 xml:space="preserve">Interest expense, net </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111,938</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87,186</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199,124</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35,317</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234,441</w:t>
            </w:r>
          </w:p>
        </w:tc>
      </w:tr>
      <w:tr>
        <w:trPr/>
        <w:tc>
          <w:tcPr>
            <w:tcW w:w="2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Allowance for funds used during construction</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(20,950)</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88"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(2,715)</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5"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(23,665)</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(23,665)</w:t>
            </w:r>
          </w:p>
        </w:tc>
      </w:tr>
      <w:tr>
        <w:trPr/>
        <w:tc>
          <w:tcPr>
            <w:tcW w:w="22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Loss (gain) on sale of assets</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6"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(991)</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5"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(991)</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(991)</w:t>
            </w:r>
          </w:p>
        </w:tc>
      </w:tr>
      <w:tr>
        <w:trPr/>
        <w:tc>
          <w:tcPr>
            <w:tcW w:w="2269" w:type="dxa"/>
            <w:tcBorders/>
            <w:shd w:fill="CCEEFF" w:val="clear"/>
            <w:vAlign w:val="center"/>
          </w:tcPr>
          <w:p>
            <w:pPr>
              <w:pStyle w:val="TableContents"/>
              <w:bidi w:val="0"/>
              <w:spacing w:lineRule="auto" w:line="259" w:before="0" w:after="283"/>
              <w:jc w:val="left"/>
              <w:rPr>
                <w:rFonts w:ascii="Times New Roman;serif" w:hAnsi="Times New Roman;serif"/>
                <w:sz w:val="20"/>
              </w:rPr>
            </w:pPr>
            <w:r>
              <w:rPr>
                <w:rFonts w:ascii="Times New Roman;serif" w:hAnsi="Times New Roman;serif"/>
                <w:b w:val="false"/>
                <w:i w:val="false"/>
                <w:caps w:val="false"/>
                <w:smallCaps w:val="false"/>
                <w:color w:val="000000"/>
                <w:sz w:val="20"/>
              </w:rPr>
              <w:t xml:space="preserve">Other segment items </w:t>
            </w:r>
            <w:r>
              <w:rPr>
                <w:rFonts w:ascii="Times New Roman;serif" w:hAnsi="Times New Roman;serif"/>
                <w:b w:val="false"/>
                <w:i w:val="false"/>
                <w:caps w:val="false"/>
                <w:smallCaps w:val="false"/>
                <w:color w:val="000000"/>
                <w:position w:val="7"/>
                <w:sz w:val="16"/>
                <w:sz w:val="20"/>
              </w:rPr>
              <w:t>(b)</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6"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(5,601)</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3,445</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5"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(2,156)</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3"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2,650</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494</w:t>
            </w:r>
          </w:p>
        </w:tc>
      </w:tr>
      <w:tr>
        <w:trPr/>
        <w:tc>
          <w:tcPr>
            <w:tcW w:w="22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Provision for income taxes (benefit)</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47,510</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88"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(61,942)</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5"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(14,432)</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103</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(14,329)</w:t>
            </w:r>
          </w:p>
        </w:tc>
      </w:tr>
      <w:tr>
        <w:trPr/>
        <w:tc>
          <w:tcPr>
            <w:tcW w:w="226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Net income (loss)</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6"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314,352</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88"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185,276</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5"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499,628</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3" w:type="dxa"/>
            <w:tcBorders/>
            <w:shd w:fill="CCEEFF" w:val="clear"/>
            <w:vAlign w:val="center"/>
          </w:tcPr>
          <w:p>
            <w:pPr>
              <w:pStyle w:val="TableContents"/>
              <w:bidi w:val="0"/>
              <w:spacing w:lineRule="auto" w:line="259" w:before="0" w:after="283"/>
              <w:ind w:left="0" w:right="0"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(34,391)</w:t>
            </w:r>
          </w:p>
        </w:tc>
        <w:tc>
          <w:tcPr>
            <w:tcW w:w="211" w:type="dxa"/>
            <w:tcBorders/>
            <w:shd w:fill="CCEEFF" w:val="cle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shd w:fill="CCEEFF" w:val="clear"/>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465,237</w:t>
            </w:r>
          </w:p>
        </w:tc>
      </w:tr>
      <w:tr>
        <w:trPr/>
        <w:tc>
          <w:tcPr>
            <w:tcW w:w="2269"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Capital expenditures</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196"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576,314</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388"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479,335</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45"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1,055,649</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503"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7,114</w:t>
            </w:r>
          </w:p>
        </w:tc>
        <w:tc>
          <w:tcPr>
            <w:tcW w:w="211" w:type="dxa"/>
            <w:tcBorders/>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w:t>
            </w:r>
          </w:p>
        </w:tc>
        <w:tc>
          <w:tcPr>
            <w:tcW w:w="1249" w:type="dxa"/>
            <w:tcBorders/>
            <w:vAlign w:val="center"/>
          </w:tcPr>
          <w:p>
            <w:pPr>
              <w:pStyle w:val="TableContents"/>
              <w:bidi w:val="0"/>
              <w:spacing w:lineRule="auto" w:line="259" w:before="0" w:after="283"/>
              <w:ind w:left="0" w:right="72" w:hanging="0"/>
              <w:jc w:val="right"/>
              <w:rPr>
                <w:rFonts w:ascii="Times New Roman;serif" w:hAnsi="Times New Roman;serif"/>
                <w:b w:val="false"/>
                <w:i w:val="false"/>
                <w:caps w:val="false"/>
                <w:smallCaps w:val="false"/>
                <w:color w:val="000000"/>
                <w:sz w:val="20"/>
              </w:rPr>
            </w:pPr>
            <w:r>
              <w:rPr>
                <w:rFonts w:ascii="Times New Roman;serif" w:hAnsi="Times New Roman;serif"/>
                <w:b w:val="false"/>
                <w:i w:val="false"/>
                <w:caps w:val="false"/>
                <w:smallCaps w:val="false"/>
                <w:color w:val="000000"/>
                <w:sz w:val="20"/>
              </w:rPr>
              <w:t>1,062,763</w:t>
            </w:r>
          </w:p>
        </w:tc>
      </w:tr>
    </w:tbl>
    <w:p>
      <w:pPr>
        <w:pStyle w:val="TextBody"/>
        <w:bidi w:val="0"/>
        <w:spacing w:lineRule="auto" w:line="259"/>
        <w:rPr>
          <w:rFonts w:ascii="Garamond;serif" w:hAnsi="Garamond;serif"/>
          <w:sz w:val="20"/>
        </w:rPr>
      </w:pPr>
      <w:r>
        <w:rPr>
          <w:rFonts w:ascii="Garamond;serif" w:hAnsi="Garamond;serif"/>
          <w:b w:val="false"/>
          <w:i w:val="false"/>
          <w:caps w:val="false"/>
          <w:smallCaps w:val="false"/>
          <w:color w:val="000000"/>
          <w:position w:val="7"/>
          <w:sz w:val="16"/>
          <w:sz w:val="20"/>
        </w:rPr>
        <w:t xml:space="preserve">(a) </w:t>
      </w:r>
      <w:r>
        <w:rPr>
          <w:rFonts w:ascii="Times New Roman;serif" w:hAnsi="Times New Roman;serif"/>
          <w:b w:val="false"/>
          <w:i w:val="false"/>
          <w:caps w:val="false"/>
          <w:smallCaps w:val="false"/>
          <w:color w:val="000000"/>
          <w:sz w:val="18"/>
        </w:rPr>
        <w:t xml:space="preserve">Refer to Note 3 – </w:t>
      </w:r>
      <w:r>
        <w:rPr>
          <w:rFonts w:ascii="Times New Roman;serif" w:hAnsi="Times New Roman;serif"/>
          <w:b w:val="false"/>
          <w:i/>
          <w:color w:val="000000"/>
          <w:sz w:val="18"/>
        </w:rPr>
        <w:t>Dispositions</w:t>
      </w:r>
      <w:r>
        <w:rPr>
          <w:rFonts w:ascii="Garamond;serif" w:hAnsi="Garamond;serif"/>
          <w:caps w:val="false"/>
          <w:smallCaps w:val="false"/>
          <w:color w:val="000000"/>
          <w:sz w:val="20"/>
        </w:rPr>
        <w:t xml:space="preserve"> </w:t>
      </w:r>
      <w:r>
        <w:rPr>
          <w:rFonts w:ascii="Times New Roman;serif" w:hAnsi="Times New Roman;serif"/>
          <w:b w:val="false"/>
          <w:i w:val="false"/>
          <w:caps w:val="false"/>
          <w:smallCaps w:val="false"/>
          <w:color w:val="000000"/>
          <w:sz w:val="18"/>
        </w:rPr>
        <w:t>for additional information.</w:t>
      </w:r>
    </w:p>
    <w:p>
      <w:pPr>
        <w:pStyle w:val="TextBody"/>
        <w:bidi w:val="0"/>
        <w:spacing w:lineRule="auto" w:line="259"/>
        <w:rPr>
          <w:rFonts w:ascii="Times New Roman;serif" w:hAnsi="Times New Roman;serif"/>
          <w:sz w:val="20"/>
        </w:rPr>
      </w:pPr>
      <w:r>
        <w:rPr>
          <w:rFonts w:ascii="Garamond;serif" w:hAnsi="Garamond;serif"/>
          <w:b w:val="false"/>
          <w:i w:val="false"/>
          <w:caps w:val="false"/>
          <w:smallCaps w:val="false"/>
          <w:color w:val="000000"/>
          <w:position w:val="7"/>
          <w:sz w:val="16"/>
          <w:sz w:val="20"/>
        </w:rPr>
        <w:t xml:space="preserve">(b) </w:t>
      </w:r>
      <w:r>
        <w:rPr>
          <w:rFonts w:ascii="Times New Roman;serif" w:hAnsi="Times New Roman;serif"/>
          <w:b w:val="false"/>
          <w:i w:val="false"/>
          <w:caps w:val="false"/>
          <w:smallCaps w:val="false"/>
          <w:color w:val="000000"/>
          <w:sz w:val="18"/>
        </w:rPr>
        <w:t>Other segment items mainly consists of the non-service cost component of pension and other postretirement benefits for our regulated segments.</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caps w:val="false"/>
          <w:smallCaps w:val="false"/>
        </w:rPr>
      </w:pPr>
      <w:r>
        <w:rPr>
          <w:caps w:val="false"/>
          <w:smallCaps w:val="false"/>
        </w:rPr>
        <w:t> </w:t>
      </w:r>
    </w:p>
    <w:tbl>
      <w:tblPr>
        <w:tblW w:w="1259" w:type="dxa"/>
        <w:jc w:val="left"/>
        <w:tblInd w:w="0" w:type="dxa"/>
        <w:tblLayout w:type="fixed"/>
        <w:tblCellMar>
          <w:top w:w="0" w:type="dxa"/>
          <w:left w:w="0" w:type="dxa"/>
          <w:bottom w:w="0" w:type="dxa"/>
          <w:right w:w="0" w:type="dxa"/>
        </w:tblCellMar>
      </w:tblPr>
      <w:tblGrid>
        <w:gridCol w:w="124"/>
        <w:gridCol w:w="109"/>
        <w:gridCol w:w="109"/>
        <w:gridCol w:w="109"/>
        <w:gridCol w:w="109"/>
        <w:gridCol w:w="109"/>
        <w:gridCol w:w="109"/>
        <w:gridCol w:w="109"/>
        <w:gridCol w:w="109"/>
        <w:gridCol w:w="109"/>
        <w:gridCol w:w="154"/>
      </w:tblGrid>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bl>
    <w:tbl>
      <w:tblPr>
        <w:tblW w:w="9405" w:type="dxa"/>
        <w:jc w:val="left"/>
        <w:tblInd w:w="0" w:type="dxa"/>
        <w:tblLayout w:type="fixed"/>
        <w:tblCellMar>
          <w:top w:w="0" w:type="dxa"/>
          <w:left w:w="0" w:type="dxa"/>
          <w:bottom w:w="0" w:type="dxa"/>
          <w:right w:w="0" w:type="dxa"/>
        </w:tblCellMar>
      </w:tblPr>
      <w:tblGrid>
        <w:gridCol w:w="781"/>
        <w:gridCol w:w="2521"/>
        <w:gridCol w:w="2521"/>
        <w:gridCol w:w="3582"/>
      </w:tblGrid>
      <w:tr>
        <w:trPr/>
        <w:tc>
          <w:tcPr>
            <w:tcW w:w="78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3582"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781" w:type="dxa"/>
            <w:tcBorders/>
            <w:vAlign w:val="center"/>
          </w:tcPr>
          <w:p>
            <w:pPr>
              <w:pStyle w:val="TableContents"/>
              <w:bidi w:val="0"/>
              <w:spacing w:lineRule="auto" w:line="259" w:before="0" w:after="10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9.</w:t>
            </w:r>
          </w:p>
        </w:tc>
        <w:tc>
          <w:tcPr>
            <w:tcW w:w="8624" w:type="dxa"/>
            <w:gridSpan w:val="3"/>
            <w:tcBorders/>
            <w:vAlign w:val="center"/>
          </w:tcPr>
          <w:p>
            <w:pPr>
              <w:pStyle w:val="TableContents"/>
              <w:bidi w:val="0"/>
              <w:spacing w:lineRule="auto" w:line="259" w:before="0" w:after="283"/>
              <w:jc w:val="both"/>
              <w:rPr>
                <w:rFonts w:ascii="Times New Roman;serif" w:hAnsi="Times New Roman;serif"/>
                <w:b w:val="false"/>
                <w:i/>
                <w:sz w:val="22"/>
              </w:rPr>
            </w:pPr>
            <w:r>
              <w:rPr>
                <w:rFonts w:ascii="Times New Roman;serif" w:hAnsi="Times New Roman;serif"/>
                <w:b w:val="false"/>
                <w:i/>
                <w:sz w:val="22"/>
              </w:rPr>
              <w:t>Changes in and Disagreements with Accountants on Accounting and Financial Disclosure</w:t>
            </w:r>
            <w:bookmarkStart w:id="40" w:name="ChangesinAccountants"/>
            <w:bookmarkEnd w:id="40"/>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None.</w:t>
      </w:r>
    </w:p>
    <w:tbl>
      <w:tblPr>
        <w:tblW w:w="3466" w:type="dxa"/>
        <w:jc w:val="left"/>
        <w:tblInd w:w="0" w:type="dxa"/>
        <w:tblLayout w:type="fixed"/>
        <w:tblCellMar>
          <w:top w:w="0" w:type="dxa"/>
          <w:left w:w="0" w:type="dxa"/>
          <w:bottom w:w="0" w:type="dxa"/>
          <w:right w:w="0" w:type="dxa"/>
        </w:tblCellMar>
      </w:tblPr>
      <w:tblGrid>
        <w:gridCol w:w="946"/>
        <w:gridCol w:w="1044"/>
        <w:gridCol w:w="1476"/>
      </w:tblGrid>
      <w:tr>
        <w:trPr/>
        <w:tc>
          <w:tcPr>
            <w:tcW w:w="946"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r>
      <w:tr>
        <w:trPr/>
        <w:tc>
          <w:tcPr>
            <w:tcW w:w="946" w:type="dxa"/>
            <w:tcBorders/>
            <w:vAlign w:val="center"/>
          </w:tcPr>
          <w:p>
            <w:pPr>
              <w:pStyle w:val="TableContents"/>
              <w:bidi w:val="0"/>
              <w:spacing w:lineRule="auto" w:line="259" w:before="0" w:after="10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9A.</w:t>
            </w:r>
          </w:p>
        </w:tc>
        <w:tc>
          <w:tcPr>
            <w:tcW w:w="2520" w:type="dxa"/>
            <w:gridSpan w:val="2"/>
            <w:tcBorders/>
            <w:vAlign w:val="center"/>
          </w:tcPr>
          <w:p>
            <w:pPr>
              <w:pStyle w:val="TableContents"/>
              <w:bidi w:val="0"/>
              <w:spacing w:lineRule="auto" w:line="259" w:before="0" w:after="100"/>
              <w:jc w:val="left"/>
              <w:rPr>
                <w:rFonts w:ascii="Times New Roman;serif" w:hAnsi="Times New Roman;serif"/>
                <w:b w:val="false"/>
                <w:i/>
                <w:sz w:val="22"/>
              </w:rPr>
            </w:pPr>
            <w:r>
              <w:rPr>
                <w:rFonts w:ascii="Times New Roman;serif" w:hAnsi="Times New Roman;serif"/>
                <w:b w:val="false"/>
                <w:i/>
                <w:sz w:val="22"/>
              </w:rPr>
              <w:t>Controls and Procedures</w:t>
            </w:r>
            <w:bookmarkStart w:id="41" w:name="ControlsandProcedures"/>
            <w:bookmarkEnd w:id="41"/>
          </w:p>
        </w:tc>
      </w:tr>
    </w:tbl>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Evaluation of Disclosure Controls and Procedures</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Our management, with the participation of our Chief Executive Officer and Chief Financial Officer, evaluated the effectiveness of our disclosure controls and procedures as of the end of the period covered by this Annual Report. Based on that evaluation, the Chief Executive Officer and Chief Financial Officer concluded that our disclosure controls and procedures as of the end of the period covered by this Annual Report are effective to provide reasonable assurance that the information required to be disclosed by us in reports filed under the Securities Exchange Act of 1934 is (i) recorded, processed, summarized and reported within the time periods specified in the SEC’s rules and forms and (ii) accumulated and communicated to our management, including the Chief Executive Officer and Chief Financial Officer, as appropriate to allow timely decisions regarding disclosure. A controls system cannot provide absolute assurance, however, that the objectives of the controls system are met, and no evaluation of controls can provide absolute assurance that all control issues and instances of fraud, if any, within a company have been detected.</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Management’s Report on Internal Control Over Financial Reporting</w:t>
      </w:r>
      <w:r>
        <w:rPr>
          <w:rFonts w:ascii="Times New Roman;serif" w:hAnsi="Times New Roman;serif"/>
          <w:caps w:val="false"/>
          <w:smallCaps w:val="false"/>
          <w:sz w:val="22"/>
        </w:rPr>
        <w:t xml:space="preserve">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Our management is responsible for establishing and maintaining adequate internal control over financial reporting, as such term is defined in Rule 13a-15(f) under the Securities Exchange Act of 1934. The Company’s internal control over financial reporting is a process designed to provide reasonable assurance regarding the reliability of our financial reporting and the preparation of financial statements for external purposes in accordance with accounting principles generally accepted in the United States of America. The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In assessing the effectiveness of internal control over financial reporting, management used the criteria set forth by the Committee of Sponsoring Organizations of the Treadway Commission (“COSO”) in </w:t>
      </w:r>
      <w:r>
        <w:rPr>
          <w:rFonts w:ascii="Times New Roman;serif" w:hAnsi="Times New Roman;serif"/>
          <w:b w:val="false"/>
          <w:i/>
          <w:sz w:val="22"/>
        </w:rPr>
        <w:t>Internal Control-Integrated Framework</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(2013). As a result of management’s assessment and based on the criteria in the framework, management has concluded that, as of December 31, 2024, the Company’s internal control over financial reporting was effective.</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Attestation Report of the Registered Public Accounting Firm –</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The effectiveness of our internal control over financial reporting as of December 31, 2024 has been audited by PricewaterhouseCoopers LLP, an independent registered public accounting firm, as stated in their report which is included herein.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Changes in Internal Control Over Financial Reporting</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 xml:space="preserve">No change in our internal control over financial reporting occurred during our last fiscal quarter that has materially affected, or is reasonably likely to materially affect, our internal control over financial reporting.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caps w:val="false"/>
          <w:smallCaps w:val="false"/>
        </w:rPr>
      </w:pPr>
      <w:r>
        <w:rPr>
          <w:caps w:val="false"/>
          <w:smallCaps w:val="false"/>
        </w:rPr>
        <w:t> </w:t>
      </w:r>
    </w:p>
    <w:tbl>
      <w:tblPr>
        <w:tblW w:w="2792" w:type="dxa"/>
        <w:jc w:val="left"/>
        <w:tblInd w:w="0" w:type="dxa"/>
        <w:tblLayout w:type="fixed"/>
        <w:tblCellMar>
          <w:top w:w="0" w:type="dxa"/>
          <w:left w:w="0" w:type="dxa"/>
          <w:bottom w:w="0" w:type="dxa"/>
          <w:right w:w="0" w:type="dxa"/>
        </w:tblCellMar>
      </w:tblPr>
      <w:tblGrid>
        <w:gridCol w:w="931"/>
        <w:gridCol w:w="1861"/>
      </w:tblGrid>
      <w:tr>
        <w:trPr/>
        <w:tc>
          <w:tcPr>
            <w:tcW w:w="931"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r>
      <w:tr>
        <w:trPr/>
        <w:tc>
          <w:tcPr>
            <w:tcW w:w="93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9B.</w:t>
            </w:r>
          </w:p>
        </w:tc>
        <w:tc>
          <w:tcPr>
            <w:tcW w:w="1861" w:type="dxa"/>
            <w:tcBorders/>
            <w:vAlign w:val="center"/>
          </w:tcPr>
          <w:p>
            <w:pPr>
              <w:pStyle w:val="TableContents"/>
              <w:bidi w:val="0"/>
              <w:spacing w:lineRule="auto" w:line="259" w:before="0" w:after="283"/>
              <w:jc w:val="left"/>
              <w:rPr>
                <w:rFonts w:ascii="Times New Roman;serif" w:hAnsi="Times New Roman;serif"/>
                <w:b w:val="false"/>
                <w:i/>
                <w:sz w:val="22"/>
              </w:rPr>
            </w:pPr>
            <w:r>
              <w:rPr>
                <w:rFonts w:ascii="Times New Roman;serif" w:hAnsi="Times New Roman;serif"/>
                <w:b w:val="false"/>
                <w:i/>
                <w:sz w:val="22"/>
              </w:rPr>
              <w:t>Other Information</w:t>
            </w:r>
            <w:bookmarkStart w:id="42" w:name="OtherInformation"/>
            <w:bookmarkEnd w:id="42"/>
          </w:p>
        </w:tc>
      </w:tr>
    </w:tbl>
    <w:p>
      <w:pPr>
        <w:pStyle w:val="TextBody"/>
        <w:bidi w:val="0"/>
        <w:spacing w:lineRule="auto" w:line="259"/>
        <w:rPr>
          <w:rFonts w:ascii="Times New Roman;serif" w:hAnsi="Times New Roman;serif"/>
          <w:sz w:val="22"/>
        </w:rPr>
      </w:pPr>
      <w:bookmarkStart w:id="43" w:name="_Hlk156751062"/>
      <w:bookmarkEnd w:id="43"/>
      <w:r>
        <w:rPr>
          <w:rFonts w:ascii="Times New Roman;serif" w:hAnsi="Times New Roman;serif"/>
          <w:b w:val="false"/>
          <w:i w:val="false"/>
          <w:caps w:val="false"/>
          <w:smallCaps w:val="false"/>
          <w:sz w:val="22"/>
        </w:rPr>
        <w:t>During the quarter ended December 31, 2024, none</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of the Company’s directors or executive officers adopted, modified or terminated</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any contract, instruction or written plan for the purchase or sale of Company securities that was intended to satisfy the affirmative defense conditions of Rule 10b5-1(c) or any “non-Rule 10b5-1 trading arrangement”.</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Item 9C. </w:t>
      </w:r>
      <w:r>
        <w:rPr>
          <w:rFonts w:ascii="Times New Roman;serif" w:hAnsi="Times New Roman;serif"/>
          <w:b w:val="false"/>
          <w:i/>
          <w:sz w:val="22"/>
        </w:rPr>
        <w:t>Disclosure Regarding Foreign Jurisdi</w:t>
      </w:r>
      <w:bookmarkStart w:id="44" w:name="ForeignJurisdictions"/>
      <w:bookmarkEnd w:id="44"/>
      <w:r>
        <w:rPr>
          <w:rFonts w:ascii="Times New Roman;serif" w:hAnsi="Times New Roman;serif"/>
          <w:b w:val="false"/>
          <w:i/>
          <w:sz w:val="22"/>
        </w:rPr>
        <w:t>ctions that Prevent Inspections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Not applicable.</w:t>
      </w:r>
    </w:p>
    <w:p>
      <w:pPr>
        <w:pStyle w:val="TextBody"/>
        <w:bidi w:val="0"/>
        <w:spacing w:lineRule="auto" w:line="192"/>
        <w:jc w:val="center"/>
        <w:rPr>
          <w:rFonts w:ascii="Times New Roman;serif" w:hAnsi="Times New Roman;serif"/>
          <w:b w:val="false"/>
          <w:i w:val="false"/>
          <w:caps w:val="false"/>
          <w:smallCaps w:val="false"/>
          <w:sz w:val="22"/>
          <w:u w:val="single"/>
        </w:rPr>
      </w:pPr>
      <w:r>
        <w:rPr>
          <w:rFonts w:ascii="Times New Roman;serif" w:hAnsi="Times New Roman;serif"/>
          <w:b w:val="false"/>
          <w:i w:val="false"/>
          <w:caps w:val="false"/>
          <w:smallCaps w:val="false"/>
          <w:sz w:val="22"/>
          <w:u w:val="single"/>
        </w:rPr>
        <w:t>PART III</w:t>
      </w:r>
    </w:p>
    <w:tbl>
      <w:tblPr>
        <w:tblW w:w="6420" w:type="dxa"/>
        <w:jc w:val="left"/>
        <w:tblInd w:w="0" w:type="dxa"/>
        <w:tblLayout w:type="fixed"/>
        <w:tblCellMar>
          <w:top w:w="0" w:type="dxa"/>
          <w:left w:w="0" w:type="dxa"/>
          <w:bottom w:w="0" w:type="dxa"/>
          <w:right w:w="0" w:type="dxa"/>
        </w:tblCellMar>
      </w:tblPr>
      <w:tblGrid>
        <w:gridCol w:w="901"/>
        <w:gridCol w:w="1614"/>
        <w:gridCol w:w="1614"/>
        <w:gridCol w:w="2291"/>
      </w:tblGrid>
      <w:tr>
        <w:trPr/>
        <w:tc>
          <w:tcPr>
            <w:tcW w:w="901"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1614" w:type="dxa"/>
            <w:tcBorders/>
            <w:vAlign w:val="center"/>
          </w:tcPr>
          <w:p>
            <w:pPr>
              <w:pStyle w:val="TableContents"/>
              <w:bidi w:val="0"/>
              <w:spacing w:before="0" w:after="283"/>
              <w:jc w:val="left"/>
              <w:rPr>
                <w:sz w:val="4"/>
                <w:szCs w:val="4"/>
              </w:rPr>
            </w:pPr>
            <w:r>
              <w:rPr>
                <w:sz w:val="4"/>
                <w:szCs w:val="4"/>
              </w:rPr>
            </w:r>
          </w:p>
        </w:tc>
        <w:tc>
          <w:tcPr>
            <w:tcW w:w="229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lineRule="auto" w:line="192" w:before="0" w:after="283"/>
              <w:jc w:val="both"/>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10.</w:t>
            </w:r>
          </w:p>
        </w:tc>
        <w:tc>
          <w:tcPr>
            <w:tcW w:w="5519" w:type="dxa"/>
            <w:gridSpan w:val="3"/>
            <w:tcBorders/>
            <w:vAlign w:val="center"/>
          </w:tcPr>
          <w:p>
            <w:pPr>
              <w:pStyle w:val="TableContents"/>
              <w:bidi w:val="0"/>
              <w:spacing w:lineRule="auto" w:line="192" w:before="0" w:after="283"/>
              <w:jc w:val="both"/>
              <w:rPr>
                <w:rFonts w:ascii="Times New Roman;serif" w:hAnsi="Times New Roman;serif"/>
                <w:b w:val="false"/>
                <w:i/>
                <w:sz w:val="22"/>
              </w:rPr>
            </w:pPr>
            <w:r>
              <w:rPr>
                <w:rFonts w:ascii="Times New Roman;serif" w:hAnsi="Times New Roman;serif"/>
                <w:b w:val="false"/>
                <w:i/>
                <w:sz w:val="22"/>
              </w:rPr>
              <w:t>Directors, Executive Officers and Corporate Governance</w:t>
            </w:r>
            <w:bookmarkStart w:id="45" w:name="DirectorsExecutiveOfficers"/>
            <w:bookmarkEnd w:id="45"/>
          </w:p>
        </w:tc>
      </w:tr>
    </w:tbl>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 xml:space="preserve">The information appearing in the sections captioned </w:t>
      </w:r>
      <w:r>
        <w:rPr>
          <w:rFonts w:ascii="Times New Roman;serif" w:hAnsi="Times New Roman;serif"/>
          <w:b w:val="false"/>
          <w:i/>
          <w:sz w:val="22"/>
        </w:rPr>
        <w:t>Information Regarding Nominees</w:t>
      </w:r>
      <w:r>
        <w:rPr>
          <w:rFonts w:ascii="Times New Roman;serif" w:hAnsi="Times New Roman;serif"/>
          <w:b w:val="false"/>
          <w:i w:val="false"/>
          <w:caps w:val="false"/>
          <w:smallCaps w:val="false"/>
          <w:sz w:val="22"/>
        </w:rPr>
        <w:t xml:space="preserve">, </w:t>
      </w:r>
      <w:r>
        <w:rPr>
          <w:rFonts w:ascii="Times New Roman;serif" w:hAnsi="Times New Roman;serif"/>
          <w:b w:val="false"/>
          <w:i/>
          <w:sz w:val="22"/>
        </w:rPr>
        <w:t>Corporate Governance – Code of Ethics</w:t>
      </w:r>
      <w:r>
        <w:rPr>
          <w:rFonts w:ascii="Times New Roman;serif" w:hAnsi="Times New Roman;serif"/>
          <w:b w:val="false"/>
          <w:i w:val="false"/>
          <w:caps w:val="false"/>
          <w:smallCaps w:val="false"/>
          <w:sz w:val="22"/>
        </w:rPr>
        <w:t xml:space="preserve">, – </w:t>
      </w:r>
      <w:r>
        <w:rPr>
          <w:rFonts w:ascii="Times New Roman;serif" w:hAnsi="Times New Roman;serif"/>
          <w:b w:val="false"/>
          <w:i/>
          <w:sz w:val="22"/>
        </w:rPr>
        <w:t>Board and Board Committees</w:t>
      </w:r>
      <w:r>
        <w:rPr>
          <w:rFonts w:ascii="Times New Roman;serif" w:hAnsi="Times New Roman;serif"/>
          <w:b w:val="false"/>
          <w:i w:val="false"/>
          <w:caps w:val="false"/>
          <w:smallCaps w:val="false"/>
          <w:sz w:val="22"/>
        </w:rPr>
        <w:t xml:space="preserve">, and </w:t>
      </w:r>
      <w:r>
        <w:rPr>
          <w:rFonts w:ascii="Times New Roman;serif" w:hAnsi="Times New Roman;serif"/>
          <w:b w:val="false"/>
          <w:i/>
          <w:sz w:val="22"/>
        </w:rPr>
        <w:t>Section 16(a) Beneficial Ownership Reporting Compliance</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of the definitive Proxy Statement relating to our 2025 annual meeting of shareholders, to be filed within 120 days after the end of the fiscal year covered by this Annual Report is incorporated by reference herein.</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Company has adopted an Insider Trading Policy that governs the purchase, sale and/or other dispositions of our securities by directors, officers and employees that is reasonably designed to promote compliance with insider trading laws, rules and regulations and New York Stock Exchange listing standards. A copy of our Insider Trading Policy is filed as Exhibit 19.1 to this report.</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We make available free of charge within the Corporate Governance portion of the investor relations section of our web site, at www.essential.co, our Corporate Governance Guidelines, the Charters of each Committee of our Board of Directors, and our Code of Ethical Business Conduct (the Code of Ethics). Amendments to the Code of Ethics, and any grant of a waiver from a provision of the Code requiring disclosure under applicable rules of the SEC, will be disclosed on our web site. The reference to our web site is intended to be an inactive textual reference only, and the contents of such web site are not incorporated by reference herein and should not be considered part of this or any other report that we file with or furnish to the SEC. </w:t>
      </w:r>
    </w:p>
    <w:p>
      <w:pPr>
        <w:pStyle w:val="TextBody"/>
        <w:bidi w:val="0"/>
        <w:spacing w:lineRule="auto" w:line="259"/>
        <w:rPr>
          <w:rFonts w:ascii="Times New Roman;serif" w:hAnsi="Times New Roman;serif"/>
          <w:b w:val="false"/>
          <w:i w:val="false"/>
          <w:caps w:val="false"/>
          <w:smallCaps w:val="false"/>
          <w:sz w:val="22"/>
          <w:u w:val="single"/>
        </w:rPr>
      </w:pPr>
      <w:r>
        <w:rPr>
          <w:rFonts w:ascii="Times New Roman;serif" w:hAnsi="Times New Roman;serif"/>
          <w:b w:val="false"/>
          <w:i w:val="false"/>
          <w:caps w:val="false"/>
          <w:smallCaps w:val="false"/>
          <w:sz w:val="22"/>
          <w:u w:val="single"/>
        </w:rPr>
        <w:t>Information About Our Executive Officers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following table and the notes thereto set forth information with respect to our executive officers, including their names, ages, positions with Essential Utilities and business experience during the last five years:</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97"/>
        <w:gridCol w:w="436"/>
        <w:gridCol w:w="8572"/>
      </w:tblGrid>
      <w:tr>
        <w:trPr/>
        <w:tc>
          <w:tcPr>
            <w:tcW w:w="1197" w:type="dxa"/>
            <w:tcBorders/>
            <w:shd w:fill="FFFFFF" w:val="clear"/>
            <w:vAlign w:val="center"/>
          </w:tcPr>
          <w:p>
            <w:pPr>
              <w:pStyle w:val="TableContents"/>
              <w:bidi w:val="0"/>
              <w:spacing w:before="0" w:after="283"/>
              <w:jc w:val="left"/>
              <w:rPr>
                <w:sz w:val="4"/>
                <w:szCs w:val="4"/>
              </w:rPr>
            </w:pPr>
            <w:r>
              <w:rPr>
                <w:sz w:val="4"/>
                <w:szCs w:val="4"/>
              </w:rPr>
            </w:r>
          </w:p>
        </w:tc>
        <w:tc>
          <w:tcPr>
            <w:tcW w:w="436" w:type="dxa"/>
            <w:tcBorders/>
            <w:shd w:fill="FFFFFF" w:val="clear"/>
            <w:vAlign w:val="center"/>
          </w:tcPr>
          <w:p>
            <w:pPr>
              <w:pStyle w:val="TableContents"/>
              <w:bidi w:val="0"/>
              <w:spacing w:before="0" w:after="283"/>
              <w:jc w:val="left"/>
              <w:rPr>
                <w:sz w:val="4"/>
                <w:szCs w:val="4"/>
              </w:rPr>
            </w:pPr>
            <w:r>
              <w:rPr>
                <w:sz w:val="4"/>
                <w:szCs w:val="4"/>
              </w:rPr>
            </w:r>
          </w:p>
        </w:tc>
        <w:tc>
          <w:tcPr>
            <w:tcW w:w="8572" w:type="dxa"/>
            <w:tcBorders/>
            <w:shd w:fill="FFFFFF" w:val="clear"/>
            <w:vAlign w:val="center"/>
          </w:tcPr>
          <w:p>
            <w:pPr>
              <w:pStyle w:val="TableContents"/>
              <w:bidi w:val="0"/>
              <w:spacing w:before="0" w:after="283"/>
              <w:jc w:val="left"/>
              <w:rPr>
                <w:sz w:val="4"/>
                <w:szCs w:val="4"/>
              </w:rPr>
            </w:pPr>
            <w:r>
              <w:rPr>
                <w:sz w:val="4"/>
                <w:szCs w:val="4"/>
              </w:rPr>
            </w:r>
          </w:p>
        </w:tc>
      </w:tr>
      <w:tr>
        <w:trPr/>
        <w:tc>
          <w:tcPr>
            <w:tcW w:w="1197"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Name</w:t>
            </w:r>
          </w:p>
        </w:tc>
        <w:tc>
          <w:tcPr>
            <w:tcW w:w="43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Age</w:t>
            </w:r>
          </w:p>
        </w:tc>
        <w:tc>
          <w:tcPr>
            <w:tcW w:w="8572"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u w:val="single"/>
              </w:rPr>
            </w:pPr>
            <w:r>
              <w:rPr>
                <w:rFonts w:ascii="Times New Roman;serif" w:hAnsi="Times New Roman;serif"/>
                <w:b w:val="false"/>
                <w:i w:val="false"/>
                <w:caps w:val="false"/>
                <w:smallCaps w:val="false"/>
                <w:sz w:val="20"/>
                <w:u w:val="single"/>
              </w:rPr>
              <w:t xml:space="preserve">Position with Essential Utilities (1) </w:t>
            </w:r>
          </w:p>
        </w:tc>
      </w:tr>
      <w:tr>
        <w:trPr/>
        <w:tc>
          <w:tcPr>
            <w:tcW w:w="119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Christopher H. Franklin</w:t>
            </w:r>
          </w:p>
        </w:tc>
        <w:tc>
          <w:tcPr>
            <w:tcW w:w="4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59</w:t>
            </w:r>
          </w:p>
        </w:tc>
        <w:tc>
          <w:tcPr>
            <w:tcW w:w="857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Chairman (January 2018 to present); President and Chief Executive Officer (July 2015 to present); Executive Vice President and President and Chief Operating Officer, Regulated Operations (January 2012 to July 2015); Regional President – Midwest and Southern Operations and Senior Vice President, Corporate and Public Affairs (January 2010 to January 2012); Regional President – Southern Operations and Senior Vice President, Public Affairs and Customer Operations (February 2007 to January 2010); Vice President, Public Affairs and Customer Operations (May 2005 to February 2007); Vice President, Corporate and Public Affairs (February 1997 to May 2005); Manager Corporate and Public Affairs (December 1992 to February 1997)</w:t>
            </w:r>
          </w:p>
        </w:tc>
      </w:tr>
      <w:tr>
        <w:trPr/>
        <w:tc>
          <w:tcPr>
            <w:tcW w:w="119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Daniel J. Schuller</w:t>
            </w:r>
          </w:p>
        </w:tc>
        <w:tc>
          <w:tcPr>
            <w:tcW w:w="4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55</w:t>
            </w:r>
          </w:p>
        </w:tc>
        <w:tc>
          <w:tcPr>
            <w:tcW w:w="857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Executive Vice President and Chief Financial Officer (October 2018 to present); Executive Vice President, Strategy and Corporate Development (July 2015 to October 2018); Investment Principal – J.P. Morgan Asset Management – Infrastructure Investments Group (2007 to 2015) </w:t>
            </w:r>
          </w:p>
        </w:tc>
      </w:tr>
      <w:tr>
        <w:trPr/>
        <w:tc>
          <w:tcPr>
            <w:tcW w:w="119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Colleen M. Arnold</w:t>
            </w:r>
          </w:p>
        </w:tc>
        <w:tc>
          <w:tcPr>
            <w:tcW w:w="4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54</w:t>
            </w:r>
          </w:p>
        </w:tc>
        <w:tc>
          <w:tcPr>
            <w:tcW w:w="857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President, Aqua Water (March 2020 to present); Deputy Chief Operating Officer, Aqua (September 2015 to March 2020)</w:t>
            </w:r>
          </w:p>
        </w:tc>
      </w:tr>
      <w:tr>
        <w:trPr/>
        <w:tc>
          <w:tcPr>
            <w:tcW w:w="1197"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Michael A. Huwar</w:t>
            </w:r>
          </w:p>
        </w:tc>
        <w:tc>
          <w:tcPr>
            <w:tcW w:w="436"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61</w:t>
            </w:r>
          </w:p>
        </w:tc>
        <w:tc>
          <w:tcPr>
            <w:tcW w:w="8572"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President, Peoples Natural Gas (August 2020 to present); President Columbia Gas of Pennsylvania &amp; Columbia Gas of Maryland (February 2017 to August 2020)</w:t>
            </w:r>
          </w:p>
        </w:tc>
      </w:tr>
      <w:tr>
        <w:trPr/>
        <w:tc>
          <w:tcPr>
            <w:tcW w:w="119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Christopher P. Luning</w:t>
            </w:r>
          </w:p>
        </w:tc>
        <w:tc>
          <w:tcPr>
            <w:tcW w:w="43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57</w:t>
            </w:r>
          </w:p>
        </w:tc>
        <w:tc>
          <w:tcPr>
            <w:tcW w:w="8572"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Executive Vice President and General Counsel (August 2022 to present); Executive Vice President, General Counsel, and Secretary (February 2019 to July 2022; Senior Vice President, General Counsel, and Secretary (April 2012 to February 2019); Vice President Corporate Development and Corporate Counsel (June 2008 to April 2012); Vice President and Deputy General Counsel (May 2005 to June 2008); Assistant General Counsel (March 2003 to May 2005)</w:t>
            </w:r>
          </w:p>
        </w:tc>
      </w:tr>
      <w:tr>
        <w:trPr/>
        <w:tc>
          <w:tcPr>
            <w:tcW w:w="1197"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Robert A. Rubin</w:t>
            </w:r>
          </w:p>
        </w:tc>
        <w:tc>
          <w:tcPr>
            <w:tcW w:w="43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62</w:t>
            </w:r>
          </w:p>
        </w:tc>
        <w:tc>
          <w:tcPr>
            <w:tcW w:w="8572"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Senior Vice President, Controller and Chief Accounting Officer (January 2012 to present); Vice President, Controller and Chief Accounting Officer (May 2005 to January 2012); Controller and Chief Accounting Officer (March 2004 to May 2005); Controller (March 1999 to March 2004); Assistant Controller (June 1994 to March 1999); Accounting Manager (June 1989 to June 1994)</w:t>
            </w:r>
          </w:p>
        </w:tc>
      </w:tr>
    </w:tbl>
    <w:p>
      <w:pPr>
        <w:pStyle w:val="TextBody"/>
        <w:bidi w:val="0"/>
        <w:spacing w:lineRule="auto" w:line="192"/>
        <w:ind w:left="360" w:right="0" w:hanging="36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(1)In addition to the capacities indicated, the individuals named in the above table hold other offices or directorships with subsidiaries of the Company. Officers serve at the discretion of the Board of Directors. </w:t>
      </w:r>
    </w:p>
    <w:tbl>
      <w:tblPr>
        <w:tblW w:w="3360" w:type="dxa"/>
        <w:jc w:val="left"/>
        <w:tblInd w:w="0" w:type="dxa"/>
        <w:tblLayout w:type="fixed"/>
        <w:tblCellMar>
          <w:top w:w="0" w:type="dxa"/>
          <w:left w:w="0" w:type="dxa"/>
          <w:bottom w:w="0" w:type="dxa"/>
          <w:right w:w="0" w:type="dxa"/>
        </w:tblCellMar>
      </w:tblPr>
      <w:tblGrid>
        <w:gridCol w:w="901"/>
        <w:gridCol w:w="719"/>
        <w:gridCol w:w="719"/>
        <w:gridCol w:w="1021"/>
      </w:tblGrid>
      <w:tr>
        <w:trPr/>
        <w:tc>
          <w:tcPr>
            <w:tcW w:w="901"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1"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lineRule="auto" w:line="192"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11.</w:t>
            </w:r>
          </w:p>
        </w:tc>
        <w:tc>
          <w:tcPr>
            <w:tcW w:w="2459" w:type="dxa"/>
            <w:gridSpan w:val="3"/>
            <w:tcBorders/>
            <w:vAlign w:val="center"/>
          </w:tcPr>
          <w:p>
            <w:pPr>
              <w:pStyle w:val="TableContents"/>
              <w:bidi w:val="0"/>
              <w:spacing w:lineRule="auto" w:line="192" w:before="0" w:after="283"/>
              <w:jc w:val="both"/>
              <w:rPr>
                <w:rFonts w:ascii="Times New Roman;serif" w:hAnsi="Times New Roman;serif"/>
                <w:b w:val="false"/>
                <w:i/>
                <w:sz w:val="22"/>
              </w:rPr>
            </w:pPr>
            <w:r>
              <w:rPr>
                <w:rFonts w:ascii="Times New Roman;serif" w:hAnsi="Times New Roman;serif"/>
                <w:b w:val="false"/>
                <w:i/>
                <w:sz w:val="22"/>
              </w:rPr>
              <w:t>Executive Compensation</w:t>
            </w:r>
            <w:bookmarkStart w:id="46" w:name="ExecutiveCompensation"/>
            <w:bookmarkEnd w:id="46"/>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information responsive to this item will be included in the definitive Proxy Statement relating to our 2025 annual meeting of shareholders, to be filed within 120 days after the end of the fiscal year covered by this Annual Report, is incorporated by reference herein.</w:t>
      </w:r>
    </w:p>
    <w:tbl>
      <w:tblPr>
        <w:tblW w:w="10205" w:type="dxa"/>
        <w:jc w:val="left"/>
        <w:tblInd w:w="0" w:type="dxa"/>
        <w:tblLayout w:type="fixed"/>
        <w:tblCellMar>
          <w:top w:w="0" w:type="dxa"/>
          <w:left w:w="0" w:type="dxa"/>
          <w:bottom w:w="0" w:type="dxa"/>
          <w:right w:w="0" w:type="dxa"/>
        </w:tblCellMar>
      </w:tblPr>
      <w:tblGrid>
        <w:gridCol w:w="888"/>
        <w:gridCol w:w="3860"/>
        <w:gridCol w:w="5457"/>
      </w:tblGrid>
      <w:tr>
        <w:trPr/>
        <w:tc>
          <w:tcPr>
            <w:tcW w:w="888" w:type="dxa"/>
            <w:tcBorders/>
            <w:vAlign w:val="center"/>
          </w:tcPr>
          <w:p>
            <w:pPr>
              <w:pStyle w:val="TableContents"/>
              <w:bidi w:val="0"/>
              <w:spacing w:before="0" w:after="283"/>
              <w:jc w:val="left"/>
              <w:rPr>
                <w:sz w:val="4"/>
                <w:szCs w:val="4"/>
              </w:rPr>
            </w:pPr>
            <w:r>
              <w:rPr>
                <w:sz w:val="4"/>
                <w:szCs w:val="4"/>
              </w:rPr>
            </w:r>
          </w:p>
        </w:tc>
        <w:tc>
          <w:tcPr>
            <w:tcW w:w="3860" w:type="dxa"/>
            <w:tcBorders/>
            <w:vAlign w:val="center"/>
          </w:tcPr>
          <w:p>
            <w:pPr>
              <w:pStyle w:val="TableContents"/>
              <w:bidi w:val="0"/>
              <w:spacing w:before="0" w:after="283"/>
              <w:jc w:val="left"/>
              <w:rPr>
                <w:sz w:val="4"/>
                <w:szCs w:val="4"/>
              </w:rPr>
            </w:pPr>
            <w:r>
              <w:rPr>
                <w:sz w:val="4"/>
                <w:szCs w:val="4"/>
              </w:rPr>
            </w:r>
          </w:p>
        </w:tc>
        <w:tc>
          <w:tcPr>
            <w:tcW w:w="5457" w:type="dxa"/>
            <w:tcBorders/>
            <w:vAlign w:val="center"/>
          </w:tcPr>
          <w:p>
            <w:pPr>
              <w:pStyle w:val="TableContents"/>
              <w:bidi w:val="0"/>
              <w:spacing w:before="0" w:after="283"/>
              <w:jc w:val="left"/>
              <w:rPr>
                <w:sz w:val="4"/>
                <w:szCs w:val="4"/>
              </w:rPr>
            </w:pPr>
            <w:r>
              <w:rPr>
                <w:sz w:val="4"/>
                <w:szCs w:val="4"/>
              </w:rPr>
            </w:r>
          </w:p>
        </w:tc>
      </w:tr>
      <w:tr>
        <w:trPr/>
        <w:tc>
          <w:tcPr>
            <w:tcW w:w="888" w:type="dxa"/>
            <w:tcBorders/>
            <w:vAlign w:val="center"/>
          </w:tcPr>
          <w:p>
            <w:pPr>
              <w:pStyle w:val="TableContents"/>
              <w:bidi w:val="0"/>
              <w:spacing w:lineRule="auto" w:line="192"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12.</w:t>
            </w:r>
          </w:p>
        </w:tc>
        <w:tc>
          <w:tcPr>
            <w:tcW w:w="9317" w:type="dxa"/>
            <w:gridSpan w:val="2"/>
            <w:tcBorders/>
            <w:vAlign w:val="center"/>
          </w:tcPr>
          <w:p>
            <w:pPr>
              <w:pStyle w:val="TableContents"/>
              <w:bidi w:val="0"/>
              <w:spacing w:lineRule="auto" w:line="192" w:before="0" w:after="283"/>
              <w:jc w:val="both"/>
              <w:rPr>
                <w:rFonts w:ascii="Times New Roman;serif" w:hAnsi="Times New Roman;serif"/>
                <w:b w:val="false"/>
                <w:i/>
                <w:sz w:val="22"/>
              </w:rPr>
            </w:pPr>
            <w:r>
              <w:rPr>
                <w:rFonts w:ascii="Times New Roman;serif" w:hAnsi="Times New Roman;serif"/>
                <w:b w:val="false"/>
                <w:i/>
                <w:sz w:val="22"/>
              </w:rPr>
              <w:t>Security Ownership of Certain Beneficial Owners and Management and Related Stockholder Matters</w:t>
            </w:r>
            <w:bookmarkStart w:id="47" w:name="SecurityOwnershipofBeneficialOwners"/>
            <w:bookmarkEnd w:id="47"/>
          </w:p>
        </w:tc>
      </w:tr>
    </w:tbl>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Ownership of Common Stock</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The information responsive to this item will be included in the definitive Proxy Statement relating to our 2025 annual meeting of shareholders, to be filed within 120 days after the end of the fiscal year covered by this Annual Report, and is incorporated by reference herein.</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Securities Authorized for Issuance under Equity Compensation Plans</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The following table provides information for our equity compensation plans as of December 31, 2024:</w:t>
      </w:r>
    </w:p>
    <w:p>
      <w:pPr>
        <w:pStyle w:val="TextBody"/>
        <w:bidi w:val="0"/>
        <w:spacing w:lineRule="auto" w:line="259"/>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Equity Compensation Plan Information</w:t>
      </w:r>
    </w:p>
    <w:tbl>
      <w:tblPr>
        <w:tblW w:w="10205" w:type="dxa"/>
        <w:jc w:val="left"/>
        <w:tblInd w:w="0" w:type="dxa"/>
        <w:tblLayout w:type="fixed"/>
        <w:tblCellMar>
          <w:top w:w="0" w:type="dxa"/>
          <w:left w:w="0" w:type="dxa"/>
          <w:bottom w:w="0" w:type="dxa"/>
          <w:right w:w="0" w:type="dxa"/>
        </w:tblCellMar>
      </w:tblPr>
      <w:tblGrid>
        <w:gridCol w:w="2054"/>
        <w:gridCol w:w="1830"/>
        <w:gridCol w:w="581"/>
        <w:gridCol w:w="498"/>
        <w:gridCol w:w="1427"/>
        <w:gridCol w:w="666"/>
        <w:gridCol w:w="3149"/>
      </w:tblGrid>
      <w:tr>
        <w:trPr/>
        <w:tc>
          <w:tcPr>
            <w:tcW w:w="2054" w:type="dxa"/>
            <w:tcBorders/>
            <w:shd w:fill="FFFFFF" w:val="clear"/>
            <w:vAlign w:val="center"/>
          </w:tcPr>
          <w:p>
            <w:pPr>
              <w:pStyle w:val="TableContents"/>
              <w:bidi w:val="0"/>
              <w:spacing w:before="0" w:after="283"/>
              <w:jc w:val="left"/>
              <w:rPr>
                <w:sz w:val="4"/>
                <w:szCs w:val="4"/>
              </w:rPr>
            </w:pPr>
            <w:r>
              <w:rPr>
                <w:sz w:val="4"/>
                <w:szCs w:val="4"/>
              </w:rPr>
            </w:r>
          </w:p>
        </w:tc>
        <w:tc>
          <w:tcPr>
            <w:tcW w:w="1830" w:type="dxa"/>
            <w:tcBorders/>
            <w:shd w:fill="FFFFFF" w:val="clear"/>
            <w:vAlign w:val="center"/>
          </w:tcPr>
          <w:p>
            <w:pPr>
              <w:pStyle w:val="TableContents"/>
              <w:bidi w:val="0"/>
              <w:spacing w:before="0" w:after="283"/>
              <w:jc w:val="left"/>
              <w:rPr>
                <w:sz w:val="4"/>
                <w:szCs w:val="4"/>
              </w:rPr>
            </w:pPr>
            <w:r>
              <w:rPr>
                <w:sz w:val="4"/>
                <w:szCs w:val="4"/>
              </w:rPr>
            </w:r>
          </w:p>
        </w:tc>
        <w:tc>
          <w:tcPr>
            <w:tcW w:w="581" w:type="dxa"/>
            <w:tcBorders/>
            <w:shd w:fill="FFFFFF" w:val="clear"/>
            <w:vAlign w:val="center"/>
          </w:tcPr>
          <w:p>
            <w:pPr>
              <w:pStyle w:val="TableContents"/>
              <w:bidi w:val="0"/>
              <w:spacing w:before="0" w:after="283"/>
              <w:jc w:val="left"/>
              <w:rPr>
                <w:sz w:val="4"/>
                <w:szCs w:val="4"/>
              </w:rPr>
            </w:pPr>
            <w:r>
              <w:rPr>
                <w:sz w:val="4"/>
                <w:szCs w:val="4"/>
              </w:rPr>
            </w:r>
          </w:p>
        </w:tc>
        <w:tc>
          <w:tcPr>
            <w:tcW w:w="498" w:type="dxa"/>
            <w:tcBorders/>
            <w:shd w:fill="FFFFFF" w:val="clear"/>
            <w:vAlign w:val="center"/>
          </w:tcPr>
          <w:p>
            <w:pPr>
              <w:pStyle w:val="TableContents"/>
              <w:bidi w:val="0"/>
              <w:spacing w:before="0" w:after="283"/>
              <w:jc w:val="left"/>
              <w:rPr>
                <w:sz w:val="4"/>
                <w:szCs w:val="4"/>
              </w:rPr>
            </w:pPr>
            <w:r>
              <w:rPr>
                <w:sz w:val="4"/>
                <w:szCs w:val="4"/>
              </w:rPr>
            </w:r>
          </w:p>
        </w:tc>
        <w:tc>
          <w:tcPr>
            <w:tcW w:w="1427" w:type="dxa"/>
            <w:tcBorders/>
            <w:shd w:fill="FFFFFF" w:val="clear"/>
            <w:vAlign w:val="center"/>
          </w:tcPr>
          <w:p>
            <w:pPr>
              <w:pStyle w:val="TableContents"/>
              <w:bidi w:val="0"/>
              <w:spacing w:before="0" w:after="283"/>
              <w:jc w:val="left"/>
              <w:rPr>
                <w:sz w:val="4"/>
                <w:szCs w:val="4"/>
              </w:rPr>
            </w:pPr>
            <w:r>
              <w:rPr>
                <w:sz w:val="4"/>
                <w:szCs w:val="4"/>
              </w:rPr>
            </w:r>
          </w:p>
        </w:tc>
        <w:tc>
          <w:tcPr>
            <w:tcW w:w="666" w:type="dxa"/>
            <w:tcBorders/>
            <w:shd w:fill="FFFFFF" w:val="clear"/>
            <w:vAlign w:val="center"/>
          </w:tcPr>
          <w:p>
            <w:pPr>
              <w:pStyle w:val="TableContents"/>
              <w:bidi w:val="0"/>
              <w:spacing w:before="0" w:after="283"/>
              <w:jc w:val="left"/>
              <w:rPr>
                <w:sz w:val="4"/>
                <w:szCs w:val="4"/>
              </w:rPr>
            </w:pPr>
            <w:r>
              <w:rPr>
                <w:sz w:val="4"/>
                <w:szCs w:val="4"/>
              </w:rPr>
            </w:r>
          </w:p>
        </w:tc>
        <w:tc>
          <w:tcPr>
            <w:tcW w:w="3149" w:type="dxa"/>
            <w:tcBorders/>
            <w:shd w:fill="FFFFFF" w:val="clear"/>
            <w:vAlign w:val="center"/>
          </w:tcPr>
          <w:p>
            <w:pPr>
              <w:pStyle w:val="TableContents"/>
              <w:bidi w:val="0"/>
              <w:spacing w:before="0" w:after="283"/>
              <w:jc w:val="left"/>
              <w:rPr>
                <w:sz w:val="4"/>
                <w:szCs w:val="4"/>
              </w:rPr>
            </w:pPr>
            <w:r>
              <w:rPr>
                <w:sz w:val="4"/>
                <w:szCs w:val="4"/>
              </w:rPr>
            </w:r>
          </w:p>
        </w:tc>
      </w:tr>
      <w:tr>
        <w:trPr/>
        <w:tc>
          <w:tcPr>
            <w:tcW w:w="2054" w:type="dxa"/>
            <w:tcBorders/>
            <w:shd w:fill="FFFFFF" w:val="clear"/>
            <w:vAlign w:val="center"/>
          </w:tcPr>
          <w:p>
            <w:pPr>
              <w:pStyle w:val="TableContents"/>
              <w:bidi w:val="0"/>
              <w:spacing w:before="0" w:after="283"/>
              <w:jc w:val="left"/>
              <w:rPr>
                <w:sz w:val="4"/>
                <w:szCs w:val="4"/>
              </w:rPr>
            </w:pPr>
            <w:r>
              <w:rPr>
                <w:sz w:val="4"/>
                <w:szCs w:val="4"/>
              </w:rPr>
            </w:r>
          </w:p>
        </w:tc>
        <w:tc>
          <w:tcPr>
            <w:tcW w:w="2411" w:type="dxa"/>
            <w:gridSpan w:val="2"/>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Number of securities to be issued upon exercise of outstanding options, warrants and rights</w:t>
            </w:r>
          </w:p>
        </w:tc>
        <w:tc>
          <w:tcPr>
            <w:tcW w:w="2591" w:type="dxa"/>
            <w:gridSpan w:val="3"/>
            <w:tcBorders/>
            <w:shd w:fill="FFFFFF" w:val="cle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Weighted-average exercise price of outstanding options, warrants and rights</w:t>
            </w:r>
          </w:p>
        </w:tc>
        <w:tc>
          <w:tcPr>
            <w:tcW w:w="3149"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Number of securities remaining available for future issuance under equity compensation plans (excluding securities reflected in column (a))</w:t>
            </w:r>
          </w:p>
        </w:tc>
      </w:tr>
      <w:tr>
        <w:trPr/>
        <w:tc>
          <w:tcPr>
            <w:tcW w:w="205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u w:val="single"/>
              </w:rPr>
            </w:pPr>
            <w:r>
              <w:rPr>
                <w:rFonts w:ascii="Times New Roman;serif" w:hAnsi="Times New Roman;serif"/>
                <w:b w:val="false"/>
                <w:i w:val="false"/>
                <w:caps w:val="false"/>
                <w:smallCaps w:val="false"/>
                <w:color w:val="000000"/>
                <w:sz w:val="22"/>
                <w:u w:val="single"/>
              </w:rPr>
              <w:t>Plan Category</w:t>
            </w:r>
          </w:p>
        </w:tc>
        <w:tc>
          <w:tcPr>
            <w:tcW w:w="2411" w:type="dxa"/>
            <w:gridSpan w:val="2"/>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w:t>
            </w:r>
          </w:p>
        </w:tc>
        <w:tc>
          <w:tcPr>
            <w:tcW w:w="2591" w:type="dxa"/>
            <w:gridSpan w:val="3"/>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(b)</w:t>
            </w:r>
          </w:p>
        </w:tc>
        <w:tc>
          <w:tcPr>
            <w:tcW w:w="3149" w:type="dxa"/>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(c) </w:t>
            </w:r>
          </w:p>
        </w:tc>
      </w:tr>
      <w:tr>
        <w:trPr/>
        <w:tc>
          <w:tcPr>
            <w:tcW w:w="205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Equity compensation plans approved by security holders</w:t>
            </w:r>
          </w:p>
        </w:tc>
        <w:tc>
          <w:tcPr>
            <w:tcW w:w="1830"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1,680,807</w:t>
            </w:r>
          </w:p>
        </w:tc>
        <w:tc>
          <w:tcPr>
            <w:tcW w:w="581"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w:t>
            </w:r>
          </w:p>
        </w:tc>
        <w:tc>
          <w:tcPr>
            <w:tcW w:w="498"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427"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36.87</w:t>
            </w:r>
          </w:p>
        </w:tc>
        <w:tc>
          <w:tcPr>
            <w:tcW w:w="666"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w:t>
            </w:r>
          </w:p>
        </w:tc>
        <w:tc>
          <w:tcPr>
            <w:tcW w:w="3149" w:type="dxa"/>
            <w:tcBorders>
              <w:top w:val="single" w:sz="8" w:space="0" w:color="000000"/>
            </w:tcBorders>
            <w:shd w:fill="CCEEFF" w:val="clear"/>
            <w:tcMar>
              <w:top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1,197,122</w:t>
            </w:r>
          </w:p>
        </w:tc>
      </w:tr>
      <w:tr>
        <w:trPr/>
        <w:tc>
          <w:tcPr>
            <w:tcW w:w="2054"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Equity compensation plans not approved by security holders</w:t>
            </w:r>
          </w:p>
        </w:tc>
        <w:tc>
          <w:tcPr>
            <w:tcW w:w="1830"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Arial;sans-serif" w:hAnsi="Arial;sans-serif"/>
                <w:b w:val="false"/>
                <w:i w:val="false"/>
                <w:caps w:val="false"/>
                <w:smallCaps w:val="false"/>
                <w:color w:val="000000"/>
                <w:sz w:val="20"/>
              </w:rPr>
            </w:pPr>
            <w:r>
              <w:rPr>
                <w:rFonts w:ascii="Arial;sans-serif" w:hAnsi="Arial;sans-serif"/>
                <w:b w:val="false"/>
                <w:i w:val="false"/>
                <w:caps w:val="false"/>
                <w:smallCaps w:val="false"/>
                <w:color w:val="000000"/>
                <w:sz w:val="20"/>
              </w:rPr>
              <w:t>-</w:t>
            </w:r>
          </w:p>
        </w:tc>
        <w:tc>
          <w:tcPr>
            <w:tcW w:w="581"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498"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427"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Arial;sans-serif" w:hAnsi="Arial;sans-serif"/>
                <w:b w:val="false"/>
                <w:i w:val="false"/>
                <w:caps w:val="false"/>
                <w:smallCaps w:val="false"/>
                <w:color w:val="000000"/>
                <w:sz w:val="20"/>
              </w:rPr>
            </w:pPr>
            <w:r>
              <w:rPr>
                <w:rFonts w:ascii="Arial;sans-serif" w:hAnsi="Arial;sans-serif"/>
                <w:b w:val="false"/>
                <w:i w:val="false"/>
                <w:caps w:val="false"/>
                <w:smallCaps w:val="false"/>
                <w:color w:val="000000"/>
                <w:sz w:val="20"/>
              </w:rPr>
              <w:t>-</w:t>
            </w:r>
          </w:p>
        </w:tc>
        <w:tc>
          <w:tcPr>
            <w:tcW w:w="66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3149" w:type="dxa"/>
            <w:tcBorders>
              <w:bottom w:val="single" w:sz="8" w:space="0" w:color="000000"/>
            </w:tcBorders>
            <w:tcMar>
              <w:bottom w:w="28" w:type="dxa"/>
            </w:tcMar>
            <w:vAlign w:val="center"/>
          </w:tcPr>
          <w:p>
            <w:pPr>
              <w:pStyle w:val="TableContents"/>
              <w:bidi w:val="0"/>
              <w:spacing w:lineRule="auto" w:line="259" w:before="0" w:after="283"/>
              <w:ind w:left="0" w:right="72" w:hanging="0"/>
              <w:jc w:val="right"/>
              <w:rPr>
                <w:rFonts w:ascii="Arial;sans-serif" w:hAnsi="Arial;sans-serif"/>
                <w:b w:val="false"/>
                <w:i w:val="false"/>
                <w:caps w:val="false"/>
                <w:smallCaps w:val="false"/>
                <w:color w:val="000000"/>
                <w:sz w:val="20"/>
              </w:rPr>
            </w:pPr>
            <w:r>
              <w:rPr>
                <w:rFonts w:ascii="Arial;sans-serif" w:hAnsi="Arial;sans-serif"/>
                <w:b w:val="false"/>
                <w:i w:val="false"/>
                <w:caps w:val="false"/>
                <w:smallCaps w:val="false"/>
                <w:color w:val="000000"/>
                <w:sz w:val="20"/>
              </w:rPr>
              <w:t>-</w:t>
            </w:r>
          </w:p>
        </w:tc>
      </w:tr>
      <w:tr>
        <w:trPr/>
        <w:tc>
          <w:tcPr>
            <w:tcW w:w="205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w:t>
            </w:r>
          </w:p>
        </w:tc>
        <w:tc>
          <w:tcPr>
            <w:tcW w:w="1830"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1,680,807</w:t>
            </w:r>
          </w:p>
        </w:tc>
        <w:tc>
          <w:tcPr>
            <w:tcW w:w="58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498"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427"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36.87</w:t>
            </w:r>
          </w:p>
        </w:tc>
        <w:tc>
          <w:tcPr>
            <w:tcW w:w="66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3149"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283"/>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1,197,122</w:t>
            </w:r>
          </w:p>
        </w:tc>
      </w:tr>
    </w:tbl>
    <w:p>
      <w:pPr>
        <w:pStyle w:val="TextBody"/>
        <w:bidi w:val="0"/>
        <w:spacing w:lineRule="auto" w:line="259"/>
        <w:ind w:left="360" w:right="0" w:hanging="36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(1)Consists of 906,902 shares issuable upon exercise of outstanding options, 563,656 shares issuable upon conversion of outstanding performance share units, and 210,249 shares issuable upon conversion of outstanding restricted share units.</w:t>
      </w:r>
    </w:p>
    <w:p>
      <w:pPr>
        <w:pStyle w:val="TextBody"/>
        <w:bidi w:val="0"/>
        <w:spacing w:lineRule="auto" w:line="259"/>
        <w:ind w:left="360" w:right="0" w:hanging="360"/>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(2)Calculated based upon outstanding options of 906,902 shares to acquire our common stock.</w:t>
      </w:r>
    </w:p>
    <w:tbl>
      <w:tblPr>
        <w:tblW w:w="8252" w:type="dxa"/>
        <w:jc w:val="left"/>
        <w:tblInd w:w="0" w:type="dxa"/>
        <w:tblLayout w:type="fixed"/>
        <w:tblCellMar>
          <w:top w:w="0" w:type="dxa"/>
          <w:left w:w="0" w:type="dxa"/>
          <w:bottom w:w="0" w:type="dxa"/>
          <w:right w:w="0" w:type="dxa"/>
        </w:tblCellMar>
      </w:tblPr>
      <w:tblGrid>
        <w:gridCol w:w="901"/>
        <w:gridCol w:w="7351"/>
      </w:tblGrid>
      <w:tr>
        <w:trPr/>
        <w:tc>
          <w:tcPr>
            <w:tcW w:w="901" w:type="dxa"/>
            <w:tcBorders/>
            <w:vAlign w:val="center"/>
          </w:tcPr>
          <w:p>
            <w:pPr>
              <w:pStyle w:val="TableContents"/>
              <w:bidi w:val="0"/>
              <w:spacing w:before="0" w:after="283"/>
              <w:jc w:val="left"/>
              <w:rPr>
                <w:sz w:val="4"/>
                <w:szCs w:val="4"/>
              </w:rPr>
            </w:pPr>
            <w:r>
              <w:rPr>
                <w:sz w:val="4"/>
                <w:szCs w:val="4"/>
              </w:rPr>
            </w:r>
          </w:p>
        </w:tc>
        <w:tc>
          <w:tcPr>
            <w:tcW w:w="7351"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13.</w:t>
            </w:r>
          </w:p>
        </w:tc>
        <w:tc>
          <w:tcPr>
            <w:tcW w:w="7351" w:type="dxa"/>
            <w:tcBorders/>
            <w:vAlign w:val="center"/>
          </w:tcPr>
          <w:p>
            <w:pPr>
              <w:pStyle w:val="TableContents"/>
              <w:bidi w:val="0"/>
              <w:spacing w:lineRule="auto" w:line="259" w:before="0" w:after="283"/>
              <w:jc w:val="left"/>
              <w:rPr>
                <w:rFonts w:ascii="Times New Roman;serif" w:hAnsi="Times New Roman;serif"/>
                <w:b w:val="false"/>
                <w:i/>
                <w:sz w:val="22"/>
              </w:rPr>
            </w:pPr>
            <w:r>
              <w:rPr>
                <w:rFonts w:ascii="Times New Roman;serif" w:hAnsi="Times New Roman;serif"/>
                <w:b w:val="false"/>
                <w:i/>
                <w:sz w:val="22"/>
              </w:rPr>
              <w:t>Certain Relationships and Related Transactions, and Director Independence</w:t>
            </w:r>
            <w:bookmarkStart w:id="48" w:name="CertainRelationshipsandRTs"/>
            <w:bookmarkEnd w:id="48"/>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information responsive to this item will be included in the definitive Proxy Statement relating to our 2025 annual meeting of shareholders, to be filed within 120 days after the end of the fiscal year covered by this Annual Report, and is incorporated by reference herein.</w:t>
      </w:r>
    </w:p>
    <w:tbl>
      <w:tblPr>
        <w:tblW w:w="4801" w:type="dxa"/>
        <w:jc w:val="left"/>
        <w:tblInd w:w="0" w:type="dxa"/>
        <w:tblLayout w:type="fixed"/>
        <w:tblCellMar>
          <w:top w:w="0" w:type="dxa"/>
          <w:left w:w="0" w:type="dxa"/>
          <w:bottom w:w="0" w:type="dxa"/>
          <w:right w:w="0" w:type="dxa"/>
        </w:tblCellMar>
      </w:tblPr>
      <w:tblGrid>
        <w:gridCol w:w="901"/>
        <w:gridCol w:w="1613"/>
        <w:gridCol w:w="2287"/>
      </w:tblGrid>
      <w:tr>
        <w:trPr/>
        <w:tc>
          <w:tcPr>
            <w:tcW w:w="901"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14.</w:t>
            </w:r>
          </w:p>
        </w:tc>
        <w:tc>
          <w:tcPr>
            <w:tcW w:w="3900" w:type="dxa"/>
            <w:gridSpan w:val="2"/>
            <w:tcBorders/>
            <w:vAlign w:val="center"/>
          </w:tcPr>
          <w:p>
            <w:pPr>
              <w:pStyle w:val="TableContents"/>
              <w:bidi w:val="0"/>
              <w:spacing w:lineRule="auto" w:line="259" w:before="0" w:after="283"/>
              <w:jc w:val="both"/>
              <w:rPr>
                <w:rFonts w:ascii="Times New Roman;serif" w:hAnsi="Times New Roman;serif"/>
                <w:b w:val="false"/>
                <w:i/>
                <w:sz w:val="22"/>
              </w:rPr>
            </w:pPr>
            <w:r>
              <w:rPr>
                <w:rFonts w:ascii="Times New Roman;serif" w:hAnsi="Times New Roman;serif"/>
                <w:b w:val="false"/>
                <w:i/>
                <w:sz w:val="22"/>
              </w:rPr>
              <w:t>Principal Accountant Fees and Services</w:t>
            </w:r>
            <w:bookmarkStart w:id="49" w:name="PrinciplaAccountantFees"/>
            <w:bookmarkEnd w:id="49"/>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information responsive to this item will be included in the definitive Proxy Statement relating to our 2025 annual meeting of shareholders, to be filed within 120 days after the end of the fiscal year covered by this Annual Report, and is incorporated by reference herein. </w:t>
        <w:br/>
        <w:t>‎</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caps w:val="false"/>
          <w:smallCaps w:val="false"/>
        </w:rPr>
      </w:pPr>
      <w:r>
        <w:rPr>
          <w:caps w:val="false"/>
          <w:smallCaps w:val="false"/>
        </w:rPr>
        <w:t> </w:t>
      </w:r>
    </w:p>
    <w:p>
      <w:pPr>
        <w:pStyle w:val="TextBody"/>
        <w:bidi w:val="0"/>
        <w:spacing w:lineRule="auto" w:line="192"/>
        <w:jc w:val="center"/>
        <w:rPr>
          <w:rFonts w:ascii="Times New Roman;serif" w:hAnsi="Times New Roman;serif"/>
          <w:b w:val="false"/>
          <w:i w:val="false"/>
          <w:caps w:val="false"/>
          <w:smallCaps w:val="false"/>
          <w:sz w:val="22"/>
          <w:u w:val="single"/>
        </w:rPr>
      </w:pPr>
      <w:r>
        <w:rPr>
          <w:rFonts w:ascii="Times New Roman;serif" w:hAnsi="Times New Roman;serif"/>
          <w:b w:val="false"/>
          <w:i w:val="false"/>
          <w:caps w:val="false"/>
          <w:smallCaps w:val="false"/>
          <w:sz w:val="22"/>
          <w:u w:val="single"/>
        </w:rPr>
        <w:t>PART IV</w:t>
      </w:r>
    </w:p>
    <w:tbl>
      <w:tblPr>
        <w:tblW w:w="5161" w:type="dxa"/>
        <w:jc w:val="left"/>
        <w:tblInd w:w="0" w:type="dxa"/>
        <w:tblLayout w:type="fixed"/>
        <w:tblCellMar>
          <w:top w:w="0" w:type="dxa"/>
          <w:left w:w="0" w:type="dxa"/>
          <w:bottom w:w="0" w:type="dxa"/>
          <w:right w:w="0" w:type="dxa"/>
        </w:tblCellMar>
      </w:tblPr>
      <w:tblGrid>
        <w:gridCol w:w="901"/>
        <w:gridCol w:w="1765"/>
        <w:gridCol w:w="2495"/>
      </w:tblGrid>
      <w:tr>
        <w:trPr/>
        <w:tc>
          <w:tcPr>
            <w:tcW w:w="901"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2495"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lineRule="auto" w:line="192"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15.</w:t>
            </w:r>
          </w:p>
        </w:tc>
        <w:tc>
          <w:tcPr>
            <w:tcW w:w="4260" w:type="dxa"/>
            <w:gridSpan w:val="2"/>
            <w:tcBorders/>
            <w:vAlign w:val="center"/>
          </w:tcPr>
          <w:p>
            <w:pPr>
              <w:pStyle w:val="TableContents"/>
              <w:bidi w:val="0"/>
              <w:spacing w:lineRule="auto" w:line="192" w:before="0" w:after="283"/>
              <w:jc w:val="both"/>
              <w:rPr>
                <w:rFonts w:ascii="Times New Roman;serif" w:hAnsi="Times New Roman;serif"/>
                <w:b w:val="false"/>
                <w:i/>
                <w:sz w:val="22"/>
              </w:rPr>
            </w:pPr>
            <w:r>
              <w:rPr>
                <w:rFonts w:ascii="Times New Roman;serif" w:hAnsi="Times New Roman;serif"/>
                <w:b w:val="false"/>
                <w:i/>
                <w:sz w:val="22"/>
              </w:rPr>
              <w:t>Exhibits and Financial Statement Schedules</w:t>
            </w:r>
            <w:bookmarkStart w:id="50" w:name="ExhibitsandFSs"/>
            <w:bookmarkEnd w:id="50"/>
          </w:p>
        </w:tc>
      </w:tr>
    </w:tbl>
    <w:p>
      <w:pPr>
        <w:pStyle w:val="TextBody"/>
        <w:bidi w:val="0"/>
        <w:spacing w:lineRule="auto" w:line="259"/>
        <w:jc w:val="both"/>
        <w:rPr>
          <w:rFonts w:ascii="Times New Roman;serif" w:hAnsi="Times New Roman;serif"/>
          <w:sz w:val="22"/>
        </w:rPr>
      </w:pPr>
      <w:r>
        <w:rPr>
          <w:rFonts w:ascii="Times New Roman;serif" w:hAnsi="Times New Roman;serif"/>
          <w:b w:val="false"/>
          <w:i w:val="false"/>
          <w:caps w:val="false"/>
          <w:smallCaps w:val="false"/>
          <w:sz w:val="22"/>
          <w:u w:val="single"/>
        </w:rPr>
        <w:t>Financial Statements</w:t>
      </w:r>
      <w:r>
        <w:rPr>
          <w:rFonts w:ascii="Times New Roman;serif" w:hAnsi="Times New Roman;serif"/>
          <w:b w:val="false"/>
          <w:i w:val="false"/>
          <w:caps w:val="false"/>
          <w:smallCaps w:val="false"/>
          <w:sz w:val="22"/>
        </w:rPr>
        <w:t>. The consolidated financial statements and supplementary data included in Part II, Item 8 are hereby incorporated by reference herein.</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Financial Statement Schedules</w:t>
      </w:r>
      <w:r>
        <w:rPr>
          <w:rFonts w:ascii="Times New Roman;serif" w:hAnsi="Times New Roman;serif"/>
          <w:b w:val="false"/>
          <w:i w:val="false"/>
          <w:caps w:val="false"/>
          <w:smallCaps w:val="false"/>
          <w:sz w:val="22"/>
        </w:rPr>
        <w:t xml:space="preserve">.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Schedule 1. – Condensed Parent Company Financial Statements. All other schedules are omitted because they are not applicable or not required, or because the required information is included in the consolidated financial statements or notes thereto.</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u w:val="single"/>
        </w:rPr>
        <w:t>Exhibits, Including Those Incorporated by Reference</w:t>
      </w:r>
      <w:r>
        <w:rPr>
          <w:rFonts w:ascii="Times New Roman;serif" w:hAnsi="Times New Roman;serif"/>
          <w:b w:val="false"/>
          <w:i w:val="false"/>
          <w:caps w:val="false"/>
          <w:smallCaps w:val="false"/>
          <w:sz w:val="22"/>
        </w:rPr>
        <w:t>. A list of exhibits filed as part of this Annual Report is set forth in the Exhibit Index hereto which is incorporated by reference herein. Where so indicated, exhibits which were previously filed are incorporated by reference. For exhibits incorporated by reference, the location of the exhibit in the previous filing is indicated in the exhibit index.  </w:t>
      </w:r>
    </w:p>
    <w:tbl>
      <w:tblPr>
        <w:tblW w:w="3032" w:type="dxa"/>
        <w:jc w:val="left"/>
        <w:tblInd w:w="0" w:type="dxa"/>
        <w:tblLayout w:type="fixed"/>
        <w:tblCellMar>
          <w:top w:w="0" w:type="dxa"/>
          <w:left w:w="0" w:type="dxa"/>
          <w:bottom w:w="0" w:type="dxa"/>
          <w:right w:w="0" w:type="dxa"/>
        </w:tblCellMar>
      </w:tblPr>
      <w:tblGrid>
        <w:gridCol w:w="901"/>
        <w:gridCol w:w="2131"/>
      </w:tblGrid>
      <w:tr>
        <w:trPr/>
        <w:tc>
          <w:tcPr>
            <w:tcW w:w="90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901" w:type="dxa"/>
            <w:tcBorders/>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Item 16.</w:t>
            </w:r>
          </w:p>
        </w:tc>
        <w:tc>
          <w:tcPr>
            <w:tcW w:w="2131" w:type="dxa"/>
            <w:tcBorders/>
            <w:vAlign w:val="center"/>
          </w:tcPr>
          <w:p>
            <w:pPr>
              <w:pStyle w:val="TableContents"/>
              <w:bidi w:val="0"/>
              <w:spacing w:lineRule="auto" w:line="259" w:before="0" w:after="283"/>
              <w:jc w:val="left"/>
              <w:rPr>
                <w:rFonts w:ascii="Times New Roman;serif" w:hAnsi="Times New Roman;serif"/>
                <w:b w:val="false"/>
                <w:i/>
                <w:sz w:val="22"/>
              </w:rPr>
            </w:pPr>
            <w:r>
              <w:rPr>
                <w:rFonts w:ascii="Times New Roman;serif" w:hAnsi="Times New Roman;serif"/>
                <w:b w:val="false"/>
                <w:i/>
                <w:sz w:val="22"/>
              </w:rPr>
              <w:t>Form 10-K Summary</w:t>
            </w:r>
            <w:bookmarkStart w:id="51" w:name="Form_10K_Summary"/>
            <w:bookmarkEnd w:id="51"/>
          </w:p>
        </w:tc>
      </w:tr>
    </w:tbl>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Registrants may voluntarily include a summary of information required by Form 10-K under this Item 16. The Company has elected not to include such summary information in this Annual Report. </w:t>
      </w:r>
    </w:p>
    <w:p>
      <w:pPr>
        <w:pStyle w:val="TextBody"/>
        <w:bidi w:val="0"/>
        <w:spacing w:lineRule="auto" w:line="259" w:before="0" w:after="100"/>
        <w:rPr>
          <w:caps w:val="false"/>
          <w:smallCaps w:val="false"/>
        </w:rPr>
      </w:pPr>
      <w:r>
        <w:rPr>
          <w:caps w:val="false"/>
          <w:smallCaps w:val="false"/>
        </w:rPr>
        <w:t>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EXHIBIT INDEX</w:t>
      </w:r>
      <w:bookmarkStart w:id="52" w:name="ExhibitIndex"/>
      <w:bookmarkEnd w:id="52"/>
    </w:p>
    <w:tbl>
      <w:tblPr>
        <w:tblW w:w="10205" w:type="dxa"/>
        <w:jc w:val="left"/>
        <w:tblInd w:w="0" w:type="dxa"/>
        <w:tblLayout w:type="fixed"/>
        <w:tblCellMar>
          <w:top w:w="0" w:type="dxa"/>
          <w:left w:w="0" w:type="dxa"/>
          <w:bottom w:w="28" w:type="dxa"/>
          <w:right w:w="0" w:type="dxa"/>
        </w:tblCellMar>
      </w:tblPr>
      <w:tblGrid>
        <w:gridCol w:w="970"/>
        <w:gridCol w:w="5564"/>
        <w:gridCol w:w="646"/>
        <w:gridCol w:w="737"/>
        <w:gridCol w:w="897"/>
        <w:gridCol w:w="1391"/>
      </w:tblGrid>
      <w:tr>
        <w:trPr/>
        <w:tc>
          <w:tcPr>
            <w:tcW w:w="970" w:type="dxa"/>
            <w:vMerge w:val="restart"/>
            <w:tcBorders>
              <w:bottom w:val="single" w:sz="8" w:space="0" w:color="000000"/>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Exhibit Number</w:t>
            </w:r>
          </w:p>
        </w:tc>
        <w:tc>
          <w:tcPr>
            <w:tcW w:w="5564" w:type="dxa"/>
            <w:vMerge w:val="restart"/>
            <w:tcBorders>
              <w:bottom w:val="single" w:sz="8" w:space="0" w:color="000000"/>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Exhibit Description</w:t>
            </w:r>
          </w:p>
        </w:tc>
        <w:tc>
          <w:tcPr>
            <w:tcW w:w="3671" w:type="dxa"/>
            <w:gridSpan w:val="4"/>
            <w:tcBorders>
              <w:bottom w:val="single" w:sz="8" w:space="0" w:color="000000"/>
            </w:tcBorders>
            <w:shd w:fill="FFFFFF" w:val="clear"/>
            <w:vAlign w:val="center"/>
          </w:tcPr>
          <w:p>
            <w:pPr>
              <w:pStyle w:val="TableContents"/>
              <w:bidi w:val="0"/>
              <w:spacing w:lineRule="auto" w:line="259" w:before="0" w:after="283"/>
              <w:jc w:val="center"/>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Incorporated by Reference to</w:t>
            </w:r>
          </w:p>
        </w:tc>
      </w:tr>
      <w:tr>
        <w:trPr/>
        <w:tc>
          <w:tcPr>
            <w:tcW w:w="970" w:type="dxa"/>
            <w:vMerge w:val="continue"/>
            <w:tcBorders>
              <w:bottom w:val="single" w:sz="8" w:space="0" w:color="000000"/>
            </w:tcBorders>
            <w:shd w:fill="FFFFFF" w:val="clear"/>
            <w:vAlign w:val="center"/>
          </w:tcPr>
          <w:p>
            <w:pPr>
              <w:pStyle w:val="Normal"/>
              <w:bidi w:val="0"/>
              <w:jc w:val="left"/>
              <w:rPr/>
            </w:pPr>
            <w:r>
              <w:rPr/>
            </w:r>
          </w:p>
        </w:tc>
        <w:tc>
          <w:tcPr>
            <w:tcW w:w="5564" w:type="dxa"/>
            <w:vMerge w:val="continue"/>
            <w:tcBorders>
              <w:bottom w:val="single" w:sz="8" w:space="0" w:color="000000"/>
            </w:tcBorders>
            <w:shd w:fill="FFFFFF" w:val="clear"/>
            <w:vAlign w:val="center"/>
          </w:tcPr>
          <w:p>
            <w:pPr>
              <w:pStyle w:val="Normal"/>
              <w:bidi w:val="0"/>
              <w:jc w:val="left"/>
              <w:rPr/>
            </w:pPr>
            <w:r>
              <w:rPr/>
            </w:r>
          </w:p>
        </w:tc>
        <w:tc>
          <w:tcPr>
            <w:tcW w:w="646" w:type="dxa"/>
            <w:tcBorders>
              <w:top w:val="single" w:sz="8" w:space="0" w:color="000000"/>
              <w:bottom w:val="single" w:sz="8" w:space="0" w:color="000000"/>
            </w:tcBorders>
            <w:shd w:fill="FFFFFF" w:val="clear"/>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Form</w:t>
            </w:r>
          </w:p>
        </w:tc>
        <w:tc>
          <w:tcPr>
            <w:tcW w:w="737" w:type="dxa"/>
            <w:tcBorders>
              <w:top w:val="single" w:sz="8" w:space="0" w:color="000000"/>
              <w:bottom w:val="single" w:sz="8" w:space="0" w:color="000000"/>
            </w:tcBorders>
            <w:shd w:fill="FFFFFF" w:val="clear"/>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File No.</w:t>
            </w:r>
          </w:p>
        </w:tc>
        <w:tc>
          <w:tcPr>
            <w:tcW w:w="897" w:type="dxa"/>
            <w:tcBorders>
              <w:top w:val="single" w:sz="8" w:space="0" w:color="000000"/>
              <w:bottom w:val="single" w:sz="8" w:space="0" w:color="000000"/>
            </w:tcBorders>
            <w:shd w:fill="FFFFFF" w:val="clear"/>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Exhibit(s)</w:t>
            </w:r>
          </w:p>
        </w:tc>
        <w:tc>
          <w:tcPr>
            <w:tcW w:w="1391" w:type="dxa"/>
            <w:tcBorders>
              <w:top w:val="single" w:sz="8" w:space="0" w:color="000000"/>
              <w:bottom w:val="single" w:sz="8" w:space="0" w:color="000000"/>
            </w:tcBorders>
            <w:shd w:fill="FFFFFF" w:val="clear"/>
            <w:tcMar>
              <w:top w:w="28" w:type="dxa"/>
            </w:tcMar>
            <w:vAlign w:val="center"/>
          </w:tcPr>
          <w:p>
            <w:pPr>
              <w:pStyle w:val="TableContents"/>
              <w:bidi w:val="0"/>
              <w:spacing w:lineRule="auto" w:line="259" w:before="0" w:after="283"/>
              <w:jc w:val="center"/>
              <w:rPr>
                <w:rFonts w:ascii="Times New Roman;serif" w:hAnsi="Times New Roman;serif"/>
                <w:b/>
                <w:i w:val="false"/>
                <w:caps w:val="false"/>
                <w:smallCaps w:val="false"/>
                <w:sz w:val="22"/>
              </w:rPr>
            </w:pPr>
            <w:r>
              <w:rPr>
                <w:rFonts w:ascii="Times New Roman;serif" w:hAnsi="Times New Roman;serif"/>
                <w:b/>
                <w:i w:val="false"/>
                <w:caps w:val="false"/>
                <w:smallCaps w:val="false"/>
                <w:sz w:val="22"/>
              </w:rPr>
              <w:t>Filing Date</w:t>
            </w:r>
          </w:p>
        </w:tc>
      </w:tr>
      <w:tr>
        <w:trPr/>
        <w:tc>
          <w:tcPr>
            <w:tcW w:w="970" w:type="dxa"/>
            <w:tcBorders>
              <w:top w:val="single" w:sz="8" w:space="0" w:color="000000"/>
            </w:tcBorders>
            <w:shd w:fill="CCEEFF" w:val="clear"/>
            <w:tcMar>
              <w:top w:w="28" w:type="dxa"/>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3.1</w:t>
            </w:r>
          </w:p>
        </w:tc>
        <w:tc>
          <w:tcPr>
            <w:tcW w:w="5564" w:type="dxa"/>
            <w:tcBorders>
              <w:top w:val="single" w:sz="8" w:space="0" w:color="000000"/>
            </w:tcBorders>
            <w:shd w:fill="CCEEFF" w:val="clear"/>
            <w:tcMar>
              <w:top w:w="28" w:type="dxa"/>
              <w:bottom w:w="0" w:type="dxa"/>
            </w:tcMar>
            <w:vAlign w:val="center"/>
          </w:tcPr>
          <w:p>
            <w:pPr>
              <w:pStyle w:val="TableContents"/>
              <w:bidi w:val="0"/>
              <w:spacing w:lineRule="auto" w:line="259" w:before="0" w:after="283"/>
              <w:jc w:val="left"/>
              <w:rPr/>
            </w:pPr>
            <w:hyperlink r:id="rId3">
              <w:r>
                <w:rPr>
                  <w:rStyle w:val="InternetLink"/>
                  <w:rFonts w:ascii="Times New Roman;serif" w:hAnsi="Times New Roman;serif"/>
                  <w:b w:val="false"/>
                  <w:i w:val="false"/>
                  <w:caps w:val="false"/>
                  <w:smallCaps w:val="false"/>
                  <w:color w:val="0000FF"/>
                  <w:sz w:val="22"/>
                  <w:u w:val="single"/>
                </w:rPr>
                <w:t>Essential Utilities, Inc. Amended and Restated Articles of Incorporation as of May 12, 2020</w:t>
              </w:r>
            </w:hyperlink>
          </w:p>
        </w:tc>
        <w:tc>
          <w:tcPr>
            <w:tcW w:w="646" w:type="dxa"/>
            <w:tcBorders>
              <w:top w:val="single" w:sz="8" w:space="0" w:color="000000"/>
            </w:tcBorders>
            <w:shd w:fill="CCEEFF" w:val="clear"/>
            <w:tcMar>
              <w:top w:w="28" w:type="dxa"/>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737" w:type="dxa"/>
            <w:tcBorders>
              <w:top w:val="single" w:sz="8" w:space="0" w:color="000000"/>
            </w:tcBorders>
            <w:shd w:fill="CCEEFF" w:val="clear"/>
            <w:tcMar>
              <w:top w:w="28" w:type="dxa"/>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897" w:type="dxa"/>
            <w:tcBorders>
              <w:top w:val="single" w:sz="8" w:space="0" w:color="000000"/>
            </w:tcBorders>
            <w:shd w:fill="CCEEFF" w:val="clear"/>
            <w:tcMar>
              <w:top w:w="28" w:type="dxa"/>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3.1</w:t>
            </w:r>
          </w:p>
        </w:tc>
        <w:tc>
          <w:tcPr>
            <w:tcW w:w="1391"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May 18, 2020</w:t>
            </w:r>
          </w:p>
        </w:tc>
      </w:tr>
      <w:tr>
        <w:trPr/>
        <w:tc>
          <w:tcPr>
            <w:tcW w:w="970"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3.2</w:t>
            </w:r>
          </w:p>
        </w:tc>
        <w:tc>
          <w:tcPr>
            <w:tcW w:w="5564" w:type="dxa"/>
            <w:tcBorders/>
            <w:shd w:fill="FFFFFF" w:val="clear"/>
            <w:tcMar>
              <w:bottom w:w="0" w:type="dxa"/>
            </w:tcMar>
            <w:vAlign w:val="center"/>
          </w:tcPr>
          <w:p>
            <w:pPr>
              <w:pStyle w:val="TableContents"/>
              <w:bidi w:val="0"/>
              <w:spacing w:lineRule="auto" w:line="259" w:before="0" w:after="283"/>
              <w:jc w:val="left"/>
              <w:rPr/>
            </w:pPr>
            <w:hyperlink r:id="rId4">
              <w:r>
                <w:rPr>
                  <w:rStyle w:val="InternetLink"/>
                  <w:rFonts w:ascii="Times New Roman;serif" w:hAnsi="Times New Roman;serif"/>
                  <w:b w:val="false"/>
                  <w:i w:val="false"/>
                  <w:caps w:val="false"/>
                  <w:smallCaps w:val="false"/>
                  <w:color w:val="0000FF"/>
                  <w:sz w:val="22"/>
                  <w:u w:val="single"/>
                </w:rPr>
                <w:t>Amended and Restated Bylaws of Essential Utilities, Inc. dated October 25, 2023</w:t>
              </w:r>
            </w:hyperlink>
          </w:p>
        </w:tc>
        <w:tc>
          <w:tcPr>
            <w:tcW w:w="646"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737"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897"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3.2</w:t>
            </w:r>
          </w:p>
        </w:tc>
        <w:tc>
          <w:tcPr>
            <w:tcW w:w="1391"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October 25, 2023 </w:t>
            </w:r>
          </w:p>
        </w:tc>
      </w:tr>
      <w:tr>
        <w:trPr/>
        <w:tc>
          <w:tcPr>
            <w:tcW w:w="970"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w:t>
            </w:r>
          </w:p>
        </w:tc>
        <w:tc>
          <w:tcPr>
            <w:tcW w:w="5564" w:type="dxa"/>
            <w:tcBorders/>
            <w:shd w:fill="CCEEFF" w:val="clear"/>
            <w:tcMar>
              <w:bottom w:w="0" w:type="dxa"/>
            </w:tcMar>
            <w:vAlign w:val="center"/>
          </w:tcPr>
          <w:p>
            <w:pPr>
              <w:pStyle w:val="TableContents"/>
              <w:bidi w:val="0"/>
              <w:spacing w:lineRule="auto" w:line="259" w:before="0" w:after="100"/>
              <w:jc w:val="left"/>
              <w:rPr/>
            </w:pPr>
            <w:hyperlink w:anchor="wtrg-20241231xex4_1.htm">
              <w:r>
                <w:rPr>
                  <w:rStyle w:val="InternetLink"/>
                  <w:rFonts w:ascii="Times New Roman;serif" w:hAnsi="Times New Roman;serif"/>
                  <w:b w:val="false"/>
                  <w:i w:val="false"/>
                  <w:caps w:val="false"/>
                  <w:smallCaps w:val="false"/>
                  <w:color w:val="0000FF"/>
                  <w:sz w:val="22"/>
                  <w:u w:val="single"/>
                </w:rPr>
                <w:t>Description of Securities of Essential Utilities, Inc.</w:t>
              </w:r>
            </w:hyperlink>
          </w:p>
        </w:tc>
        <w:tc>
          <w:tcPr>
            <w:tcW w:w="646"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737"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897"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391"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r>
      <w:tr>
        <w:trPr/>
        <w:tc>
          <w:tcPr>
            <w:tcW w:w="970"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4.2</w:t>
            </w:r>
          </w:p>
        </w:tc>
        <w:tc>
          <w:tcPr>
            <w:tcW w:w="5564" w:type="dxa"/>
            <w:tcBorders/>
            <w:shd w:fill="FFFFFF" w:val="clear"/>
            <w:tcMar>
              <w:bottom w:w="0" w:type="dxa"/>
            </w:tcMar>
            <w:vAlign w:val="center"/>
          </w:tcPr>
          <w:p>
            <w:pPr>
              <w:pStyle w:val="TableContents"/>
              <w:bidi w:val="0"/>
              <w:spacing w:lineRule="auto" w:line="259" w:before="0" w:after="283"/>
              <w:jc w:val="left"/>
              <w:rPr/>
            </w:pPr>
            <w:hyperlink r:id="rId5">
              <w:r>
                <w:rPr>
                  <w:rStyle w:val="InternetLink"/>
                  <w:rFonts w:ascii="Times New Roman;serif" w:hAnsi="Times New Roman;serif"/>
                  <w:b w:val="false"/>
                  <w:i w:val="false"/>
                  <w:caps w:val="false"/>
                  <w:smallCaps w:val="false"/>
                  <w:color w:val="0000FF"/>
                  <w:sz w:val="22"/>
                  <w:u w:val="single"/>
                </w:rPr>
                <w:t>Indenture of Mortgage dated as of January 1, 1941 between Aqua Pennsylvania, Inc. (f/k/a Philadelphia Suburban Water Company) and The Bank of New York Mellon Trust Company, as successor trustee to First Pennsylvania Bank, N.A. (f/k/a The Pennsylvania Company for Insurance on Lives and Granting Annuities)</w:t>
              </w:r>
            </w:hyperlink>
            <w:r>
              <w:rPr>
                <w:rFonts w:ascii="Times New Roman;serif" w:hAnsi="Times New Roman;serif"/>
                <w:caps w:val="false"/>
                <w:smallCaps w:val="false"/>
                <w:sz w:val="22"/>
              </w:rPr>
              <w:t xml:space="preserve"> </w:t>
            </w:r>
          </w:p>
        </w:tc>
        <w:tc>
          <w:tcPr>
            <w:tcW w:w="646"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37"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897"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4.1.1</w:t>
            </w:r>
          </w:p>
        </w:tc>
        <w:tc>
          <w:tcPr>
            <w:tcW w:w="1391"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February 26, 2016</w:t>
            </w:r>
          </w:p>
        </w:tc>
      </w:tr>
      <w:tr>
        <w:trPr/>
        <w:tc>
          <w:tcPr>
            <w:tcW w:w="970"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4.2.1</w:t>
            </w:r>
          </w:p>
        </w:tc>
        <w:tc>
          <w:tcPr>
            <w:tcW w:w="5564" w:type="dxa"/>
            <w:tcBorders/>
            <w:shd w:fill="CCEEFF" w:val="clear"/>
            <w:tcMar>
              <w:bottom w:w="0" w:type="dxa"/>
            </w:tcMar>
            <w:vAlign w:val="center"/>
          </w:tcPr>
          <w:p>
            <w:pPr>
              <w:pStyle w:val="TableContents"/>
              <w:bidi w:val="0"/>
              <w:spacing w:lineRule="auto" w:line="259" w:before="0" w:after="283"/>
              <w:jc w:val="left"/>
              <w:rPr/>
            </w:pPr>
            <w:hyperlink r:id="rId6">
              <w:r>
                <w:rPr>
                  <w:rStyle w:val="InternetLink"/>
                  <w:rFonts w:ascii="Times New Roman;serif" w:hAnsi="Times New Roman;serif"/>
                  <w:b w:val="false"/>
                  <w:i w:val="false"/>
                  <w:caps w:val="false"/>
                  <w:smallCaps w:val="false"/>
                  <w:color w:val="0000FF"/>
                  <w:sz w:val="22"/>
                  <w:u w:val="single"/>
                </w:rPr>
                <w:t>Twenty-sixth Supplemental Indenture dated as of November 1, 1991</w:t>
              </w:r>
            </w:hyperlink>
          </w:p>
        </w:tc>
        <w:tc>
          <w:tcPr>
            <w:tcW w:w="646"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37"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897"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4.1.3</w:t>
            </w:r>
          </w:p>
        </w:tc>
        <w:tc>
          <w:tcPr>
            <w:tcW w:w="1391"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February 26, 2016</w:t>
            </w:r>
          </w:p>
        </w:tc>
      </w:tr>
      <w:tr>
        <w:trPr/>
        <w:tc>
          <w:tcPr>
            <w:tcW w:w="970"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4.2.2</w:t>
            </w:r>
          </w:p>
        </w:tc>
        <w:tc>
          <w:tcPr>
            <w:tcW w:w="5564" w:type="dxa"/>
            <w:tcBorders/>
            <w:shd w:fill="FFFFFF" w:val="clear"/>
            <w:tcMar>
              <w:bottom w:w="0" w:type="dxa"/>
            </w:tcMar>
            <w:vAlign w:val="center"/>
          </w:tcPr>
          <w:p>
            <w:pPr>
              <w:pStyle w:val="TableContents"/>
              <w:bidi w:val="0"/>
              <w:spacing w:lineRule="auto" w:line="259" w:before="0" w:after="283"/>
              <w:jc w:val="left"/>
              <w:rPr/>
            </w:pPr>
            <w:hyperlink r:id="rId7">
              <w:r>
                <w:rPr>
                  <w:rStyle w:val="InternetLink"/>
                  <w:rFonts w:ascii="Times New Roman;serif" w:hAnsi="Times New Roman;serif"/>
                  <w:b w:val="false"/>
                  <w:i w:val="false"/>
                  <w:caps w:val="false"/>
                  <w:smallCaps w:val="false"/>
                  <w:color w:val="0000FF"/>
                  <w:sz w:val="22"/>
                  <w:u w:val="single"/>
                </w:rPr>
                <w:t>Twenty-ninth Supplemental Indenture dated as of March 30, 1995</w:t>
              </w:r>
            </w:hyperlink>
          </w:p>
        </w:tc>
        <w:tc>
          <w:tcPr>
            <w:tcW w:w="646"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10-Q</w:t>
            </w:r>
          </w:p>
        </w:tc>
        <w:tc>
          <w:tcPr>
            <w:tcW w:w="737"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897"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4.17</w:t>
            </w:r>
          </w:p>
        </w:tc>
        <w:tc>
          <w:tcPr>
            <w:tcW w:w="1391"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May 10, 1995</w:t>
            </w:r>
          </w:p>
        </w:tc>
      </w:tr>
      <w:tr>
        <w:trPr/>
        <w:tc>
          <w:tcPr>
            <w:tcW w:w="970"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4.2.3</w:t>
            </w:r>
          </w:p>
        </w:tc>
        <w:tc>
          <w:tcPr>
            <w:tcW w:w="5564" w:type="dxa"/>
            <w:tcBorders/>
            <w:shd w:fill="CCEEFF" w:val="clear"/>
            <w:tcMar>
              <w:bottom w:w="0" w:type="dxa"/>
            </w:tcMar>
            <w:vAlign w:val="center"/>
          </w:tcPr>
          <w:p>
            <w:pPr>
              <w:pStyle w:val="TableContents"/>
              <w:bidi w:val="0"/>
              <w:spacing w:lineRule="auto" w:line="259" w:before="0" w:after="283"/>
              <w:jc w:val="left"/>
              <w:rPr/>
            </w:pPr>
            <w:hyperlink r:id="rId8">
              <w:r>
                <w:rPr>
                  <w:rStyle w:val="InternetLink"/>
                  <w:rFonts w:ascii="Times New Roman;serif" w:hAnsi="Times New Roman;serif"/>
                  <w:b w:val="false"/>
                  <w:i w:val="false"/>
                  <w:caps w:val="false"/>
                  <w:smallCaps w:val="false"/>
                  <w:color w:val="0000FF"/>
                  <w:sz w:val="22"/>
                  <w:u w:val="single"/>
                </w:rPr>
                <w:t>Thirty-third Supplemental Indenture, dated as of November 15, 1999</w:t>
              </w:r>
            </w:hyperlink>
          </w:p>
        </w:tc>
        <w:tc>
          <w:tcPr>
            <w:tcW w:w="646"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37"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897"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4.27</w:t>
            </w:r>
          </w:p>
        </w:tc>
        <w:tc>
          <w:tcPr>
            <w:tcW w:w="1391"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March 29, 2000</w:t>
            </w:r>
          </w:p>
        </w:tc>
      </w:tr>
      <w:tr>
        <w:trPr/>
        <w:tc>
          <w:tcPr>
            <w:tcW w:w="970"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4.2.4</w:t>
            </w:r>
          </w:p>
        </w:tc>
        <w:tc>
          <w:tcPr>
            <w:tcW w:w="5564" w:type="dxa"/>
            <w:tcBorders/>
            <w:shd w:fill="FFFFFF" w:val="clear"/>
            <w:tcMar>
              <w:bottom w:w="0" w:type="dxa"/>
            </w:tcMar>
            <w:vAlign w:val="center"/>
          </w:tcPr>
          <w:p>
            <w:pPr>
              <w:pStyle w:val="TableContents"/>
              <w:bidi w:val="0"/>
              <w:spacing w:lineRule="auto" w:line="259" w:before="0" w:after="283"/>
              <w:jc w:val="left"/>
              <w:rPr/>
            </w:pPr>
            <w:hyperlink r:id="rId9">
              <w:r>
                <w:rPr>
                  <w:rStyle w:val="InternetLink"/>
                  <w:rFonts w:ascii="Times New Roman;serif" w:hAnsi="Times New Roman;serif"/>
                  <w:b w:val="false"/>
                  <w:i w:val="false"/>
                  <w:caps w:val="false"/>
                  <w:smallCaps w:val="false"/>
                  <w:color w:val="0000FF"/>
                  <w:sz w:val="22"/>
                  <w:u w:val="single"/>
                </w:rPr>
                <w:t>Thirty-fifth Supplemental Indenture, dated as of January 1, 2002</w:t>
              </w:r>
            </w:hyperlink>
            <w:r>
              <w:rPr>
                <w:rFonts w:ascii="Times New Roman;serif" w:hAnsi="Times New Roman;serif"/>
                <w:caps w:val="false"/>
                <w:smallCaps w:val="false"/>
                <w:sz w:val="22"/>
              </w:rPr>
              <w:t xml:space="preserve"> </w:t>
            </w:r>
          </w:p>
        </w:tc>
        <w:tc>
          <w:tcPr>
            <w:tcW w:w="646"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37"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897"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4.22</w:t>
            </w:r>
          </w:p>
        </w:tc>
        <w:tc>
          <w:tcPr>
            <w:tcW w:w="1391"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March 20, 2002</w:t>
            </w:r>
          </w:p>
        </w:tc>
      </w:tr>
      <w:tr>
        <w:trPr/>
        <w:tc>
          <w:tcPr>
            <w:tcW w:w="970"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4.2.5</w:t>
            </w:r>
          </w:p>
        </w:tc>
        <w:tc>
          <w:tcPr>
            <w:tcW w:w="5564" w:type="dxa"/>
            <w:tcBorders/>
            <w:shd w:fill="CCEEFF" w:val="clear"/>
            <w:tcMar>
              <w:bottom w:w="0" w:type="dxa"/>
            </w:tcMar>
            <w:vAlign w:val="center"/>
          </w:tcPr>
          <w:p>
            <w:pPr>
              <w:pStyle w:val="TableContents"/>
              <w:bidi w:val="0"/>
              <w:spacing w:lineRule="auto" w:line="259" w:before="0" w:after="283"/>
              <w:jc w:val="left"/>
              <w:rPr/>
            </w:pPr>
            <w:hyperlink r:id="rId10">
              <w:r>
                <w:rPr>
                  <w:rStyle w:val="InternetLink"/>
                  <w:rFonts w:ascii="Times New Roman;serif" w:hAnsi="Times New Roman;serif"/>
                  <w:b w:val="false"/>
                  <w:i w:val="false"/>
                  <w:caps w:val="false"/>
                  <w:smallCaps w:val="false"/>
                  <w:color w:val="0000FF"/>
                  <w:sz w:val="22"/>
                  <w:u w:val="single"/>
                </w:rPr>
                <w:t>Forty-seventh Supplemental Indenture, dated as of October 15, 2012</w:t>
              </w:r>
            </w:hyperlink>
            <w:r>
              <w:rPr>
                <w:rFonts w:ascii="Times New Roman;serif" w:hAnsi="Times New Roman;serif"/>
                <w:caps w:val="false"/>
                <w:smallCaps w:val="false"/>
                <w:sz w:val="22"/>
              </w:rPr>
              <w:t xml:space="preserve"> </w:t>
            </w:r>
          </w:p>
        </w:tc>
        <w:tc>
          <w:tcPr>
            <w:tcW w:w="646"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37"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897"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4.24</w:t>
            </w:r>
          </w:p>
        </w:tc>
        <w:tc>
          <w:tcPr>
            <w:tcW w:w="1391"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February 28, 2013</w:t>
            </w:r>
          </w:p>
        </w:tc>
      </w:tr>
      <w:tr>
        <w:trPr/>
        <w:tc>
          <w:tcPr>
            <w:tcW w:w="970"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4.2.6</w:t>
            </w:r>
          </w:p>
        </w:tc>
        <w:tc>
          <w:tcPr>
            <w:tcW w:w="5564" w:type="dxa"/>
            <w:tcBorders/>
            <w:shd w:fill="FFFFFF" w:val="clear"/>
            <w:tcMar>
              <w:bottom w:w="0" w:type="dxa"/>
            </w:tcMar>
            <w:vAlign w:val="center"/>
          </w:tcPr>
          <w:p>
            <w:pPr>
              <w:pStyle w:val="TableContents"/>
              <w:bidi w:val="0"/>
              <w:spacing w:lineRule="auto" w:line="259" w:before="0" w:after="283"/>
              <w:jc w:val="left"/>
              <w:rPr/>
            </w:pPr>
            <w:hyperlink r:id="rId11">
              <w:r>
                <w:rPr>
                  <w:rStyle w:val="InternetLink"/>
                  <w:rFonts w:ascii="Times New Roman;serif" w:hAnsi="Times New Roman;serif"/>
                  <w:b w:val="false"/>
                  <w:i w:val="false"/>
                  <w:caps w:val="false"/>
                  <w:smallCaps w:val="false"/>
                  <w:color w:val="0000FF"/>
                  <w:sz w:val="22"/>
                  <w:u w:val="single"/>
                </w:rPr>
                <w:t>Forty-eighth Supplemental Indenture, dated as of October 1, 2013</w:t>
              </w:r>
            </w:hyperlink>
            <w:r>
              <w:rPr>
                <w:rFonts w:ascii="Times New Roman;serif" w:hAnsi="Times New Roman;serif"/>
                <w:caps w:val="false"/>
                <w:smallCaps w:val="false"/>
                <w:sz w:val="22"/>
              </w:rPr>
              <w:t xml:space="preserve"> </w:t>
            </w:r>
          </w:p>
        </w:tc>
        <w:tc>
          <w:tcPr>
            <w:tcW w:w="646"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37"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897"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4.1.17</w:t>
            </w:r>
          </w:p>
        </w:tc>
        <w:tc>
          <w:tcPr>
            <w:tcW w:w="1391"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March 3, 2014</w:t>
            </w:r>
          </w:p>
        </w:tc>
      </w:tr>
      <w:tr>
        <w:trPr/>
        <w:tc>
          <w:tcPr>
            <w:tcW w:w="970"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4.2.7</w:t>
            </w:r>
          </w:p>
        </w:tc>
        <w:tc>
          <w:tcPr>
            <w:tcW w:w="5564" w:type="dxa"/>
            <w:tcBorders/>
            <w:shd w:fill="CCEEFF" w:val="clear"/>
            <w:tcMar>
              <w:bottom w:w="0" w:type="dxa"/>
            </w:tcMar>
            <w:vAlign w:val="center"/>
          </w:tcPr>
          <w:p>
            <w:pPr>
              <w:pStyle w:val="TableContents"/>
              <w:bidi w:val="0"/>
              <w:spacing w:lineRule="auto" w:line="259" w:before="0" w:after="283"/>
              <w:jc w:val="left"/>
              <w:rPr/>
            </w:pPr>
            <w:hyperlink r:id="rId12">
              <w:r>
                <w:rPr>
                  <w:rStyle w:val="InternetLink"/>
                  <w:rFonts w:ascii="Times New Roman;serif" w:hAnsi="Times New Roman;serif"/>
                  <w:b w:val="false"/>
                  <w:i w:val="false"/>
                  <w:caps w:val="false"/>
                  <w:smallCaps w:val="false"/>
                  <w:color w:val="0000FF"/>
                  <w:sz w:val="22"/>
                  <w:u w:val="single"/>
                </w:rPr>
                <w:t>Form of Supplemental Indenture during and after 2014</w:t>
              </w:r>
            </w:hyperlink>
            <w:r>
              <w:rPr>
                <w:rFonts w:ascii="Times New Roman;serif" w:hAnsi="Times New Roman;serif"/>
                <w:caps w:val="false"/>
                <w:smallCaps w:val="false"/>
                <w:sz w:val="22"/>
              </w:rPr>
              <w:t xml:space="preserve"> </w:t>
            </w:r>
          </w:p>
        </w:tc>
        <w:tc>
          <w:tcPr>
            <w:tcW w:w="646"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37"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897"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4.1.15</w:t>
            </w:r>
          </w:p>
        </w:tc>
        <w:tc>
          <w:tcPr>
            <w:tcW w:w="1391"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February 26, 2016</w:t>
            </w:r>
          </w:p>
        </w:tc>
      </w:tr>
      <w:tr>
        <w:trPr/>
        <w:tc>
          <w:tcPr>
            <w:tcW w:w="970"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4.2.7.1</w:t>
            </w:r>
          </w:p>
        </w:tc>
        <w:tc>
          <w:tcPr>
            <w:tcW w:w="5564" w:type="dxa"/>
            <w:tcBorders/>
            <w:shd w:fill="FFFFFF" w:val="clear"/>
            <w:tcMar>
              <w:bottom w:w="0" w:type="dxa"/>
            </w:tcMar>
            <w:vAlign w:val="center"/>
          </w:tcPr>
          <w:p>
            <w:pPr>
              <w:pStyle w:val="TableContents"/>
              <w:bidi w:val="0"/>
              <w:spacing w:lineRule="auto" w:line="259" w:before="0" w:after="283"/>
              <w:jc w:val="left"/>
              <w:rPr/>
            </w:pPr>
            <w:hyperlink w:anchor="wtrg-20241231xex4_271.htm">
              <w:r>
                <w:rPr>
                  <w:rStyle w:val="InternetLink"/>
                  <w:rFonts w:ascii="Times New Roman;serif" w:hAnsi="Times New Roman;serif"/>
                  <w:b w:val="false"/>
                  <w:i w:val="false"/>
                  <w:caps w:val="false"/>
                  <w:smallCaps w:val="false"/>
                  <w:color w:val="0000FF"/>
                  <w:sz w:val="22"/>
                  <w:u w:val="single"/>
                </w:rPr>
                <w:t>Schedule of Outstanding Supplemental Indentures during and after 2014</w:t>
              </w:r>
            </w:hyperlink>
          </w:p>
        </w:tc>
        <w:tc>
          <w:tcPr>
            <w:tcW w:w="646"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737"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897"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391"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r>
      <w:tr>
        <w:trPr/>
        <w:tc>
          <w:tcPr>
            <w:tcW w:w="970"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4.3</w:t>
            </w:r>
          </w:p>
        </w:tc>
        <w:tc>
          <w:tcPr>
            <w:tcW w:w="5564" w:type="dxa"/>
            <w:tcBorders/>
            <w:shd w:fill="CCEEFF" w:val="clear"/>
            <w:tcMar>
              <w:bottom w:w="0" w:type="dxa"/>
            </w:tcMar>
            <w:vAlign w:val="center"/>
          </w:tcPr>
          <w:p>
            <w:pPr>
              <w:pStyle w:val="TableContents"/>
              <w:bidi w:val="0"/>
              <w:spacing w:lineRule="auto" w:line="259" w:before="0" w:after="283"/>
              <w:jc w:val="left"/>
              <w:rPr/>
            </w:pPr>
            <w:hyperlink r:id="rId13">
              <w:r>
                <w:rPr>
                  <w:rStyle w:val="InternetLink"/>
                  <w:rFonts w:ascii="Times New Roman;serif" w:hAnsi="Times New Roman;serif"/>
                  <w:b w:val="false"/>
                  <w:i w:val="false"/>
                  <w:caps w:val="false"/>
                  <w:smallCaps w:val="false"/>
                  <w:color w:val="0000FF"/>
                  <w:sz w:val="22"/>
                  <w:u w:val="single"/>
                </w:rPr>
                <w:t>Bond Purchase Agreement, dated November 8, 2012, by and among Aqua Pennsylvania, Inc., Teachers Insurance and Annuity Association, John Hancock Life Insurance Company, John Hancock Life Insurance Company of New York, John Hancock Life &amp; Health Insurance Company, The Lincoln National Life Insurance Company, Lincoln Life &amp; Annuity Company of New York, New York Life Insurance Company, New York Life Insurance and Annuity Corporation, Minnesota Life Insurance Company, United Health Care Insurance Company, American Republic Insurance Company, Western Fraternal Life Association</w:t>
              </w:r>
            </w:hyperlink>
          </w:p>
        </w:tc>
        <w:tc>
          <w:tcPr>
            <w:tcW w:w="646"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37"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897"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10.54</w:t>
            </w:r>
          </w:p>
        </w:tc>
        <w:tc>
          <w:tcPr>
            <w:tcW w:w="1391" w:type="dxa"/>
            <w:tcBorders/>
            <w:shd w:fill="CCEE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February 28, 2013</w:t>
            </w:r>
          </w:p>
        </w:tc>
      </w:tr>
      <w:tr>
        <w:trPr/>
        <w:tc>
          <w:tcPr>
            <w:tcW w:w="970"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4.4</w:t>
            </w:r>
          </w:p>
        </w:tc>
        <w:tc>
          <w:tcPr>
            <w:tcW w:w="5564" w:type="dxa"/>
            <w:tcBorders/>
            <w:shd w:fill="FFFFFF" w:val="clear"/>
            <w:tcMar>
              <w:bottom w:w="0" w:type="dxa"/>
            </w:tcMar>
            <w:vAlign w:val="center"/>
          </w:tcPr>
          <w:p>
            <w:pPr>
              <w:pStyle w:val="TableContents"/>
              <w:bidi w:val="0"/>
              <w:spacing w:lineRule="auto" w:line="259" w:before="0" w:after="283"/>
              <w:jc w:val="left"/>
              <w:rPr/>
            </w:pPr>
            <w:hyperlink r:id="rId14">
              <w:r>
                <w:rPr>
                  <w:rStyle w:val="InternetLink"/>
                  <w:rFonts w:ascii="Times New Roman;serif" w:hAnsi="Times New Roman;serif"/>
                  <w:b w:val="false"/>
                  <w:i w:val="false"/>
                  <w:caps w:val="false"/>
                  <w:smallCaps w:val="false"/>
                  <w:color w:val="0000FF"/>
                  <w:sz w:val="22"/>
                  <w:u w:val="single"/>
                </w:rPr>
                <w:t>Bond Purchase Agreement, dated October 24, 2013, by and among Aqua Pennsylvania, Inc., John Hancock Life Insurance Company (U.S.A), John Hancock Life Insurance Company of New York, John Hancock Life &amp; Health Insurance Company, The Lincoln National Life Insurance Company, Thrivent Financial for Lutherans, United Insurance Company of America, Equitable Life &amp; Casualty Insurance Company, Catholic United Financial, and Great Western Insurance Company</w:t>
              </w:r>
            </w:hyperlink>
          </w:p>
        </w:tc>
        <w:tc>
          <w:tcPr>
            <w:tcW w:w="646"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37"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897"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10.45</w:t>
            </w:r>
          </w:p>
        </w:tc>
        <w:tc>
          <w:tcPr>
            <w:tcW w:w="1391" w:type="dxa"/>
            <w:tcBorders/>
            <w:shd w:fill="FFFFFF" w:val="clear"/>
            <w:tcMar>
              <w:bottom w:w="0"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March 3, 2014</w:t>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1"/>
        <w:gridCol w:w="6409"/>
        <w:gridCol w:w="435"/>
        <w:gridCol w:w="744"/>
        <w:gridCol w:w="646"/>
        <w:gridCol w:w="1430"/>
      </w:tblGrid>
      <w:tr>
        <w:trPr/>
        <w:tc>
          <w:tcPr>
            <w:tcW w:w="5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4.5</w:t>
            </w:r>
          </w:p>
        </w:tc>
        <w:tc>
          <w:tcPr>
            <w:tcW w:w="6409" w:type="dxa"/>
            <w:tcBorders/>
            <w:shd w:fill="CCEEFF" w:val="clear"/>
            <w:vAlign w:val="center"/>
          </w:tcPr>
          <w:p>
            <w:pPr>
              <w:pStyle w:val="TableContents"/>
              <w:bidi w:val="0"/>
              <w:spacing w:lineRule="auto" w:line="259" w:before="0" w:after="283"/>
              <w:jc w:val="left"/>
              <w:rPr/>
            </w:pPr>
            <w:hyperlink r:id="rId15">
              <w:r>
                <w:rPr>
                  <w:rStyle w:val="InternetLink"/>
                  <w:rFonts w:ascii="Times New Roman;serif" w:hAnsi="Times New Roman;serif"/>
                  <w:b w:val="false"/>
                  <w:i w:val="false"/>
                  <w:caps w:val="false"/>
                  <w:smallCaps w:val="false"/>
                  <w:color w:val="0000FF"/>
                  <w:sz w:val="22"/>
                  <w:u w:val="single"/>
                </w:rPr>
                <w:t>Bond Purchase Agreement, dated December 29, 2014, by and among Aqua Pennsylvania, Inc., Thrivent Financial for Lutherans, State Farm Life Insurance Company, John Hancock Life Insurance Company (U.S.A), Phoenix Life Insurance Company, PHL Variable Insurance Company, United of Omaha Life Insurance Company, Mutual of Omaha Insurance Company, and Companion Life Insurance Company</w:t>
              </w:r>
            </w:hyperlink>
          </w:p>
        </w:tc>
        <w:tc>
          <w:tcPr>
            <w:tcW w:w="43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10.58</w:t>
            </w:r>
          </w:p>
        </w:tc>
        <w:tc>
          <w:tcPr>
            <w:tcW w:w="14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February 27, 2015</w:t>
            </w:r>
          </w:p>
        </w:tc>
      </w:tr>
      <w:tr>
        <w:trPr/>
        <w:tc>
          <w:tcPr>
            <w:tcW w:w="5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4.6</w:t>
            </w:r>
          </w:p>
        </w:tc>
        <w:tc>
          <w:tcPr>
            <w:tcW w:w="6409" w:type="dxa"/>
            <w:tcBorders/>
            <w:shd w:fill="FFFFFF" w:val="clear"/>
            <w:vAlign w:val="center"/>
          </w:tcPr>
          <w:p>
            <w:pPr>
              <w:pStyle w:val="TableContents"/>
              <w:bidi w:val="0"/>
              <w:spacing w:lineRule="auto" w:line="259" w:before="0" w:after="283"/>
              <w:jc w:val="left"/>
              <w:rPr/>
            </w:pPr>
            <w:hyperlink r:id="rId16">
              <w:r>
                <w:rPr>
                  <w:rStyle w:val="InternetLink"/>
                  <w:rFonts w:ascii="Times New Roman;serif" w:hAnsi="Times New Roman;serif"/>
                  <w:b w:val="false"/>
                  <w:i w:val="false"/>
                  <w:caps w:val="false"/>
                  <w:smallCaps w:val="false"/>
                  <w:color w:val="0000FF"/>
                  <w:sz w:val="22"/>
                  <w:u w:val="single"/>
                </w:rPr>
                <w:t>Bond Purchase Agreement, dated December 3, 2015 by and among Aqua Pennsylvania, Inc., Thrivent Financial for Lutherans, State Farm Life Insurance Company, John Hancock Life Insurance Company (U.S.A), The Lincoln National Life Insurance Company, Teachers Insurance And Annuity Association Of America, CMFG Life Insurance Company, Genworth Life Insurance Company, Phoenix Life Insurance Company, PHL Variable Insurance Company, United Of Omaha Life Insurance Company, The State Life Insurance Company, Pioneer Mutual Life Insurance Company, MONY Life Insurance Company</w:t>
              </w:r>
            </w:hyperlink>
          </w:p>
        </w:tc>
        <w:tc>
          <w:tcPr>
            <w:tcW w:w="43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64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4.12</w:t>
            </w:r>
          </w:p>
        </w:tc>
        <w:tc>
          <w:tcPr>
            <w:tcW w:w="143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February 26, 2016</w:t>
            </w:r>
          </w:p>
        </w:tc>
      </w:tr>
      <w:tr>
        <w:trPr/>
        <w:tc>
          <w:tcPr>
            <w:tcW w:w="5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4.7</w:t>
            </w:r>
          </w:p>
        </w:tc>
        <w:tc>
          <w:tcPr>
            <w:tcW w:w="6409" w:type="dxa"/>
            <w:tcBorders/>
            <w:shd w:fill="CCEEFF" w:val="clear"/>
            <w:vAlign w:val="center"/>
          </w:tcPr>
          <w:p>
            <w:pPr>
              <w:pStyle w:val="TableContents"/>
              <w:bidi w:val="0"/>
              <w:spacing w:lineRule="auto" w:line="259" w:before="0" w:after="283"/>
              <w:jc w:val="left"/>
              <w:rPr/>
            </w:pPr>
            <w:hyperlink r:id="rId17">
              <w:r>
                <w:rPr>
                  <w:rStyle w:val="InternetLink"/>
                  <w:rFonts w:ascii="Times New Roman;serif" w:hAnsi="Times New Roman;serif"/>
                  <w:b w:val="false"/>
                  <w:i w:val="false"/>
                  <w:caps w:val="false"/>
                  <w:smallCaps w:val="false"/>
                  <w:color w:val="0000FF"/>
                  <w:sz w:val="22"/>
                  <w:u w:val="single"/>
                </w:rPr>
                <w:t xml:space="preserve">Note Purchase Agreement, dated November 3, 2016, by and among the Registrant and the note purchasers thereto </w:t>
              </w:r>
            </w:hyperlink>
          </w:p>
        </w:tc>
        <w:tc>
          <w:tcPr>
            <w:tcW w:w="43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4.13</w:t>
            </w:r>
          </w:p>
        </w:tc>
        <w:tc>
          <w:tcPr>
            <w:tcW w:w="14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February 24, 2017</w:t>
            </w:r>
          </w:p>
        </w:tc>
      </w:tr>
      <w:tr>
        <w:trPr/>
        <w:tc>
          <w:tcPr>
            <w:tcW w:w="5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4.8</w:t>
            </w:r>
          </w:p>
        </w:tc>
        <w:tc>
          <w:tcPr>
            <w:tcW w:w="6409" w:type="dxa"/>
            <w:tcBorders/>
            <w:shd w:fill="FFFFFF" w:val="clear"/>
            <w:vAlign w:val="center"/>
          </w:tcPr>
          <w:p>
            <w:pPr>
              <w:pStyle w:val="TableContents"/>
              <w:bidi w:val="0"/>
              <w:spacing w:lineRule="auto" w:line="259" w:before="0" w:after="283"/>
              <w:jc w:val="left"/>
              <w:rPr/>
            </w:pPr>
            <w:hyperlink r:id="rId18">
              <w:r>
                <w:rPr>
                  <w:rStyle w:val="InternetLink"/>
                  <w:rFonts w:ascii="Times New Roman;serif" w:hAnsi="Times New Roman;serif"/>
                  <w:b w:val="false"/>
                  <w:i w:val="false"/>
                  <w:caps w:val="false"/>
                  <w:smallCaps w:val="false"/>
                  <w:color w:val="0000FF"/>
                  <w:sz w:val="22"/>
                  <w:u w:val="single"/>
                </w:rPr>
                <w:t>Bond Purchase Agreement, dated December 15, 2016 by and among Aqua Pennsylvania, Inc., Teachers Insurance and Annuity Association of America, New York Life Insurance Company, New York Life Insurance and Annuity Corporation, John Hancock Life Insurance Company, American Equity Investment Life Insurance Company, Genworth Life and Annuity Insurance Company, Phoenix Life Insurance Company, PHL Variable Insurance Company, American United Life Insurance Company, The State Life Insurance Company, and Pioneer Mutual Life Insurance Company</w:t>
              </w:r>
            </w:hyperlink>
            <w:r>
              <w:rPr>
                <w:rFonts w:ascii="Times New Roman;serif" w:hAnsi="Times New Roman;serif"/>
                <w:caps w:val="false"/>
                <w:smallCaps w:val="false"/>
                <w:sz w:val="22"/>
              </w:rPr>
              <w:t xml:space="preserve"> </w:t>
            </w:r>
          </w:p>
        </w:tc>
        <w:tc>
          <w:tcPr>
            <w:tcW w:w="43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64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4.14</w:t>
            </w:r>
          </w:p>
        </w:tc>
        <w:tc>
          <w:tcPr>
            <w:tcW w:w="143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February 24, 2017</w:t>
            </w:r>
          </w:p>
        </w:tc>
      </w:tr>
      <w:tr>
        <w:trPr/>
        <w:tc>
          <w:tcPr>
            <w:tcW w:w="5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4.9</w:t>
            </w:r>
          </w:p>
        </w:tc>
        <w:tc>
          <w:tcPr>
            <w:tcW w:w="6409" w:type="dxa"/>
            <w:tcBorders/>
            <w:shd w:fill="CCEEFF" w:val="clear"/>
            <w:vAlign w:val="center"/>
          </w:tcPr>
          <w:p>
            <w:pPr>
              <w:pStyle w:val="TableContents"/>
              <w:bidi w:val="0"/>
              <w:spacing w:lineRule="auto" w:line="259" w:before="0" w:after="283"/>
              <w:jc w:val="left"/>
              <w:rPr/>
            </w:pPr>
            <w:hyperlink r:id="rId19">
              <w:r>
                <w:rPr>
                  <w:rStyle w:val="InternetLink"/>
                  <w:rFonts w:ascii="Times New Roman;serif" w:hAnsi="Times New Roman;serif"/>
                  <w:b w:val="false"/>
                  <w:i w:val="false"/>
                  <w:caps w:val="false"/>
                  <w:smallCaps w:val="false"/>
                  <w:color w:val="0000FF"/>
                  <w:sz w:val="22"/>
                  <w:u w:val="single"/>
                </w:rPr>
                <w:t>Bond Purchase Agreement, dated July 10, 2017 by and among Aqua Illinois, Inc., Teachers Insurance and Annuity Association of America</w:t>
              </w:r>
            </w:hyperlink>
          </w:p>
        </w:tc>
        <w:tc>
          <w:tcPr>
            <w:tcW w:w="43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10-Q</w:t>
            </w:r>
          </w:p>
        </w:tc>
        <w:tc>
          <w:tcPr>
            <w:tcW w:w="7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w:t>
            </w:r>
          </w:p>
        </w:tc>
        <w:tc>
          <w:tcPr>
            <w:tcW w:w="14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November 2, 2017</w:t>
            </w:r>
          </w:p>
        </w:tc>
      </w:tr>
      <w:tr>
        <w:trPr/>
        <w:tc>
          <w:tcPr>
            <w:tcW w:w="5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4.10</w:t>
            </w:r>
          </w:p>
        </w:tc>
        <w:tc>
          <w:tcPr>
            <w:tcW w:w="6409" w:type="dxa"/>
            <w:tcBorders/>
            <w:shd w:fill="FFFFFF" w:val="clear"/>
            <w:vAlign w:val="center"/>
          </w:tcPr>
          <w:p>
            <w:pPr>
              <w:pStyle w:val="TableContents"/>
              <w:bidi w:val="0"/>
              <w:spacing w:lineRule="auto" w:line="259" w:before="0" w:after="283"/>
              <w:jc w:val="left"/>
              <w:rPr/>
            </w:pPr>
            <w:hyperlink r:id="rId20">
              <w:r>
                <w:rPr>
                  <w:rStyle w:val="InternetLink"/>
                  <w:rFonts w:ascii="Times New Roman;serif" w:hAnsi="Times New Roman;serif"/>
                  <w:b w:val="false"/>
                  <w:i w:val="false"/>
                  <w:caps w:val="false"/>
                  <w:smallCaps w:val="false"/>
                  <w:color w:val="0000FF"/>
                  <w:sz w:val="22"/>
                  <w:u w:val="single"/>
                </w:rPr>
                <w:t>Bond Purchase Agreement, dated July 20, 2017 by and among Aqua Pennsylvania, Inc., New York Life Insurance Company, New York Life Insurance and Annuity Corporation, New York Life Insurance and Annuity Corporation Institutionally Owned Life Insurance Separate Account (BOLI 3), New York Life Insurance and Annuity Corporation Institutionally Owned Life Insurance Separate Account (BOLI 3-2)</w:t>
              </w:r>
            </w:hyperlink>
          </w:p>
        </w:tc>
        <w:tc>
          <w:tcPr>
            <w:tcW w:w="43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10-Q</w:t>
            </w:r>
          </w:p>
        </w:tc>
        <w:tc>
          <w:tcPr>
            <w:tcW w:w="7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64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4.2</w:t>
            </w:r>
          </w:p>
        </w:tc>
        <w:tc>
          <w:tcPr>
            <w:tcW w:w="143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November 2, 2017</w:t>
            </w:r>
          </w:p>
        </w:tc>
      </w:tr>
      <w:tr>
        <w:trPr/>
        <w:tc>
          <w:tcPr>
            <w:tcW w:w="5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4.11</w:t>
            </w:r>
          </w:p>
        </w:tc>
        <w:tc>
          <w:tcPr>
            <w:tcW w:w="6409" w:type="dxa"/>
            <w:tcBorders/>
            <w:shd w:fill="CCEEFF" w:val="clear"/>
            <w:vAlign w:val="center"/>
          </w:tcPr>
          <w:p>
            <w:pPr>
              <w:pStyle w:val="TableContents"/>
              <w:bidi w:val="0"/>
              <w:spacing w:lineRule="auto" w:line="259" w:before="0" w:after="283"/>
              <w:jc w:val="left"/>
              <w:rPr/>
            </w:pPr>
            <w:hyperlink r:id="rId21">
              <w:r>
                <w:rPr>
                  <w:rStyle w:val="InternetLink"/>
                  <w:rFonts w:ascii="Times New Roman;serif" w:hAnsi="Times New Roman;serif"/>
                  <w:b w:val="false"/>
                  <w:i w:val="false"/>
                  <w:caps w:val="false"/>
                  <w:smallCaps w:val="false"/>
                  <w:color w:val="0000FF"/>
                  <w:sz w:val="22"/>
                  <w:u w:val="single"/>
                </w:rPr>
                <w:t xml:space="preserve">Bond Purchase Agreement, dated June 29, 2018, by and among Aqua Pennsylvania, Inc., CMFG Life Insurance Company, Manufactures Life Reinsurance Limited, The Lincoln National Life Insurance Company, New York Life Insurance Company, The State Life Insurance Company, and Phoenix Life Insurance Company </w:t>
              </w:r>
            </w:hyperlink>
          </w:p>
        </w:tc>
        <w:tc>
          <w:tcPr>
            <w:tcW w:w="43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10-Q</w:t>
            </w:r>
          </w:p>
        </w:tc>
        <w:tc>
          <w:tcPr>
            <w:tcW w:w="7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w:t>
            </w:r>
          </w:p>
        </w:tc>
        <w:tc>
          <w:tcPr>
            <w:tcW w:w="14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August 3, 2018</w:t>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1"/>
        <w:gridCol w:w="6633"/>
        <w:gridCol w:w="430"/>
        <w:gridCol w:w="731"/>
        <w:gridCol w:w="526"/>
        <w:gridCol w:w="1044"/>
      </w:tblGrid>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4.12</w:t>
            </w:r>
          </w:p>
        </w:tc>
        <w:tc>
          <w:tcPr>
            <w:tcW w:w="6633" w:type="dxa"/>
            <w:tcBorders/>
            <w:shd w:fill="FFFFFF" w:val="clear"/>
            <w:vAlign w:val="center"/>
          </w:tcPr>
          <w:p>
            <w:pPr>
              <w:pStyle w:val="TableContents"/>
              <w:bidi w:val="0"/>
              <w:spacing w:lineRule="auto" w:line="259" w:before="0" w:after="283"/>
              <w:jc w:val="left"/>
              <w:rPr/>
            </w:pPr>
            <w:hyperlink r:id="rId22">
              <w:r>
                <w:rPr>
                  <w:rStyle w:val="InternetLink"/>
                  <w:rFonts w:ascii="Times New Roman;serif" w:hAnsi="Times New Roman;serif"/>
                  <w:b w:val="false"/>
                  <w:i w:val="false"/>
                  <w:caps w:val="false"/>
                  <w:smallCaps w:val="false"/>
                  <w:color w:val="0000FF"/>
                  <w:sz w:val="22"/>
                  <w:u w:val="single"/>
                </w:rPr>
                <w:t>Bond Purchase Agreement, dated November 15, 2018, by and among Aqua Pennsylvania, Inc., Teachers Insurance and Annuity Associated of America, American United Life Insurance Company, Pioneer Mutual Life Insurance Company, The State Life Insurance Company, The Lincoln National Life Insurance Company, Lincoln Life &amp; Annuity Company of New York, and United of Omaha Life Insurance Company</w:t>
              </w:r>
            </w:hyperlink>
          </w:p>
        </w:tc>
        <w:tc>
          <w:tcPr>
            <w:tcW w:w="43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3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52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4.15</w:t>
            </w:r>
          </w:p>
        </w:tc>
        <w:tc>
          <w:tcPr>
            <w:tcW w:w="10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February 26, 2019</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4.13</w:t>
            </w:r>
          </w:p>
        </w:tc>
        <w:tc>
          <w:tcPr>
            <w:tcW w:w="6633" w:type="dxa"/>
            <w:tcBorders/>
            <w:shd w:fill="CCEEFF" w:val="clear"/>
            <w:vAlign w:val="center"/>
          </w:tcPr>
          <w:p>
            <w:pPr>
              <w:pStyle w:val="TableContents"/>
              <w:bidi w:val="0"/>
              <w:spacing w:lineRule="auto" w:line="259" w:before="0" w:after="283"/>
              <w:jc w:val="left"/>
              <w:rPr/>
            </w:pPr>
            <w:hyperlink r:id="rId23">
              <w:r>
                <w:rPr>
                  <w:rStyle w:val="InternetLink"/>
                  <w:rFonts w:ascii="Times New Roman;serif" w:hAnsi="Times New Roman;serif"/>
                  <w:b w:val="false"/>
                  <w:i w:val="false"/>
                  <w:caps w:val="false"/>
                  <w:smallCaps w:val="false"/>
                  <w:color w:val="0000FF"/>
                  <w:sz w:val="22"/>
                  <w:u w:val="single"/>
                </w:rPr>
                <w:t>Indenture, dated as of April 23, 2019, between the Registrant and U.S. Bank N.A., as trustee</w:t>
              </w:r>
            </w:hyperlink>
          </w:p>
        </w:tc>
        <w:tc>
          <w:tcPr>
            <w:tcW w:w="4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5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4.4</w:t>
            </w:r>
          </w:p>
        </w:tc>
        <w:tc>
          <w:tcPr>
            <w:tcW w:w="10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April 23, 2019</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4.13.1</w:t>
            </w:r>
          </w:p>
        </w:tc>
        <w:tc>
          <w:tcPr>
            <w:tcW w:w="6633" w:type="dxa"/>
            <w:tcBorders/>
            <w:shd w:fill="FFFFFF" w:val="clear"/>
            <w:vAlign w:val="center"/>
          </w:tcPr>
          <w:p>
            <w:pPr>
              <w:pStyle w:val="TableContents"/>
              <w:bidi w:val="0"/>
              <w:spacing w:lineRule="auto" w:line="259" w:before="0" w:after="283"/>
              <w:jc w:val="left"/>
              <w:rPr/>
            </w:pPr>
            <w:hyperlink r:id="rId24">
              <w:r>
                <w:rPr>
                  <w:rStyle w:val="InternetLink"/>
                  <w:rFonts w:ascii="Times New Roman;serif" w:hAnsi="Times New Roman;serif"/>
                  <w:b w:val="false"/>
                  <w:i w:val="false"/>
                  <w:caps w:val="false"/>
                  <w:smallCaps w:val="false"/>
                  <w:color w:val="0000FF"/>
                  <w:sz w:val="22"/>
                  <w:u w:val="single"/>
                </w:rPr>
                <w:t>First Supplemental Indenture, dated as of April 23, 2019, between the Registrant and U.S. Bank N.A., as trustee</w:t>
              </w:r>
            </w:hyperlink>
          </w:p>
        </w:tc>
        <w:tc>
          <w:tcPr>
            <w:tcW w:w="43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73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52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4.5</w:t>
            </w:r>
          </w:p>
        </w:tc>
        <w:tc>
          <w:tcPr>
            <w:tcW w:w="10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April 23, 2019</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4.13.2</w:t>
            </w:r>
          </w:p>
        </w:tc>
        <w:tc>
          <w:tcPr>
            <w:tcW w:w="6633" w:type="dxa"/>
            <w:tcBorders/>
            <w:shd w:fill="CCEEFF" w:val="clear"/>
            <w:vAlign w:val="center"/>
          </w:tcPr>
          <w:p>
            <w:pPr>
              <w:pStyle w:val="TableContents"/>
              <w:bidi w:val="0"/>
              <w:spacing w:lineRule="auto" w:line="259" w:before="0" w:after="283"/>
              <w:jc w:val="left"/>
              <w:rPr/>
            </w:pPr>
            <w:hyperlink r:id="rId25">
              <w:r>
                <w:rPr>
                  <w:rStyle w:val="InternetLink"/>
                  <w:rFonts w:ascii="Times New Roman;serif" w:hAnsi="Times New Roman;serif"/>
                  <w:b w:val="false"/>
                  <w:i w:val="false"/>
                  <w:caps w:val="false"/>
                  <w:smallCaps w:val="false"/>
                  <w:color w:val="0000FF"/>
                  <w:sz w:val="22"/>
                  <w:u w:val="single"/>
                </w:rPr>
                <w:t xml:space="preserve">Second Supplemental Indenture, dated as of April 23, 2019, between the Registrant and U.S. Bank N.A., as trustee </w:t>
              </w:r>
            </w:hyperlink>
          </w:p>
        </w:tc>
        <w:tc>
          <w:tcPr>
            <w:tcW w:w="4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5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4.6</w:t>
            </w:r>
          </w:p>
        </w:tc>
        <w:tc>
          <w:tcPr>
            <w:tcW w:w="10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April 23, 2019</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4.13.3</w:t>
            </w:r>
          </w:p>
        </w:tc>
        <w:tc>
          <w:tcPr>
            <w:tcW w:w="6633" w:type="dxa"/>
            <w:tcBorders/>
            <w:shd w:fill="FFFFFF" w:val="clear"/>
            <w:vAlign w:val="center"/>
          </w:tcPr>
          <w:p>
            <w:pPr>
              <w:pStyle w:val="TableContents"/>
              <w:bidi w:val="0"/>
              <w:spacing w:lineRule="auto" w:line="259" w:before="0" w:after="283"/>
              <w:jc w:val="left"/>
              <w:rPr/>
            </w:pPr>
            <w:hyperlink r:id="rId26">
              <w:r>
                <w:rPr>
                  <w:rStyle w:val="InternetLink"/>
                  <w:rFonts w:ascii="Times New Roman;serif" w:hAnsi="Times New Roman;serif"/>
                  <w:b w:val="false"/>
                  <w:i w:val="false"/>
                  <w:caps w:val="false"/>
                  <w:smallCaps w:val="false"/>
                  <w:color w:val="0000FF"/>
                  <w:sz w:val="22"/>
                  <w:u w:val="single"/>
                </w:rPr>
                <w:t xml:space="preserve">Third Supplemental Indenture, dated as of April 26, 2019, between the Registrant and U.S. Bank N.A., as trustee </w:t>
              </w:r>
            </w:hyperlink>
          </w:p>
        </w:tc>
        <w:tc>
          <w:tcPr>
            <w:tcW w:w="43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73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52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4.3</w:t>
            </w:r>
          </w:p>
        </w:tc>
        <w:tc>
          <w:tcPr>
            <w:tcW w:w="10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April 26, 2019</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4.13.4</w:t>
            </w:r>
          </w:p>
        </w:tc>
        <w:tc>
          <w:tcPr>
            <w:tcW w:w="6633" w:type="dxa"/>
            <w:tcBorders/>
            <w:shd w:fill="CCEEFF" w:val="clear"/>
            <w:vAlign w:val="center"/>
          </w:tcPr>
          <w:p>
            <w:pPr>
              <w:pStyle w:val="TableContents"/>
              <w:bidi w:val="0"/>
              <w:spacing w:lineRule="auto" w:line="259" w:before="0" w:after="283"/>
              <w:jc w:val="left"/>
              <w:rPr/>
            </w:pPr>
            <w:hyperlink r:id="rId27">
              <w:r>
                <w:rPr>
                  <w:rStyle w:val="InternetLink"/>
                  <w:rFonts w:ascii="Times New Roman;serif" w:hAnsi="Times New Roman;serif"/>
                  <w:b w:val="false"/>
                  <w:i w:val="false"/>
                  <w:caps w:val="false"/>
                  <w:smallCaps w:val="false"/>
                  <w:color w:val="0000FF"/>
                  <w:sz w:val="22"/>
                  <w:u w:val="single"/>
                </w:rPr>
                <w:t xml:space="preserve">Form of Global Note for the 2029 Notes (included in Exhibit 4.13.3 above) </w:t>
              </w:r>
            </w:hyperlink>
          </w:p>
        </w:tc>
        <w:tc>
          <w:tcPr>
            <w:tcW w:w="4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5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4.4</w:t>
            </w:r>
          </w:p>
        </w:tc>
        <w:tc>
          <w:tcPr>
            <w:tcW w:w="10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April 26, 2019</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4.13.5</w:t>
            </w:r>
          </w:p>
        </w:tc>
        <w:tc>
          <w:tcPr>
            <w:tcW w:w="6633" w:type="dxa"/>
            <w:tcBorders/>
            <w:shd w:fill="FFFFFF" w:val="clear"/>
            <w:vAlign w:val="center"/>
          </w:tcPr>
          <w:p>
            <w:pPr>
              <w:pStyle w:val="TableContents"/>
              <w:bidi w:val="0"/>
              <w:spacing w:lineRule="auto" w:line="259" w:before="0" w:after="283"/>
              <w:jc w:val="left"/>
              <w:rPr/>
            </w:pPr>
            <w:hyperlink r:id="rId28">
              <w:r>
                <w:rPr>
                  <w:rStyle w:val="InternetLink"/>
                  <w:rFonts w:ascii="Times New Roman;serif" w:hAnsi="Times New Roman;serif"/>
                  <w:b w:val="false"/>
                  <w:i w:val="false"/>
                  <w:caps w:val="false"/>
                  <w:smallCaps w:val="false"/>
                  <w:color w:val="0000FF"/>
                  <w:sz w:val="22"/>
                  <w:u w:val="single"/>
                </w:rPr>
                <w:t xml:space="preserve">Form of Global Note for the 2049 Notes (included in Exhibit 4.13.3 above) </w:t>
              </w:r>
            </w:hyperlink>
          </w:p>
        </w:tc>
        <w:tc>
          <w:tcPr>
            <w:tcW w:w="43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73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52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4.5</w:t>
            </w:r>
          </w:p>
        </w:tc>
        <w:tc>
          <w:tcPr>
            <w:tcW w:w="10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April 26, 2019</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4.13.6</w:t>
            </w:r>
          </w:p>
        </w:tc>
        <w:tc>
          <w:tcPr>
            <w:tcW w:w="6633" w:type="dxa"/>
            <w:tcBorders/>
            <w:shd w:fill="CCEEFF" w:val="clear"/>
            <w:vAlign w:val="center"/>
          </w:tcPr>
          <w:p>
            <w:pPr>
              <w:pStyle w:val="TableContents"/>
              <w:bidi w:val="0"/>
              <w:spacing w:lineRule="auto" w:line="259" w:before="0" w:after="283"/>
              <w:jc w:val="left"/>
              <w:rPr/>
            </w:pPr>
            <w:hyperlink r:id="rId29">
              <w:r>
                <w:rPr>
                  <w:rStyle w:val="InternetLink"/>
                  <w:rFonts w:ascii="Times New Roman;serif" w:hAnsi="Times New Roman;serif"/>
                  <w:b w:val="false"/>
                  <w:i w:val="false"/>
                  <w:caps w:val="false"/>
                  <w:smallCaps w:val="false"/>
                  <w:color w:val="0000FF"/>
                  <w:sz w:val="22"/>
                  <w:u w:val="single"/>
                </w:rPr>
                <w:t>Fourth Supplemental Indenture, dated April 13, 2020, by and between Essential Utilities, Inc. and U.S. Bank N.A.</w:t>
              </w:r>
            </w:hyperlink>
          </w:p>
        </w:tc>
        <w:tc>
          <w:tcPr>
            <w:tcW w:w="4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5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4.3</w:t>
            </w:r>
          </w:p>
        </w:tc>
        <w:tc>
          <w:tcPr>
            <w:tcW w:w="10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April 15, 2020</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4.13.7</w:t>
            </w:r>
          </w:p>
        </w:tc>
        <w:tc>
          <w:tcPr>
            <w:tcW w:w="6633" w:type="dxa"/>
            <w:tcBorders/>
            <w:shd w:fill="FFFFFF" w:val="clear"/>
            <w:vAlign w:val="center"/>
          </w:tcPr>
          <w:p>
            <w:pPr>
              <w:pStyle w:val="TableContents"/>
              <w:bidi w:val="0"/>
              <w:spacing w:lineRule="auto" w:line="259" w:before="0" w:after="283"/>
              <w:jc w:val="left"/>
              <w:rPr/>
            </w:pPr>
            <w:hyperlink r:id="rId30">
              <w:r>
                <w:rPr>
                  <w:rStyle w:val="InternetLink"/>
                  <w:rFonts w:ascii="Times New Roman;serif" w:hAnsi="Times New Roman;serif"/>
                  <w:b w:val="false"/>
                  <w:i w:val="false"/>
                  <w:caps w:val="false"/>
                  <w:smallCaps w:val="false"/>
                  <w:color w:val="0000FF"/>
                  <w:sz w:val="22"/>
                  <w:u w:val="single"/>
                </w:rPr>
                <w:t xml:space="preserve">Fifth Supplemental Indenture, dated April 19, 2021, between Essential Utilities, Inc. and U.S. Bank N.A., as trustee </w:t>
              </w:r>
            </w:hyperlink>
          </w:p>
        </w:tc>
        <w:tc>
          <w:tcPr>
            <w:tcW w:w="43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73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52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4.3</w:t>
            </w:r>
          </w:p>
        </w:tc>
        <w:tc>
          <w:tcPr>
            <w:tcW w:w="10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April 19, 2021</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4.13.8</w:t>
            </w:r>
          </w:p>
        </w:tc>
        <w:tc>
          <w:tcPr>
            <w:tcW w:w="6633" w:type="dxa"/>
            <w:tcBorders/>
            <w:shd w:fill="CCEEFF" w:val="clear"/>
            <w:vAlign w:val="center"/>
          </w:tcPr>
          <w:p>
            <w:pPr>
              <w:pStyle w:val="TableContents"/>
              <w:bidi w:val="0"/>
              <w:spacing w:lineRule="auto" w:line="259" w:before="0" w:after="283"/>
              <w:jc w:val="left"/>
              <w:rPr/>
            </w:pPr>
            <w:hyperlink r:id="rId31">
              <w:r>
                <w:rPr>
                  <w:rStyle w:val="InternetLink"/>
                  <w:rFonts w:ascii="Times New Roman;serif" w:hAnsi="Times New Roman;serif"/>
                  <w:b w:val="false"/>
                  <w:i w:val="false"/>
                  <w:caps w:val="false"/>
                  <w:smallCaps w:val="false"/>
                  <w:color w:val="0000FF"/>
                  <w:sz w:val="22"/>
                  <w:u w:val="single"/>
                </w:rPr>
                <w:t>Sixth Supplemental Indenture, dated May 20, 2022, between Essential Utilities, Inc. and U.S. Bank Trust Company N.A, as trustee</w:t>
              </w:r>
            </w:hyperlink>
          </w:p>
        </w:tc>
        <w:tc>
          <w:tcPr>
            <w:tcW w:w="4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5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4.3</w:t>
            </w:r>
          </w:p>
        </w:tc>
        <w:tc>
          <w:tcPr>
            <w:tcW w:w="10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May 20, 2022</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4.13.9</w:t>
            </w:r>
          </w:p>
        </w:tc>
        <w:tc>
          <w:tcPr>
            <w:tcW w:w="6633" w:type="dxa"/>
            <w:tcBorders/>
            <w:shd w:fill="FFFFFF" w:val="clear"/>
            <w:vAlign w:val="center"/>
          </w:tcPr>
          <w:p>
            <w:pPr>
              <w:pStyle w:val="TableContents"/>
              <w:bidi w:val="0"/>
              <w:spacing w:lineRule="auto" w:line="259" w:before="0" w:after="283"/>
              <w:jc w:val="left"/>
              <w:rPr/>
            </w:pPr>
            <w:hyperlink r:id="rId32">
              <w:r>
                <w:rPr>
                  <w:rStyle w:val="InternetLink"/>
                  <w:rFonts w:ascii="Times New Roman;serif" w:hAnsi="Times New Roman;serif"/>
                  <w:b w:val="false"/>
                  <w:i w:val="false"/>
                  <w:caps w:val="false"/>
                  <w:smallCaps w:val="false"/>
                  <w:color w:val="0000FF"/>
                  <w:sz w:val="22"/>
                  <w:u w:val="single"/>
                </w:rPr>
                <w:t>Seventh Supplemental Indenture, dated January 8, 2024, between Essential Utilities, Inc. and U.S. Bank Trust Company N.A., as trustee</w:t>
              </w:r>
            </w:hyperlink>
          </w:p>
        </w:tc>
        <w:tc>
          <w:tcPr>
            <w:tcW w:w="43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73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52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4.3</w:t>
            </w:r>
          </w:p>
        </w:tc>
        <w:tc>
          <w:tcPr>
            <w:tcW w:w="10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January 8, 2024</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4.13.10</w:t>
            </w:r>
          </w:p>
        </w:tc>
        <w:tc>
          <w:tcPr>
            <w:tcW w:w="6633" w:type="dxa"/>
            <w:tcBorders/>
            <w:shd w:fill="CCEEFF" w:val="clear"/>
            <w:vAlign w:val="center"/>
          </w:tcPr>
          <w:p>
            <w:pPr>
              <w:pStyle w:val="TableContents"/>
              <w:bidi w:val="0"/>
              <w:spacing w:lineRule="auto" w:line="259" w:before="0" w:after="283"/>
              <w:jc w:val="left"/>
              <w:rPr/>
            </w:pPr>
            <w:hyperlink r:id="rId33">
              <w:r>
                <w:rPr>
                  <w:rStyle w:val="InternetLink"/>
                  <w:rFonts w:ascii="Times New Roman;serif" w:hAnsi="Times New Roman;serif"/>
                  <w:b w:val="false"/>
                  <w:i w:val="false"/>
                  <w:caps w:val="false"/>
                  <w:smallCaps w:val="false"/>
                  <w:color w:val="0000FF"/>
                  <w:sz w:val="22"/>
                  <w:u w:val="single"/>
                </w:rPr>
                <w:t>Eighth Supplemental Indenture, dated August 15, 2024, between Essential Utilities, Inc. and U.S. Bank Trust Company N.A., as trustee</w:t>
              </w:r>
            </w:hyperlink>
          </w:p>
        </w:tc>
        <w:tc>
          <w:tcPr>
            <w:tcW w:w="4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5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4.3</w:t>
            </w:r>
          </w:p>
        </w:tc>
        <w:tc>
          <w:tcPr>
            <w:tcW w:w="10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August 15, 2024</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4.13.11</w:t>
            </w:r>
          </w:p>
        </w:tc>
        <w:tc>
          <w:tcPr>
            <w:tcW w:w="6633" w:type="dxa"/>
            <w:tcBorders/>
            <w:shd w:fill="FFFFFF" w:val="clear"/>
            <w:vAlign w:val="center"/>
          </w:tcPr>
          <w:p>
            <w:pPr>
              <w:pStyle w:val="TableContents"/>
              <w:bidi w:val="0"/>
              <w:spacing w:lineRule="auto" w:line="259" w:before="0" w:after="283"/>
              <w:jc w:val="left"/>
              <w:rPr/>
            </w:pPr>
            <w:hyperlink r:id="rId34">
              <w:r>
                <w:rPr>
                  <w:rStyle w:val="InternetLink"/>
                  <w:rFonts w:ascii="Times New Roman;serif" w:hAnsi="Times New Roman;serif"/>
                  <w:b w:val="false"/>
                  <w:i w:val="false"/>
                  <w:caps w:val="false"/>
                  <w:smallCaps w:val="false"/>
                  <w:color w:val="0000FF"/>
                  <w:sz w:val="22"/>
                  <w:u w:val="single"/>
                </w:rPr>
                <w:t>Form of Global Note for the 2027 Notes (included in Exhibit 4.13.10 above)</w:t>
              </w:r>
            </w:hyperlink>
            <w:r>
              <w:rPr>
                <w:rFonts w:ascii="Times New Roman;serif" w:hAnsi="Times New Roman;serif"/>
                <w:caps w:val="false"/>
                <w:smallCaps w:val="false"/>
                <w:sz w:val="22"/>
              </w:rPr>
              <w:t xml:space="preserve"> </w:t>
            </w:r>
          </w:p>
        </w:tc>
        <w:tc>
          <w:tcPr>
            <w:tcW w:w="43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73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52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4.3</w:t>
            </w:r>
          </w:p>
        </w:tc>
        <w:tc>
          <w:tcPr>
            <w:tcW w:w="104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August 15, 2024</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4.14</w:t>
            </w:r>
          </w:p>
        </w:tc>
        <w:tc>
          <w:tcPr>
            <w:tcW w:w="6633" w:type="dxa"/>
            <w:tcBorders/>
            <w:shd w:fill="CCEEFF" w:val="clear"/>
            <w:vAlign w:val="center"/>
          </w:tcPr>
          <w:p>
            <w:pPr>
              <w:pStyle w:val="TableContents"/>
              <w:bidi w:val="0"/>
              <w:spacing w:lineRule="auto" w:line="259" w:before="0" w:after="100"/>
              <w:jc w:val="left"/>
              <w:rPr/>
            </w:pPr>
            <w:hyperlink r:id="rId35">
              <w:r>
                <w:rPr>
                  <w:rStyle w:val="InternetLink"/>
                  <w:rFonts w:ascii="Times New Roman;serif" w:hAnsi="Times New Roman;serif"/>
                  <w:b w:val="false"/>
                  <w:i w:val="false"/>
                  <w:caps w:val="false"/>
                  <w:smallCaps w:val="false"/>
                  <w:color w:val="0000FF"/>
                  <w:sz w:val="22"/>
                  <w:u w:val="single"/>
                </w:rPr>
                <w:t>Bond Purchase Agreement, dated May 31, 2019, by and among Aqua Pennsylvania, Inc., Athene Annuity and Life Company, Athene Annuity &amp; Life Assurance Company, Genworth Life and Annuity Insurance Company, Genworth Life Insurance Company, John Hancock Life Insurance Company (U.S.A), John Hancock Life Insurance Company of New York, John Hancock Life &amp; Health Insurance Company, Metropolitan Life Insurance Company, Metropolitan Tower Life Insurance Company, MetLife Insurance K.K., Brighthouse Life Insurance Company, United of Omaha Life Insurance Company, New York Life Insurance Company, New York Life Insurance and Annuity Corporation, New York Life Insurance and Annuity Corporation Institutionally Owned Life Insurance Separate Accounts (BOLI 30C, 30E, 3-2), The Northwestern Mutual Life Insurance Company, The Northwestern Mutual Life Insurance Company, and Life Insurance Company of the Southwest</w:t>
              </w:r>
            </w:hyperlink>
          </w:p>
        </w:tc>
        <w:tc>
          <w:tcPr>
            <w:tcW w:w="43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10-Q</w:t>
            </w:r>
          </w:p>
        </w:tc>
        <w:tc>
          <w:tcPr>
            <w:tcW w:w="7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52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4.11</w:t>
            </w:r>
          </w:p>
        </w:tc>
        <w:tc>
          <w:tcPr>
            <w:tcW w:w="104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August 8, 2019</w:t>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119</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1"/>
        <w:gridCol w:w="6418"/>
        <w:gridCol w:w="431"/>
        <w:gridCol w:w="734"/>
        <w:gridCol w:w="706"/>
        <w:gridCol w:w="1195"/>
      </w:tblGrid>
      <w:tr>
        <w:trPr/>
        <w:tc>
          <w:tcPr>
            <w:tcW w:w="72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4.15</w:t>
            </w:r>
          </w:p>
        </w:tc>
        <w:tc>
          <w:tcPr>
            <w:tcW w:w="6418" w:type="dxa"/>
            <w:tcBorders/>
            <w:shd w:fill="FFFFFF" w:val="clear"/>
            <w:vAlign w:val="center"/>
          </w:tcPr>
          <w:p>
            <w:pPr>
              <w:pStyle w:val="TableContents"/>
              <w:bidi w:val="0"/>
              <w:spacing w:lineRule="auto" w:line="259" w:before="0" w:after="283"/>
              <w:jc w:val="left"/>
              <w:rPr/>
            </w:pPr>
            <w:hyperlink r:id="rId36">
              <w:r>
                <w:rPr>
                  <w:rStyle w:val="InternetLink"/>
                  <w:rFonts w:ascii="Times New Roman;serif" w:hAnsi="Times New Roman;serif"/>
                  <w:b w:val="false"/>
                  <w:i w:val="false"/>
                  <w:caps w:val="false"/>
                  <w:smallCaps w:val="false"/>
                  <w:color w:val="0000FF"/>
                  <w:sz w:val="22"/>
                  <w:u w:val="single"/>
                </w:rPr>
                <w:t xml:space="preserve">Bond Purchase Agreement, dated December 20, 2019, by and among Aqua Pennsylvania, Inc., MetLife Insurance K.K, Metropolitan Life Insurance Company, The Ohio National Life Insurance Company, Ohio National Life Assurance Corporation, National Guardian Life Insurance Company, Country Life Insurance Company, Horizon Blue Cross Blue Shield of New Jersey, and Farm Bureau Life Insurance Company </w:t>
              </w:r>
            </w:hyperlink>
          </w:p>
        </w:tc>
        <w:tc>
          <w:tcPr>
            <w:tcW w:w="43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3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4.18</w:t>
            </w:r>
          </w:p>
        </w:tc>
        <w:tc>
          <w:tcPr>
            <w:tcW w:w="119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February 28, 2020</w:t>
            </w:r>
          </w:p>
        </w:tc>
      </w:tr>
      <w:tr>
        <w:trPr/>
        <w:tc>
          <w:tcPr>
            <w:tcW w:w="7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4.16</w:t>
            </w:r>
          </w:p>
        </w:tc>
        <w:tc>
          <w:tcPr>
            <w:tcW w:w="6418" w:type="dxa"/>
            <w:tcBorders/>
            <w:shd w:fill="CCEEFF" w:val="clear"/>
            <w:vAlign w:val="center"/>
          </w:tcPr>
          <w:p>
            <w:pPr>
              <w:pStyle w:val="TableContents"/>
              <w:bidi w:val="0"/>
              <w:spacing w:lineRule="auto" w:line="259" w:before="0" w:after="283"/>
              <w:jc w:val="left"/>
              <w:rPr/>
            </w:pPr>
            <w:hyperlink r:id="rId37">
              <w:r>
                <w:rPr>
                  <w:rStyle w:val="InternetLink"/>
                  <w:rFonts w:ascii="Times New Roman;serif" w:hAnsi="Times New Roman;serif"/>
                  <w:b w:val="false"/>
                  <w:i w:val="false"/>
                  <w:caps w:val="false"/>
                  <w:smallCaps w:val="false"/>
                  <w:color w:val="0000FF"/>
                  <w:sz w:val="22"/>
                  <w:u w:val="single"/>
                </w:rPr>
                <w:t>Bond Purchase Agreement, dated May 1, 2020, by and among Aqua Pennsylvania, Inc. and bond purchasers thereto</w:t>
              </w:r>
            </w:hyperlink>
          </w:p>
        </w:tc>
        <w:tc>
          <w:tcPr>
            <w:tcW w:w="4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10-Q</w:t>
            </w:r>
          </w:p>
        </w:tc>
        <w:tc>
          <w:tcPr>
            <w:tcW w:w="73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4.4</w:t>
            </w:r>
          </w:p>
        </w:tc>
        <w:tc>
          <w:tcPr>
            <w:tcW w:w="119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May 8, 2020</w:t>
            </w:r>
          </w:p>
        </w:tc>
      </w:tr>
      <w:tr>
        <w:trPr/>
        <w:tc>
          <w:tcPr>
            <w:tcW w:w="72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4.17</w:t>
            </w:r>
          </w:p>
        </w:tc>
        <w:tc>
          <w:tcPr>
            <w:tcW w:w="6418" w:type="dxa"/>
            <w:tcBorders/>
            <w:shd w:fill="FFFFFF" w:val="clear"/>
            <w:vAlign w:val="center"/>
          </w:tcPr>
          <w:p>
            <w:pPr>
              <w:pStyle w:val="TableContents"/>
              <w:bidi w:val="0"/>
              <w:spacing w:lineRule="auto" w:line="259" w:before="0" w:after="283"/>
              <w:jc w:val="left"/>
              <w:rPr/>
            </w:pPr>
            <w:hyperlink r:id="rId38">
              <w:r>
                <w:rPr>
                  <w:rStyle w:val="InternetLink"/>
                  <w:rFonts w:ascii="Times New Roman;serif" w:hAnsi="Times New Roman;serif"/>
                  <w:b w:val="false"/>
                  <w:i w:val="false"/>
                  <w:caps w:val="false"/>
                  <w:smallCaps w:val="false"/>
                  <w:color w:val="0000FF"/>
                  <w:sz w:val="22"/>
                  <w:u w:val="single"/>
                </w:rPr>
                <w:t>Bond Purchase Agreement, dated October 13, 2020, by and among Aqua Pennsylvania, Inc., American General Life Insurance Company, The Variable Life Insurance Company, The United States Life Insurance Company in the City of New York, MetLife Insurance K.K., Pacific Life Insurance Company, Equitable Financial Life Insurance Company, Transamerica Life Insurance Company, Transamerica Life (Bermuda) LTD, Principal Life Insurance Company, Ameritas Life Insurance Company, Ameritas Life Insurance Corp. of New York, The State Life Insurance Company, Nassau Life Insurance Company, Life Insurance Company of the Southwest, United Farm Family Life Insurance Company, and Farm Bureau Life Insurance Company</w:t>
              </w:r>
            </w:hyperlink>
            <w:r>
              <w:rPr>
                <w:rFonts w:ascii="Times New Roman;serif" w:hAnsi="Times New Roman;serif"/>
                <w:caps w:val="false"/>
                <w:smallCaps w:val="false"/>
                <w:sz w:val="22"/>
              </w:rPr>
              <w:t xml:space="preserve"> </w:t>
            </w:r>
          </w:p>
        </w:tc>
        <w:tc>
          <w:tcPr>
            <w:tcW w:w="43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3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4.18</w:t>
            </w:r>
          </w:p>
        </w:tc>
        <w:tc>
          <w:tcPr>
            <w:tcW w:w="119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March 1, 2021</w:t>
            </w:r>
          </w:p>
        </w:tc>
      </w:tr>
      <w:tr>
        <w:trPr/>
        <w:tc>
          <w:tcPr>
            <w:tcW w:w="7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4.18</w:t>
            </w:r>
          </w:p>
        </w:tc>
        <w:tc>
          <w:tcPr>
            <w:tcW w:w="6418" w:type="dxa"/>
            <w:tcBorders/>
            <w:shd w:fill="CCEEFF" w:val="clear"/>
            <w:vAlign w:val="center"/>
          </w:tcPr>
          <w:p>
            <w:pPr>
              <w:pStyle w:val="TableContents"/>
              <w:bidi w:val="0"/>
              <w:spacing w:lineRule="auto" w:line="259" w:before="0" w:after="283"/>
              <w:jc w:val="left"/>
              <w:rPr/>
            </w:pPr>
            <w:hyperlink r:id="rId39">
              <w:r>
                <w:rPr>
                  <w:rStyle w:val="InternetLink"/>
                  <w:rFonts w:ascii="Times New Roman;serif" w:hAnsi="Times New Roman;serif"/>
                  <w:b w:val="false"/>
                  <w:i w:val="false"/>
                  <w:caps w:val="false"/>
                  <w:smallCaps w:val="false"/>
                  <w:color w:val="0000FF"/>
                  <w:sz w:val="22"/>
                  <w:u w:val="single"/>
                </w:rPr>
                <w:t xml:space="preserve">Bond Purchase Agreement, dated April 15, 2021, by and among Aqua Ohio, Inc., Teachers Insurance and Annuity Association of America, State Farm Life Insurance Company, State Farm Life and Accident Assurance Company, and State Farm Insurance Companies Employee Retirement Trust </w:t>
              </w:r>
            </w:hyperlink>
          </w:p>
        </w:tc>
        <w:tc>
          <w:tcPr>
            <w:tcW w:w="4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3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4.19</w:t>
            </w:r>
          </w:p>
        </w:tc>
        <w:tc>
          <w:tcPr>
            <w:tcW w:w="119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March 1, 2022</w:t>
            </w:r>
          </w:p>
        </w:tc>
      </w:tr>
      <w:tr>
        <w:trPr/>
        <w:tc>
          <w:tcPr>
            <w:tcW w:w="721" w:type="dxa"/>
            <w:tcBorders/>
            <w:shd w:fill="FFFFFF" w:val="clear"/>
            <w:vAlign w:val="center"/>
          </w:tcPr>
          <w:p>
            <w:pPr>
              <w:pStyle w:val="TableContents"/>
              <w:bidi w:val="0"/>
              <w:spacing w:lineRule="auto" w:line="259" w:before="0" w:after="283"/>
              <w:jc w:val="left"/>
              <w:rPr>
                <w:rFonts w:ascii="Times New Roman;serif" w:hAnsi="Times New Roman;serif"/>
                <w:sz w:val="22"/>
              </w:rPr>
            </w:pPr>
            <w:r>
              <w:rPr>
                <w:rFonts w:ascii="Times New Roman;serif" w:hAnsi="Times New Roman;serif"/>
                <w:b w:val="false"/>
                <w:i w:val="false"/>
                <w:caps w:val="false"/>
                <w:smallCaps w:val="false"/>
                <w:sz w:val="22"/>
              </w:rPr>
              <w:t>4</w:t>
            </w:r>
            <w:r>
              <w:rPr>
                <w:rFonts w:ascii="Times New Roman;serif" w:hAnsi="Times New Roman;serif"/>
                <w:b w:val="false"/>
                <w:i w:val="false"/>
                <w:caps w:val="false"/>
                <w:smallCaps w:val="false"/>
                <w:sz w:val="20"/>
              </w:rPr>
              <w:t>.</w:t>
            </w:r>
            <w:r>
              <w:rPr>
                <w:rFonts w:ascii="Times New Roman;serif" w:hAnsi="Times New Roman;serif"/>
                <w:b w:val="false"/>
                <w:i w:val="false"/>
                <w:caps w:val="false"/>
                <w:smallCaps w:val="false"/>
                <w:sz w:val="22"/>
              </w:rPr>
              <w:t>19</w:t>
            </w:r>
          </w:p>
        </w:tc>
        <w:tc>
          <w:tcPr>
            <w:tcW w:w="6418" w:type="dxa"/>
            <w:tcBorders/>
            <w:shd w:fill="FFFFFF" w:val="clear"/>
            <w:vAlign w:val="center"/>
          </w:tcPr>
          <w:p>
            <w:pPr>
              <w:pStyle w:val="TableContents"/>
              <w:bidi w:val="0"/>
              <w:spacing w:lineRule="auto" w:line="259" w:before="0" w:after="283"/>
              <w:jc w:val="left"/>
              <w:rPr/>
            </w:pPr>
            <w:hyperlink r:id="rId40">
              <w:r>
                <w:rPr>
                  <w:rStyle w:val="InternetLink"/>
                  <w:rFonts w:ascii="Times New Roman;serif" w:hAnsi="Times New Roman;serif"/>
                  <w:b w:val="false"/>
                  <w:i w:val="false"/>
                  <w:caps w:val="false"/>
                  <w:smallCaps w:val="false"/>
                  <w:color w:val="0000FF"/>
                  <w:sz w:val="22"/>
                  <w:u w:val="single"/>
                </w:rPr>
                <w:t>Bond Purchase Agreement, dated September 19, 2022, by and among Aqua Pennsylvania,</w:t>
              </w:r>
            </w:hyperlink>
            <w:hyperlink r:id="rId41">
              <w:r>
                <w:rPr>
                  <w:rStyle w:val="InternetLink"/>
                  <w:rFonts w:ascii="Times New Roman;serif" w:hAnsi="Times New Roman;serif"/>
                  <w:caps w:val="false"/>
                  <w:smallCaps w:val="false"/>
                  <w:color w:val="0000FF"/>
                  <w:sz w:val="22"/>
                  <w:u w:val="single"/>
                </w:rPr>
                <w:t xml:space="preserve"> </w:t>
              </w:r>
            </w:hyperlink>
            <w:hyperlink r:id="rId42">
              <w:r>
                <w:rPr>
                  <w:rStyle w:val="InternetLink"/>
                  <w:rFonts w:ascii="Times New Roman;serif" w:hAnsi="Times New Roman;serif"/>
                  <w:b w:val="false"/>
                  <w:i w:val="false"/>
                  <w:caps w:val="false"/>
                  <w:smallCaps w:val="false"/>
                  <w:color w:val="0000FF"/>
                  <w:sz w:val="20"/>
                  <w:u w:val="single"/>
                </w:rPr>
                <w:t>Inc.</w:t>
              </w:r>
            </w:hyperlink>
            <w:hyperlink r:id="rId43">
              <w:r>
                <w:rPr>
                  <w:rStyle w:val="InternetLink"/>
                  <w:rFonts w:ascii="Times New Roman;serif" w:hAnsi="Times New Roman;serif"/>
                  <w:caps w:val="false"/>
                  <w:smallCaps w:val="false"/>
                  <w:color w:val="0000FF"/>
                  <w:sz w:val="22"/>
                  <w:u w:val="single"/>
                </w:rPr>
                <w:t xml:space="preserve"> </w:t>
              </w:r>
            </w:hyperlink>
            <w:hyperlink r:id="rId44">
              <w:r>
                <w:rPr>
                  <w:rStyle w:val="InternetLink"/>
                  <w:rFonts w:ascii="Times New Roman;serif" w:hAnsi="Times New Roman;serif"/>
                  <w:b w:val="false"/>
                  <w:i w:val="false"/>
                  <w:caps w:val="false"/>
                  <w:smallCaps w:val="false"/>
                  <w:color w:val="0000FF"/>
                  <w:sz w:val="22"/>
                  <w:u w:val="single"/>
                </w:rPr>
                <w:t>and the Purchasers</w:t>
              </w:r>
            </w:hyperlink>
          </w:p>
        </w:tc>
        <w:tc>
          <w:tcPr>
            <w:tcW w:w="43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10-Q</w:t>
            </w:r>
          </w:p>
        </w:tc>
        <w:tc>
          <w:tcPr>
            <w:tcW w:w="73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w:t>
            </w:r>
          </w:p>
        </w:tc>
        <w:tc>
          <w:tcPr>
            <w:tcW w:w="119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November 9, 2022</w:t>
            </w:r>
          </w:p>
        </w:tc>
      </w:tr>
      <w:tr>
        <w:trPr/>
        <w:tc>
          <w:tcPr>
            <w:tcW w:w="7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4.20</w:t>
            </w:r>
          </w:p>
        </w:tc>
        <w:tc>
          <w:tcPr>
            <w:tcW w:w="6418" w:type="dxa"/>
            <w:tcBorders/>
            <w:shd w:fill="CCEEFF" w:val="clear"/>
            <w:vAlign w:val="center"/>
          </w:tcPr>
          <w:p>
            <w:pPr>
              <w:pStyle w:val="TableContents"/>
              <w:bidi w:val="0"/>
              <w:spacing w:lineRule="auto" w:line="259" w:before="0" w:after="283"/>
              <w:jc w:val="left"/>
              <w:rPr/>
            </w:pPr>
            <w:hyperlink r:id="rId45">
              <w:r>
                <w:rPr>
                  <w:rStyle w:val="InternetLink"/>
                  <w:rFonts w:ascii="Times New Roman;serif" w:hAnsi="Times New Roman;serif"/>
                  <w:b w:val="false"/>
                  <w:i w:val="false"/>
                  <w:caps w:val="false"/>
                  <w:smallCaps w:val="false"/>
                  <w:color w:val="0000FF"/>
                  <w:sz w:val="22"/>
                  <w:u w:val="single"/>
                </w:rPr>
                <w:t>Bond Purchase Agreement, dated December 15, 2022, by and among Aqua Pennsylvania, Inc. and State Farm Life Insurance Company, State Farm Life and Accident Assurance Company, State Farm Insurance Companies Employee Retirement Trust</w:t>
              </w:r>
            </w:hyperlink>
          </w:p>
        </w:tc>
        <w:tc>
          <w:tcPr>
            <w:tcW w:w="4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3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4.21</w:t>
            </w:r>
          </w:p>
        </w:tc>
        <w:tc>
          <w:tcPr>
            <w:tcW w:w="119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March 1, 2023</w:t>
            </w:r>
          </w:p>
        </w:tc>
      </w:tr>
      <w:tr>
        <w:trPr/>
        <w:tc>
          <w:tcPr>
            <w:tcW w:w="72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w:t>
            </w:r>
          </w:p>
        </w:tc>
        <w:tc>
          <w:tcPr>
            <w:tcW w:w="6418" w:type="dxa"/>
            <w:tcBorders/>
            <w:shd w:fill="FFFFFF" w:val="clear"/>
            <w:vAlign w:val="center"/>
          </w:tcPr>
          <w:p>
            <w:pPr>
              <w:pStyle w:val="TableContents"/>
              <w:bidi w:val="0"/>
              <w:spacing w:lineRule="auto" w:line="259" w:before="0" w:after="283"/>
              <w:jc w:val="left"/>
              <w:rPr/>
            </w:pPr>
            <w:hyperlink r:id="rId46">
              <w:r>
                <w:rPr>
                  <w:rStyle w:val="InternetLink"/>
                  <w:rFonts w:ascii="Times New Roman;serif" w:hAnsi="Times New Roman;serif"/>
                  <w:b w:val="false"/>
                  <w:i w:val="false"/>
                  <w:caps w:val="false"/>
                  <w:smallCaps w:val="false"/>
                  <w:color w:val="0000FF"/>
                  <w:sz w:val="22"/>
                  <w:u w:val="single"/>
                </w:rPr>
                <w:t xml:space="preserve">Credit Agreement, dated December 14, 2022, between Essential Utilities, Inc., PNC Bank, National Association, CoBank, ACB, Bank of America, N.A., Royal Bank of Canada, The Huntington National Bank, Barclays Bank PLC, Citizens Bank, N.A., The Toronto-Dominion Bank, and Wells Fargo Bank, N.A </w:t>
              </w:r>
            </w:hyperlink>
          </w:p>
        </w:tc>
        <w:tc>
          <w:tcPr>
            <w:tcW w:w="43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3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w:t>
            </w:r>
          </w:p>
        </w:tc>
        <w:tc>
          <w:tcPr>
            <w:tcW w:w="119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March 1, 2023</w:t>
            </w:r>
          </w:p>
        </w:tc>
      </w:tr>
      <w:tr>
        <w:trPr/>
        <w:tc>
          <w:tcPr>
            <w:tcW w:w="7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10.2</w:t>
            </w:r>
          </w:p>
        </w:tc>
        <w:tc>
          <w:tcPr>
            <w:tcW w:w="6418" w:type="dxa"/>
            <w:tcBorders/>
            <w:shd w:fill="CCEEFF" w:val="clear"/>
            <w:vAlign w:val="center"/>
          </w:tcPr>
          <w:p>
            <w:pPr>
              <w:pStyle w:val="TableContents"/>
              <w:bidi w:val="0"/>
              <w:spacing w:lineRule="auto" w:line="259" w:before="0" w:after="283"/>
              <w:jc w:val="left"/>
              <w:rPr/>
            </w:pPr>
            <w:hyperlink r:id="rId47">
              <w:r>
                <w:rPr>
                  <w:rStyle w:val="InternetLink"/>
                  <w:rFonts w:ascii="Times New Roman;serif" w:hAnsi="Times New Roman;serif"/>
                  <w:b w:val="false"/>
                  <w:i w:val="false"/>
                  <w:caps w:val="false"/>
                  <w:smallCaps w:val="false"/>
                  <w:color w:val="0000FF"/>
                  <w:sz w:val="22"/>
                  <w:u w:val="single"/>
                </w:rPr>
                <w:t>Amended and Restated Revolving Credit Agreement, dated as of November 17, 2016 between Aqua Pennsylvania and PNC Bank, National Association, TD Bank, N.A., Citizens Bank of Pennsylvania, and Huntington National Bank</w:t>
              </w:r>
            </w:hyperlink>
          </w:p>
        </w:tc>
        <w:tc>
          <w:tcPr>
            <w:tcW w:w="4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3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10.2.4</w:t>
            </w:r>
          </w:p>
        </w:tc>
        <w:tc>
          <w:tcPr>
            <w:tcW w:w="119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February 24, 2017</w:t>
            </w:r>
          </w:p>
        </w:tc>
      </w:tr>
      <w:tr>
        <w:trPr/>
        <w:tc>
          <w:tcPr>
            <w:tcW w:w="72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10.2.1</w:t>
            </w:r>
          </w:p>
        </w:tc>
        <w:tc>
          <w:tcPr>
            <w:tcW w:w="6418" w:type="dxa"/>
            <w:tcBorders/>
            <w:shd w:fill="FFFFFF" w:val="clear"/>
            <w:vAlign w:val="center"/>
          </w:tcPr>
          <w:p>
            <w:pPr>
              <w:pStyle w:val="TableContents"/>
              <w:bidi w:val="0"/>
              <w:spacing w:lineRule="auto" w:line="259" w:before="0" w:after="283"/>
              <w:jc w:val="left"/>
              <w:rPr/>
            </w:pPr>
            <w:hyperlink r:id="rId48">
              <w:r>
                <w:rPr>
                  <w:rStyle w:val="InternetLink"/>
                  <w:rFonts w:ascii="Times New Roman;serif" w:hAnsi="Times New Roman;serif"/>
                  <w:b w:val="false"/>
                  <w:i w:val="false"/>
                  <w:caps w:val="false"/>
                  <w:smallCaps w:val="false"/>
                  <w:color w:val="0000FF"/>
                  <w:sz w:val="22"/>
                  <w:u w:val="single"/>
                </w:rPr>
                <w:t>First Amendment to Revolving Credit Agreement, dated as of November 16, 2017, between Aqua Pennsylvania and PNC Bank, National Association, Citizens Bank of Pennsylvania, TD Bank, N.A., and Huntington National Bank</w:t>
              </w:r>
            </w:hyperlink>
          </w:p>
        </w:tc>
        <w:tc>
          <w:tcPr>
            <w:tcW w:w="43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3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10.1.5</w:t>
            </w:r>
          </w:p>
        </w:tc>
        <w:tc>
          <w:tcPr>
            <w:tcW w:w="119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February 28, 2018</w:t>
            </w:r>
          </w:p>
        </w:tc>
      </w:tr>
      <w:tr>
        <w:trPr/>
        <w:tc>
          <w:tcPr>
            <w:tcW w:w="72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10.2.2</w:t>
            </w:r>
          </w:p>
        </w:tc>
        <w:tc>
          <w:tcPr>
            <w:tcW w:w="6418" w:type="dxa"/>
            <w:tcBorders/>
            <w:shd w:fill="CCEEFF" w:val="clear"/>
            <w:vAlign w:val="center"/>
          </w:tcPr>
          <w:p>
            <w:pPr>
              <w:pStyle w:val="TableContents"/>
              <w:bidi w:val="0"/>
              <w:spacing w:lineRule="auto" w:line="259" w:before="0" w:after="283"/>
              <w:jc w:val="left"/>
              <w:rPr/>
            </w:pPr>
            <w:hyperlink r:id="rId49">
              <w:r>
                <w:rPr>
                  <w:rStyle w:val="InternetLink"/>
                  <w:rFonts w:ascii="Times New Roman;serif" w:hAnsi="Times New Roman;serif"/>
                  <w:b w:val="false"/>
                  <w:i w:val="false"/>
                  <w:caps w:val="false"/>
                  <w:smallCaps w:val="false"/>
                  <w:color w:val="0000FF"/>
                  <w:sz w:val="22"/>
                  <w:u w:val="single"/>
                </w:rPr>
                <w:t>Second Amendment to Revolving Credit Agreement, dated as of November 9, 2018, between Aqua Pennsylvania and PNC Bank, National Association, Citizens Bank of Pennsylvania, TD Bank, N.A., and Huntington National Bank</w:t>
              </w:r>
            </w:hyperlink>
          </w:p>
        </w:tc>
        <w:tc>
          <w:tcPr>
            <w:tcW w:w="43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3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10.2.2</w:t>
            </w:r>
          </w:p>
        </w:tc>
        <w:tc>
          <w:tcPr>
            <w:tcW w:w="119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February 26, 2019</w:t>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120</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1"/>
        <w:gridCol w:w="5477"/>
        <w:gridCol w:w="698"/>
        <w:gridCol w:w="908"/>
        <w:gridCol w:w="706"/>
        <w:gridCol w:w="1575"/>
      </w:tblGrid>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10.2.3</w:t>
            </w:r>
          </w:p>
        </w:tc>
        <w:tc>
          <w:tcPr>
            <w:tcW w:w="5477" w:type="dxa"/>
            <w:tcBorders/>
            <w:shd w:fill="FFFFFF" w:val="clear"/>
            <w:vAlign w:val="center"/>
          </w:tcPr>
          <w:p>
            <w:pPr>
              <w:pStyle w:val="TableContents"/>
              <w:bidi w:val="0"/>
              <w:spacing w:lineRule="auto" w:line="259" w:before="0" w:after="283"/>
              <w:jc w:val="left"/>
              <w:rPr/>
            </w:pPr>
            <w:hyperlink r:id="rId50">
              <w:r>
                <w:rPr>
                  <w:rStyle w:val="InternetLink"/>
                  <w:rFonts w:ascii="Times New Roman;serif" w:hAnsi="Times New Roman;serif"/>
                  <w:b w:val="false"/>
                  <w:i w:val="false"/>
                  <w:caps w:val="false"/>
                  <w:smallCaps w:val="false"/>
                  <w:color w:val="0000FF"/>
                  <w:sz w:val="22"/>
                  <w:u w:val="single"/>
                </w:rPr>
                <w:t>Third Amendment to Credit Agreement, dated as of November 8, 2019, between Aqua Pennsylvania and PNC Bank, National Association, Citizens Bank of Pennsylvania, TD Bank, N.A., and Huntington National Bank</w:t>
              </w:r>
            </w:hyperlink>
          </w:p>
        </w:tc>
        <w:tc>
          <w:tcPr>
            <w:tcW w:w="69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10-Q</w:t>
            </w:r>
          </w:p>
        </w:tc>
        <w:tc>
          <w:tcPr>
            <w:tcW w:w="90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w:t>
            </w:r>
          </w:p>
        </w:tc>
        <w:tc>
          <w:tcPr>
            <w:tcW w:w="157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May 8, 2020</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10.2.4</w:t>
            </w:r>
          </w:p>
        </w:tc>
        <w:tc>
          <w:tcPr>
            <w:tcW w:w="5477" w:type="dxa"/>
            <w:tcBorders/>
            <w:shd w:fill="CCEEFF" w:val="clear"/>
            <w:vAlign w:val="center"/>
          </w:tcPr>
          <w:p>
            <w:pPr>
              <w:pStyle w:val="TableContents"/>
              <w:bidi w:val="0"/>
              <w:spacing w:lineRule="auto" w:line="259" w:before="0" w:after="283"/>
              <w:jc w:val="left"/>
              <w:rPr/>
            </w:pPr>
            <w:hyperlink r:id="rId51">
              <w:r>
                <w:rPr>
                  <w:rStyle w:val="InternetLink"/>
                  <w:rFonts w:ascii="Times New Roman;serif" w:hAnsi="Times New Roman;serif"/>
                  <w:b w:val="false"/>
                  <w:i w:val="false"/>
                  <w:caps w:val="false"/>
                  <w:smallCaps w:val="false"/>
                  <w:color w:val="0000FF"/>
                  <w:sz w:val="22"/>
                  <w:u w:val="single"/>
                </w:rPr>
                <w:t>Fourth Amendment to Credit Agreement, dated as of November 6, 2020, between Aqua Pennsylvania and PNC Bank, National Association, Citizens Bank, N.A., TD Bank, N.A., and Huntington National Bank</w:t>
              </w:r>
            </w:hyperlink>
          </w:p>
        </w:tc>
        <w:tc>
          <w:tcPr>
            <w:tcW w:w="69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9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10.2.4</w:t>
            </w:r>
          </w:p>
        </w:tc>
        <w:tc>
          <w:tcPr>
            <w:tcW w:w="157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March 1, 2022</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10.2.5</w:t>
            </w:r>
          </w:p>
        </w:tc>
        <w:tc>
          <w:tcPr>
            <w:tcW w:w="5477" w:type="dxa"/>
            <w:tcBorders/>
            <w:shd w:fill="FFFFFF" w:val="clear"/>
            <w:vAlign w:val="center"/>
          </w:tcPr>
          <w:p>
            <w:pPr>
              <w:pStyle w:val="TableContents"/>
              <w:bidi w:val="0"/>
              <w:spacing w:lineRule="auto" w:line="259" w:before="0" w:after="283"/>
              <w:jc w:val="left"/>
              <w:rPr/>
            </w:pPr>
            <w:hyperlink r:id="rId52">
              <w:r>
                <w:rPr>
                  <w:rStyle w:val="InternetLink"/>
                  <w:rFonts w:ascii="Times New Roman;serif" w:hAnsi="Times New Roman;serif"/>
                  <w:b w:val="false"/>
                  <w:i w:val="false"/>
                  <w:caps w:val="false"/>
                  <w:smallCaps w:val="false"/>
                  <w:color w:val="0000FF"/>
                  <w:sz w:val="22"/>
                  <w:u w:val="single"/>
                </w:rPr>
                <w:t>Fifth Amendment to Credit Agreement, dated as of November 5, 2021, between Aqua Pennsylvania and PNC Bank, National Association, Citizens Bank, N.A., TD Bank, N.A., and Huntington National Bank</w:t>
              </w:r>
            </w:hyperlink>
          </w:p>
        </w:tc>
        <w:tc>
          <w:tcPr>
            <w:tcW w:w="69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90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10.2.5</w:t>
            </w:r>
          </w:p>
        </w:tc>
        <w:tc>
          <w:tcPr>
            <w:tcW w:w="157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March 1, 2022</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10.2.6</w:t>
            </w:r>
          </w:p>
        </w:tc>
        <w:tc>
          <w:tcPr>
            <w:tcW w:w="5477" w:type="dxa"/>
            <w:tcBorders/>
            <w:shd w:fill="CCEEFF" w:val="clear"/>
            <w:vAlign w:val="center"/>
          </w:tcPr>
          <w:p>
            <w:pPr>
              <w:pStyle w:val="TableContents"/>
              <w:bidi w:val="0"/>
              <w:spacing w:lineRule="auto" w:line="259" w:before="0" w:after="283"/>
              <w:jc w:val="left"/>
              <w:rPr/>
            </w:pPr>
            <w:hyperlink r:id="rId53">
              <w:r>
                <w:rPr>
                  <w:rStyle w:val="InternetLink"/>
                  <w:rFonts w:ascii="Times New Roman;serif" w:hAnsi="Times New Roman;serif"/>
                  <w:b w:val="false"/>
                  <w:i w:val="false"/>
                  <w:caps w:val="false"/>
                  <w:smallCaps w:val="false"/>
                  <w:color w:val="0000FF"/>
                  <w:sz w:val="22"/>
                  <w:u w:val="single"/>
                </w:rPr>
                <w:t>Sixth Amendment to Credit Agreement, dated as of June 30, 2022, between Aqua Pennsylvania and PNC Bank, National Association, Citizens Bank, N.A., TD Bank, N.A., and The Huntington National Bank</w:t>
              </w:r>
            </w:hyperlink>
          </w:p>
        </w:tc>
        <w:tc>
          <w:tcPr>
            <w:tcW w:w="69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10-Q</w:t>
            </w:r>
          </w:p>
        </w:tc>
        <w:tc>
          <w:tcPr>
            <w:tcW w:w="9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10.2</w:t>
            </w:r>
          </w:p>
        </w:tc>
        <w:tc>
          <w:tcPr>
            <w:tcW w:w="157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August 9, 2022</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10.2.7</w:t>
            </w:r>
          </w:p>
        </w:tc>
        <w:tc>
          <w:tcPr>
            <w:tcW w:w="5477" w:type="dxa"/>
            <w:tcBorders/>
            <w:shd w:fill="FFFFFF" w:val="clear"/>
            <w:vAlign w:val="center"/>
          </w:tcPr>
          <w:p>
            <w:pPr>
              <w:pStyle w:val="TableContents"/>
              <w:bidi w:val="0"/>
              <w:spacing w:lineRule="auto" w:line="259" w:before="0" w:after="283"/>
              <w:jc w:val="left"/>
              <w:rPr/>
            </w:pPr>
            <w:hyperlink r:id="rId54">
              <w:r>
                <w:rPr>
                  <w:rStyle w:val="InternetLink"/>
                  <w:rFonts w:ascii="Times New Roman;serif" w:hAnsi="Times New Roman;serif"/>
                  <w:b w:val="false"/>
                  <w:i w:val="false"/>
                  <w:caps w:val="false"/>
                  <w:smallCaps w:val="false"/>
                  <w:color w:val="0000FF"/>
                  <w:sz w:val="22"/>
                  <w:u w:val="single"/>
                </w:rPr>
                <w:t>Seventh Amendment to Credit Agreement, dated as of June 29, 2023, between Aqua Pennsylvania and PNC Bank, National Association, Citizens Bank, N.A., TD Bank, N.A., and The Huntington National Bank</w:t>
              </w:r>
            </w:hyperlink>
          </w:p>
        </w:tc>
        <w:tc>
          <w:tcPr>
            <w:tcW w:w="69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10-Q</w:t>
            </w:r>
          </w:p>
        </w:tc>
        <w:tc>
          <w:tcPr>
            <w:tcW w:w="90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10.2</w:t>
            </w:r>
          </w:p>
        </w:tc>
        <w:tc>
          <w:tcPr>
            <w:tcW w:w="157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August 8, 2023</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10.2.8</w:t>
            </w:r>
          </w:p>
        </w:tc>
        <w:tc>
          <w:tcPr>
            <w:tcW w:w="5477" w:type="dxa"/>
            <w:tcBorders/>
            <w:shd w:fill="CCEEFF" w:val="clear"/>
            <w:vAlign w:val="center"/>
          </w:tcPr>
          <w:p>
            <w:pPr>
              <w:pStyle w:val="TableContents"/>
              <w:bidi w:val="0"/>
              <w:spacing w:lineRule="auto" w:line="259" w:before="0" w:after="283"/>
              <w:jc w:val="left"/>
              <w:rPr/>
            </w:pPr>
            <w:hyperlink r:id="rId55">
              <w:r>
                <w:rPr>
                  <w:rStyle w:val="InternetLink"/>
                  <w:rFonts w:ascii="Times New Roman;serif" w:hAnsi="Times New Roman;serif"/>
                  <w:b w:val="false"/>
                  <w:i w:val="false"/>
                  <w:caps w:val="false"/>
                  <w:smallCaps w:val="false"/>
                  <w:color w:val="0000FF"/>
                  <w:sz w:val="22"/>
                  <w:u w:val="single"/>
                </w:rPr>
                <w:t>Eighth Amendment to Credit Agreement, dated June 12, 2024, by and between Aqua Pennsylvania, Inc. PNC National Bank Association, Citizens Bank N.A., and The Huntington National Bank</w:t>
              </w:r>
            </w:hyperlink>
          </w:p>
        </w:tc>
        <w:tc>
          <w:tcPr>
            <w:tcW w:w="69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10-Q</w:t>
            </w:r>
          </w:p>
        </w:tc>
        <w:tc>
          <w:tcPr>
            <w:tcW w:w="9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w:t>
            </w:r>
          </w:p>
        </w:tc>
        <w:tc>
          <w:tcPr>
            <w:tcW w:w="157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August 6, 2024</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10.3</w:t>
            </w:r>
          </w:p>
        </w:tc>
        <w:tc>
          <w:tcPr>
            <w:tcW w:w="5477" w:type="dxa"/>
            <w:tcBorders/>
            <w:shd w:fill="FFFFFF" w:val="clear"/>
            <w:vAlign w:val="center"/>
          </w:tcPr>
          <w:p>
            <w:pPr>
              <w:pStyle w:val="TableContents"/>
              <w:bidi w:val="0"/>
              <w:spacing w:lineRule="auto" w:line="259" w:before="0" w:after="283"/>
              <w:jc w:val="left"/>
              <w:rPr/>
            </w:pPr>
            <w:hyperlink r:id="rId56">
              <w:r>
                <w:rPr>
                  <w:rStyle w:val="InternetLink"/>
                  <w:rFonts w:ascii="Times New Roman;serif" w:hAnsi="Times New Roman;serif"/>
                  <w:b w:val="false"/>
                  <w:i w:val="false"/>
                  <w:caps w:val="false"/>
                  <w:smallCaps w:val="false"/>
                  <w:color w:val="0000FF"/>
                  <w:sz w:val="22"/>
                  <w:u w:val="single"/>
                </w:rPr>
                <w:t>The Registrant’s Deferred Compensation Plan Master Trust Agreement with PNC Bank, National Association, dated as of December 31, 1996</w:t>
              </w:r>
            </w:hyperlink>
            <w:r>
              <w:rPr>
                <w:rFonts w:ascii="Times New Roman;serif" w:hAnsi="Times New Roman;serif"/>
                <w:b w:val="false"/>
                <w:i w:val="false"/>
                <w:caps w:val="false"/>
                <w:smallCaps w:val="false"/>
                <w:sz w:val="22"/>
              </w:rPr>
              <w:t xml:space="preserve">* </w:t>
            </w:r>
          </w:p>
        </w:tc>
        <w:tc>
          <w:tcPr>
            <w:tcW w:w="69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90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10.24</w:t>
            </w:r>
          </w:p>
        </w:tc>
        <w:tc>
          <w:tcPr>
            <w:tcW w:w="157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March 25, 1997</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10.3.1</w:t>
            </w:r>
          </w:p>
        </w:tc>
        <w:tc>
          <w:tcPr>
            <w:tcW w:w="5477" w:type="dxa"/>
            <w:tcBorders/>
            <w:shd w:fill="CCEEFF" w:val="clear"/>
            <w:vAlign w:val="center"/>
          </w:tcPr>
          <w:p>
            <w:pPr>
              <w:pStyle w:val="TableContents"/>
              <w:bidi w:val="0"/>
              <w:spacing w:lineRule="auto" w:line="259" w:before="0" w:after="283"/>
              <w:jc w:val="left"/>
              <w:rPr/>
            </w:pPr>
            <w:hyperlink r:id="rId57">
              <w:r>
                <w:rPr>
                  <w:rStyle w:val="InternetLink"/>
                  <w:rFonts w:ascii="Times New Roman;serif" w:hAnsi="Times New Roman;serif"/>
                  <w:b w:val="false"/>
                  <w:i w:val="false"/>
                  <w:caps w:val="false"/>
                  <w:smallCaps w:val="false"/>
                  <w:color w:val="0000FF"/>
                  <w:sz w:val="22"/>
                  <w:u w:val="single"/>
                </w:rPr>
                <w:t>Amendment 2008-1 to the Registrant’s Deferred Compensation Plan Master Trust Agreement, dated as of December 15, 2008</w:t>
              </w:r>
            </w:hyperlink>
            <w:r>
              <w:rPr>
                <w:rFonts w:ascii="Times New Roman;serif" w:hAnsi="Times New Roman;serif"/>
                <w:b w:val="false"/>
                <w:i w:val="false"/>
                <w:caps w:val="false"/>
                <w:smallCaps w:val="false"/>
                <w:sz w:val="22"/>
              </w:rPr>
              <w:t xml:space="preserve">* </w:t>
            </w:r>
          </w:p>
        </w:tc>
        <w:tc>
          <w:tcPr>
            <w:tcW w:w="69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9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10.50</w:t>
            </w:r>
          </w:p>
        </w:tc>
        <w:tc>
          <w:tcPr>
            <w:tcW w:w="157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February 27, 2009</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10.4</w:t>
            </w:r>
          </w:p>
        </w:tc>
        <w:tc>
          <w:tcPr>
            <w:tcW w:w="5477" w:type="dxa"/>
            <w:tcBorders/>
            <w:shd w:fill="FFFFFF" w:val="clear"/>
            <w:vAlign w:val="center"/>
          </w:tcPr>
          <w:p>
            <w:pPr>
              <w:pStyle w:val="TableContents"/>
              <w:bidi w:val="0"/>
              <w:spacing w:lineRule="auto" w:line="259" w:before="0" w:after="283"/>
              <w:jc w:val="left"/>
              <w:rPr/>
            </w:pPr>
            <w:hyperlink r:id="rId58">
              <w:r>
                <w:rPr>
                  <w:rStyle w:val="InternetLink"/>
                  <w:rFonts w:ascii="Times New Roman;serif" w:hAnsi="Times New Roman;serif"/>
                  <w:b w:val="false"/>
                  <w:i w:val="false"/>
                  <w:caps w:val="false"/>
                  <w:smallCaps w:val="false"/>
                  <w:color w:val="0000FF"/>
                  <w:sz w:val="22"/>
                  <w:u w:val="single"/>
                </w:rPr>
                <w:t>The Registrant’s 2009 Executive Deferral Plan (as amended and restated effective January 1, 2009)</w:t>
              </w:r>
            </w:hyperlink>
            <w:r>
              <w:rPr>
                <w:rFonts w:ascii="Times New Roman;serif" w:hAnsi="Times New Roman;serif"/>
                <w:b w:val="false"/>
                <w:i w:val="false"/>
                <w:caps w:val="false"/>
                <w:smallCaps w:val="false"/>
                <w:sz w:val="22"/>
              </w:rPr>
              <w:t>*</w:t>
            </w:r>
          </w:p>
        </w:tc>
        <w:tc>
          <w:tcPr>
            <w:tcW w:w="69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S-8</w:t>
            </w:r>
          </w:p>
        </w:tc>
        <w:tc>
          <w:tcPr>
            <w:tcW w:w="90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333-156047</w:t>
            </w:r>
          </w:p>
        </w:tc>
        <w:tc>
          <w:tcPr>
            <w:tcW w:w="7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4.1</w:t>
            </w:r>
          </w:p>
        </w:tc>
        <w:tc>
          <w:tcPr>
            <w:tcW w:w="157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December 10, 2008</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10.5</w:t>
            </w:r>
          </w:p>
        </w:tc>
        <w:tc>
          <w:tcPr>
            <w:tcW w:w="5477" w:type="dxa"/>
            <w:tcBorders/>
            <w:shd w:fill="CCEEFF" w:val="clear"/>
            <w:vAlign w:val="center"/>
          </w:tcPr>
          <w:p>
            <w:pPr>
              <w:pStyle w:val="TableContents"/>
              <w:bidi w:val="0"/>
              <w:spacing w:lineRule="auto" w:line="259" w:before="0" w:after="283"/>
              <w:jc w:val="left"/>
              <w:rPr/>
            </w:pPr>
            <w:hyperlink r:id="rId59">
              <w:r>
                <w:rPr>
                  <w:rStyle w:val="InternetLink"/>
                  <w:rFonts w:ascii="Times New Roman;serif" w:hAnsi="Times New Roman;serif"/>
                  <w:b w:val="false"/>
                  <w:i w:val="false"/>
                  <w:caps w:val="false"/>
                  <w:smallCaps w:val="false"/>
                  <w:color w:val="0000FF"/>
                  <w:sz w:val="22"/>
                  <w:u w:val="single"/>
                </w:rPr>
                <w:t>The Registrant’s Supplemental Pension Benefit Plan for Salaried Employees (as amended and restated effective January 1, 2011)</w:t>
              </w:r>
            </w:hyperlink>
            <w:r>
              <w:rPr>
                <w:rFonts w:ascii="Times New Roman;serif" w:hAnsi="Times New Roman;serif"/>
                <w:b w:val="false"/>
                <w:i w:val="false"/>
                <w:caps w:val="false"/>
                <w:smallCaps w:val="false"/>
                <w:sz w:val="22"/>
              </w:rPr>
              <w:t xml:space="preserve">* </w:t>
            </w:r>
          </w:p>
        </w:tc>
        <w:tc>
          <w:tcPr>
            <w:tcW w:w="69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9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10.58</w:t>
            </w:r>
          </w:p>
        </w:tc>
        <w:tc>
          <w:tcPr>
            <w:tcW w:w="157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February 27, 2012</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10.6</w:t>
            </w:r>
          </w:p>
        </w:tc>
        <w:tc>
          <w:tcPr>
            <w:tcW w:w="5477" w:type="dxa"/>
            <w:tcBorders/>
            <w:shd w:fill="FFFFFF" w:val="clear"/>
            <w:vAlign w:val="center"/>
          </w:tcPr>
          <w:p>
            <w:pPr>
              <w:pStyle w:val="TableContents"/>
              <w:bidi w:val="0"/>
              <w:spacing w:lineRule="auto" w:line="259" w:before="0" w:after="283"/>
              <w:jc w:val="left"/>
              <w:rPr/>
            </w:pPr>
            <w:hyperlink r:id="rId60">
              <w:r>
                <w:rPr>
                  <w:rStyle w:val="InternetLink"/>
                  <w:rFonts w:ascii="Times New Roman;serif" w:hAnsi="Times New Roman;serif"/>
                  <w:b w:val="false"/>
                  <w:i w:val="false"/>
                  <w:caps w:val="false"/>
                  <w:smallCaps w:val="false"/>
                  <w:color w:val="0000FF"/>
                  <w:sz w:val="22"/>
                  <w:u w:val="single"/>
                </w:rPr>
                <w:t>The Registrant’s Dividend Reinvestment and Direct Stock Purchase Plan</w:t>
              </w:r>
            </w:hyperlink>
          </w:p>
        </w:tc>
        <w:tc>
          <w:tcPr>
            <w:tcW w:w="69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S-3ASR</w:t>
            </w:r>
          </w:p>
        </w:tc>
        <w:tc>
          <w:tcPr>
            <w:tcW w:w="90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333-271878</w:t>
            </w:r>
          </w:p>
        </w:tc>
        <w:tc>
          <w:tcPr>
            <w:tcW w:w="7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N/A</w:t>
            </w:r>
          </w:p>
        </w:tc>
        <w:tc>
          <w:tcPr>
            <w:tcW w:w="157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May 12, 2023</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10.7.1</w:t>
            </w:r>
          </w:p>
        </w:tc>
        <w:tc>
          <w:tcPr>
            <w:tcW w:w="5477" w:type="dxa"/>
            <w:tcBorders/>
            <w:shd w:fill="CCEEFF" w:val="clear"/>
            <w:vAlign w:val="center"/>
          </w:tcPr>
          <w:p>
            <w:pPr>
              <w:pStyle w:val="TableContents"/>
              <w:bidi w:val="0"/>
              <w:spacing w:lineRule="auto" w:line="259" w:before="0" w:after="283"/>
              <w:jc w:val="left"/>
              <w:rPr/>
            </w:pPr>
            <w:hyperlink w:anchor="wtrg-20241231xex10_71.htm">
              <w:r>
                <w:rPr>
                  <w:rStyle w:val="InternetLink"/>
                  <w:rFonts w:ascii="Times New Roman;serif" w:hAnsi="Times New Roman;serif"/>
                  <w:b w:val="false"/>
                  <w:i w:val="false"/>
                  <w:caps w:val="false"/>
                  <w:smallCaps w:val="false"/>
                  <w:color w:val="0000FF"/>
                  <w:sz w:val="22"/>
                  <w:u w:val="single"/>
                </w:rPr>
                <w:t>Performance-Based Share Unit Grant Terms and Conditions</w:t>
              </w:r>
            </w:hyperlink>
            <w:r>
              <w:rPr>
                <w:rFonts w:ascii="Times New Roman;serif" w:hAnsi="Times New Roman;serif"/>
                <w:b w:val="false"/>
                <w:i w:val="false"/>
                <w:caps w:val="false"/>
                <w:smallCaps w:val="false"/>
                <w:sz w:val="22"/>
              </w:rPr>
              <w:t>*</w:t>
            </w:r>
          </w:p>
        </w:tc>
        <w:tc>
          <w:tcPr>
            <w:tcW w:w="69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9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7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57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10.7.2</w:t>
            </w:r>
          </w:p>
        </w:tc>
        <w:tc>
          <w:tcPr>
            <w:tcW w:w="5477" w:type="dxa"/>
            <w:tcBorders/>
            <w:shd w:fill="FFFFFF" w:val="clear"/>
            <w:vAlign w:val="center"/>
          </w:tcPr>
          <w:p>
            <w:pPr>
              <w:pStyle w:val="TableContents"/>
              <w:bidi w:val="0"/>
              <w:spacing w:lineRule="auto" w:line="259" w:before="0" w:after="283"/>
              <w:jc w:val="left"/>
              <w:rPr/>
            </w:pPr>
            <w:hyperlink w:anchor="wtrg-20241231xex10_72.htm">
              <w:r>
                <w:rPr>
                  <w:rStyle w:val="InternetLink"/>
                  <w:rFonts w:ascii="Times New Roman;serif" w:hAnsi="Times New Roman;serif"/>
                  <w:b w:val="false"/>
                  <w:i w:val="false"/>
                  <w:caps w:val="false"/>
                  <w:smallCaps w:val="false"/>
                  <w:color w:val="0000FF"/>
                  <w:sz w:val="22"/>
                  <w:u w:val="single"/>
                </w:rPr>
                <w:t>Restricted Stock Unit Grant Terms and Conditions</w:t>
              </w:r>
            </w:hyperlink>
            <w:r>
              <w:rPr>
                <w:rFonts w:ascii="Times New Roman;serif" w:hAnsi="Times New Roman;serif"/>
                <w:b w:val="false"/>
                <w:i w:val="false"/>
                <w:caps w:val="false"/>
                <w:smallCaps w:val="false"/>
                <w:sz w:val="22"/>
              </w:rPr>
              <w:t>*</w:t>
            </w:r>
          </w:p>
        </w:tc>
        <w:tc>
          <w:tcPr>
            <w:tcW w:w="69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90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7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57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10.7.3</w:t>
            </w:r>
          </w:p>
        </w:tc>
        <w:tc>
          <w:tcPr>
            <w:tcW w:w="5477" w:type="dxa"/>
            <w:tcBorders/>
            <w:shd w:fill="CCEEFF" w:val="clear"/>
            <w:vAlign w:val="center"/>
          </w:tcPr>
          <w:p>
            <w:pPr>
              <w:pStyle w:val="TableContents"/>
              <w:bidi w:val="0"/>
              <w:spacing w:lineRule="auto" w:line="259" w:before="0" w:after="283"/>
              <w:jc w:val="left"/>
              <w:rPr/>
            </w:pPr>
            <w:hyperlink w:anchor="wtrg-20241231xex10_73.htm">
              <w:r>
                <w:rPr>
                  <w:rStyle w:val="InternetLink"/>
                  <w:rFonts w:ascii="Times New Roman;serif" w:hAnsi="Times New Roman;serif"/>
                  <w:b w:val="false"/>
                  <w:i w:val="false"/>
                  <w:caps w:val="false"/>
                  <w:smallCaps w:val="false"/>
                  <w:color w:val="0000FF"/>
                  <w:sz w:val="22"/>
                  <w:u w:val="single"/>
                </w:rPr>
                <w:t>Stock Option Grant Terms and Conditions</w:t>
              </w:r>
            </w:hyperlink>
            <w:r>
              <w:rPr>
                <w:rFonts w:ascii="Times New Roman;serif" w:hAnsi="Times New Roman;serif"/>
                <w:b w:val="false"/>
                <w:i w:val="false"/>
                <w:caps w:val="false"/>
                <w:smallCaps w:val="false"/>
                <w:sz w:val="22"/>
              </w:rPr>
              <w:t>*</w:t>
            </w:r>
          </w:p>
        </w:tc>
        <w:tc>
          <w:tcPr>
            <w:tcW w:w="69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9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7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57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10.8</w:t>
            </w:r>
          </w:p>
        </w:tc>
        <w:tc>
          <w:tcPr>
            <w:tcW w:w="5477" w:type="dxa"/>
            <w:tcBorders/>
            <w:shd w:fill="FFFFFF" w:val="clear"/>
            <w:vAlign w:val="center"/>
          </w:tcPr>
          <w:p>
            <w:pPr>
              <w:pStyle w:val="TableContents"/>
              <w:bidi w:val="0"/>
              <w:spacing w:lineRule="auto" w:line="259" w:before="0" w:after="283"/>
              <w:jc w:val="left"/>
              <w:rPr/>
            </w:pPr>
            <w:hyperlink r:id="rId61">
              <w:r>
                <w:rPr>
                  <w:rStyle w:val="InternetLink"/>
                  <w:rFonts w:ascii="Times New Roman;serif" w:hAnsi="Times New Roman;serif"/>
                  <w:b w:val="false"/>
                  <w:i w:val="false"/>
                  <w:caps w:val="false"/>
                  <w:smallCaps w:val="false"/>
                  <w:color w:val="0000FF"/>
                  <w:sz w:val="22"/>
                  <w:u w:val="single"/>
                </w:rPr>
                <w:t>The Registrant’s 2012 Employee Stock Purchase Plan</w:t>
              </w:r>
            </w:hyperlink>
            <w:r>
              <w:rPr>
                <w:rFonts w:ascii="Times New Roman;serif" w:hAnsi="Times New Roman;serif"/>
                <w:b w:val="false"/>
                <w:i w:val="false"/>
                <w:caps w:val="false"/>
                <w:smallCaps w:val="false"/>
                <w:sz w:val="22"/>
              </w:rPr>
              <w:t>*</w:t>
            </w:r>
          </w:p>
        </w:tc>
        <w:tc>
          <w:tcPr>
            <w:tcW w:w="69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90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10.10</w:t>
            </w:r>
          </w:p>
        </w:tc>
        <w:tc>
          <w:tcPr>
            <w:tcW w:w="157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February 26, 2016 </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10.9</w:t>
            </w:r>
          </w:p>
        </w:tc>
        <w:tc>
          <w:tcPr>
            <w:tcW w:w="5477" w:type="dxa"/>
            <w:tcBorders/>
            <w:shd w:fill="CCEEFF" w:val="clear"/>
            <w:vAlign w:val="center"/>
          </w:tcPr>
          <w:p>
            <w:pPr>
              <w:pStyle w:val="TableContents"/>
              <w:bidi w:val="0"/>
              <w:spacing w:lineRule="auto" w:line="259" w:before="0" w:after="283"/>
              <w:jc w:val="left"/>
              <w:rPr/>
            </w:pPr>
            <w:hyperlink r:id="rId62">
              <w:r>
                <w:rPr>
                  <w:rStyle w:val="InternetLink"/>
                  <w:rFonts w:ascii="Times New Roman;serif" w:hAnsi="Times New Roman;serif"/>
                  <w:b w:val="false"/>
                  <w:i w:val="false"/>
                  <w:caps w:val="false"/>
                  <w:smallCaps w:val="false"/>
                  <w:color w:val="0000FF"/>
                  <w:sz w:val="22"/>
                  <w:u w:val="single"/>
                </w:rPr>
                <w:t>The Registrant’s Annual Cash Incentive Compensation Plan (adopted February 26, 2013)</w:t>
              </w:r>
            </w:hyperlink>
            <w:r>
              <w:rPr>
                <w:rFonts w:ascii="Times New Roman;serif" w:hAnsi="Times New Roman;serif"/>
                <w:b w:val="false"/>
                <w:i w:val="false"/>
                <w:caps w:val="false"/>
                <w:smallCaps w:val="false"/>
                <w:sz w:val="22"/>
              </w:rPr>
              <w:t xml:space="preserve">* </w:t>
            </w:r>
          </w:p>
        </w:tc>
        <w:tc>
          <w:tcPr>
            <w:tcW w:w="69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9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10.56</w:t>
            </w:r>
          </w:p>
        </w:tc>
        <w:tc>
          <w:tcPr>
            <w:tcW w:w="157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February 28, 2013</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10.10</w:t>
            </w:r>
          </w:p>
        </w:tc>
        <w:tc>
          <w:tcPr>
            <w:tcW w:w="5477" w:type="dxa"/>
            <w:tcBorders/>
            <w:shd w:fill="FFFFFF" w:val="clear"/>
            <w:vAlign w:val="center"/>
          </w:tcPr>
          <w:p>
            <w:pPr>
              <w:pStyle w:val="TableContents"/>
              <w:bidi w:val="0"/>
              <w:spacing w:lineRule="auto" w:line="259" w:before="0" w:after="283"/>
              <w:jc w:val="left"/>
              <w:rPr/>
            </w:pPr>
            <w:hyperlink r:id="rId63">
              <w:r>
                <w:rPr>
                  <w:rStyle w:val="InternetLink"/>
                  <w:rFonts w:ascii="Times New Roman;serif" w:hAnsi="Times New Roman;serif"/>
                  <w:b w:val="false"/>
                  <w:i w:val="false"/>
                  <w:caps w:val="false"/>
                  <w:smallCaps w:val="false"/>
                  <w:color w:val="0000FF"/>
                  <w:sz w:val="22"/>
                  <w:u w:val="single"/>
                </w:rPr>
                <w:t>Form of Amended and Restated of Change-in-Control Agreement of Essential Utilities, Inc.</w:t>
              </w:r>
            </w:hyperlink>
            <w:r>
              <w:rPr>
                <w:rFonts w:ascii="Times New Roman;serif" w:hAnsi="Times New Roman;serif"/>
                <w:b w:val="false"/>
                <w:i w:val="false"/>
                <w:caps w:val="false"/>
                <w:smallCaps w:val="false"/>
                <w:sz w:val="22"/>
              </w:rPr>
              <w:t>*</w:t>
            </w:r>
          </w:p>
        </w:tc>
        <w:tc>
          <w:tcPr>
            <w:tcW w:w="69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90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10.2</w:t>
            </w:r>
          </w:p>
        </w:tc>
        <w:tc>
          <w:tcPr>
            <w:tcW w:w="157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May 3, 2024</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10.10.1</w:t>
            </w:r>
          </w:p>
        </w:tc>
        <w:tc>
          <w:tcPr>
            <w:tcW w:w="5477" w:type="dxa"/>
            <w:tcBorders/>
            <w:shd w:fill="CCEEFF" w:val="clear"/>
            <w:vAlign w:val="center"/>
          </w:tcPr>
          <w:p>
            <w:pPr>
              <w:pStyle w:val="TableContents"/>
              <w:bidi w:val="0"/>
              <w:spacing w:lineRule="auto" w:line="259" w:before="0" w:after="283"/>
              <w:jc w:val="left"/>
              <w:rPr/>
            </w:pPr>
            <w:hyperlink w:anchor="wtrg-20241231xex10_101.htm">
              <w:r>
                <w:rPr>
                  <w:rStyle w:val="InternetLink"/>
                  <w:rFonts w:ascii="Times New Roman;serif" w:hAnsi="Times New Roman;serif"/>
                  <w:b w:val="false"/>
                  <w:i w:val="false"/>
                  <w:caps w:val="false"/>
                  <w:smallCaps w:val="false"/>
                  <w:color w:val="0000FF"/>
                  <w:sz w:val="22"/>
                  <w:u w:val="single"/>
                </w:rPr>
                <w:t>Schedule of Change in Control Agreement between the Company and executive officers</w:t>
              </w:r>
            </w:hyperlink>
            <w:r>
              <w:rPr>
                <w:rFonts w:ascii="Times New Roman;serif" w:hAnsi="Times New Roman;serif"/>
                <w:b w:val="false"/>
                <w:i w:val="false"/>
                <w:caps w:val="false"/>
                <w:smallCaps w:val="false"/>
                <w:sz w:val="22"/>
              </w:rPr>
              <w:t>*</w:t>
            </w:r>
          </w:p>
        </w:tc>
        <w:tc>
          <w:tcPr>
            <w:tcW w:w="69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9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7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57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10.11</w:t>
            </w:r>
          </w:p>
        </w:tc>
        <w:tc>
          <w:tcPr>
            <w:tcW w:w="5477" w:type="dxa"/>
            <w:tcBorders/>
            <w:shd w:fill="FFFFFF" w:val="clear"/>
            <w:vAlign w:val="center"/>
          </w:tcPr>
          <w:p>
            <w:pPr>
              <w:pStyle w:val="TableContents"/>
              <w:bidi w:val="0"/>
              <w:spacing w:lineRule="auto" w:line="259" w:before="0" w:after="283"/>
              <w:jc w:val="left"/>
              <w:rPr/>
            </w:pPr>
            <w:hyperlink r:id="rId64">
              <w:r>
                <w:rPr>
                  <w:rStyle w:val="InternetLink"/>
                  <w:rFonts w:ascii="Times New Roman;serif" w:hAnsi="Times New Roman;serif"/>
                  <w:b w:val="false"/>
                  <w:i w:val="false"/>
                  <w:caps w:val="false"/>
                  <w:smallCaps w:val="false"/>
                  <w:color w:val="000080"/>
                  <w:sz w:val="22"/>
                  <w:u w:val="single"/>
                </w:rPr>
                <w:t>Non-Employee Directors' Compensation, effective January 1, 2025</w:t>
              </w:r>
            </w:hyperlink>
            <w:r>
              <w:rPr>
                <w:rFonts w:ascii="Times New Roman;serif" w:hAnsi="Times New Roman;serif"/>
                <w:b w:val="false"/>
                <w:i w:val="false"/>
                <w:caps w:val="false"/>
                <w:smallCaps w:val="false"/>
                <w:color w:val="0000FF"/>
                <w:sz w:val="22"/>
                <w:u w:val="single"/>
              </w:rPr>
              <w:t>*</w:t>
            </w:r>
          </w:p>
        </w:tc>
        <w:tc>
          <w:tcPr>
            <w:tcW w:w="69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90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w:t>
            </w:r>
          </w:p>
        </w:tc>
        <w:tc>
          <w:tcPr>
            <w:tcW w:w="1575"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December 13, 2024</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10.12</w:t>
            </w:r>
          </w:p>
        </w:tc>
        <w:tc>
          <w:tcPr>
            <w:tcW w:w="5477" w:type="dxa"/>
            <w:tcBorders/>
            <w:shd w:fill="CCEEFF" w:val="clear"/>
            <w:vAlign w:val="center"/>
          </w:tcPr>
          <w:p>
            <w:pPr>
              <w:pStyle w:val="TableContents"/>
              <w:bidi w:val="0"/>
              <w:spacing w:lineRule="auto" w:line="259" w:before="0" w:after="283"/>
              <w:jc w:val="left"/>
              <w:rPr/>
            </w:pPr>
            <w:hyperlink r:id="rId65">
              <w:r>
                <w:rPr>
                  <w:rStyle w:val="InternetLink"/>
                  <w:rFonts w:ascii="Times New Roman;serif" w:hAnsi="Times New Roman;serif"/>
                  <w:b w:val="false"/>
                  <w:i w:val="false"/>
                  <w:caps w:val="false"/>
                  <w:smallCaps w:val="false"/>
                  <w:color w:val="0000FF"/>
                  <w:sz w:val="22"/>
                  <w:u w:val="single"/>
                </w:rPr>
                <w:t>Employment Agreement dated July 1, 2024, between the Registrant and Christopher Franklin</w:t>
              </w:r>
            </w:hyperlink>
            <w:r>
              <w:rPr>
                <w:rFonts w:ascii="Times New Roman;serif" w:hAnsi="Times New Roman;serif"/>
                <w:b w:val="false"/>
                <w:i w:val="false"/>
                <w:caps w:val="false"/>
                <w:smallCaps w:val="false"/>
                <w:sz w:val="22"/>
              </w:rPr>
              <w:t xml:space="preserve">* </w:t>
            </w:r>
          </w:p>
        </w:tc>
        <w:tc>
          <w:tcPr>
            <w:tcW w:w="69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90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70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w:t>
            </w:r>
          </w:p>
        </w:tc>
        <w:tc>
          <w:tcPr>
            <w:tcW w:w="1575"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May 3, 2024</w:t>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121</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1"/>
        <w:gridCol w:w="6121"/>
        <w:gridCol w:w="478"/>
        <w:gridCol w:w="799"/>
        <w:gridCol w:w="946"/>
        <w:gridCol w:w="1020"/>
      </w:tblGrid>
      <w:tr>
        <w:trPr/>
        <w:tc>
          <w:tcPr>
            <w:tcW w:w="841" w:type="dxa"/>
            <w:tcBorders/>
            <w:shd w:fill="FFFFFF" w:val="clear"/>
            <w:vAlign w:val="center"/>
          </w:tcPr>
          <w:p>
            <w:pPr>
              <w:pStyle w:val="TableContents"/>
              <w:bidi w:val="0"/>
              <w:spacing w:lineRule="auto" w:line="259" w:before="0" w:after="10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10.13</w:t>
            </w:r>
          </w:p>
        </w:tc>
        <w:tc>
          <w:tcPr>
            <w:tcW w:w="6121" w:type="dxa"/>
            <w:tcBorders/>
            <w:shd w:fill="FFFFFF" w:val="clear"/>
            <w:vAlign w:val="center"/>
          </w:tcPr>
          <w:p>
            <w:pPr>
              <w:pStyle w:val="TableContents"/>
              <w:bidi w:val="0"/>
              <w:spacing w:lineRule="auto" w:line="259" w:before="0" w:after="100"/>
              <w:jc w:val="left"/>
              <w:rPr/>
            </w:pPr>
            <w:hyperlink r:id="rId66">
              <w:r>
                <w:rPr>
                  <w:rStyle w:val="InternetLink"/>
                  <w:rFonts w:ascii="Times New Roman;serif" w:hAnsi="Times New Roman;serif"/>
                  <w:b w:val="false"/>
                  <w:i w:val="false"/>
                  <w:caps w:val="false"/>
                  <w:smallCaps w:val="false"/>
                  <w:color w:val="0000FF"/>
                  <w:sz w:val="22"/>
                  <w:u w:val="single"/>
                </w:rPr>
                <w:t>Form of Sales Agreement, dated August 13, 2024, among Essential Utilities, Inc., a Sales Agent and, if applicable, a Forward Purchaser</w:t>
              </w:r>
            </w:hyperlink>
          </w:p>
        </w:tc>
        <w:tc>
          <w:tcPr>
            <w:tcW w:w="478" w:type="dxa"/>
            <w:tcBorders/>
            <w:shd w:fill="FFFFFF" w:val="clear"/>
            <w:vAlign w:val="center"/>
          </w:tcPr>
          <w:p>
            <w:pPr>
              <w:pStyle w:val="TableContents"/>
              <w:bidi w:val="0"/>
              <w:spacing w:lineRule="auto" w:line="259" w:before="0" w:after="10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799" w:type="dxa"/>
            <w:tcBorders/>
            <w:shd w:fill="FFFFFF" w:val="clear"/>
            <w:vAlign w:val="center"/>
          </w:tcPr>
          <w:p>
            <w:pPr>
              <w:pStyle w:val="TableContents"/>
              <w:bidi w:val="0"/>
              <w:spacing w:lineRule="auto" w:line="259" w:before="0" w:after="10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946" w:type="dxa"/>
            <w:tcBorders/>
            <w:shd w:fill="FFFFFF" w:val="clear"/>
            <w:vAlign w:val="center"/>
          </w:tcPr>
          <w:p>
            <w:pPr>
              <w:pStyle w:val="TableContents"/>
              <w:bidi w:val="0"/>
              <w:spacing w:lineRule="auto" w:line="259" w:before="0" w:after="10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1.1</w:t>
            </w:r>
          </w:p>
        </w:tc>
        <w:tc>
          <w:tcPr>
            <w:tcW w:w="1020" w:type="dxa"/>
            <w:tcBorders/>
            <w:shd w:fill="FFFFFF" w:val="clear"/>
            <w:vAlign w:val="center"/>
          </w:tcPr>
          <w:p>
            <w:pPr>
              <w:pStyle w:val="TableContents"/>
              <w:bidi w:val="0"/>
              <w:spacing w:lineRule="auto" w:line="259" w:before="0" w:after="10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August 13, 2024</w:t>
            </w:r>
          </w:p>
        </w:tc>
      </w:tr>
      <w:tr>
        <w:trPr/>
        <w:tc>
          <w:tcPr>
            <w:tcW w:w="841" w:type="dxa"/>
            <w:tcBorders/>
            <w:shd w:fill="CCEEFF" w:val="clear"/>
            <w:vAlign w:val="center"/>
          </w:tcPr>
          <w:p>
            <w:pPr>
              <w:pStyle w:val="TableContents"/>
              <w:bidi w:val="0"/>
              <w:spacing w:lineRule="auto" w:line="259" w:before="0" w:after="10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10.13.1</w:t>
            </w:r>
          </w:p>
        </w:tc>
        <w:tc>
          <w:tcPr>
            <w:tcW w:w="6121" w:type="dxa"/>
            <w:tcBorders/>
            <w:shd w:fill="CCEEFF" w:val="clear"/>
            <w:vAlign w:val="center"/>
          </w:tcPr>
          <w:p>
            <w:pPr>
              <w:pStyle w:val="TableContents"/>
              <w:bidi w:val="0"/>
              <w:spacing w:lineRule="auto" w:line="259" w:before="0" w:after="100"/>
              <w:jc w:val="left"/>
              <w:rPr/>
            </w:pPr>
            <w:hyperlink r:id="rId67">
              <w:r>
                <w:rPr>
                  <w:rStyle w:val="InternetLink"/>
                  <w:rFonts w:ascii="Times New Roman;serif" w:hAnsi="Times New Roman;serif"/>
                  <w:b w:val="false"/>
                  <w:i w:val="false"/>
                  <w:caps w:val="false"/>
                  <w:smallCaps w:val="false"/>
                  <w:color w:val="0000FF"/>
                  <w:sz w:val="22"/>
                  <w:u w:val="single"/>
                </w:rPr>
                <w:t xml:space="preserve">Form of Forward Sale Agreement, by and between Essential Utilities, Inc. and a Forward Purchaser </w:t>
              </w:r>
            </w:hyperlink>
          </w:p>
        </w:tc>
        <w:tc>
          <w:tcPr>
            <w:tcW w:w="478" w:type="dxa"/>
            <w:tcBorders/>
            <w:shd w:fill="CCEEFF" w:val="clear"/>
            <w:vAlign w:val="center"/>
          </w:tcPr>
          <w:p>
            <w:pPr>
              <w:pStyle w:val="TableContents"/>
              <w:bidi w:val="0"/>
              <w:spacing w:lineRule="auto" w:line="259" w:before="0" w:after="10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799" w:type="dxa"/>
            <w:tcBorders/>
            <w:shd w:fill="CCEEFF" w:val="clear"/>
            <w:vAlign w:val="center"/>
          </w:tcPr>
          <w:p>
            <w:pPr>
              <w:pStyle w:val="TableContents"/>
              <w:bidi w:val="0"/>
              <w:spacing w:lineRule="auto" w:line="259" w:before="0" w:after="10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946" w:type="dxa"/>
            <w:tcBorders/>
            <w:shd w:fill="CCEEFF" w:val="clear"/>
            <w:vAlign w:val="center"/>
          </w:tcPr>
          <w:p>
            <w:pPr>
              <w:pStyle w:val="TableContents"/>
              <w:bidi w:val="0"/>
              <w:spacing w:lineRule="auto" w:line="259" w:before="0" w:after="10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99.1</w:t>
            </w:r>
          </w:p>
        </w:tc>
        <w:tc>
          <w:tcPr>
            <w:tcW w:w="1020" w:type="dxa"/>
            <w:tcBorders/>
            <w:shd w:fill="CCEEFF" w:val="clear"/>
            <w:vAlign w:val="center"/>
          </w:tcPr>
          <w:p>
            <w:pPr>
              <w:pStyle w:val="TableContents"/>
              <w:bidi w:val="0"/>
              <w:spacing w:lineRule="auto" w:line="259" w:before="0" w:after="100"/>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August 13, 2024</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10.14</w:t>
            </w:r>
          </w:p>
        </w:tc>
        <w:tc>
          <w:tcPr>
            <w:tcW w:w="6121" w:type="dxa"/>
            <w:tcBorders/>
            <w:shd w:fill="FFFFFF" w:val="clear"/>
            <w:vAlign w:val="center"/>
          </w:tcPr>
          <w:p>
            <w:pPr>
              <w:pStyle w:val="TableContents"/>
              <w:bidi w:val="0"/>
              <w:spacing w:lineRule="auto" w:line="259" w:before="0" w:after="283"/>
              <w:jc w:val="left"/>
              <w:rPr/>
            </w:pPr>
            <w:hyperlink r:id="rId68">
              <w:r>
                <w:rPr>
                  <w:rStyle w:val="InternetLink"/>
                  <w:rFonts w:ascii="Times New Roman;serif" w:hAnsi="Times New Roman;serif"/>
                  <w:b w:val="false"/>
                  <w:i w:val="false"/>
                  <w:caps w:val="false"/>
                  <w:smallCaps w:val="false"/>
                  <w:color w:val="0000FF"/>
                  <w:sz w:val="22"/>
                  <w:u w:val="single"/>
                </w:rPr>
                <w:t xml:space="preserve">The Registrant Amended and Restated Omnibus Equity Compensation Plan </w:t>
              </w:r>
            </w:hyperlink>
          </w:p>
        </w:tc>
        <w:tc>
          <w:tcPr>
            <w:tcW w:w="47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799"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94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w:t>
            </w:r>
          </w:p>
        </w:tc>
        <w:tc>
          <w:tcPr>
            <w:tcW w:w="102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May 3, 2019</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10.15</w:t>
            </w:r>
          </w:p>
        </w:tc>
        <w:tc>
          <w:tcPr>
            <w:tcW w:w="6121" w:type="dxa"/>
            <w:tcBorders/>
            <w:shd w:fill="CCEEFF" w:val="clear"/>
            <w:vAlign w:val="center"/>
          </w:tcPr>
          <w:p>
            <w:pPr>
              <w:pStyle w:val="TableContents"/>
              <w:bidi w:val="0"/>
              <w:spacing w:lineRule="auto" w:line="259" w:before="0" w:after="283"/>
              <w:jc w:val="left"/>
              <w:rPr/>
            </w:pPr>
            <w:hyperlink r:id="rId69">
              <w:r>
                <w:rPr>
                  <w:rStyle w:val="InternetLink"/>
                  <w:rFonts w:ascii="Times New Roman;serif" w:hAnsi="Times New Roman;serif"/>
                  <w:b w:val="false"/>
                  <w:i w:val="false"/>
                  <w:caps w:val="false"/>
                  <w:smallCaps w:val="false"/>
                  <w:color w:val="0000FF"/>
                  <w:sz w:val="22"/>
                  <w:u w:val="single"/>
                </w:rPr>
                <w:t>Essential Utilities, Inc. Stock Award Grant Instrument dated as of March 16, 2020*</w:t>
              </w:r>
            </w:hyperlink>
          </w:p>
        </w:tc>
        <w:tc>
          <w:tcPr>
            <w:tcW w:w="47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10-Q</w:t>
            </w:r>
          </w:p>
        </w:tc>
        <w:tc>
          <w:tcPr>
            <w:tcW w:w="7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9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10.4</w:t>
            </w:r>
          </w:p>
        </w:tc>
        <w:tc>
          <w:tcPr>
            <w:tcW w:w="10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May 8, 2020</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10.16</w:t>
            </w:r>
          </w:p>
        </w:tc>
        <w:tc>
          <w:tcPr>
            <w:tcW w:w="6121" w:type="dxa"/>
            <w:tcBorders/>
            <w:shd w:fill="FFFFFF" w:val="clear"/>
            <w:vAlign w:val="center"/>
          </w:tcPr>
          <w:p>
            <w:pPr>
              <w:pStyle w:val="TableContents"/>
              <w:bidi w:val="0"/>
              <w:spacing w:lineRule="auto" w:line="259" w:before="0" w:after="283"/>
              <w:jc w:val="left"/>
              <w:rPr/>
            </w:pPr>
            <w:hyperlink r:id="rId70">
              <w:r>
                <w:rPr>
                  <w:rStyle w:val="InternetLink"/>
                  <w:rFonts w:ascii="Times New Roman;serif" w:hAnsi="Times New Roman;serif"/>
                  <w:b w:val="false"/>
                  <w:i w:val="false"/>
                  <w:caps w:val="false"/>
                  <w:smallCaps w:val="false"/>
                  <w:color w:val="0000FF"/>
                  <w:sz w:val="22"/>
                  <w:u w:val="single"/>
                </w:rPr>
                <w:t xml:space="preserve">Incremental Facility Amendment Agreement, dated March 13, 2020, by and among Essential Utilities, Inc., Incremental Lender, and the PNC Bank, National Association </w:t>
              </w:r>
            </w:hyperlink>
          </w:p>
        </w:tc>
        <w:tc>
          <w:tcPr>
            <w:tcW w:w="47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w:t>
            </w:r>
          </w:p>
        </w:tc>
        <w:tc>
          <w:tcPr>
            <w:tcW w:w="799"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94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w:t>
            </w:r>
          </w:p>
        </w:tc>
        <w:tc>
          <w:tcPr>
            <w:tcW w:w="102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March 16, 2020</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10.17</w:t>
            </w:r>
          </w:p>
        </w:tc>
        <w:tc>
          <w:tcPr>
            <w:tcW w:w="6121" w:type="dxa"/>
            <w:tcBorders/>
            <w:shd w:fill="CCEEFF" w:val="clear"/>
            <w:vAlign w:val="center"/>
          </w:tcPr>
          <w:p>
            <w:pPr>
              <w:pStyle w:val="TableContents"/>
              <w:bidi w:val="0"/>
              <w:spacing w:lineRule="auto" w:line="259" w:before="0" w:after="283"/>
              <w:jc w:val="left"/>
              <w:rPr/>
            </w:pPr>
            <w:hyperlink r:id="rId71">
              <w:r>
                <w:rPr>
                  <w:rStyle w:val="InternetLink"/>
                  <w:rFonts w:ascii="Times New Roman;serif" w:hAnsi="Times New Roman;serif"/>
                  <w:b w:val="false"/>
                  <w:i w:val="false"/>
                  <w:caps w:val="false"/>
                  <w:smallCaps w:val="false"/>
                  <w:color w:val="0000FF"/>
                  <w:sz w:val="22"/>
                  <w:u w:val="single"/>
                </w:rPr>
                <w:t>Note Purchase Agreement, dated February 26, 2010, by and between PNG Companies, LLC and the note purchasers thereto</w:t>
              </w:r>
            </w:hyperlink>
            <w:r>
              <w:rPr>
                <w:rFonts w:ascii="Times New Roman;serif" w:hAnsi="Times New Roman;serif"/>
                <w:caps w:val="false"/>
                <w:smallCaps w:val="false"/>
                <w:sz w:val="22"/>
              </w:rPr>
              <w:t xml:space="preserve"> </w:t>
            </w:r>
          </w:p>
        </w:tc>
        <w:tc>
          <w:tcPr>
            <w:tcW w:w="47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8-K/A</w:t>
            </w:r>
          </w:p>
        </w:tc>
        <w:tc>
          <w:tcPr>
            <w:tcW w:w="7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9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w:t>
            </w:r>
          </w:p>
        </w:tc>
        <w:tc>
          <w:tcPr>
            <w:tcW w:w="10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April 13, 2020</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10.17.1</w:t>
            </w:r>
          </w:p>
        </w:tc>
        <w:tc>
          <w:tcPr>
            <w:tcW w:w="6121" w:type="dxa"/>
            <w:tcBorders/>
            <w:shd w:fill="FFFFFF" w:val="clear"/>
            <w:vAlign w:val="center"/>
          </w:tcPr>
          <w:p>
            <w:pPr>
              <w:pStyle w:val="TableContents"/>
              <w:bidi w:val="0"/>
              <w:spacing w:lineRule="auto" w:line="259" w:before="0" w:after="283"/>
              <w:jc w:val="left"/>
              <w:rPr/>
            </w:pPr>
            <w:hyperlink r:id="rId72">
              <w:r>
                <w:rPr>
                  <w:rStyle w:val="InternetLink"/>
                  <w:rFonts w:ascii="Times New Roman;serif" w:hAnsi="Times New Roman;serif"/>
                  <w:b w:val="false"/>
                  <w:i w:val="false"/>
                  <w:caps w:val="false"/>
                  <w:smallCaps w:val="false"/>
                  <w:color w:val="0000FF"/>
                  <w:sz w:val="22"/>
                  <w:u w:val="single"/>
                </w:rPr>
                <w:t>Third Amendment to Note Purchase Agreement, dated November 9, 2017, by and between PNG Companies, LLC and the noteholders</w:t>
              </w:r>
            </w:hyperlink>
          </w:p>
        </w:tc>
        <w:tc>
          <w:tcPr>
            <w:tcW w:w="47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8-K/A</w:t>
            </w:r>
          </w:p>
        </w:tc>
        <w:tc>
          <w:tcPr>
            <w:tcW w:w="799"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94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10.1.3</w:t>
            </w:r>
          </w:p>
        </w:tc>
        <w:tc>
          <w:tcPr>
            <w:tcW w:w="102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April 13, 2020</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10.17.2</w:t>
            </w:r>
          </w:p>
        </w:tc>
        <w:tc>
          <w:tcPr>
            <w:tcW w:w="6121" w:type="dxa"/>
            <w:tcBorders/>
            <w:shd w:fill="CCEEFF" w:val="clear"/>
            <w:vAlign w:val="center"/>
          </w:tcPr>
          <w:p>
            <w:pPr>
              <w:pStyle w:val="TableContents"/>
              <w:bidi w:val="0"/>
              <w:spacing w:lineRule="auto" w:line="259" w:before="0" w:after="283"/>
              <w:jc w:val="left"/>
              <w:rPr/>
            </w:pPr>
            <w:hyperlink r:id="rId73">
              <w:r>
                <w:rPr>
                  <w:rStyle w:val="InternetLink"/>
                  <w:rFonts w:ascii="Times New Roman;serif" w:hAnsi="Times New Roman;serif"/>
                  <w:b w:val="false"/>
                  <w:i w:val="false"/>
                  <w:caps w:val="false"/>
                  <w:smallCaps w:val="false"/>
                  <w:color w:val="0000FF"/>
                  <w:sz w:val="22"/>
                  <w:u w:val="single"/>
                </w:rPr>
                <w:t>First Supplement to Note Purchase Agreement, dated December 12, 2013, by and between PNG Companies, LLC and the note purchasers thereto</w:t>
              </w:r>
            </w:hyperlink>
          </w:p>
        </w:tc>
        <w:tc>
          <w:tcPr>
            <w:tcW w:w="47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8-K/A</w:t>
            </w:r>
          </w:p>
        </w:tc>
        <w:tc>
          <w:tcPr>
            <w:tcW w:w="7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9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10.1.4</w:t>
            </w:r>
          </w:p>
        </w:tc>
        <w:tc>
          <w:tcPr>
            <w:tcW w:w="10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April 13, 2020</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10.17.3</w:t>
            </w:r>
          </w:p>
        </w:tc>
        <w:tc>
          <w:tcPr>
            <w:tcW w:w="6121" w:type="dxa"/>
            <w:tcBorders/>
            <w:shd w:fill="FFFFFF" w:val="clear"/>
            <w:vAlign w:val="center"/>
          </w:tcPr>
          <w:p>
            <w:pPr>
              <w:pStyle w:val="TableContents"/>
              <w:bidi w:val="0"/>
              <w:spacing w:lineRule="auto" w:line="259" w:before="0" w:after="283"/>
              <w:jc w:val="left"/>
              <w:rPr/>
            </w:pPr>
            <w:hyperlink r:id="rId74">
              <w:r>
                <w:rPr>
                  <w:rStyle w:val="InternetLink"/>
                  <w:rFonts w:ascii="Times New Roman;serif" w:hAnsi="Times New Roman;serif"/>
                  <w:b w:val="false"/>
                  <w:i w:val="false"/>
                  <w:caps w:val="false"/>
                  <w:smallCaps w:val="false"/>
                  <w:color w:val="0000FF"/>
                  <w:sz w:val="22"/>
                  <w:u w:val="single"/>
                </w:rPr>
                <w:t>Second Supplement to Note Purchase Agreement, dated July 14, 2017, by and between PNG Companies, LLC and the note purchasers thereto</w:t>
              </w:r>
            </w:hyperlink>
          </w:p>
        </w:tc>
        <w:tc>
          <w:tcPr>
            <w:tcW w:w="47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8-K/A</w:t>
            </w:r>
          </w:p>
        </w:tc>
        <w:tc>
          <w:tcPr>
            <w:tcW w:w="799"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94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10.1.5</w:t>
            </w:r>
          </w:p>
        </w:tc>
        <w:tc>
          <w:tcPr>
            <w:tcW w:w="102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April 13, 2020</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10.17.4</w:t>
            </w:r>
          </w:p>
        </w:tc>
        <w:tc>
          <w:tcPr>
            <w:tcW w:w="6121" w:type="dxa"/>
            <w:tcBorders/>
            <w:shd w:fill="CCEEFF" w:val="clear"/>
            <w:vAlign w:val="center"/>
          </w:tcPr>
          <w:p>
            <w:pPr>
              <w:pStyle w:val="TableContents"/>
              <w:bidi w:val="0"/>
              <w:spacing w:lineRule="auto" w:line="259" w:before="0" w:after="283"/>
              <w:jc w:val="left"/>
              <w:rPr/>
            </w:pPr>
            <w:hyperlink r:id="rId75">
              <w:r>
                <w:rPr>
                  <w:rStyle w:val="InternetLink"/>
                  <w:rFonts w:ascii="Times New Roman;serif" w:hAnsi="Times New Roman;serif"/>
                  <w:b w:val="false"/>
                  <w:i w:val="false"/>
                  <w:caps w:val="false"/>
                  <w:smallCaps w:val="false"/>
                  <w:color w:val="0000FF"/>
                  <w:sz w:val="22"/>
                  <w:u w:val="single"/>
                </w:rPr>
                <w:t>Third Supplement to Note Purchase Agreement, dated September 20, 2017, by and between PNG Companies, LLC and the note purchasers thereto</w:t>
              </w:r>
            </w:hyperlink>
          </w:p>
        </w:tc>
        <w:tc>
          <w:tcPr>
            <w:tcW w:w="47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8-K/A</w:t>
            </w:r>
          </w:p>
        </w:tc>
        <w:tc>
          <w:tcPr>
            <w:tcW w:w="7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9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10.1.6</w:t>
            </w:r>
          </w:p>
        </w:tc>
        <w:tc>
          <w:tcPr>
            <w:tcW w:w="10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April 13, 2020</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10.17.5</w:t>
            </w:r>
          </w:p>
        </w:tc>
        <w:tc>
          <w:tcPr>
            <w:tcW w:w="6121" w:type="dxa"/>
            <w:tcBorders/>
            <w:shd w:fill="FFFFFF" w:val="clear"/>
            <w:vAlign w:val="center"/>
          </w:tcPr>
          <w:p>
            <w:pPr>
              <w:pStyle w:val="TableContents"/>
              <w:bidi w:val="0"/>
              <w:spacing w:lineRule="auto" w:line="259" w:before="0" w:after="283"/>
              <w:jc w:val="left"/>
              <w:rPr/>
            </w:pPr>
            <w:hyperlink r:id="rId76">
              <w:r>
                <w:rPr>
                  <w:rStyle w:val="InternetLink"/>
                  <w:rFonts w:ascii="Times New Roman;serif" w:hAnsi="Times New Roman;serif"/>
                  <w:b w:val="false"/>
                  <w:i w:val="false"/>
                  <w:caps w:val="false"/>
                  <w:smallCaps w:val="false"/>
                  <w:color w:val="0000FF"/>
                  <w:sz w:val="22"/>
                  <w:u w:val="single"/>
                </w:rPr>
                <w:t>Fourth Supplement to Note Purchase Agreement, dated November 9, 2017, by and between PNG Companies, LLC and the note purchasers thereto</w:t>
              </w:r>
            </w:hyperlink>
          </w:p>
        </w:tc>
        <w:tc>
          <w:tcPr>
            <w:tcW w:w="47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8-K/A</w:t>
            </w:r>
          </w:p>
        </w:tc>
        <w:tc>
          <w:tcPr>
            <w:tcW w:w="799"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94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10.1.7</w:t>
            </w:r>
          </w:p>
        </w:tc>
        <w:tc>
          <w:tcPr>
            <w:tcW w:w="102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April 13, 2020</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10.17.6</w:t>
            </w:r>
          </w:p>
        </w:tc>
        <w:tc>
          <w:tcPr>
            <w:tcW w:w="6121" w:type="dxa"/>
            <w:tcBorders/>
            <w:shd w:fill="CCEEFF" w:val="clear"/>
            <w:vAlign w:val="center"/>
          </w:tcPr>
          <w:p>
            <w:pPr>
              <w:pStyle w:val="TableContents"/>
              <w:bidi w:val="0"/>
              <w:spacing w:lineRule="auto" w:line="259" w:before="0" w:after="283"/>
              <w:jc w:val="left"/>
              <w:rPr/>
            </w:pPr>
            <w:hyperlink r:id="rId77">
              <w:r>
                <w:rPr>
                  <w:rStyle w:val="InternetLink"/>
                  <w:rFonts w:ascii="Times New Roman;serif" w:hAnsi="Times New Roman;serif"/>
                  <w:b w:val="false"/>
                  <w:i w:val="false"/>
                  <w:caps w:val="false"/>
                  <w:smallCaps w:val="false"/>
                  <w:color w:val="0000FF"/>
                  <w:sz w:val="22"/>
                  <w:u w:val="single"/>
                </w:rPr>
                <w:t>Sixth Amendment to Credit Agreement, dated June 30, 2022, between Aqua Pennsylvania and PNC Bank, National Association, Citizens Bank, N.A., TD Bank, N.A., and The Huntington National Bank</w:t>
              </w:r>
            </w:hyperlink>
          </w:p>
        </w:tc>
        <w:tc>
          <w:tcPr>
            <w:tcW w:w="478" w:type="dxa"/>
            <w:tcBorders/>
            <w:shd w:fill="CCEEFF" w:val="clear"/>
            <w:vAlign w:val="center"/>
          </w:tcPr>
          <w:p>
            <w:pPr>
              <w:pStyle w:val="TableContents"/>
              <w:bidi w:val="0"/>
              <w:spacing w:lineRule="auto" w:line="259" w:before="0" w:after="283"/>
              <w:jc w:val="left"/>
              <w:rPr>
                <w:rFonts w:ascii="Times New Roman;serif" w:hAnsi="Times New Roman;serif"/>
                <w:sz w:val="22"/>
              </w:rPr>
            </w:pPr>
            <w:r>
              <w:rPr>
                <w:rFonts w:ascii="Times New Roman;serif" w:hAnsi="Times New Roman;serif"/>
                <w:b w:val="false"/>
                <w:i w:val="false"/>
                <w:caps w:val="false"/>
                <w:smallCaps w:val="false"/>
                <w:sz w:val="22"/>
              </w:rPr>
              <w:t>1</w:t>
            </w:r>
            <w:r>
              <w:rPr>
                <w:rFonts w:ascii="Times New Roman;serif" w:hAnsi="Times New Roman;serif"/>
                <w:b w:val="false"/>
                <w:i w:val="false"/>
                <w:caps w:val="false"/>
                <w:smallCaps w:val="false"/>
                <w:sz w:val="20"/>
              </w:rPr>
              <w:t>0-Q</w:t>
            </w:r>
          </w:p>
        </w:tc>
        <w:tc>
          <w:tcPr>
            <w:tcW w:w="7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002-06659</w:t>
            </w:r>
          </w:p>
        </w:tc>
        <w:tc>
          <w:tcPr>
            <w:tcW w:w="9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10.2</w:t>
            </w:r>
          </w:p>
        </w:tc>
        <w:tc>
          <w:tcPr>
            <w:tcW w:w="10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August 9, 2022</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10.17.7</w:t>
            </w:r>
          </w:p>
        </w:tc>
        <w:tc>
          <w:tcPr>
            <w:tcW w:w="6121" w:type="dxa"/>
            <w:tcBorders/>
            <w:shd w:fill="FFFFFF" w:val="clear"/>
            <w:vAlign w:val="center"/>
          </w:tcPr>
          <w:p>
            <w:pPr>
              <w:pStyle w:val="TableContents"/>
              <w:bidi w:val="0"/>
              <w:spacing w:lineRule="auto" w:line="259" w:before="0" w:after="283"/>
              <w:jc w:val="left"/>
              <w:rPr/>
            </w:pPr>
            <w:hyperlink r:id="rId78">
              <w:r>
                <w:rPr>
                  <w:rStyle w:val="InternetLink"/>
                  <w:rFonts w:ascii="Times New Roman;serif" w:hAnsi="Times New Roman;serif"/>
                  <w:b w:val="false"/>
                  <w:i w:val="false"/>
                  <w:caps w:val="false"/>
                  <w:smallCaps w:val="false"/>
                  <w:color w:val="0000FF"/>
                  <w:sz w:val="22"/>
                  <w:u w:val="single"/>
                </w:rPr>
                <w:t xml:space="preserve">Credit Agreement, dated November 25, 2020, by and between PNG Companies, LLC and PNC Bank, National Association and TD Bank, N.A. </w:t>
              </w:r>
            </w:hyperlink>
          </w:p>
        </w:tc>
        <w:tc>
          <w:tcPr>
            <w:tcW w:w="47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99"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94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10.21.9</w:t>
            </w:r>
          </w:p>
        </w:tc>
        <w:tc>
          <w:tcPr>
            <w:tcW w:w="102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March 1, 2022</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10.17.8</w:t>
            </w:r>
          </w:p>
        </w:tc>
        <w:tc>
          <w:tcPr>
            <w:tcW w:w="6121" w:type="dxa"/>
            <w:tcBorders/>
            <w:shd w:fill="CCEEFF" w:val="clear"/>
            <w:vAlign w:val="center"/>
          </w:tcPr>
          <w:p>
            <w:pPr>
              <w:pStyle w:val="TableContents"/>
              <w:bidi w:val="0"/>
              <w:spacing w:lineRule="auto" w:line="259" w:before="0" w:after="283"/>
              <w:jc w:val="left"/>
              <w:rPr/>
            </w:pPr>
            <w:hyperlink r:id="rId79">
              <w:r>
                <w:rPr>
                  <w:rStyle w:val="InternetLink"/>
                  <w:rFonts w:ascii="Times New Roman;serif" w:hAnsi="Times New Roman;serif"/>
                  <w:b w:val="false"/>
                  <w:i w:val="false"/>
                  <w:caps w:val="false"/>
                  <w:smallCaps w:val="false"/>
                  <w:color w:val="0000FF"/>
                  <w:sz w:val="22"/>
                  <w:u w:val="single"/>
                </w:rPr>
                <w:t>First Amendment to Credit Agreement, dated November 5, 2021, by and between PNG Companies, LLC and PNC Bank, National Association and TD Bank, N.A.</w:t>
              </w:r>
            </w:hyperlink>
          </w:p>
        </w:tc>
        <w:tc>
          <w:tcPr>
            <w:tcW w:w="47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7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9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10.21.10</w:t>
            </w:r>
          </w:p>
        </w:tc>
        <w:tc>
          <w:tcPr>
            <w:tcW w:w="10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March 1, 2022</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10.17.9</w:t>
            </w:r>
          </w:p>
        </w:tc>
        <w:tc>
          <w:tcPr>
            <w:tcW w:w="6121" w:type="dxa"/>
            <w:tcBorders/>
            <w:shd w:fill="FFFFFF" w:val="clear"/>
            <w:vAlign w:val="center"/>
          </w:tcPr>
          <w:p>
            <w:pPr>
              <w:pStyle w:val="TableContents"/>
              <w:bidi w:val="0"/>
              <w:spacing w:lineRule="auto" w:line="259" w:before="0" w:after="283"/>
              <w:jc w:val="left"/>
              <w:rPr/>
            </w:pPr>
            <w:hyperlink r:id="rId80">
              <w:r>
                <w:rPr>
                  <w:rStyle w:val="InternetLink"/>
                  <w:rFonts w:ascii="Times New Roman;serif" w:hAnsi="Times New Roman;serif"/>
                  <w:b w:val="false"/>
                  <w:i w:val="false"/>
                  <w:caps w:val="false"/>
                  <w:smallCaps w:val="false"/>
                  <w:color w:val="000080"/>
                  <w:sz w:val="22"/>
                  <w:u w:val="single"/>
                </w:rPr>
                <w:t>Second Amendment to Credit Agreement, dated June 30, 2022, by and between PNG Companies, LLC and PNC Bank National Association, TD Bank, N.A. and Citizens Bank N.A</w:t>
              </w:r>
            </w:hyperlink>
            <w:r>
              <w:rPr>
                <w:rFonts w:ascii="Times New Roman;serif" w:hAnsi="Times New Roman;serif"/>
                <w:b w:val="false"/>
                <w:i w:val="false"/>
                <w:caps w:val="false"/>
                <w:smallCaps w:val="false"/>
                <w:color w:val="0000FF"/>
                <w:sz w:val="22"/>
                <w:u w:val="single"/>
              </w:rPr>
              <w:t>.</w:t>
            </w:r>
          </w:p>
        </w:tc>
        <w:tc>
          <w:tcPr>
            <w:tcW w:w="47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10-Q</w:t>
            </w:r>
          </w:p>
        </w:tc>
        <w:tc>
          <w:tcPr>
            <w:tcW w:w="799"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94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w:t>
            </w:r>
          </w:p>
        </w:tc>
        <w:tc>
          <w:tcPr>
            <w:tcW w:w="102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August 9, 2022</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19.1</w:t>
            </w:r>
          </w:p>
        </w:tc>
        <w:tc>
          <w:tcPr>
            <w:tcW w:w="6121" w:type="dxa"/>
            <w:tcBorders/>
            <w:shd w:fill="CCEEFF" w:val="clear"/>
            <w:vAlign w:val="center"/>
          </w:tcPr>
          <w:p>
            <w:pPr>
              <w:pStyle w:val="TableContents"/>
              <w:bidi w:val="0"/>
              <w:spacing w:lineRule="auto" w:line="259" w:before="0" w:after="283"/>
              <w:jc w:val="left"/>
              <w:rPr/>
            </w:pPr>
            <w:hyperlink w:anchor="wtrg-20241231xex19_1.htm">
              <w:r>
                <w:rPr>
                  <w:rStyle w:val="InternetLink"/>
                  <w:rFonts w:ascii="Times New Roman;serif" w:hAnsi="Times New Roman;serif"/>
                  <w:b w:val="false"/>
                  <w:i w:val="false"/>
                  <w:caps w:val="false"/>
                  <w:smallCaps w:val="false"/>
                  <w:color w:val="0000FF"/>
                  <w:sz w:val="22"/>
                  <w:u w:val="single"/>
                </w:rPr>
                <w:t>The Registrant’s Insider Trading Policy</w:t>
              </w:r>
            </w:hyperlink>
          </w:p>
        </w:tc>
        <w:tc>
          <w:tcPr>
            <w:tcW w:w="47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7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9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0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21.1</w:t>
            </w:r>
          </w:p>
        </w:tc>
        <w:tc>
          <w:tcPr>
            <w:tcW w:w="6121" w:type="dxa"/>
            <w:tcBorders/>
            <w:shd w:fill="FFFFFF" w:val="clear"/>
            <w:vAlign w:val="center"/>
          </w:tcPr>
          <w:p>
            <w:pPr>
              <w:pStyle w:val="TableContents"/>
              <w:bidi w:val="0"/>
              <w:spacing w:lineRule="auto" w:line="259" w:before="0" w:after="283"/>
              <w:jc w:val="left"/>
              <w:rPr/>
            </w:pPr>
            <w:hyperlink w:anchor="wtrg-20241231xex21_1.htm">
              <w:r>
                <w:rPr>
                  <w:rStyle w:val="InternetLink"/>
                  <w:rFonts w:ascii="Times New Roman;serif" w:hAnsi="Times New Roman;serif"/>
                  <w:b w:val="false"/>
                  <w:i w:val="false"/>
                  <w:caps w:val="false"/>
                  <w:smallCaps w:val="false"/>
                  <w:color w:val="0000FF"/>
                  <w:sz w:val="22"/>
                  <w:u w:val="single"/>
                </w:rPr>
                <w:t>Subsidiaries of Essential Utilities, Inc.</w:t>
              </w:r>
            </w:hyperlink>
          </w:p>
        </w:tc>
        <w:tc>
          <w:tcPr>
            <w:tcW w:w="47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799"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94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02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23.1</w:t>
            </w:r>
          </w:p>
        </w:tc>
        <w:tc>
          <w:tcPr>
            <w:tcW w:w="6121" w:type="dxa"/>
            <w:tcBorders/>
            <w:shd w:fill="CCEEFF" w:val="clear"/>
            <w:vAlign w:val="center"/>
          </w:tcPr>
          <w:p>
            <w:pPr>
              <w:pStyle w:val="TableContents"/>
              <w:bidi w:val="0"/>
              <w:spacing w:lineRule="auto" w:line="259" w:before="0" w:after="283"/>
              <w:jc w:val="left"/>
              <w:rPr/>
            </w:pPr>
            <w:hyperlink w:anchor="wtrg-20241231xex23_1.htm">
              <w:r>
                <w:rPr>
                  <w:rStyle w:val="InternetLink"/>
                  <w:rFonts w:ascii="Times New Roman;serif" w:hAnsi="Times New Roman;serif"/>
                  <w:b w:val="false"/>
                  <w:i w:val="false"/>
                  <w:caps w:val="false"/>
                  <w:smallCaps w:val="false"/>
                  <w:color w:val="0000FF"/>
                  <w:sz w:val="22"/>
                  <w:u w:val="single"/>
                </w:rPr>
                <w:t>Consent of Independent Registered Public Accounting Firm – PricewaterhouseCoopers LLP</w:t>
              </w:r>
            </w:hyperlink>
          </w:p>
        </w:tc>
        <w:tc>
          <w:tcPr>
            <w:tcW w:w="47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7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9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0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r>
      <w:tr>
        <w:trPr/>
        <w:tc>
          <w:tcPr>
            <w:tcW w:w="84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31.1</w:t>
            </w:r>
          </w:p>
        </w:tc>
        <w:tc>
          <w:tcPr>
            <w:tcW w:w="6121" w:type="dxa"/>
            <w:tcBorders/>
            <w:shd w:fill="FFFFFF" w:val="clear"/>
            <w:vAlign w:val="center"/>
          </w:tcPr>
          <w:p>
            <w:pPr>
              <w:pStyle w:val="TableContents"/>
              <w:bidi w:val="0"/>
              <w:spacing w:lineRule="auto" w:line="259" w:before="0" w:after="283"/>
              <w:jc w:val="left"/>
              <w:rPr/>
            </w:pPr>
            <w:hyperlink w:anchor="wtrg-20241231xex31_1.htm">
              <w:r>
                <w:rPr>
                  <w:rStyle w:val="InternetLink"/>
                  <w:rFonts w:ascii="Times New Roman;serif" w:hAnsi="Times New Roman;serif"/>
                  <w:b w:val="false"/>
                  <w:i w:val="false"/>
                  <w:caps w:val="false"/>
                  <w:smallCaps w:val="false"/>
                  <w:color w:val="0000FF"/>
                  <w:sz w:val="22"/>
                  <w:u w:val="single"/>
                </w:rPr>
                <w:t>Certification of Chief Executive Officer, pursuant to Rule 13a-14(a) under the Securities and Exchange Act of 1934</w:t>
              </w:r>
            </w:hyperlink>
          </w:p>
        </w:tc>
        <w:tc>
          <w:tcPr>
            <w:tcW w:w="47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799"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94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020"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r>
      <w:tr>
        <w:trPr/>
        <w:tc>
          <w:tcPr>
            <w:tcW w:w="84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31.2</w:t>
            </w:r>
          </w:p>
        </w:tc>
        <w:tc>
          <w:tcPr>
            <w:tcW w:w="6121" w:type="dxa"/>
            <w:tcBorders/>
            <w:shd w:fill="CCEEFF" w:val="clear"/>
            <w:vAlign w:val="center"/>
          </w:tcPr>
          <w:p>
            <w:pPr>
              <w:pStyle w:val="TableContents"/>
              <w:bidi w:val="0"/>
              <w:spacing w:lineRule="auto" w:line="259" w:before="0" w:after="283"/>
              <w:jc w:val="left"/>
              <w:rPr/>
            </w:pPr>
            <w:hyperlink w:anchor="wtrg-20241231xex31_2.htm">
              <w:r>
                <w:rPr>
                  <w:rStyle w:val="InternetLink"/>
                  <w:rFonts w:ascii="Times New Roman;serif" w:hAnsi="Times New Roman;serif"/>
                  <w:b w:val="false"/>
                  <w:i w:val="false"/>
                  <w:caps w:val="false"/>
                  <w:smallCaps w:val="false"/>
                  <w:color w:val="0000FF"/>
                  <w:sz w:val="22"/>
                  <w:u w:val="single"/>
                </w:rPr>
                <w:t>Certification of Chief Financial Officer, pursuant to Rule 13a-14(a) under the Securities and Exchange Act of 1934</w:t>
              </w:r>
            </w:hyperlink>
          </w:p>
        </w:tc>
        <w:tc>
          <w:tcPr>
            <w:tcW w:w="47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7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9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020"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122</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9"/>
        <w:gridCol w:w="6378"/>
        <w:gridCol w:w="481"/>
        <w:gridCol w:w="864"/>
        <w:gridCol w:w="646"/>
        <w:gridCol w:w="1037"/>
      </w:tblGrid>
      <w:tr>
        <w:trPr/>
        <w:tc>
          <w:tcPr>
            <w:tcW w:w="799"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32.1</w:t>
            </w:r>
          </w:p>
        </w:tc>
        <w:tc>
          <w:tcPr>
            <w:tcW w:w="6378" w:type="dxa"/>
            <w:tcBorders/>
            <w:shd w:fill="FFFFFF" w:val="clear"/>
            <w:vAlign w:val="center"/>
          </w:tcPr>
          <w:p>
            <w:pPr>
              <w:pStyle w:val="TableContents"/>
              <w:bidi w:val="0"/>
              <w:spacing w:lineRule="auto" w:line="259" w:before="0" w:after="283"/>
              <w:jc w:val="left"/>
              <w:rPr/>
            </w:pPr>
            <w:hyperlink w:anchor="wtrg-20241231xex32_1.htm">
              <w:r>
                <w:rPr>
                  <w:rStyle w:val="InternetLink"/>
                  <w:rFonts w:ascii="Times New Roman;serif" w:hAnsi="Times New Roman;serif"/>
                  <w:b w:val="false"/>
                  <w:i w:val="false"/>
                  <w:caps w:val="false"/>
                  <w:smallCaps w:val="false"/>
                  <w:color w:val="0000FF"/>
                  <w:sz w:val="22"/>
                  <w:u w:val="single"/>
                </w:rPr>
                <w:t>Certification of Chief Executive Officer, pursuant to 18 U.S.C. Section 1350</w:t>
              </w:r>
            </w:hyperlink>
          </w:p>
        </w:tc>
        <w:tc>
          <w:tcPr>
            <w:tcW w:w="48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86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64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037"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r>
      <w:tr>
        <w:trPr/>
        <w:tc>
          <w:tcPr>
            <w:tcW w:w="7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32.2</w:t>
            </w:r>
          </w:p>
        </w:tc>
        <w:tc>
          <w:tcPr>
            <w:tcW w:w="6378" w:type="dxa"/>
            <w:tcBorders/>
            <w:shd w:fill="CCEEFF" w:val="clear"/>
            <w:vAlign w:val="center"/>
          </w:tcPr>
          <w:p>
            <w:pPr>
              <w:pStyle w:val="TableContents"/>
              <w:bidi w:val="0"/>
              <w:spacing w:lineRule="auto" w:line="259" w:before="0" w:after="283"/>
              <w:jc w:val="left"/>
              <w:rPr/>
            </w:pPr>
            <w:hyperlink w:anchor="wtrg-20241231xex32_2.htm">
              <w:r>
                <w:rPr>
                  <w:rStyle w:val="InternetLink"/>
                  <w:rFonts w:ascii="Times New Roman;serif" w:hAnsi="Times New Roman;serif"/>
                  <w:b w:val="false"/>
                  <w:i w:val="false"/>
                  <w:caps w:val="false"/>
                  <w:smallCaps w:val="false"/>
                  <w:color w:val="0000FF"/>
                  <w:sz w:val="22"/>
                  <w:u w:val="single"/>
                </w:rPr>
                <w:t>Certification of Chief Financial Officer, pursuant to 18 U.S.C. Section 1350</w:t>
              </w:r>
            </w:hyperlink>
          </w:p>
        </w:tc>
        <w:tc>
          <w:tcPr>
            <w:tcW w:w="4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8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0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r>
      <w:tr>
        <w:trPr/>
        <w:tc>
          <w:tcPr>
            <w:tcW w:w="799"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97.1</w:t>
            </w:r>
          </w:p>
        </w:tc>
        <w:tc>
          <w:tcPr>
            <w:tcW w:w="6378" w:type="dxa"/>
            <w:tcBorders/>
            <w:shd w:fill="FFFFFF" w:val="clear"/>
            <w:vAlign w:val="center"/>
          </w:tcPr>
          <w:p>
            <w:pPr>
              <w:pStyle w:val="TableContents"/>
              <w:bidi w:val="0"/>
              <w:spacing w:lineRule="auto" w:line="259" w:before="0" w:after="283"/>
              <w:jc w:val="left"/>
              <w:rPr/>
            </w:pPr>
            <w:hyperlink r:id="rId81">
              <w:r>
                <w:rPr>
                  <w:rStyle w:val="InternetLink"/>
                  <w:rFonts w:ascii="Times New Roman;serif" w:hAnsi="Times New Roman;serif"/>
                  <w:b w:val="false"/>
                  <w:i w:val="false"/>
                  <w:caps w:val="false"/>
                  <w:smallCaps w:val="false"/>
                  <w:color w:val="0000FF"/>
                  <w:sz w:val="22"/>
                  <w:u w:val="single"/>
                </w:rPr>
                <w:t xml:space="preserve">The Registrant’s Compensation Recoupment Policy </w:t>
              </w:r>
            </w:hyperlink>
          </w:p>
        </w:tc>
        <w:tc>
          <w:tcPr>
            <w:tcW w:w="48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10-K</w:t>
            </w:r>
          </w:p>
        </w:tc>
        <w:tc>
          <w:tcPr>
            <w:tcW w:w="86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001-06659</w:t>
            </w:r>
          </w:p>
        </w:tc>
        <w:tc>
          <w:tcPr>
            <w:tcW w:w="64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10.16</w:t>
            </w:r>
          </w:p>
        </w:tc>
        <w:tc>
          <w:tcPr>
            <w:tcW w:w="1037"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March 1, 2023</w:t>
            </w:r>
          </w:p>
        </w:tc>
      </w:tr>
      <w:tr>
        <w:trPr/>
        <w:tc>
          <w:tcPr>
            <w:tcW w:w="7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101.INS</w:t>
            </w:r>
          </w:p>
        </w:tc>
        <w:tc>
          <w:tcPr>
            <w:tcW w:w="637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Inline XBRL Instance Document</w:t>
            </w:r>
          </w:p>
        </w:tc>
        <w:tc>
          <w:tcPr>
            <w:tcW w:w="4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8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0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r>
      <w:tr>
        <w:trPr/>
        <w:tc>
          <w:tcPr>
            <w:tcW w:w="799"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101.SCH</w:t>
            </w:r>
          </w:p>
        </w:tc>
        <w:tc>
          <w:tcPr>
            <w:tcW w:w="637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Inline XBRL Taxonomy Extension Schema Document</w:t>
            </w:r>
          </w:p>
        </w:tc>
        <w:tc>
          <w:tcPr>
            <w:tcW w:w="48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86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64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037"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r>
      <w:tr>
        <w:trPr/>
        <w:tc>
          <w:tcPr>
            <w:tcW w:w="7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101.CAL</w:t>
            </w:r>
          </w:p>
        </w:tc>
        <w:tc>
          <w:tcPr>
            <w:tcW w:w="637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Inline XBRL Taxonomy Extension Calculation Linkbase Document</w:t>
            </w:r>
          </w:p>
        </w:tc>
        <w:tc>
          <w:tcPr>
            <w:tcW w:w="4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8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0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r>
      <w:tr>
        <w:trPr/>
        <w:tc>
          <w:tcPr>
            <w:tcW w:w="799"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101.DEF</w:t>
            </w:r>
          </w:p>
        </w:tc>
        <w:tc>
          <w:tcPr>
            <w:tcW w:w="637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Inline XBRL Taxonomy Extension Definition Linkbase Document</w:t>
            </w:r>
          </w:p>
        </w:tc>
        <w:tc>
          <w:tcPr>
            <w:tcW w:w="48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86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64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037"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r>
      <w:tr>
        <w:trPr/>
        <w:tc>
          <w:tcPr>
            <w:tcW w:w="7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101.LAB</w:t>
            </w:r>
          </w:p>
        </w:tc>
        <w:tc>
          <w:tcPr>
            <w:tcW w:w="637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Inline XBRL Taxonomy Extension Label Linkbase Document</w:t>
            </w:r>
          </w:p>
        </w:tc>
        <w:tc>
          <w:tcPr>
            <w:tcW w:w="4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8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0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r>
      <w:tr>
        <w:trPr/>
        <w:tc>
          <w:tcPr>
            <w:tcW w:w="799"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101.PRES</w:t>
            </w:r>
          </w:p>
        </w:tc>
        <w:tc>
          <w:tcPr>
            <w:tcW w:w="6378"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Inline XBRL Taxonomy Extension Presentation Linkbase Document</w:t>
            </w:r>
          </w:p>
        </w:tc>
        <w:tc>
          <w:tcPr>
            <w:tcW w:w="481"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864"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64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037"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r>
      <w:tr>
        <w:trPr/>
        <w:tc>
          <w:tcPr>
            <w:tcW w:w="799"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104</w:t>
            </w:r>
          </w:p>
        </w:tc>
        <w:tc>
          <w:tcPr>
            <w:tcW w:w="6378"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The cover page from the Company’s Annual Report on Form 10-K for the year ended December 31, 2023 formatted in Inline XBRL (included in Exhibit 101)</w:t>
            </w:r>
          </w:p>
        </w:tc>
        <w:tc>
          <w:tcPr>
            <w:tcW w:w="481"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864"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646"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c>
          <w:tcPr>
            <w:tcW w:w="1037" w:type="dxa"/>
            <w:tcBorders/>
            <w:shd w:fill="CCEEFF" w:val="clear"/>
            <w:vAlign w:val="center"/>
          </w:tcPr>
          <w:p>
            <w:pPr>
              <w:pStyle w:val="TableContents"/>
              <w:bidi w:val="0"/>
              <w:spacing w:lineRule="auto" w:line="259" w:before="0" w:after="283"/>
              <w:jc w:val="left"/>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w:t>
            </w:r>
          </w:p>
        </w:tc>
      </w:tr>
    </w:tbl>
    <w:p>
      <w:pPr>
        <w:pStyle w:val="TextBody"/>
        <w:bidi w:val="0"/>
        <w:spacing w:lineRule="auto" w:line="192"/>
        <w:jc w:val="both"/>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 accordance with Item 601(b)(4)(iii)(A) of Regulation S-K, copies of specific instruments defining the rights of holders of long-term debt of the Company or its subsidiaries are not filed herewith. Pursuant to this regulation, we hereby agree to furnish a copy of any such instrument to the SEC upon request.</w:t>
      </w:r>
    </w:p>
    <w:p>
      <w:pPr>
        <w:pStyle w:val="TextBody"/>
        <w:bidi w:val="0"/>
        <w:spacing w:lineRule="auto" w:line="192"/>
        <w:jc w:val="both"/>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*Indicates management contract or compensatory plan or arrangement</w:t>
      </w:r>
    </w:p>
    <w:p>
      <w:pPr>
        <w:pStyle w:val="TextBody"/>
        <w:bidi w:val="0"/>
        <w:spacing w:lineRule="auto" w:line="192"/>
        <w:jc w:val="both"/>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Filed herewith</w:t>
      </w:r>
    </w:p>
    <w:p>
      <w:pPr>
        <w:pStyle w:val="TextBody"/>
        <w:bidi w:val="0"/>
        <w:spacing w:lineRule="auto" w:line="192"/>
        <w:jc w:val="both"/>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^^Furnished herewith</w:t>
      </w:r>
    </w:p>
    <w:p>
      <w:pPr>
        <w:pStyle w:val="TextBody"/>
        <w:bidi w:val="0"/>
        <w:spacing w:lineRule="auto" w:line="192"/>
        <w:jc w:val="center"/>
        <w:rPr>
          <w:rFonts w:ascii="Times New Roman;serif" w:hAnsi="Times New Roman;serif"/>
          <w:sz w:val="22"/>
        </w:rPr>
      </w:pPr>
      <w:r>
        <w:rPr>
          <w:rFonts w:ascii="Times New Roman;serif" w:hAnsi="Times New Roman;serif"/>
          <w:b w:val="false"/>
          <w:i w:val="false"/>
          <w:caps w:val="false"/>
          <w:smallCaps w:val="false"/>
          <w:sz w:val="22"/>
          <w:u w:val="single"/>
        </w:rPr>
        <w:br/>
        <w:t>‎</w:t>
      </w:r>
      <w:r>
        <w:rPr>
          <w:rFonts w:ascii="Times New Roman;serif" w:hAnsi="Times New Roman;serif"/>
          <w:caps w:val="false"/>
          <w:smallCaps w:val="false"/>
          <w:sz w:val="22"/>
        </w:rPr>
        <w:t xml:space="preser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123</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caps w:val="false"/>
          <w:smallCaps w:val="false"/>
        </w:rPr>
      </w:pPr>
      <w:r>
        <w:rPr>
          <w:caps w:val="false"/>
          <w:smallCaps w:val="false"/>
        </w:rPr>
        <w:t> </w:t>
      </w:r>
    </w:p>
    <w:p>
      <w:pPr>
        <w:pStyle w:val="TextBody"/>
        <w:bidi w:val="0"/>
        <w:spacing w:lineRule="auto" w:line="192"/>
        <w:jc w:val="center"/>
        <w:rPr>
          <w:rFonts w:ascii="Times New Roman;serif" w:hAnsi="Times New Roman;serif"/>
          <w:b w:val="false"/>
          <w:i w:val="false"/>
          <w:caps w:val="false"/>
          <w:smallCaps w:val="false"/>
          <w:sz w:val="22"/>
          <w:u w:val="single"/>
        </w:rPr>
      </w:pPr>
      <w:r>
        <w:rPr>
          <w:rFonts w:ascii="Times New Roman;serif" w:hAnsi="Times New Roman;serif"/>
          <w:b w:val="false"/>
          <w:i w:val="false"/>
          <w:caps w:val="false"/>
          <w:smallCaps w:val="false"/>
          <w:sz w:val="22"/>
          <w:u w:val="single"/>
        </w:rPr>
        <w:t>SIGNATURES</w:t>
      </w:r>
      <w:bookmarkStart w:id="53" w:name="Signatures"/>
      <w:bookmarkEnd w:id="53"/>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192"/>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ESSENTIAL UTILITIES, INC.</w:t>
      </w:r>
    </w:p>
    <w:tbl>
      <w:tblPr>
        <w:tblW w:w="5395" w:type="dxa"/>
        <w:jc w:val="left"/>
        <w:tblInd w:w="0" w:type="dxa"/>
        <w:tblLayout w:type="fixed"/>
        <w:tblCellMar>
          <w:top w:w="0" w:type="dxa"/>
          <w:left w:w="0" w:type="dxa"/>
          <w:bottom w:w="0" w:type="dxa"/>
          <w:right w:w="0" w:type="dxa"/>
        </w:tblCellMar>
      </w:tblPr>
      <w:tblGrid>
        <w:gridCol w:w="4696"/>
        <w:gridCol w:w="109"/>
        <w:gridCol w:w="109"/>
        <w:gridCol w:w="109"/>
        <w:gridCol w:w="109"/>
        <w:gridCol w:w="109"/>
        <w:gridCol w:w="154"/>
      </w:tblGrid>
      <w:tr>
        <w:trPr/>
        <w:tc>
          <w:tcPr>
            <w:tcW w:w="4696"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696" w:type="dxa"/>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 Christopher H. Franklin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696" w:type="dxa"/>
            <w:tcBorders>
              <w:top w:val="single" w:sz="8"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Christopher H. Franklin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4696"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Chairman, President and Chief Executive Officer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192"/>
        <w:jc w:val="both"/>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Date: February 27, 2025</w:t>
      </w:r>
    </w:p>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br/>
        <w:t>‎</w:t>
      </w:r>
      <w:r>
        <w:rPr>
          <w:rFonts w:ascii="Times New Roman;serif" w:hAnsi="Times New Roman;serif"/>
          <w:caps w:val="false"/>
          <w:smallCaps w:val="false"/>
          <w:sz w:val="22"/>
        </w:rPr>
        <w:t xml:space="preserve">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124</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Pursuant to the requirements of the Securities and Exchange Act of 1934, this report on Form 10-K has been signed below by the following persons on behalf of the Registrant on February 27, 2025 in the capacities indicated below.</w:t>
      </w:r>
    </w:p>
    <w:tbl>
      <w:tblPr>
        <w:tblW w:w="10205" w:type="dxa"/>
        <w:jc w:val="left"/>
        <w:tblInd w:w="0" w:type="dxa"/>
        <w:tblLayout w:type="fixed"/>
        <w:tblCellMar>
          <w:top w:w="0" w:type="dxa"/>
          <w:left w:w="0" w:type="dxa"/>
          <w:bottom w:w="0" w:type="dxa"/>
          <w:right w:w="0" w:type="dxa"/>
        </w:tblCellMar>
      </w:tblPr>
      <w:tblGrid>
        <w:gridCol w:w="678"/>
        <w:gridCol w:w="566"/>
        <w:gridCol w:w="566"/>
        <w:gridCol w:w="569"/>
        <w:gridCol w:w="109"/>
        <w:gridCol w:w="5407"/>
        <w:gridCol w:w="675"/>
        <w:gridCol w:w="675"/>
        <w:gridCol w:w="960"/>
      </w:tblGrid>
      <w:tr>
        <w:trPr/>
        <w:tc>
          <w:tcPr>
            <w:tcW w:w="678" w:type="dxa"/>
            <w:tcBorders/>
            <w:shd w:fill="FFFFFF" w:val="clear"/>
            <w:vAlign w:val="center"/>
          </w:tcPr>
          <w:p>
            <w:pPr>
              <w:pStyle w:val="TableContents"/>
              <w:bidi w:val="0"/>
              <w:spacing w:before="0" w:after="283"/>
              <w:jc w:val="left"/>
              <w:rPr>
                <w:sz w:val="4"/>
                <w:szCs w:val="4"/>
              </w:rPr>
            </w:pPr>
            <w:r>
              <w:rPr>
                <w:sz w:val="4"/>
                <w:szCs w:val="4"/>
              </w:rPr>
            </w:r>
          </w:p>
        </w:tc>
        <w:tc>
          <w:tcPr>
            <w:tcW w:w="566" w:type="dxa"/>
            <w:tcBorders/>
            <w:shd w:fill="FFFFFF" w:val="clear"/>
            <w:vAlign w:val="center"/>
          </w:tcPr>
          <w:p>
            <w:pPr>
              <w:pStyle w:val="TableContents"/>
              <w:bidi w:val="0"/>
              <w:spacing w:before="0" w:after="283"/>
              <w:jc w:val="left"/>
              <w:rPr>
                <w:sz w:val="4"/>
                <w:szCs w:val="4"/>
              </w:rPr>
            </w:pPr>
            <w:r>
              <w:rPr>
                <w:sz w:val="4"/>
                <w:szCs w:val="4"/>
              </w:rPr>
            </w:r>
          </w:p>
        </w:tc>
        <w:tc>
          <w:tcPr>
            <w:tcW w:w="566" w:type="dxa"/>
            <w:tcBorders/>
            <w:shd w:fill="FFFFFF" w:val="clear"/>
            <w:vAlign w:val="center"/>
          </w:tcPr>
          <w:p>
            <w:pPr>
              <w:pStyle w:val="TableContents"/>
              <w:bidi w:val="0"/>
              <w:spacing w:before="0" w:after="283"/>
              <w:jc w:val="left"/>
              <w:rPr>
                <w:sz w:val="4"/>
                <w:szCs w:val="4"/>
              </w:rPr>
            </w:pPr>
            <w:r>
              <w:rPr>
                <w:sz w:val="4"/>
                <w:szCs w:val="4"/>
              </w:rPr>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678" w:type="dxa"/>
            <w:tcBorders/>
            <w:shd w:fill="FFFFFF" w:val="clear"/>
            <w:vAlign w:val="center"/>
          </w:tcPr>
          <w:p>
            <w:pPr>
              <w:pStyle w:val="TableContents"/>
              <w:bidi w:val="0"/>
              <w:spacing w:before="0" w:after="283"/>
              <w:jc w:val="left"/>
              <w:rPr>
                <w:sz w:val="4"/>
                <w:szCs w:val="4"/>
              </w:rPr>
            </w:pPr>
            <w:r>
              <w:rPr>
                <w:sz w:val="4"/>
                <w:szCs w:val="4"/>
              </w:rPr>
            </w:r>
          </w:p>
        </w:tc>
        <w:tc>
          <w:tcPr>
            <w:tcW w:w="566" w:type="dxa"/>
            <w:tcBorders/>
            <w:shd w:fill="FFFFFF" w:val="clear"/>
            <w:vAlign w:val="center"/>
          </w:tcPr>
          <w:p>
            <w:pPr>
              <w:pStyle w:val="TableContents"/>
              <w:bidi w:val="0"/>
              <w:spacing w:before="0" w:after="283"/>
              <w:jc w:val="left"/>
              <w:rPr>
                <w:sz w:val="4"/>
                <w:szCs w:val="4"/>
              </w:rPr>
            </w:pPr>
            <w:r>
              <w:rPr>
                <w:sz w:val="4"/>
                <w:szCs w:val="4"/>
              </w:rPr>
            </w:r>
          </w:p>
        </w:tc>
        <w:tc>
          <w:tcPr>
            <w:tcW w:w="566" w:type="dxa"/>
            <w:tcBorders/>
            <w:shd w:fill="FFFFFF" w:val="clear"/>
            <w:vAlign w:val="center"/>
          </w:tcPr>
          <w:p>
            <w:pPr>
              <w:pStyle w:val="TableContents"/>
              <w:bidi w:val="0"/>
              <w:spacing w:before="0" w:after="283"/>
              <w:jc w:val="left"/>
              <w:rPr>
                <w:sz w:val="4"/>
                <w:szCs w:val="4"/>
              </w:rPr>
            </w:pPr>
            <w:r>
              <w:rPr>
                <w:sz w:val="4"/>
                <w:szCs w:val="4"/>
              </w:rPr>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678" w:type="dxa"/>
            <w:tcBorders/>
            <w:shd w:fill="FFFFFF" w:val="clear"/>
            <w:vAlign w:val="center"/>
          </w:tcPr>
          <w:p>
            <w:pPr>
              <w:pStyle w:val="TableContents"/>
              <w:bidi w:val="0"/>
              <w:spacing w:before="0" w:after="283"/>
              <w:jc w:val="left"/>
              <w:rPr>
                <w:sz w:val="4"/>
                <w:szCs w:val="4"/>
              </w:rPr>
            </w:pPr>
            <w:r>
              <w:rPr>
                <w:sz w:val="4"/>
                <w:szCs w:val="4"/>
              </w:rPr>
            </w:r>
          </w:p>
        </w:tc>
        <w:tc>
          <w:tcPr>
            <w:tcW w:w="566" w:type="dxa"/>
            <w:tcBorders/>
            <w:shd w:fill="FFFFFF" w:val="clear"/>
            <w:vAlign w:val="center"/>
          </w:tcPr>
          <w:p>
            <w:pPr>
              <w:pStyle w:val="TableContents"/>
              <w:bidi w:val="0"/>
              <w:spacing w:before="0" w:after="283"/>
              <w:jc w:val="left"/>
              <w:rPr>
                <w:sz w:val="4"/>
                <w:szCs w:val="4"/>
              </w:rPr>
            </w:pPr>
            <w:r>
              <w:rPr>
                <w:sz w:val="4"/>
                <w:szCs w:val="4"/>
              </w:rPr>
            </w:r>
          </w:p>
        </w:tc>
        <w:tc>
          <w:tcPr>
            <w:tcW w:w="566" w:type="dxa"/>
            <w:tcBorders/>
            <w:shd w:fill="FFFFFF" w:val="clear"/>
            <w:vAlign w:val="center"/>
          </w:tcPr>
          <w:p>
            <w:pPr>
              <w:pStyle w:val="TableContents"/>
              <w:bidi w:val="0"/>
              <w:spacing w:before="0" w:after="283"/>
              <w:jc w:val="left"/>
              <w:rPr>
                <w:sz w:val="4"/>
                <w:szCs w:val="4"/>
              </w:rPr>
            </w:pPr>
            <w:r>
              <w:rPr>
                <w:sz w:val="4"/>
                <w:szCs w:val="4"/>
              </w:rPr>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Signature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17"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Title</w:t>
            </w:r>
          </w:p>
        </w:tc>
      </w:tr>
      <w:tr>
        <w:trPr/>
        <w:tc>
          <w:tcPr>
            <w:tcW w:w="678"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6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569"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 Christopher H. Franklin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top w:val="single" w:sz="8"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Christopher H. Franklin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17" w:type="dxa"/>
            <w:gridSpan w:val="4"/>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Chairman, President and Chief Executive Officer, Director (Principal Executive Officer)</w:t>
            </w:r>
          </w:p>
        </w:tc>
      </w:tr>
      <w:tr>
        <w:trPr/>
        <w:tc>
          <w:tcPr>
            <w:tcW w:w="678" w:type="dxa"/>
            <w:tcBorders/>
            <w:shd w:fill="FFFFFF" w:val="clear"/>
            <w:vAlign w:val="center"/>
          </w:tcPr>
          <w:p>
            <w:pPr>
              <w:pStyle w:val="TableContents"/>
              <w:bidi w:val="0"/>
              <w:spacing w:before="0" w:after="283"/>
              <w:jc w:val="left"/>
              <w:rPr>
                <w:sz w:val="4"/>
                <w:szCs w:val="4"/>
              </w:rPr>
            </w:pPr>
            <w:r>
              <w:rPr>
                <w:sz w:val="4"/>
                <w:szCs w:val="4"/>
              </w:rPr>
            </w:r>
          </w:p>
        </w:tc>
        <w:tc>
          <w:tcPr>
            <w:tcW w:w="566" w:type="dxa"/>
            <w:tcBorders/>
            <w:shd w:fill="FFFFFF" w:val="clear"/>
            <w:vAlign w:val="center"/>
          </w:tcPr>
          <w:p>
            <w:pPr>
              <w:pStyle w:val="TableContents"/>
              <w:bidi w:val="0"/>
              <w:spacing w:before="0" w:after="283"/>
              <w:jc w:val="left"/>
              <w:rPr>
                <w:sz w:val="4"/>
                <w:szCs w:val="4"/>
              </w:rPr>
            </w:pPr>
            <w:r>
              <w:rPr>
                <w:sz w:val="4"/>
                <w:szCs w:val="4"/>
              </w:rPr>
            </w:r>
          </w:p>
        </w:tc>
        <w:tc>
          <w:tcPr>
            <w:tcW w:w="566" w:type="dxa"/>
            <w:tcBorders/>
            <w:shd w:fill="FFFFFF" w:val="clear"/>
            <w:vAlign w:val="center"/>
          </w:tcPr>
          <w:p>
            <w:pPr>
              <w:pStyle w:val="TableContents"/>
              <w:bidi w:val="0"/>
              <w:spacing w:before="0" w:after="283"/>
              <w:jc w:val="left"/>
              <w:rPr>
                <w:sz w:val="4"/>
                <w:szCs w:val="4"/>
              </w:rPr>
            </w:pPr>
            <w:r>
              <w:rPr>
                <w:sz w:val="4"/>
                <w:szCs w:val="4"/>
              </w:rPr>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 Daniel J. Schuller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top w:val="single" w:sz="8"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Daniel J. Schuller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17" w:type="dxa"/>
            <w:gridSpan w:val="4"/>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Executive Vice President and Chief Financial Officer (Principal Financial Officer)</w:t>
            </w:r>
          </w:p>
        </w:tc>
      </w:tr>
      <w:tr>
        <w:trPr/>
        <w:tc>
          <w:tcPr>
            <w:tcW w:w="678" w:type="dxa"/>
            <w:tcBorders/>
            <w:shd w:fill="FFFFFF" w:val="clear"/>
            <w:vAlign w:val="center"/>
          </w:tcPr>
          <w:p>
            <w:pPr>
              <w:pStyle w:val="TableContents"/>
              <w:bidi w:val="0"/>
              <w:spacing w:before="0" w:after="283"/>
              <w:jc w:val="left"/>
              <w:rPr>
                <w:sz w:val="4"/>
                <w:szCs w:val="4"/>
              </w:rPr>
            </w:pPr>
            <w:r>
              <w:rPr>
                <w:sz w:val="4"/>
                <w:szCs w:val="4"/>
              </w:rPr>
            </w:r>
          </w:p>
        </w:tc>
        <w:tc>
          <w:tcPr>
            <w:tcW w:w="566" w:type="dxa"/>
            <w:tcBorders/>
            <w:shd w:fill="FFFFFF" w:val="clear"/>
            <w:vAlign w:val="center"/>
          </w:tcPr>
          <w:p>
            <w:pPr>
              <w:pStyle w:val="TableContents"/>
              <w:bidi w:val="0"/>
              <w:spacing w:before="0" w:after="283"/>
              <w:jc w:val="left"/>
              <w:rPr>
                <w:sz w:val="4"/>
                <w:szCs w:val="4"/>
              </w:rPr>
            </w:pPr>
            <w:r>
              <w:rPr>
                <w:sz w:val="4"/>
                <w:szCs w:val="4"/>
              </w:rPr>
            </w:r>
          </w:p>
        </w:tc>
        <w:tc>
          <w:tcPr>
            <w:tcW w:w="566" w:type="dxa"/>
            <w:tcBorders/>
            <w:shd w:fill="FFFFFF" w:val="clear"/>
            <w:vAlign w:val="center"/>
          </w:tcPr>
          <w:p>
            <w:pPr>
              <w:pStyle w:val="TableContents"/>
              <w:bidi w:val="0"/>
              <w:spacing w:before="0" w:after="283"/>
              <w:jc w:val="left"/>
              <w:rPr>
                <w:sz w:val="4"/>
                <w:szCs w:val="4"/>
              </w:rPr>
            </w:pPr>
            <w:r>
              <w:rPr>
                <w:sz w:val="4"/>
                <w:szCs w:val="4"/>
              </w:rPr>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 Robert A. Rubin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top w:val="single" w:sz="8"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Robert A. Rubin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717" w:type="dxa"/>
            <w:gridSpan w:val="4"/>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Senior Vice President, Controller and Chief Accounting Officer (Principal Accounting Officer)</w:t>
            </w:r>
          </w:p>
        </w:tc>
      </w:tr>
      <w:tr>
        <w:trPr/>
        <w:tc>
          <w:tcPr>
            <w:tcW w:w="678" w:type="dxa"/>
            <w:tcBorders/>
            <w:shd w:fill="FFFFFF" w:val="clear"/>
            <w:vAlign w:val="center"/>
          </w:tcPr>
          <w:p>
            <w:pPr>
              <w:pStyle w:val="TableContents"/>
              <w:bidi w:val="0"/>
              <w:spacing w:before="0" w:after="283"/>
              <w:jc w:val="left"/>
              <w:rPr>
                <w:sz w:val="4"/>
                <w:szCs w:val="4"/>
              </w:rPr>
            </w:pPr>
            <w:r>
              <w:rPr>
                <w:sz w:val="4"/>
                <w:szCs w:val="4"/>
              </w:rPr>
            </w:r>
          </w:p>
        </w:tc>
        <w:tc>
          <w:tcPr>
            <w:tcW w:w="566" w:type="dxa"/>
            <w:tcBorders/>
            <w:shd w:fill="FFFFFF" w:val="clear"/>
            <w:vAlign w:val="center"/>
          </w:tcPr>
          <w:p>
            <w:pPr>
              <w:pStyle w:val="TableContents"/>
              <w:bidi w:val="0"/>
              <w:spacing w:before="0" w:after="283"/>
              <w:jc w:val="left"/>
              <w:rPr>
                <w:sz w:val="4"/>
                <w:szCs w:val="4"/>
              </w:rPr>
            </w:pPr>
            <w:r>
              <w:rPr>
                <w:sz w:val="4"/>
                <w:szCs w:val="4"/>
              </w:rPr>
            </w:r>
          </w:p>
        </w:tc>
        <w:tc>
          <w:tcPr>
            <w:tcW w:w="566" w:type="dxa"/>
            <w:tcBorders/>
            <w:shd w:fill="FFFFFF" w:val="clear"/>
            <w:vAlign w:val="center"/>
          </w:tcPr>
          <w:p>
            <w:pPr>
              <w:pStyle w:val="TableContents"/>
              <w:bidi w:val="0"/>
              <w:spacing w:before="0" w:after="283"/>
              <w:jc w:val="left"/>
              <w:rPr>
                <w:sz w:val="4"/>
                <w:szCs w:val="4"/>
              </w:rPr>
            </w:pPr>
            <w:r>
              <w:rPr>
                <w:sz w:val="4"/>
                <w:szCs w:val="4"/>
              </w:rPr>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 Elizabeth B. Amato</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top w:val="single" w:sz="8"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Elizabeth B. Amato</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Director</w:t>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 Christopher L. Bruner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top w:val="single" w:sz="8"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Christopher L. Bruner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Director</w:t>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 David A. Ciesinski</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top w:val="single" w:sz="8"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David A. Ciesinski</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6757" w:type="dxa"/>
            <w:gridSpan w:val="3"/>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Director </w:t>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 Daniel J. Hilferty</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top w:val="single" w:sz="8"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Daniel J. Hilferty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Director</w:t>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/s/ W. Bryan Lewis </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top w:val="single" w:sz="8"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 Bryan Lewis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Director</w:t>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bottom w:val="single" w:sz="8" w:space="0" w:color="000000"/>
            </w:tcBorders>
            <w:shd w:fill="FFFFFF" w:val="clear"/>
            <w:tcMar>
              <w:bottom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 Tamara Linde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top w:val="single" w:sz="8" w:space="0" w:color="000000"/>
            </w:tcBorders>
            <w:shd w:fill="FFFFFF" w:val="clear"/>
            <w:tcMar>
              <w:top w:w="28" w:type="dxa"/>
            </w:tcM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Tamara Linde</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lineRule="auto" w:line="259" w:before="0" w:after="283"/>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Director</w:t>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678" w:type="dxa"/>
            <w:tcBorders/>
            <w:shd w:fill="FFFFFF" w:val="clear"/>
            <w:vAlign w:val="center"/>
          </w:tcPr>
          <w:p>
            <w:pPr>
              <w:pStyle w:val="TableContents"/>
              <w:bidi w:val="0"/>
              <w:spacing w:before="0" w:after="283"/>
              <w:jc w:val="left"/>
              <w:rPr>
                <w:sz w:val="4"/>
                <w:szCs w:val="4"/>
              </w:rPr>
            </w:pPr>
            <w:r>
              <w:rPr>
                <w:sz w:val="4"/>
                <w:szCs w:val="4"/>
              </w:rPr>
            </w:r>
          </w:p>
        </w:tc>
        <w:tc>
          <w:tcPr>
            <w:tcW w:w="566" w:type="dxa"/>
            <w:tcBorders/>
            <w:shd w:fill="FFFFFF" w:val="clear"/>
            <w:vAlign w:val="center"/>
          </w:tcPr>
          <w:p>
            <w:pPr>
              <w:pStyle w:val="TableContents"/>
              <w:bidi w:val="0"/>
              <w:spacing w:before="0" w:after="283"/>
              <w:jc w:val="left"/>
              <w:rPr>
                <w:sz w:val="4"/>
                <w:szCs w:val="4"/>
              </w:rPr>
            </w:pPr>
            <w:r>
              <w:rPr>
                <w:sz w:val="4"/>
                <w:szCs w:val="4"/>
              </w:rPr>
            </w:r>
          </w:p>
        </w:tc>
        <w:tc>
          <w:tcPr>
            <w:tcW w:w="566" w:type="dxa"/>
            <w:tcBorders/>
            <w:shd w:fill="FFFFFF" w:val="clear"/>
            <w:vAlign w:val="center"/>
          </w:tcPr>
          <w:p>
            <w:pPr>
              <w:pStyle w:val="TableContents"/>
              <w:bidi w:val="0"/>
              <w:spacing w:before="0" w:after="283"/>
              <w:jc w:val="left"/>
              <w:rPr>
                <w:sz w:val="4"/>
                <w:szCs w:val="4"/>
              </w:rPr>
            </w:pPr>
            <w:r>
              <w:rPr>
                <w:sz w:val="4"/>
                <w:szCs w:val="4"/>
              </w:rPr>
            </w:r>
          </w:p>
        </w:tc>
        <w:tc>
          <w:tcPr>
            <w:tcW w:w="56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675" w:type="dxa"/>
            <w:tcBorders/>
            <w:shd w:fill="FFFFFF" w:val="clear"/>
            <w:vAlign w:val="center"/>
          </w:tcPr>
          <w:p>
            <w:pPr>
              <w:pStyle w:val="TableContents"/>
              <w:bidi w:val="0"/>
              <w:spacing w:before="0" w:after="283"/>
              <w:jc w:val="left"/>
              <w:rPr>
                <w:sz w:val="4"/>
                <w:szCs w:val="4"/>
              </w:rPr>
            </w:pPr>
            <w:r>
              <w:rPr>
                <w:sz w:val="4"/>
                <w:szCs w:val="4"/>
              </w:rPr>
            </w:r>
          </w:p>
        </w:tc>
        <w:tc>
          <w:tcPr>
            <w:tcW w:w="960" w:type="dxa"/>
            <w:tcBorders/>
            <w:shd w:fill="FFFFFF" w:val="clear"/>
            <w:vAlign w:val="center"/>
          </w:tcPr>
          <w:p>
            <w:pPr>
              <w:pStyle w:val="TableContents"/>
              <w:bidi w:val="0"/>
              <w:spacing w:before="0" w:after="283"/>
              <w:jc w:val="left"/>
              <w:rPr>
                <w:sz w:val="4"/>
                <w:szCs w:val="4"/>
              </w:rPr>
            </w:pPr>
            <w:r>
              <w:rPr>
                <w:sz w:val="4"/>
                <w:szCs w:val="4"/>
              </w:rPr>
            </w:r>
          </w:p>
        </w:tc>
      </w:tr>
      <w:tr>
        <w:trPr/>
        <w:tc>
          <w:tcPr>
            <w:tcW w:w="2379" w:type="dxa"/>
            <w:gridSpan w:val="4"/>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2310"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379" w:type="dxa"/>
            <w:gridSpan w:val="4"/>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2310"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379" w:type="dxa"/>
            <w:gridSpan w:val="4"/>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07" w:type="dxa"/>
            <w:tcBorders/>
            <w:shd w:fill="FFFFFF" w:val="clear"/>
            <w:vAlign w:val="center"/>
          </w:tcPr>
          <w:p>
            <w:pPr>
              <w:pStyle w:val="TableContents"/>
              <w:bidi w:val="0"/>
              <w:spacing w:before="0" w:after="283"/>
              <w:jc w:val="left"/>
              <w:rPr>
                <w:sz w:val="4"/>
                <w:szCs w:val="4"/>
              </w:rPr>
            </w:pPr>
            <w:r>
              <w:rPr>
                <w:sz w:val="4"/>
                <w:szCs w:val="4"/>
              </w:rPr>
            </w:r>
          </w:p>
        </w:tc>
        <w:tc>
          <w:tcPr>
            <w:tcW w:w="2310" w:type="dxa"/>
            <w:gridSpan w:val="3"/>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125</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Essential Utilities, Inc.</w:t>
      </w:r>
    </w:p>
    <w:p>
      <w:pPr>
        <w:pStyle w:val="TextBody"/>
        <w:bidi w:val="0"/>
        <w:spacing w:lineRule="auto" w:line="259"/>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Schedule 1 – Condensed Parent Company Financial Statements</w:t>
      </w:r>
    </w:p>
    <w:p>
      <w:pPr>
        <w:pStyle w:val="TextBody"/>
        <w:bidi w:val="0"/>
        <w:spacing w:lineRule="auto" w:line="259"/>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Condensed Balance Sheets</w:t>
      </w:r>
    </w:p>
    <w:p>
      <w:pPr>
        <w:pStyle w:val="TextBody"/>
        <w:bidi w:val="0"/>
        <w:spacing w:lineRule="auto" w:line="259"/>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 thousands of dollars)</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before="0" w:after="100"/>
        <w:rPr/>
      </w:pPr>
      <w:r>
        <w:rPr>
          <w:caps w:val="false"/>
          <w:smallCaps w:val="false"/>
        </w:rPr>
        <w:t>  </w:t>
      </w:r>
      <w:bookmarkStart w:id="54" w:name="Parent_Company_FNC_STMNT"/>
      <w:bookmarkEnd w:id="54"/>
      <w:r>
        <w:rPr>
          <w:caps w:val="false"/>
          <w:smallCaps w:val="false"/>
        </w:rPr>
        <w:t>   </w:t>
      </w:r>
    </w:p>
    <w:tbl>
      <w:tblPr>
        <w:tblW w:w="9455" w:type="dxa"/>
        <w:jc w:val="left"/>
        <w:tblInd w:w="0" w:type="dxa"/>
        <w:tblLayout w:type="fixed"/>
        <w:tblCellMar>
          <w:top w:w="0" w:type="dxa"/>
          <w:left w:w="0" w:type="dxa"/>
          <w:bottom w:w="0" w:type="dxa"/>
          <w:right w:w="0" w:type="dxa"/>
        </w:tblCellMar>
      </w:tblPr>
      <w:tblGrid>
        <w:gridCol w:w="6586"/>
        <w:gridCol w:w="226"/>
        <w:gridCol w:w="1186"/>
        <w:gridCol w:w="226"/>
        <w:gridCol w:w="1231"/>
      </w:tblGrid>
      <w:tr>
        <w:trPr/>
        <w:tc>
          <w:tcPr>
            <w:tcW w:w="658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8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231" w:type="dxa"/>
            <w:tcBorders/>
            <w:shd w:fill="FFFFFF" w:val="clear"/>
            <w:vAlign w:val="center"/>
          </w:tcPr>
          <w:p>
            <w:pPr>
              <w:pStyle w:val="TableContents"/>
              <w:bidi w:val="0"/>
              <w:spacing w:before="0" w:after="283"/>
              <w:jc w:val="left"/>
              <w:rPr>
                <w:sz w:val="4"/>
                <w:szCs w:val="4"/>
              </w:rPr>
            </w:pPr>
            <w:r>
              <w:rPr>
                <w:sz w:val="4"/>
                <w:szCs w:val="4"/>
              </w:rPr>
            </w:r>
          </w:p>
        </w:tc>
      </w:tr>
      <w:tr>
        <w:trPr/>
        <w:tc>
          <w:tcPr>
            <w:tcW w:w="6586" w:type="dxa"/>
            <w:tcBorders/>
            <w:shd w:fill="FFFFFF" w:val="clear"/>
            <w:vAlign w:val="center"/>
          </w:tcPr>
          <w:p>
            <w:pPr>
              <w:pStyle w:val="TableContents"/>
              <w:bidi w:val="0"/>
              <w:spacing w:before="0" w:after="283"/>
              <w:jc w:val="left"/>
              <w:rPr>
                <w:sz w:val="4"/>
                <w:szCs w:val="4"/>
              </w:rPr>
            </w:pPr>
            <w:r>
              <w:rPr>
                <w:sz w:val="4"/>
                <w:szCs w:val="4"/>
              </w:rPr>
            </w:r>
          </w:p>
        </w:tc>
        <w:tc>
          <w:tcPr>
            <w:tcW w:w="2869" w:type="dxa"/>
            <w:gridSpan w:val="4"/>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December 31,</w:t>
            </w:r>
          </w:p>
        </w:tc>
      </w:tr>
      <w:tr>
        <w:trPr/>
        <w:tc>
          <w:tcPr>
            <w:tcW w:w="658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r>
      <w:tr>
        <w:trPr/>
        <w:tc>
          <w:tcPr>
            <w:tcW w:w="6586" w:type="dxa"/>
            <w:tcBorders/>
            <w:shd w:fill="FFFF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Assets</w:t>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tcBorders>
            <w:shd w:fill="FFFFFF" w:val="clear"/>
            <w:tcMar>
              <w:top w:w="28" w:type="dxa"/>
            </w:tcMar>
            <w:vAlign w:val="center"/>
          </w:tcPr>
          <w:p>
            <w:pPr>
              <w:pStyle w:val="TableContents"/>
              <w:bidi w:val="0"/>
              <w:spacing w:before="0" w:after="283"/>
              <w:jc w:val="left"/>
              <w:rPr>
                <w:sz w:val="4"/>
                <w:szCs w:val="4"/>
              </w:rPr>
            </w:pPr>
            <w:r>
              <w:rPr>
                <w:sz w:val="4"/>
                <w:szCs w:val="4"/>
              </w:rPr>
            </w:r>
          </w:p>
        </w:tc>
      </w:tr>
      <w:tr>
        <w:trPr/>
        <w:tc>
          <w:tcPr>
            <w:tcW w:w="658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Current assets: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before="0" w:after="283"/>
              <w:jc w:val="left"/>
              <w:rPr>
                <w:sz w:val="4"/>
                <w:szCs w:val="4"/>
              </w:rPr>
            </w:pPr>
            <w:r>
              <w:rPr>
                <w:sz w:val="4"/>
                <w:szCs w:val="4"/>
              </w:rPr>
            </w:r>
          </w:p>
        </w:tc>
      </w:tr>
      <w:tr>
        <w:trPr/>
        <w:tc>
          <w:tcPr>
            <w:tcW w:w="658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Accounts receivable, net</w:t>
            </w:r>
          </w:p>
        </w:tc>
        <w:tc>
          <w:tcPr>
            <w:tcW w:w="22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2,515</w:t>
            </w:r>
          </w:p>
        </w:tc>
        <w:tc>
          <w:tcPr>
            <w:tcW w:w="22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23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284</w:t>
            </w:r>
          </w:p>
        </w:tc>
      </w:tr>
      <w:tr>
        <w:trPr/>
        <w:tc>
          <w:tcPr>
            <w:tcW w:w="658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Accounts receivable - affiliates</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244,758</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907,302</w:t>
            </w:r>
          </w:p>
        </w:tc>
      </w:tr>
      <w:tr>
        <w:trPr/>
        <w:tc>
          <w:tcPr>
            <w:tcW w:w="658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Prepayments and other current assets</w:t>
            </w:r>
          </w:p>
        </w:tc>
        <w:tc>
          <w:tcPr>
            <w:tcW w:w="226" w:type="dxa"/>
            <w:tcBorders>
              <w:bottom w:val="single" w:sz="8" w:space="0" w:color="000000"/>
            </w:tcBorders>
            <w:tcMar>
              <w:bottom w:w="28" w:type="dxa"/>
            </w:tcMar>
            <w:vAlign w:val="center"/>
          </w:tcPr>
          <w:p>
            <w:pPr>
              <w:pStyle w:val="TableContents"/>
              <w:bidi w:val="0"/>
              <w:spacing w:before="0" w:after="283"/>
              <w:ind w:left="0" w:right="115" w:hanging="0"/>
              <w:jc w:val="left"/>
              <w:rPr>
                <w:sz w:val="4"/>
                <w:szCs w:val="4"/>
              </w:rPr>
            </w:pPr>
            <w:r>
              <w:rPr>
                <w:sz w:val="4"/>
                <w:szCs w:val="4"/>
              </w:rPr>
            </w:r>
          </w:p>
        </w:tc>
        <w:tc>
          <w:tcPr>
            <w:tcW w:w="118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17,107</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15,383</w:t>
            </w:r>
          </w:p>
        </w:tc>
      </w:tr>
      <w:tr>
        <w:trPr/>
        <w:tc>
          <w:tcPr>
            <w:tcW w:w="658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current assets</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ind w:left="0" w:right="115" w:hanging="0"/>
              <w:jc w:val="left"/>
              <w:rPr>
                <w:sz w:val="4"/>
                <w:szCs w:val="4"/>
              </w:rPr>
            </w:pPr>
            <w:r>
              <w:rPr>
                <w:sz w:val="4"/>
                <w:szCs w:val="4"/>
              </w:rPr>
            </w:r>
          </w:p>
        </w:tc>
        <w:tc>
          <w:tcPr>
            <w:tcW w:w="118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264,380</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922,969</w:t>
            </w:r>
          </w:p>
        </w:tc>
      </w:tr>
      <w:tr>
        <w:trPr/>
        <w:tc>
          <w:tcPr>
            <w:tcW w:w="6586" w:type="dxa"/>
            <w:tcBorders/>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58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Deferred charges and other assets, net</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68,141</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66,826</w:t>
            </w:r>
          </w:p>
        </w:tc>
      </w:tr>
      <w:tr>
        <w:trPr/>
        <w:tc>
          <w:tcPr>
            <w:tcW w:w="658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Notes receivable - affiliates</w:t>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3,033,702</w:t>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2,765,670</w:t>
            </w:r>
          </w:p>
        </w:tc>
      </w:tr>
      <w:tr>
        <w:trPr/>
        <w:tc>
          <w:tcPr>
            <w:tcW w:w="658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Deferred income tax asset</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135,026</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183,179</w:t>
            </w:r>
          </w:p>
        </w:tc>
      </w:tr>
      <w:tr>
        <w:trPr/>
        <w:tc>
          <w:tcPr>
            <w:tcW w:w="658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Investment in subsidiaries</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8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7,575,145</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6,517,312</w:t>
            </w:r>
          </w:p>
        </w:tc>
      </w:tr>
      <w:tr>
        <w:trPr/>
        <w:tc>
          <w:tcPr>
            <w:tcW w:w="658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assets</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8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11,076,394</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2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10,455,956</w:t>
            </w:r>
          </w:p>
        </w:tc>
      </w:tr>
      <w:tr>
        <w:trPr/>
        <w:tc>
          <w:tcPr>
            <w:tcW w:w="6586"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Liabilities and Equity</w:t>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58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Stockholders' equity</w:t>
            </w:r>
          </w:p>
        </w:tc>
        <w:tc>
          <w:tcPr>
            <w:tcW w:w="22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6,198,809</w:t>
            </w:r>
          </w:p>
        </w:tc>
        <w:tc>
          <w:tcPr>
            <w:tcW w:w="22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23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5,896,183</w:t>
            </w:r>
          </w:p>
        </w:tc>
      </w:tr>
      <w:tr>
        <w:trPr/>
        <w:tc>
          <w:tcPr>
            <w:tcW w:w="65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658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Long-term debt, excluding current portion, net of debt issuance costs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4,430,657</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3,740,427</w:t>
            </w:r>
          </w:p>
        </w:tc>
      </w:tr>
      <w:tr>
        <w:trPr/>
        <w:tc>
          <w:tcPr>
            <w:tcW w:w="65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658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Current liabilities:</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8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before="0" w:after="283"/>
              <w:jc w:val="left"/>
              <w:rPr>
                <w:sz w:val="4"/>
                <w:szCs w:val="4"/>
              </w:rPr>
            </w:pPr>
            <w:r>
              <w:rPr>
                <w:sz w:val="4"/>
                <w:szCs w:val="4"/>
              </w:rPr>
            </w:r>
          </w:p>
        </w:tc>
      </w:tr>
      <w:tr>
        <w:trPr/>
        <w:tc>
          <w:tcPr>
            <w:tcW w:w="658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Accrued interest</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41,444</w:t>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21,635</w:t>
            </w:r>
          </w:p>
        </w:tc>
      </w:tr>
      <w:tr>
        <w:trPr/>
        <w:tc>
          <w:tcPr>
            <w:tcW w:w="658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Accounts payable - affiliates</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118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166,872</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23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562,101</w:t>
            </w:r>
          </w:p>
        </w:tc>
      </w:tr>
      <w:tr>
        <w:trPr/>
        <w:tc>
          <w:tcPr>
            <w:tcW w:w="658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Dividends payable</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18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89,441</w:t>
            </w:r>
          </w:p>
        </w:tc>
        <w:tc>
          <w:tcPr>
            <w:tcW w:w="22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83,929</w:t>
            </w:r>
          </w:p>
        </w:tc>
      </w:tr>
      <w:tr>
        <w:trPr/>
        <w:tc>
          <w:tcPr>
            <w:tcW w:w="658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accrued liabilities</w:t>
            </w:r>
          </w:p>
        </w:tc>
        <w:tc>
          <w:tcPr>
            <w:tcW w:w="226" w:type="dxa"/>
            <w:tcBorders>
              <w:bottom w:val="single" w:sz="8" w:space="0" w:color="000000"/>
            </w:tcBorders>
            <w:shd w:fill="CCEEFF" w:val="clear"/>
            <w:tcMar>
              <w:bottom w:w="28" w:type="dxa"/>
            </w:tcMar>
            <w:vAlign w:val="center"/>
          </w:tcPr>
          <w:p>
            <w:pPr>
              <w:pStyle w:val="TableContents"/>
              <w:bidi w:val="0"/>
              <w:spacing w:before="0" w:after="283"/>
              <w:ind w:left="0" w:right="115" w:hanging="0"/>
              <w:jc w:val="left"/>
              <w:rPr>
                <w:sz w:val="4"/>
                <w:szCs w:val="4"/>
              </w:rPr>
            </w:pPr>
            <w:r>
              <w:rPr>
                <w:sz w:val="4"/>
                <w:szCs w:val="4"/>
              </w:rPr>
            </w:r>
          </w:p>
        </w:tc>
        <w:tc>
          <w:tcPr>
            <w:tcW w:w="1186"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24,394</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24,462</w:t>
            </w:r>
          </w:p>
        </w:tc>
      </w:tr>
      <w:tr>
        <w:trPr/>
        <w:tc>
          <w:tcPr>
            <w:tcW w:w="658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current liabilities</w:t>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ind w:left="0" w:right="115" w:hanging="0"/>
              <w:jc w:val="left"/>
              <w:rPr>
                <w:sz w:val="4"/>
                <w:szCs w:val="4"/>
              </w:rPr>
            </w:pPr>
            <w:r>
              <w:rPr>
                <w:sz w:val="4"/>
                <w:szCs w:val="4"/>
              </w:rPr>
            </w:r>
          </w:p>
        </w:tc>
        <w:tc>
          <w:tcPr>
            <w:tcW w:w="118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322,151</w:t>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692,127</w:t>
            </w:r>
          </w:p>
        </w:tc>
      </w:tr>
      <w:tr>
        <w:trPr/>
        <w:tc>
          <w:tcPr>
            <w:tcW w:w="658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8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231"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58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liabilities</w:t>
            </w:r>
          </w:p>
        </w:tc>
        <w:tc>
          <w:tcPr>
            <w:tcW w:w="226" w:type="dxa"/>
            <w:tcBorders>
              <w:bottom w:val="single" w:sz="8" w:space="0" w:color="000000"/>
            </w:tcBorders>
            <w:tcMar>
              <w:bottom w:w="28" w:type="dxa"/>
            </w:tcMar>
            <w:vAlign w:val="center"/>
          </w:tcPr>
          <w:p>
            <w:pPr>
              <w:pStyle w:val="TableContents"/>
              <w:bidi w:val="0"/>
              <w:spacing w:before="0" w:after="283"/>
              <w:ind w:left="0" w:right="115" w:hanging="0"/>
              <w:jc w:val="left"/>
              <w:rPr>
                <w:sz w:val="4"/>
                <w:szCs w:val="4"/>
              </w:rPr>
            </w:pPr>
            <w:r>
              <w:rPr>
                <w:sz w:val="4"/>
                <w:szCs w:val="4"/>
              </w:rPr>
            </w:r>
          </w:p>
        </w:tc>
        <w:tc>
          <w:tcPr>
            <w:tcW w:w="118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124,777</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231"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127,219</w:t>
            </w:r>
          </w:p>
        </w:tc>
      </w:tr>
      <w:tr>
        <w:trPr/>
        <w:tc>
          <w:tcPr>
            <w:tcW w:w="658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Total liabilities and equity</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8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11,076,394</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23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10,455,956</w:t>
            </w:r>
          </w:p>
        </w:tc>
      </w:tr>
      <w:tr>
        <w:trPr/>
        <w:tc>
          <w:tcPr>
            <w:tcW w:w="6586" w:type="dxa"/>
            <w:tcBorders/>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8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23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9455" w:type="dxa"/>
            <w:gridSpan w:val="5"/>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The accompanying condensed notes are an integral part of these condensed financial statements.</w:t>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126</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Essential Utilities, Inc.</w:t>
      </w:r>
    </w:p>
    <w:p>
      <w:pPr>
        <w:pStyle w:val="TextBody"/>
        <w:bidi w:val="0"/>
        <w:spacing w:lineRule="auto" w:line="259"/>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Schedule 1 – Condensed Parent Company Financial Statements</w:t>
      </w:r>
    </w:p>
    <w:p>
      <w:pPr>
        <w:pStyle w:val="TextBody"/>
        <w:bidi w:val="0"/>
        <w:spacing w:lineRule="auto" w:line="259"/>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Condensed Statements of Income and Comprehensive Income </w:t>
      </w:r>
    </w:p>
    <w:p>
      <w:pPr>
        <w:pStyle w:val="TextBody"/>
        <w:bidi w:val="0"/>
        <w:spacing w:lineRule="auto" w:line="259"/>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 thousands, except per share amounts)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jc w:val="center"/>
        <w:rPr>
          <w:caps w:val="false"/>
          <w:smallCaps w:val="false"/>
        </w:rPr>
      </w:pPr>
      <w:r>
        <w:rPr>
          <w:caps w:val="false"/>
          <w:smallCaps w:val="false"/>
        </w:rPr>
        <w:t> </w:t>
      </w:r>
    </w:p>
    <w:tbl>
      <w:tblPr>
        <w:tblW w:w="9532" w:type="dxa"/>
        <w:jc w:val="left"/>
        <w:tblInd w:w="0" w:type="dxa"/>
        <w:tblLayout w:type="fixed"/>
        <w:tblCellMar>
          <w:top w:w="0" w:type="dxa"/>
          <w:left w:w="0" w:type="dxa"/>
          <w:bottom w:w="0" w:type="dxa"/>
          <w:right w:w="0" w:type="dxa"/>
        </w:tblCellMar>
      </w:tblPr>
      <w:tblGrid>
        <w:gridCol w:w="6061"/>
        <w:gridCol w:w="226"/>
        <w:gridCol w:w="916"/>
        <w:gridCol w:w="226"/>
        <w:gridCol w:w="916"/>
        <w:gridCol w:w="226"/>
        <w:gridCol w:w="961"/>
      </w:tblGrid>
      <w:tr>
        <w:trPr/>
        <w:tc>
          <w:tcPr>
            <w:tcW w:w="606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1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961" w:type="dxa"/>
            <w:tcBorders/>
            <w:shd w:fill="FFFFFF" w:val="clear"/>
            <w:vAlign w:val="center"/>
          </w:tcPr>
          <w:p>
            <w:pPr>
              <w:pStyle w:val="TableContents"/>
              <w:bidi w:val="0"/>
              <w:spacing w:before="0" w:after="283"/>
              <w:jc w:val="left"/>
              <w:rPr>
                <w:sz w:val="4"/>
                <w:szCs w:val="4"/>
              </w:rPr>
            </w:pPr>
            <w:r>
              <w:rPr>
                <w:sz w:val="4"/>
                <w:szCs w:val="4"/>
              </w:rPr>
            </w:r>
          </w:p>
        </w:tc>
      </w:tr>
      <w:tr>
        <w:trPr/>
        <w:tc>
          <w:tcPr>
            <w:tcW w:w="6061" w:type="dxa"/>
            <w:tcBorders/>
            <w:shd w:fill="FFFFFF" w:val="clear"/>
            <w:vAlign w:val="center"/>
          </w:tcPr>
          <w:p>
            <w:pPr>
              <w:pStyle w:val="TableContents"/>
              <w:bidi w:val="0"/>
              <w:spacing w:before="0" w:after="283"/>
              <w:jc w:val="left"/>
              <w:rPr>
                <w:sz w:val="4"/>
                <w:szCs w:val="4"/>
              </w:rPr>
            </w:pPr>
            <w:r>
              <w:rPr>
                <w:sz w:val="4"/>
                <w:szCs w:val="4"/>
              </w:rPr>
            </w:r>
          </w:p>
        </w:tc>
        <w:tc>
          <w:tcPr>
            <w:tcW w:w="3471" w:type="dxa"/>
            <w:gridSpan w:val="6"/>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Years ended December 31,</w:t>
            </w:r>
          </w:p>
        </w:tc>
      </w:tr>
      <w:tr>
        <w:trPr/>
        <w:tc>
          <w:tcPr>
            <w:tcW w:w="6061"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606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income</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1,303</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2,985</w:t>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6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5,368</w:t>
            </w:r>
          </w:p>
        </w:tc>
      </w:tr>
      <w:tr>
        <w:trPr/>
        <w:tc>
          <w:tcPr>
            <w:tcW w:w="606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Operating expense and other expenses</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4,259</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6,479</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10,724</w:t>
            </w:r>
          </w:p>
        </w:tc>
      </w:tr>
      <w:tr>
        <w:trPr/>
        <w:tc>
          <w:tcPr>
            <w:tcW w:w="606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Operating income (loss) </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(2,956)</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(3,494)</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(5,356)</w:t>
            </w:r>
          </w:p>
        </w:tc>
      </w:tr>
      <w:tr>
        <w:trPr/>
        <w:tc>
          <w:tcPr>
            <w:tcW w:w="606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Interest expense</w:t>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61,900</w:t>
            </w:r>
          </w:p>
        </w:tc>
        <w:tc>
          <w:tcPr>
            <w:tcW w:w="22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64,031</w:t>
            </w:r>
          </w:p>
        </w:tc>
        <w:tc>
          <w:tcPr>
            <w:tcW w:w="22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35,817</w:t>
            </w:r>
          </w:p>
        </w:tc>
      </w:tr>
      <w:tr>
        <w:trPr/>
        <w:tc>
          <w:tcPr>
            <w:tcW w:w="606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Interest income</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(1,582)</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(348)</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(107)</w:t>
            </w:r>
          </w:p>
        </w:tc>
      </w:tr>
      <w:tr>
        <w:trPr/>
        <w:tc>
          <w:tcPr>
            <w:tcW w:w="606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 (income) expense</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(1,160)</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(584)</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893</w:t>
            </w:r>
          </w:p>
        </w:tc>
      </w:tr>
      <w:tr>
        <w:trPr/>
        <w:tc>
          <w:tcPr>
            <w:tcW w:w="606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Loss before equity in earnings of subsidiaries and income taxes</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(62,114)</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(66,593)</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(41,959)</w:t>
            </w:r>
          </w:p>
        </w:tc>
      </w:tr>
      <w:tr>
        <w:trPr/>
        <w:tc>
          <w:tcPr>
            <w:tcW w:w="606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Equity in earnings of subsidiaries</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645,204</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547,617</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495,556</w:t>
            </w:r>
          </w:p>
        </w:tc>
      </w:tr>
      <w:tr>
        <w:trPr/>
        <w:tc>
          <w:tcPr>
            <w:tcW w:w="606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Income before income taxes</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583,090</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1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481,024</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961"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453,597</w:t>
            </w:r>
          </w:p>
        </w:tc>
      </w:tr>
      <w:tr>
        <w:trPr/>
        <w:tc>
          <w:tcPr>
            <w:tcW w:w="6061"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Income tax benefit</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(12,224)</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(17,202)</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(11,640)</w:t>
            </w:r>
          </w:p>
        </w:tc>
      </w:tr>
      <w:tr>
        <w:trPr/>
        <w:tc>
          <w:tcPr>
            <w:tcW w:w="606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Net income</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595,314</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498,226</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61"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465,237</w:t>
            </w:r>
          </w:p>
        </w:tc>
      </w:tr>
      <w:tr>
        <w:trPr/>
        <w:tc>
          <w:tcPr>
            <w:tcW w:w="6061" w:type="dxa"/>
            <w:tcBorders/>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6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06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Comprehensive income</w:t>
            </w:r>
          </w:p>
        </w:tc>
        <w:tc>
          <w:tcPr>
            <w:tcW w:w="226" w:type="dxa"/>
            <w:tcBorders>
              <w:bottom w:val="double" w:sz="6" w:space="0" w:color="000000"/>
            </w:tcBorders>
            <w:shd w:fill="CCEEFF" w:val="clear"/>
            <w:tcMar>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bottom w:val="double" w:sz="6"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595,314</w:t>
            </w:r>
          </w:p>
        </w:tc>
        <w:tc>
          <w:tcPr>
            <w:tcW w:w="226" w:type="dxa"/>
            <w:tcBorders>
              <w:bottom w:val="double" w:sz="6"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bottom w:val="double" w:sz="6"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498,226</w:t>
            </w:r>
          </w:p>
        </w:tc>
        <w:tc>
          <w:tcPr>
            <w:tcW w:w="226" w:type="dxa"/>
            <w:tcBorders>
              <w:bottom w:val="double" w:sz="6"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61" w:type="dxa"/>
            <w:tcBorders>
              <w:bottom w:val="double" w:sz="6"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465,237</w:t>
            </w:r>
          </w:p>
        </w:tc>
      </w:tr>
      <w:tr>
        <w:trPr/>
        <w:tc>
          <w:tcPr>
            <w:tcW w:w="6061" w:type="dxa"/>
            <w:tcBorders/>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6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06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Net income per common share:</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before="0" w:after="283"/>
              <w:jc w:val="left"/>
              <w:rPr>
                <w:sz w:val="4"/>
                <w:szCs w:val="4"/>
              </w:rPr>
            </w:pPr>
            <w:r>
              <w:rPr>
                <w:sz w:val="4"/>
                <w:szCs w:val="4"/>
              </w:rPr>
            </w:r>
          </w:p>
        </w:tc>
      </w:tr>
      <w:tr>
        <w:trPr/>
        <w:tc>
          <w:tcPr>
            <w:tcW w:w="6061"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Basic </w:t>
            </w:r>
          </w:p>
        </w:tc>
        <w:tc>
          <w:tcPr>
            <w:tcW w:w="226" w:type="dxa"/>
            <w:tcBorders>
              <w:bottom w:val="double" w:sz="6" w:space="0" w:color="000000"/>
            </w:tcBorders>
            <w:tcMar>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2.17</w:t>
            </w:r>
          </w:p>
        </w:tc>
        <w:tc>
          <w:tcPr>
            <w:tcW w:w="226"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1.86</w:t>
            </w:r>
          </w:p>
        </w:tc>
        <w:tc>
          <w:tcPr>
            <w:tcW w:w="226"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61"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1.77</w:t>
            </w:r>
          </w:p>
        </w:tc>
      </w:tr>
      <w:tr>
        <w:trPr/>
        <w:tc>
          <w:tcPr>
            <w:tcW w:w="6061"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Diluted</w:t>
            </w:r>
          </w:p>
        </w:tc>
        <w:tc>
          <w:tcPr>
            <w:tcW w:w="22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2.17</w:t>
            </w:r>
          </w:p>
        </w:tc>
        <w:tc>
          <w:tcPr>
            <w:tcW w:w="22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1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1.86</w:t>
            </w:r>
          </w:p>
        </w:tc>
        <w:tc>
          <w:tcPr>
            <w:tcW w:w="22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96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1.77</w:t>
            </w:r>
          </w:p>
        </w:tc>
      </w:tr>
      <w:tr>
        <w:trPr/>
        <w:tc>
          <w:tcPr>
            <w:tcW w:w="6061" w:type="dxa"/>
            <w:tcBorders/>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6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061"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Average common shares outstanding during the period:</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16"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961" w:type="dxa"/>
            <w:tcBorders/>
            <w:shd w:fill="CCEEFF" w:val="clear"/>
            <w:vAlign w:val="center"/>
          </w:tcPr>
          <w:p>
            <w:pPr>
              <w:pStyle w:val="TableContents"/>
              <w:bidi w:val="0"/>
              <w:spacing w:before="0" w:after="283"/>
              <w:jc w:val="left"/>
              <w:rPr>
                <w:sz w:val="4"/>
                <w:szCs w:val="4"/>
              </w:rPr>
            </w:pPr>
            <w:r>
              <w:rPr>
                <w:sz w:val="4"/>
                <w:szCs w:val="4"/>
              </w:rPr>
            </w:r>
          </w:p>
        </w:tc>
      </w:tr>
      <w:tr>
        <w:trPr/>
        <w:tc>
          <w:tcPr>
            <w:tcW w:w="6061"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Basic</w:t>
            </w:r>
          </w:p>
        </w:tc>
        <w:tc>
          <w:tcPr>
            <w:tcW w:w="226"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273,914</w:t>
            </w:r>
          </w:p>
        </w:tc>
        <w:tc>
          <w:tcPr>
            <w:tcW w:w="226"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16"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267,171</w:t>
            </w:r>
          </w:p>
        </w:tc>
        <w:tc>
          <w:tcPr>
            <w:tcW w:w="226" w:type="dxa"/>
            <w:tcBorders>
              <w:bottom w:val="double" w:sz="6"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961" w:type="dxa"/>
            <w:tcBorders>
              <w:bottom w:val="double" w:sz="6"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262,246</w:t>
            </w:r>
          </w:p>
        </w:tc>
      </w:tr>
      <w:tr>
        <w:trPr/>
        <w:tc>
          <w:tcPr>
            <w:tcW w:w="6061"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Diluted</w:t>
            </w:r>
          </w:p>
        </w:tc>
        <w:tc>
          <w:tcPr>
            <w:tcW w:w="22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1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274,421</w:t>
            </w:r>
          </w:p>
        </w:tc>
        <w:tc>
          <w:tcPr>
            <w:tcW w:w="22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1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267,659</w:t>
            </w:r>
          </w:p>
        </w:tc>
        <w:tc>
          <w:tcPr>
            <w:tcW w:w="226"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before="0" w:after="283"/>
              <w:jc w:val="left"/>
              <w:rPr>
                <w:sz w:val="4"/>
                <w:szCs w:val="4"/>
              </w:rPr>
            </w:pPr>
            <w:r>
              <w:rPr>
                <w:sz w:val="4"/>
                <w:szCs w:val="4"/>
              </w:rPr>
            </w:r>
          </w:p>
        </w:tc>
        <w:tc>
          <w:tcPr>
            <w:tcW w:w="961" w:type="dxa"/>
            <w:tcBorders>
              <w:top w:val="double" w:sz="6"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262,868</w:t>
            </w:r>
          </w:p>
        </w:tc>
      </w:tr>
      <w:tr>
        <w:trPr/>
        <w:tc>
          <w:tcPr>
            <w:tcW w:w="6061" w:type="dxa"/>
            <w:tcBorders/>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1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961"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9532" w:type="dxa"/>
            <w:gridSpan w:val="7"/>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The accompanying condensed notes are an integral part of these condensed financial statements.</w:t>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127</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Essential Utilities, Inc.</w:t>
      </w:r>
    </w:p>
    <w:p>
      <w:pPr>
        <w:pStyle w:val="TextBody"/>
        <w:bidi w:val="0"/>
        <w:spacing w:lineRule="auto" w:line="259"/>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Schedule 1 – Condensed Parent Company Financial Statements</w:t>
      </w:r>
    </w:p>
    <w:p>
      <w:pPr>
        <w:pStyle w:val="TextBody"/>
        <w:bidi w:val="0"/>
        <w:spacing w:lineRule="auto" w:line="259"/>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 xml:space="preserve">Condensed Statements of Cash Flows </w:t>
      </w:r>
    </w:p>
    <w:p>
      <w:pPr>
        <w:pStyle w:val="TextBody"/>
        <w:bidi w:val="0"/>
        <w:spacing w:lineRule="auto" w:line="259"/>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 thousands of dollars)</w:t>
      </w:r>
    </w:p>
    <w:p>
      <w:pPr>
        <w:pStyle w:val="TextBody"/>
        <w:bidi w:val="0"/>
        <w:spacing w:lineRule="auto" w:line="259"/>
        <w:jc w:val="center"/>
        <w:rPr>
          <w:caps w:val="false"/>
          <w:smallCaps w:val="false"/>
          <w:color w:val="000000"/>
        </w:rPr>
      </w:pPr>
      <w:r>
        <w:rPr>
          <w:caps w:val="false"/>
          <w:smallCaps w:val="false"/>
          <w:color w:val="000000"/>
        </w:rPr>
        <w:t> </w:t>
      </w:r>
    </w:p>
    <w:p>
      <w:pPr>
        <w:pStyle w:val="TextBody"/>
        <w:bidi w:val="0"/>
        <w:spacing w:lineRule="auto" w:line="259"/>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66"/>
        <w:gridCol w:w="226"/>
        <w:gridCol w:w="1066"/>
        <w:gridCol w:w="226"/>
        <w:gridCol w:w="1023"/>
        <w:gridCol w:w="226"/>
        <w:gridCol w:w="1172"/>
      </w:tblGrid>
      <w:tr>
        <w:trPr/>
        <w:tc>
          <w:tcPr>
            <w:tcW w:w="62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0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023"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172" w:type="dxa"/>
            <w:tcBorders/>
            <w:shd w:fill="FFFFFF" w:val="clear"/>
            <w:vAlign w:val="center"/>
          </w:tcPr>
          <w:p>
            <w:pPr>
              <w:pStyle w:val="TableContents"/>
              <w:bidi w:val="0"/>
              <w:spacing w:before="0" w:after="283"/>
              <w:jc w:val="left"/>
              <w:rPr>
                <w:sz w:val="4"/>
                <w:szCs w:val="4"/>
              </w:rPr>
            </w:pPr>
            <w:r>
              <w:rPr>
                <w:sz w:val="4"/>
                <w:szCs w:val="4"/>
              </w:rPr>
            </w:r>
          </w:p>
        </w:tc>
      </w:tr>
      <w:tr>
        <w:trPr/>
        <w:tc>
          <w:tcPr>
            <w:tcW w:w="6266" w:type="dxa"/>
            <w:tcBorders/>
            <w:shd w:fill="FFFFFF" w:val="clear"/>
            <w:vAlign w:val="center"/>
          </w:tcPr>
          <w:p>
            <w:pPr>
              <w:pStyle w:val="TableContents"/>
              <w:bidi w:val="0"/>
              <w:spacing w:before="0" w:after="283"/>
              <w:jc w:val="left"/>
              <w:rPr>
                <w:sz w:val="4"/>
                <w:szCs w:val="4"/>
              </w:rPr>
            </w:pPr>
            <w:r>
              <w:rPr>
                <w:sz w:val="4"/>
                <w:szCs w:val="4"/>
              </w:rPr>
            </w:r>
          </w:p>
        </w:tc>
        <w:tc>
          <w:tcPr>
            <w:tcW w:w="3939" w:type="dxa"/>
            <w:gridSpan w:val="6"/>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Years ended December 31,</w:t>
            </w:r>
          </w:p>
        </w:tc>
      </w:tr>
      <w:tr>
        <w:trPr/>
        <w:tc>
          <w:tcPr>
            <w:tcW w:w="6266"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2024</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2023</w:t>
            </w:r>
          </w:p>
        </w:tc>
        <w:tc>
          <w:tcPr>
            <w:tcW w:w="226"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left"/>
              <w:rPr>
                <w:sz w:val="4"/>
                <w:szCs w:val="4"/>
              </w:rPr>
            </w:pPr>
            <w:r>
              <w:rPr>
                <w:sz w:val="4"/>
                <w:szCs w:val="4"/>
              </w:rPr>
            </w:r>
          </w:p>
        </w:tc>
        <w:tc>
          <w:tcPr>
            <w:tcW w:w="1172"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2022</w:t>
            </w:r>
          </w:p>
        </w:tc>
      </w:tr>
      <w:tr>
        <w:trPr/>
        <w:tc>
          <w:tcPr>
            <w:tcW w:w="626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Net cash flows used in operating activities</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6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(284,039)</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23"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(179,556)</w:t>
            </w:r>
          </w:p>
        </w:tc>
        <w:tc>
          <w:tcPr>
            <w:tcW w:w="226"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72" w:type="dxa"/>
            <w:tcBorders>
              <w:top w:val="single" w:sz="8" w:space="0" w:color="000000"/>
              <w:bottom w:val="single" w:sz="8"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(169,778)</w:t>
            </w:r>
          </w:p>
        </w:tc>
      </w:tr>
      <w:tr>
        <w:trPr/>
        <w:tc>
          <w:tcPr>
            <w:tcW w:w="626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Cash flows from investing activities:</w:t>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c>
          <w:tcPr>
            <w:tcW w:w="1172" w:type="dxa"/>
            <w:tcBorders>
              <w:top w:val="single" w:sz="8"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26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Acquisitions of utility systems and other, net</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(501)</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(32,431)</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(116,627)</w:t>
            </w:r>
          </w:p>
        </w:tc>
      </w:tr>
      <w:tr>
        <w:trPr/>
        <w:tc>
          <w:tcPr>
            <w:tcW w:w="626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Increase in investment in subsidiaries</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06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(104,022)</w:t>
            </w:r>
          </w:p>
        </w:tc>
        <w:tc>
          <w:tcPr>
            <w:tcW w:w="22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(36,740)</w:t>
            </w:r>
          </w:p>
        </w:tc>
        <w:tc>
          <w:tcPr>
            <w:tcW w:w="22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(162,662)</w:t>
            </w:r>
          </w:p>
        </w:tc>
      </w:tr>
      <w:tr>
        <w:trPr/>
        <w:tc>
          <w:tcPr>
            <w:tcW w:w="626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w:t>
            </w:r>
          </w:p>
        </w:tc>
        <w:tc>
          <w:tcPr>
            <w:tcW w:w="226" w:type="dxa"/>
            <w:tcBorders>
              <w:bottom w:val="single" w:sz="8" w:space="0" w:color="000000"/>
            </w:tcBorders>
            <w:shd w:fill="CCEEFF" w:val="clear"/>
            <w:tcMar>
              <w:bottom w:w="28" w:type="dxa"/>
            </w:tcMar>
            <w:vAlign w:val="center"/>
          </w:tcPr>
          <w:p>
            <w:pPr>
              <w:pStyle w:val="TableContents"/>
              <w:bidi w:val="0"/>
              <w:spacing w:before="0" w:after="283"/>
              <w:ind w:left="0" w:right="115" w:hanging="0"/>
              <w:jc w:val="left"/>
              <w:rPr>
                <w:sz w:val="4"/>
                <w:szCs w:val="4"/>
              </w:rPr>
            </w:pPr>
            <w:r>
              <w:rPr>
                <w:sz w:val="4"/>
                <w:szCs w:val="4"/>
              </w:rPr>
            </w:r>
          </w:p>
        </w:tc>
        <w:tc>
          <w:tcPr>
            <w:tcW w:w="1066"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322</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23"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554</w:t>
            </w:r>
            <w:r>
              <w:rPr>
                <w:rFonts w:ascii="Times New Roman;serif" w:hAnsi="Times New Roman;serif"/>
                <w:caps w:val="false"/>
                <w:smallCaps w:val="false"/>
                <w:color w:val="000000"/>
                <w:sz w:val="22"/>
              </w:rPr>
              <w:t> </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72"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299</w:t>
            </w:r>
            <w:r>
              <w:rPr>
                <w:rFonts w:ascii="Times New Roman;serif" w:hAnsi="Times New Roman;serif"/>
                <w:caps w:val="false"/>
                <w:smallCaps w:val="false"/>
                <w:color w:val="000000"/>
                <w:sz w:val="22"/>
              </w:rPr>
              <w:t> </w:t>
            </w:r>
          </w:p>
        </w:tc>
      </w:tr>
      <w:tr>
        <w:trPr/>
        <w:tc>
          <w:tcPr>
            <w:tcW w:w="626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Net cash flows used in investing activities</w:t>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(104,201)</w:t>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(68,617)</w:t>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7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(278,990)</w:t>
            </w:r>
          </w:p>
        </w:tc>
      </w:tr>
      <w:tr>
        <w:trPr/>
        <w:tc>
          <w:tcPr>
            <w:tcW w:w="626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Cash flows from financing activities:</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72"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r>
      <w:tr>
        <w:trPr/>
        <w:tc>
          <w:tcPr>
            <w:tcW w:w="626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Proceeds from long-term debt</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06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1,644,604</w:t>
            </w:r>
          </w:p>
        </w:tc>
        <w:tc>
          <w:tcPr>
            <w:tcW w:w="22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906,856</w:t>
            </w:r>
            <w:r>
              <w:rPr>
                <w:rFonts w:ascii="Times New Roman;serif" w:hAnsi="Times New Roman;serif"/>
                <w:caps w:val="false"/>
                <w:smallCaps w:val="false"/>
                <w:color w:val="000000"/>
                <w:sz w:val="22"/>
              </w:rPr>
              <w:t> </w:t>
            </w:r>
          </w:p>
        </w:tc>
        <w:tc>
          <w:tcPr>
            <w:tcW w:w="22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1,522,157</w:t>
            </w:r>
            <w:r>
              <w:rPr>
                <w:rFonts w:ascii="Times New Roman;serif" w:hAnsi="Times New Roman;serif"/>
                <w:caps w:val="false"/>
                <w:smallCaps w:val="false"/>
                <w:color w:val="000000"/>
                <w:sz w:val="22"/>
              </w:rPr>
              <w:t> </w:t>
            </w:r>
          </w:p>
        </w:tc>
      </w:tr>
      <w:tr>
        <w:trPr/>
        <w:tc>
          <w:tcPr>
            <w:tcW w:w="626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Repayments of long-term debt</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(960,000)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(677,000)</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(865,469)</w:t>
            </w:r>
          </w:p>
        </w:tc>
      </w:tr>
      <w:tr>
        <w:trPr/>
        <w:tc>
          <w:tcPr>
            <w:tcW w:w="626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Proceeds from issuance of common stock from at-the market sale agreement</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06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36,134</w:t>
            </w:r>
          </w:p>
        </w:tc>
        <w:tc>
          <w:tcPr>
            <w:tcW w:w="22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322,983</w:t>
            </w:r>
            <w:r>
              <w:rPr>
                <w:rFonts w:ascii="Times New Roman;serif" w:hAnsi="Times New Roman;serif"/>
                <w:caps w:val="false"/>
                <w:smallCaps w:val="false"/>
                <w:color w:val="000000"/>
                <w:sz w:val="22"/>
              </w:rPr>
              <w:t> </w:t>
            </w:r>
          </w:p>
        </w:tc>
        <w:tc>
          <w:tcPr>
            <w:tcW w:w="22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63,040</w:t>
            </w:r>
            <w:r>
              <w:rPr>
                <w:rFonts w:ascii="Times New Roman;serif" w:hAnsi="Times New Roman;serif"/>
                <w:caps w:val="false"/>
                <w:smallCaps w:val="false"/>
                <w:color w:val="000000"/>
                <w:sz w:val="22"/>
              </w:rPr>
              <w:t> </w:t>
            </w:r>
          </w:p>
        </w:tc>
      </w:tr>
      <w:tr>
        <w:trPr/>
        <w:tc>
          <w:tcPr>
            <w:tcW w:w="626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Proceeds from issuance of common stock under dividend reinvestment plan</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15,476</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16,005</w:t>
            </w:r>
            <w:r>
              <w:rPr>
                <w:rFonts w:ascii="Times New Roman;serif" w:hAnsi="Times New Roman;serif"/>
                <w:caps w:val="false"/>
                <w:smallCaps w:val="false"/>
                <w:color w:val="000000"/>
                <w:sz w:val="22"/>
              </w:rPr>
              <w:t> </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16,619</w:t>
            </w:r>
            <w:r>
              <w:rPr>
                <w:rFonts w:ascii="Times New Roman;serif" w:hAnsi="Times New Roman;serif"/>
                <w:caps w:val="false"/>
                <w:smallCaps w:val="false"/>
                <w:color w:val="000000"/>
                <w:sz w:val="22"/>
              </w:rPr>
              <w:t> </w:t>
            </w:r>
          </w:p>
        </w:tc>
      </w:tr>
      <w:tr>
        <w:trPr/>
        <w:tc>
          <w:tcPr>
            <w:tcW w:w="626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Proceeds from exercised stock options</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06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2,471</w:t>
            </w:r>
          </w:p>
        </w:tc>
        <w:tc>
          <w:tcPr>
            <w:tcW w:w="22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287</w:t>
            </w:r>
            <w:r>
              <w:rPr>
                <w:rFonts w:ascii="Times New Roman;serif" w:hAnsi="Times New Roman;serif"/>
                <w:caps w:val="false"/>
                <w:smallCaps w:val="false"/>
                <w:color w:val="000000"/>
                <w:sz w:val="22"/>
              </w:rPr>
              <w:t> </w:t>
            </w:r>
          </w:p>
        </w:tc>
        <w:tc>
          <w:tcPr>
            <w:tcW w:w="22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2,475</w:t>
            </w:r>
            <w:r>
              <w:rPr>
                <w:rFonts w:ascii="Times New Roman;serif" w:hAnsi="Times New Roman;serif"/>
                <w:caps w:val="false"/>
                <w:smallCaps w:val="false"/>
                <w:color w:val="000000"/>
                <w:sz w:val="22"/>
              </w:rPr>
              <w:t> </w:t>
            </w:r>
          </w:p>
        </w:tc>
      </w:tr>
      <w:tr>
        <w:trPr/>
        <w:tc>
          <w:tcPr>
            <w:tcW w:w="626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Repurchase of common stock</w:t>
            </w:r>
          </w:p>
        </w:tc>
        <w:tc>
          <w:tcPr>
            <w:tcW w:w="226" w:type="dxa"/>
            <w:tcBorders/>
            <w:shd w:fill="CCEEFF" w:val="clear"/>
            <w:vAlign w:val="center"/>
          </w:tcPr>
          <w:p>
            <w:pPr>
              <w:pStyle w:val="TableContents"/>
              <w:bidi w:val="0"/>
              <w:spacing w:before="0" w:after="283"/>
              <w:ind w:left="0" w:right="115" w:hanging="0"/>
              <w:jc w:val="left"/>
              <w:rPr>
                <w:sz w:val="4"/>
                <w:szCs w:val="4"/>
              </w:rPr>
            </w:pPr>
            <w:r>
              <w:rPr>
                <w:sz w:val="4"/>
                <w:szCs w:val="4"/>
              </w:rPr>
            </w:r>
          </w:p>
        </w:tc>
        <w:tc>
          <w:tcPr>
            <w:tcW w:w="1066"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(4,048)</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023"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(3,981)</w:t>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172" w:type="dxa"/>
            <w:tcBorders/>
            <w:shd w:fill="CCEEFF" w:val="cle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(1,192)</w:t>
            </w:r>
          </w:p>
        </w:tc>
      </w:tr>
      <w:tr>
        <w:trPr/>
        <w:tc>
          <w:tcPr>
            <w:tcW w:w="6266" w:type="dxa"/>
            <w:tcBorders/>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Dividends paid on common stock</w:t>
            </w:r>
          </w:p>
        </w:tc>
        <w:tc>
          <w:tcPr>
            <w:tcW w:w="226" w:type="dxa"/>
            <w:tcBorders/>
            <w:vAlign w:val="center"/>
          </w:tcPr>
          <w:p>
            <w:pPr>
              <w:pStyle w:val="TableContents"/>
              <w:bidi w:val="0"/>
              <w:spacing w:before="0" w:after="283"/>
              <w:ind w:left="0" w:right="115" w:hanging="0"/>
              <w:jc w:val="left"/>
              <w:rPr>
                <w:sz w:val="4"/>
                <w:szCs w:val="4"/>
              </w:rPr>
            </w:pPr>
            <w:r>
              <w:rPr>
                <w:sz w:val="4"/>
                <w:szCs w:val="4"/>
              </w:rPr>
            </w:r>
          </w:p>
        </w:tc>
        <w:tc>
          <w:tcPr>
            <w:tcW w:w="1066"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(346,392)</w:t>
            </w:r>
          </w:p>
        </w:tc>
        <w:tc>
          <w:tcPr>
            <w:tcW w:w="22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(316,806)</w:t>
            </w:r>
          </w:p>
        </w:tc>
        <w:tc>
          <w:tcPr>
            <w:tcW w:w="22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(288,632)</w:t>
            </w:r>
          </w:p>
        </w:tc>
      </w:tr>
      <w:tr>
        <w:trPr/>
        <w:tc>
          <w:tcPr>
            <w:tcW w:w="6266" w:type="dxa"/>
            <w:tcBorders/>
            <w:shd w:fill="CCEEFF" w:val="clear"/>
            <w:vAlign w:val="center"/>
          </w:tcPr>
          <w:p>
            <w:pPr>
              <w:pStyle w:val="TableContents"/>
              <w:bidi w:val="0"/>
              <w:spacing w:lineRule="auto" w:line="259" w:before="0" w:after="1"/>
              <w:ind w:left="115" w:right="0" w:hanging="0"/>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Other</w:t>
            </w:r>
          </w:p>
        </w:tc>
        <w:tc>
          <w:tcPr>
            <w:tcW w:w="226" w:type="dxa"/>
            <w:tcBorders>
              <w:bottom w:val="single" w:sz="8" w:space="0" w:color="000000"/>
            </w:tcBorders>
            <w:shd w:fill="CCEEFF" w:val="clear"/>
            <w:tcMar>
              <w:bottom w:w="28" w:type="dxa"/>
            </w:tcMar>
            <w:vAlign w:val="center"/>
          </w:tcPr>
          <w:p>
            <w:pPr>
              <w:pStyle w:val="TableContents"/>
              <w:bidi w:val="0"/>
              <w:spacing w:before="0" w:after="283"/>
              <w:ind w:left="0" w:right="115" w:hanging="0"/>
              <w:jc w:val="left"/>
              <w:rPr>
                <w:sz w:val="4"/>
                <w:szCs w:val="4"/>
              </w:rPr>
            </w:pPr>
            <w:r>
              <w:rPr>
                <w:sz w:val="4"/>
                <w:szCs w:val="4"/>
              </w:rPr>
            </w:r>
          </w:p>
        </w:tc>
        <w:tc>
          <w:tcPr>
            <w:tcW w:w="1066"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023"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(171)</w:t>
            </w:r>
          </w:p>
        </w:tc>
        <w:tc>
          <w:tcPr>
            <w:tcW w:w="226" w:type="dxa"/>
            <w:tcBorders>
              <w:bottom w:val="single" w:sz="8"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1172" w:type="dxa"/>
            <w:tcBorders>
              <w:bottom w:val="single" w:sz="8" w:space="0" w:color="000000"/>
            </w:tcBorders>
            <w:shd w:fill="CCEEFF" w:val="clear"/>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(230)</w:t>
            </w:r>
          </w:p>
        </w:tc>
      </w:tr>
      <w:tr>
        <w:trPr/>
        <w:tc>
          <w:tcPr>
            <w:tcW w:w="626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Net cash flows from financing activities</w:t>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388,240</w:t>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248,173</w:t>
            </w:r>
            <w:r>
              <w:rPr>
                <w:rFonts w:ascii="Times New Roman;serif" w:hAnsi="Times New Roman;serif"/>
                <w:caps w:val="false"/>
                <w:smallCaps w:val="false"/>
                <w:color w:val="000000"/>
                <w:sz w:val="22"/>
              </w:rPr>
              <w:t> </w:t>
            </w:r>
          </w:p>
        </w:tc>
        <w:tc>
          <w:tcPr>
            <w:tcW w:w="226" w:type="dxa"/>
            <w:tcBorders>
              <w:top w:val="single" w:sz="8" w:space="0" w:color="000000"/>
              <w:bottom w:val="single" w:sz="8" w:space="0" w:color="000000"/>
            </w:tcBorders>
            <w:tcMar>
              <w:top w:w="28" w:type="dxa"/>
              <w:bottom w:w="28" w:type="dxa"/>
            </w:tcMar>
            <w:vAlign w:val="center"/>
          </w:tcPr>
          <w:p>
            <w:pPr>
              <w:pStyle w:val="TableContents"/>
              <w:bidi w:val="0"/>
              <w:spacing w:before="0" w:after="283"/>
              <w:jc w:val="left"/>
              <w:rPr>
                <w:sz w:val="4"/>
                <w:szCs w:val="4"/>
              </w:rPr>
            </w:pPr>
            <w:r>
              <w:rPr>
                <w:sz w:val="4"/>
                <w:szCs w:val="4"/>
              </w:rPr>
            </w:r>
          </w:p>
        </w:tc>
        <w:tc>
          <w:tcPr>
            <w:tcW w:w="1172" w:type="dxa"/>
            <w:tcBorders>
              <w:top w:val="single" w:sz="8" w:space="0" w:color="000000"/>
              <w:bottom w:val="single" w:sz="8" w:space="0" w:color="000000"/>
            </w:tcBorders>
            <w:tcMar>
              <w:top w:w="28" w:type="dxa"/>
              <w:bottom w:w="28" w:type="dxa"/>
            </w:tcMar>
            <w:vAlign w:val="center"/>
          </w:tcPr>
          <w:p>
            <w:pPr>
              <w:pStyle w:val="TableContents"/>
              <w:bidi w:val="0"/>
              <w:spacing w:lineRule="auto" w:line="259" w:before="0" w:after="1"/>
              <w:jc w:val="right"/>
              <w:rPr>
                <w:rFonts w:ascii="Times New Roman;serif" w:hAnsi="Times New Roman;serif"/>
                <w:sz w:val="22"/>
              </w:rPr>
            </w:pPr>
            <w:r>
              <w:rPr>
                <w:rFonts w:ascii="Times New Roman;serif" w:hAnsi="Times New Roman;serif"/>
                <w:b w:val="false"/>
                <w:i w:val="false"/>
                <w:caps w:val="false"/>
                <w:smallCaps w:val="false"/>
                <w:color w:val="000000"/>
                <w:sz w:val="22"/>
              </w:rPr>
              <w:t>448,768</w:t>
            </w:r>
            <w:r>
              <w:rPr>
                <w:rFonts w:ascii="Times New Roman;serif" w:hAnsi="Times New Roman;serif"/>
                <w:caps w:val="false"/>
                <w:smallCaps w:val="false"/>
                <w:color w:val="000000"/>
                <w:sz w:val="22"/>
              </w:rPr>
              <w:t> </w:t>
            </w:r>
          </w:p>
        </w:tc>
      </w:tr>
      <w:tr>
        <w:trPr/>
        <w:tc>
          <w:tcPr>
            <w:tcW w:w="626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Net change in cash and cash equivalents</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66"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023"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top w:val="single" w:sz="8" w:space="0" w:color="000000"/>
            </w:tcBorders>
            <w:shd w:fill="CCEEFF" w:val="clear"/>
            <w:tcMar>
              <w:top w:w="28" w:type="dxa"/>
            </w:tcMar>
            <w:vAlign w:val="center"/>
          </w:tcPr>
          <w:p>
            <w:pPr>
              <w:pStyle w:val="TableContents"/>
              <w:bidi w:val="0"/>
              <w:spacing w:before="0" w:after="283"/>
              <w:jc w:val="left"/>
              <w:rPr>
                <w:sz w:val="4"/>
                <w:szCs w:val="4"/>
              </w:rPr>
            </w:pPr>
            <w:r>
              <w:rPr>
                <w:sz w:val="4"/>
                <w:szCs w:val="4"/>
              </w:rPr>
            </w:r>
          </w:p>
        </w:tc>
        <w:tc>
          <w:tcPr>
            <w:tcW w:w="1172" w:type="dxa"/>
            <w:tcBorders>
              <w:top w:val="single" w:sz="8" w:space="0" w:color="000000"/>
            </w:tcBorders>
            <w:shd w:fill="CCEEFF" w:val="clear"/>
            <w:tcMar>
              <w:top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6266" w:type="dxa"/>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Cash and cash equivalents at beginning of year</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66"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023"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1172" w:type="dxa"/>
            <w:tcBorders>
              <w:bottom w:val="single" w:sz="8" w:space="0" w:color="000000"/>
            </w:tcBorders>
            <w:tcMar>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6266" w:type="dxa"/>
            <w:tcBorders/>
            <w:shd w:fill="CCEEFF" w:val="cle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Cash and cash equivalents at end of year</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6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023"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226"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172" w:type="dxa"/>
            <w:tcBorders>
              <w:top w:val="single" w:sz="8" w:space="0" w:color="000000"/>
              <w:bottom w:val="double" w:sz="6" w:space="0" w:color="000000"/>
            </w:tcBorders>
            <w:shd w:fill="CCEEFF" w:val="clear"/>
            <w:tcMar>
              <w:top w:w="28" w:type="dxa"/>
              <w:bottom w:w="28" w:type="dxa"/>
            </w:tcMar>
            <w:vAlign w:val="center"/>
          </w:tcPr>
          <w:p>
            <w:pPr>
              <w:pStyle w:val="TableContents"/>
              <w:bidi w:val="0"/>
              <w:spacing w:lineRule="auto" w:line="259" w:before="0" w:after="1"/>
              <w:jc w:val="righ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6266" w:type="dxa"/>
            <w:tcBorders/>
            <w:vAlign w:val="center"/>
          </w:tcPr>
          <w:p>
            <w:pPr>
              <w:pStyle w:val="TableContents"/>
              <w:bidi w:val="0"/>
              <w:spacing w:before="0" w:after="283"/>
              <w:ind w:left="115" w:right="0" w:hanging="0"/>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6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023"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226"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c>
          <w:tcPr>
            <w:tcW w:w="1172" w:type="dxa"/>
            <w:tcBorders>
              <w:top w:val="double" w:sz="6" w:space="0" w:color="000000"/>
            </w:tcBorders>
            <w:tcMar>
              <w:top w:w="28" w:type="dxa"/>
            </w:tcMar>
            <w:vAlign w:val="center"/>
          </w:tcPr>
          <w:p>
            <w:pPr>
              <w:pStyle w:val="TableContents"/>
              <w:bidi w:val="0"/>
              <w:spacing w:before="0" w:after="283"/>
              <w:jc w:val="left"/>
              <w:rPr>
                <w:sz w:val="4"/>
                <w:szCs w:val="4"/>
              </w:rPr>
            </w:pPr>
            <w:r>
              <w:rPr>
                <w:sz w:val="4"/>
                <w:szCs w:val="4"/>
              </w:rPr>
            </w:r>
          </w:p>
        </w:tc>
      </w:tr>
      <w:tr>
        <w:trPr/>
        <w:tc>
          <w:tcPr>
            <w:tcW w:w="6266" w:type="dxa"/>
            <w:tcBorders/>
            <w:vAlign w:val="center"/>
          </w:tcPr>
          <w:p>
            <w:pPr>
              <w:pStyle w:val="TableContents"/>
              <w:bidi w:val="0"/>
              <w:spacing w:lineRule="auto" w:line="259" w:before="0" w:after="1"/>
              <w:jc w:val="left"/>
              <w:rPr>
                <w:rFonts w:ascii="Times New Roman;serif" w:hAnsi="Times New Roman;serif"/>
                <w:sz w:val="22"/>
              </w:rPr>
            </w:pPr>
            <w:r>
              <w:rPr>
                <w:rFonts w:ascii="Times New Roman;serif" w:hAnsi="Times New Roman;serif"/>
                <w:b w:val="false"/>
                <w:i w:val="false"/>
                <w:caps w:val="false"/>
                <w:smallCaps w:val="false"/>
                <w:color w:val="000000"/>
                <w:sz w:val="22"/>
              </w:rPr>
              <w:t xml:space="preserve">See Note 1 - </w:t>
            </w:r>
            <w:r>
              <w:rPr>
                <w:rFonts w:ascii="Times New Roman;serif" w:hAnsi="Times New Roman;serif"/>
                <w:b w:val="false"/>
                <w:i/>
                <w:color w:val="000000"/>
                <w:sz w:val="22"/>
              </w:rPr>
              <w:t>Basis of Presentation</w:t>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6266" w:type="dxa"/>
            <w:tcBorders/>
            <w:vAlign w:val="center"/>
          </w:tcPr>
          <w:p>
            <w:pPr>
              <w:pStyle w:val="TableContents"/>
              <w:bidi w:val="0"/>
              <w:spacing w:before="0" w:after="283"/>
              <w:ind w:left="115" w:right="0" w:hanging="0"/>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10205" w:type="dxa"/>
            <w:gridSpan w:val="7"/>
            <w:tcBorders/>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The accompanying condensed notes are an integral part of these condensed financial statements.</w:t>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128</w:t>
      </w:r>
    </w:p>
    <w:p>
      <w:pPr>
        <w:pStyle w:val="HorizontalLine"/>
        <w:pBdr>
          <w:bottom w:val="double" w:sz="2" w:space="0" w:color="808080"/>
        </w:pBdr>
        <w:bidi w:val="0"/>
        <w:spacing w:before="0" w:after="283"/>
        <w:jc w:val="left"/>
        <w:rPr/>
      </w:pPr>
      <w:r>
        <w:rPr/>
      </w:r>
    </w:p>
    <w:p>
      <w:pPr>
        <w:pStyle w:val="TextBody"/>
        <w:bidi w:val="0"/>
        <w:spacing w:lineRule="auto" w:line="259"/>
        <w:rPr/>
      </w:pPr>
      <w:hyperlink w:anchor="Table_of_Contents">
        <w:r>
          <w:rPr>
            <w:rStyle w:val="InternetLink"/>
            <w:rFonts w:ascii="Times New Roman;serif" w:hAnsi="Times New Roman;serif"/>
            <w:b w:val="false"/>
            <w:i w:val="false"/>
            <w:caps w:val="false"/>
            <w:smallCaps w:val="false"/>
            <w:strike w:val="false"/>
            <w:dstrike w:val="false"/>
            <w:color w:val="0000FF"/>
            <w:sz w:val="22"/>
            <w:u w:val="single"/>
            <w:effect w:val="none"/>
          </w:rPr>
          <w:t>Table of Contents</w:t>
        </w:r>
      </w:hyperlink>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pPr>
      <w:r>
        <w:rPr>
          <w:caps w:val="false"/>
          <w:smallCaps w:val="false"/>
        </w:rPr>
        <w:t> </w:t>
      </w:r>
      <w:r>
        <w:rPr>
          <w:rFonts w:ascii="Times New Roman;serif" w:hAnsi="Times New Roman;serif"/>
          <w:b w:val="false"/>
          <w:i w:val="false"/>
          <w:caps w:val="false"/>
          <w:smallCaps w:val="false"/>
          <w:sz w:val="22"/>
        </w:rPr>
        <w:t>Essential Utilities, Inc.</w:t>
      </w:r>
    </w:p>
    <w:p>
      <w:pPr>
        <w:pStyle w:val="TextBody"/>
        <w:bidi w:val="0"/>
        <w:spacing w:lineRule="auto" w:line="259"/>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Schedule 1 – Condensed Parent Company Financial Statements</w:t>
      </w:r>
    </w:p>
    <w:p>
      <w:pPr>
        <w:pStyle w:val="TextBody"/>
        <w:bidi w:val="0"/>
        <w:spacing w:lineRule="auto" w:line="259"/>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Notes to Condensed Financial Statements</w:t>
      </w:r>
    </w:p>
    <w:p>
      <w:pPr>
        <w:pStyle w:val="TextBody"/>
        <w:bidi w:val="0"/>
        <w:spacing w:lineRule="auto" w:line="259"/>
        <w:jc w:val="center"/>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 thousands, except per share amounts)</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caps w:val="false"/>
          <w:smallCaps w:val="false"/>
        </w:rPr>
      </w:pPr>
      <w:r>
        <w:rPr>
          <w:caps w:val="false"/>
          <w:smallCaps w:val="false"/>
        </w:rPr>
        <w:t> </w:t>
      </w:r>
    </w:p>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t xml:space="preserve">Note 1 – </w:t>
      </w:r>
      <w:r>
        <w:rPr>
          <w:rFonts w:ascii="Times New Roman;serif" w:hAnsi="Times New Roman;serif"/>
          <w:b/>
          <w:i/>
          <w:sz w:val="22"/>
        </w:rPr>
        <w:t>Basis of Presentation</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The accompanying condensed financial statements of Essential Utilities, Inc. (the “Parent”) should be read in conjunction with the consolidated financial statements and notes thereto of Essential Utilities, Inc. and subsidiaries (collectively, the “Registrant”) included in Part II, Item 8 of the Annual Report. The Parent’s significant accounting policies are consistent with those of the Registrant.</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 xml:space="preserve">The Parent borrows from third parties and provides funds to its subsidiaries, in support of their operations. Amounts owed to the Parent for borrowings under this facility are reflected as accounts receivable – affiliates on the condensed balance sheets. The interest rate charged to the subsidiaries is sufficient to cover the Parent’s interest costs under its associated borrowings. </w:t>
      </w:r>
    </w:p>
    <w:p>
      <w:pPr>
        <w:pStyle w:val="TextBody"/>
        <w:bidi w:val="0"/>
        <w:spacing w:lineRule="auto" w:line="259"/>
        <w:rPr>
          <w:rFonts w:ascii="Times New Roman;serif" w:hAnsi="Times New Roman;serif"/>
          <w:sz w:val="22"/>
        </w:rPr>
      </w:pPr>
      <w:r>
        <w:rPr>
          <w:rFonts w:ascii="Times New Roman;serif" w:hAnsi="Times New Roman;serif"/>
          <w:b w:val="false"/>
          <w:i w:val="false"/>
          <w:caps w:val="false"/>
          <w:smallCaps w:val="false"/>
          <w:sz w:val="22"/>
        </w:rPr>
        <w:t>As of December 31, 2024 and 2023, the Parent had a current accounts receivable – affiliates balance of $244,758</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$907,302, respectively. As of December 31, 2024 and 2023, the Parent had a notes receivable – affiliates balance of $3,033,702</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and $2,765,670, respectively. The changes in these balances represent non-cash adjustments that are recorded through the Parent’s investment in subsidiaries.</w:t>
      </w:r>
    </w:p>
    <w:p>
      <w:pPr>
        <w:pStyle w:val="TextBody"/>
        <w:bidi w:val="0"/>
        <w:spacing w:lineRule="auto" w:line="259"/>
        <w:rPr>
          <w:rFonts w:ascii="Times New Roman;serif" w:hAnsi="Times New Roman;serif"/>
          <w:b w:val="false"/>
          <w:i w:val="false"/>
          <w:caps w:val="false"/>
          <w:smallCaps w:val="false"/>
          <w:sz w:val="22"/>
        </w:rPr>
      </w:pPr>
      <w:r>
        <w:rPr>
          <w:rFonts w:ascii="Times New Roman;serif" w:hAnsi="Times New Roman;serif"/>
          <w:b w:val="false"/>
          <w:i w:val="false"/>
          <w:caps w:val="false"/>
          <w:smallCaps w:val="false"/>
          <w:sz w:val="22"/>
        </w:rPr>
        <w:t>In the ordinary course of business, the Parent indemnifies a third-party for surety bonds issued on behalf of subsidiary companies, guarantees the performance of one of its regulated utilities in a jurisdiction that requires such guarantees, and guarantees several projects associated with the treatment of water in a jurisdiction.</w:t>
      </w:r>
    </w:p>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t xml:space="preserve">Note 2 – </w:t>
      </w:r>
      <w:r>
        <w:rPr>
          <w:rFonts w:ascii="Times New Roman;serif" w:hAnsi="Times New Roman;serif"/>
          <w:b/>
          <w:i/>
          <w:sz w:val="22"/>
        </w:rPr>
        <w:t>Dividends from subsidiaries</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Dividends in the amount of $0, $0, and $0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were paid to the Parent by its wholly-owned subsidiaries during the years ended December 31, 2024, 2023, and 2022, respectively. </w:t>
      </w:r>
    </w:p>
    <w:p>
      <w:pPr>
        <w:pStyle w:val="TextBody"/>
        <w:bidi w:val="0"/>
        <w:spacing w:lineRule="auto" w:line="259"/>
        <w:rPr>
          <w:rFonts w:ascii="Times New Roman;serif" w:hAnsi="Times New Roman;serif"/>
          <w:sz w:val="22"/>
        </w:rPr>
      </w:pPr>
      <w:r>
        <w:rPr>
          <w:rFonts w:ascii="Times New Roman;serif" w:hAnsi="Times New Roman;serif"/>
          <w:b/>
          <w:i w:val="false"/>
          <w:caps w:val="false"/>
          <w:smallCaps w:val="false"/>
          <w:sz w:val="22"/>
        </w:rPr>
        <w:t xml:space="preserve">Note 3 – </w:t>
      </w:r>
      <w:r>
        <w:rPr>
          <w:rFonts w:ascii="Times New Roman;serif" w:hAnsi="Times New Roman;serif"/>
          <w:b/>
          <w:i/>
          <w:sz w:val="22"/>
        </w:rPr>
        <w:t>Long-term debt</w:t>
      </w:r>
      <w:r>
        <w:rPr>
          <w:rFonts w:ascii="Times New Roman;serif" w:hAnsi="Times New Roman;serif"/>
          <w:caps w:val="false"/>
          <w:smallCaps w:val="false"/>
          <w:sz w:val="22"/>
        </w:rPr>
        <w:t xml:space="preserve"> – </w:t>
      </w:r>
      <w:r>
        <w:rPr>
          <w:rFonts w:ascii="Times New Roman;serif" w:hAnsi="Times New Roman;serif"/>
          <w:b w:val="false"/>
          <w:i w:val="false"/>
          <w:caps w:val="false"/>
          <w:smallCaps w:val="false"/>
          <w:sz w:val="22"/>
        </w:rPr>
        <w:t>The Parent has long-term debt under unsecured note purchase agreements with investors in addition to its $1,000,000</w:t>
      </w:r>
      <w:r>
        <w:rPr>
          <w:rFonts w:ascii="Times New Roman;serif" w:hAnsi="Times New Roman;serif"/>
          <w:caps w:val="false"/>
          <w:smallCaps w:val="false"/>
          <w:sz w:val="22"/>
        </w:rPr>
        <w:t xml:space="preserve"> </w:t>
      </w:r>
      <w:r>
        <w:rPr>
          <w:rFonts w:ascii="Times New Roman;serif" w:hAnsi="Times New Roman;serif"/>
          <w:b w:val="false"/>
          <w:i w:val="false"/>
          <w:caps w:val="false"/>
          <w:smallCaps w:val="false"/>
          <w:sz w:val="22"/>
        </w:rPr>
        <w:t xml:space="preserve">revolving credit agreement. Excluding amounts due under the revolving credit agreement, the debt maturities of the Parent’s long-term debt are as follows: </w:t>
      </w:r>
    </w:p>
    <w:tbl>
      <w:tblPr>
        <w:tblW w:w="2872" w:type="dxa"/>
        <w:jc w:val="left"/>
        <w:tblInd w:w="0" w:type="dxa"/>
        <w:tblLayout w:type="fixed"/>
        <w:tblCellMar>
          <w:top w:w="0" w:type="dxa"/>
          <w:left w:w="0" w:type="dxa"/>
          <w:bottom w:w="0" w:type="dxa"/>
          <w:right w:w="0" w:type="dxa"/>
        </w:tblCellMar>
      </w:tblPr>
      <w:tblGrid>
        <w:gridCol w:w="1081"/>
        <w:gridCol w:w="109"/>
        <w:gridCol w:w="226"/>
        <w:gridCol w:w="1456"/>
      </w:tblGrid>
      <w:tr>
        <w:trPr/>
        <w:tc>
          <w:tcPr>
            <w:tcW w:w="108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shd w:fill="FFFFFF" w:val="clear"/>
            <w:vAlign w:val="center"/>
          </w:tcPr>
          <w:p>
            <w:pPr>
              <w:pStyle w:val="TableContents"/>
              <w:bidi w:val="0"/>
              <w:spacing w:before="0" w:after="283"/>
              <w:jc w:val="left"/>
              <w:rPr>
                <w:sz w:val="4"/>
                <w:szCs w:val="4"/>
              </w:rPr>
            </w:pPr>
            <w:r>
              <w:rPr>
                <w:sz w:val="4"/>
                <w:szCs w:val="4"/>
              </w:rPr>
            </w:r>
          </w:p>
        </w:tc>
        <w:tc>
          <w:tcPr>
            <w:tcW w:w="1456" w:type="dxa"/>
            <w:tcBorders/>
            <w:shd w:fill="FFFFFF" w:val="clear"/>
            <w:vAlign w:val="center"/>
          </w:tcPr>
          <w:p>
            <w:pPr>
              <w:pStyle w:val="TableContents"/>
              <w:bidi w:val="0"/>
              <w:spacing w:before="0" w:after="283"/>
              <w:jc w:val="left"/>
              <w:rPr>
                <w:sz w:val="4"/>
                <w:szCs w:val="4"/>
              </w:rPr>
            </w:pPr>
            <w:r>
              <w:rPr>
                <w:sz w:val="4"/>
                <w:szCs w:val="4"/>
              </w:rPr>
            </w:r>
          </w:p>
        </w:tc>
      </w:tr>
      <w:tr>
        <w:trPr/>
        <w:tc>
          <w:tcPr>
            <w:tcW w:w="1081"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Year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26" w:type="dxa"/>
            <w:tcBorders>
              <w:bottom w:val="single" w:sz="8" w:space="0" w:color="000000"/>
            </w:tcBorders>
            <w:shd w:fill="FFFFFF" w:val="clear"/>
            <w:tcMar>
              <w:bottom w:w="28" w:type="dxa"/>
            </w:tcMar>
            <w:vAlign w:val="center"/>
          </w:tcPr>
          <w:p>
            <w:pPr>
              <w:pStyle w:val="TableContents"/>
              <w:bidi w:val="0"/>
              <w:spacing w:before="0" w:after="283"/>
              <w:jc w:val="left"/>
              <w:rPr>
                <w:sz w:val="4"/>
                <w:szCs w:val="4"/>
              </w:rPr>
            </w:pPr>
            <w:r>
              <w:rPr>
                <w:sz w:val="4"/>
                <w:szCs w:val="4"/>
              </w:rPr>
            </w:r>
          </w:p>
        </w:tc>
        <w:tc>
          <w:tcPr>
            <w:tcW w:w="1456" w:type="dxa"/>
            <w:tcBorders>
              <w:bottom w:val="single" w:sz="8" w:space="0" w:color="000000"/>
            </w:tcBorders>
            <w:shd w:fill="FFFFFF" w:val="clear"/>
            <w:tcMar>
              <w:bottom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Debt Maturity</w:t>
            </w:r>
          </w:p>
        </w:tc>
      </w:tr>
      <w:tr>
        <w:trPr/>
        <w:tc>
          <w:tcPr>
            <w:tcW w:w="1081" w:type="dxa"/>
            <w:tcBorders>
              <w:top w:val="single" w:sz="8" w:space="0" w:color="000000"/>
            </w:tcBorders>
            <w:shd w:fill="CCEEFF" w:val="clear"/>
            <w:tcMar>
              <w:top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2025</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28" w:type="dxa"/>
            </w:tcMar>
            <w:vAlign w:val="center"/>
          </w:tcPr>
          <w:p>
            <w:pPr>
              <w:pStyle w:val="TableContents"/>
              <w:bidi w:val="0"/>
              <w:spacing w:lineRule="auto" w:line="259" w:before="0" w:after="1"/>
              <w:jc w:val="left"/>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c>
          <w:tcPr>
            <w:tcW w:w="1456" w:type="dxa"/>
            <w:tcBorders>
              <w:top w:val="single" w:sz="8" w:space="0" w:color="000000"/>
            </w:tcBorders>
            <w:shd w:fill="CCEEFF" w:val="clear"/>
            <w:tcMar>
              <w:top w:w="28" w:type="dxa"/>
            </w:tcM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1081"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2026</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1081" w:type="dxa"/>
            <w:tcBorders/>
            <w:shd w:fill="CCEE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2027</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500,000</w:t>
            </w:r>
          </w:p>
        </w:tc>
      </w:tr>
      <w:tr>
        <w:trPr/>
        <w:tc>
          <w:tcPr>
            <w:tcW w:w="1081"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2028</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w:t>
            </w:r>
          </w:p>
        </w:tc>
      </w:tr>
      <w:tr>
        <w:trPr/>
        <w:tc>
          <w:tcPr>
            <w:tcW w:w="1081" w:type="dxa"/>
            <w:tcBorders/>
            <w:shd w:fill="CCEE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2029</w:t>
            </w:r>
          </w:p>
        </w:tc>
        <w:tc>
          <w:tcPr>
            <w:tcW w:w="109" w:type="dxa"/>
            <w:tcBorders/>
            <w:shd w:fill="CCEEFF" w:val="clear"/>
            <w:vAlign w:val="center"/>
          </w:tcPr>
          <w:p>
            <w:pPr>
              <w:pStyle w:val="TableContents"/>
              <w:bidi w:val="0"/>
              <w:spacing w:before="0" w:after="283"/>
              <w:jc w:val="left"/>
              <w:rPr>
                <w:sz w:val="4"/>
                <w:szCs w:val="4"/>
              </w:rPr>
            </w:pPr>
            <w:r>
              <w:rPr>
                <w:sz w:val="4"/>
                <w:szCs w:val="4"/>
              </w:rPr>
            </w:r>
          </w:p>
        </w:tc>
        <w:tc>
          <w:tcPr>
            <w:tcW w:w="226" w:type="dxa"/>
            <w:tcBorders/>
            <w:shd w:fill="CCEEFF" w:val="clear"/>
            <w:vAlign w:val="center"/>
          </w:tcPr>
          <w:p>
            <w:pPr>
              <w:pStyle w:val="TableContents"/>
              <w:bidi w:val="0"/>
              <w:spacing w:before="0" w:after="283"/>
              <w:jc w:val="left"/>
              <w:rPr>
                <w:sz w:val="4"/>
                <w:szCs w:val="4"/>
              </w:rPr>
            </w:pPr>
            <w:r>
              <w:rPr>
                <w:sz w:val="4"/>
                <w:szCs w:val="4"/>
              </w:rPr>
            </w:r>
          </w:p>
        </w:tc>
        <w:tc>
          <w:tcPr>
            <w:tcW w:w="1456" w:type="dxa"/>
            <w:tcBorders/>
            <w:shd w:fill="CCEEFF" w:val="clear"/>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400,000</w:t>
            </w:r>
          </w:p>
        </w:tc>
      </w:tr>
      <w:tr>
        <w:trPr/>
        <w:tc>
          <w:tcPr>
            <w:tcW w:w="1081"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Thereafter</w:t>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lineRule="auto" w:line="259" w:before="0" w:after="1"/>
              <w:jc w:val="center"/>
              <w:rPr>
                <w:rFonts w:ascii="Times New Roman;serif" w:hAnsi="Times New Roman;serif"/>
                <w:b w:val="false"/>
                <w:i w:val="false"/>
                <w:caps w:val="false"/>
                <w:smallCaps w:val="false"/>
                <w:color w:val="000000"/>
                <w:sz w:val="22"/>
              </w:rPr>
            </w:pPr>
            <w:r>
              <w:rPr>
                <w:rFonts w:ascii="Times New Roman;serif" w:hAnsi="Times New Roman;serif"/>
                <w:b w:val="false"/>
                <w:i w:val="false"/>
                <w:caps w:val="false"/>
                <w:smallCaps w:val="false"/>
                <w:color w:val="000000"/>
                <w:sz w:val="22"/>
              </w:rPr>
              <w:t>3,125,000</w:t>
            </w:r>
          </w:p>
        </w:tc>
      </w:tr>
    </w:tbl>
    <w:p>
      <w:pPr>
        <w:pStyle w:val="TextBody"/>
        <w:bidi w:val="0"/>
        <w:spacing w:lineRule="auto" w:line="259"/>
        <w:jc w:val="center"/>
        <w:rPr>
          <w:caps w:val="false"/>
          <w:smallCaps w:val="false"/>
        </w:rPr>
      </w:pPr>
      <w:r>
        <w:rPr>
          <w:caps w:val="false"/>
          <w:smallCaps w:val="false"/>
        </w:rPr>
        <w:t> </w:t>
      </w:r>
    </w:p>
    <w:p>
      <w:pPr>
        <w:pStyle w:val="TextBody"/>
        <w:bidi w:val="0"/>
        <w:spacing w:lineRule="auto" w:line="259"/>
        <w:jc w:val="center"/>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129</w:t>
      </w:r>
    </w:p>
    <w:p>
      <w:pPr>
        <w:pStyle w:val="TextBody"/>
        <w:bidi w:val="0"/>
        <w:spacing w:before="0" w:after="0"/>
        <w:ind w:left="1440" w:right="1440" w:hanging="0"/>
        <w:jc w:val="right"/>
        <w:rPr>
          <w:rFonts w:ascii="Times New Roman" w:hAnsi="Times New Roman"/>
          <w:sz w:val="24"/>
        </w:rPr>
      </w:pPr>
      <w:bookmarkStart w:id="55" w:name="wtrg-20241231xex4_1.htm"/>
      <w:bookmarkStart w:id="56" w:name="kswtrg20241231xex4_1"/>
      <w:bookmarkEnd w:id="55"/>
      <w:bookmarkEnd w:id="56"/>
      <w:r>
        <w:rPr>
          <w:rFonts w:ascii="Times New Roman" w:hAnsi="Times New Roman"/>
          <w:b/>
          <w:sz w:val="24"/>
        </w:rPr>
        <w:t>Exhibit 4.1</w:t>
      </w:r>
      <w:r>
        <w:rPr>
          <w:rFonts w:ascii="Times New Roman" w:hAnsi="Times New Roman"/>
          <w:sz w:val="24"/>
        </w:rPr>
        <w:t xml:space="preserve"> </w:t>
      </w:r>
      <w:r>
        <w:br w:type="page"/>
      </w:r>
    </w:p>
    <w:p>
      <w:pPr>
        <w:pStyle w:val="TextBody"/>
        <w:pBdr/>
        <w:bidi w:val="0"/>
        <w:spacing w:before="0" w:after="240"/>
        <w:ind w:left="1440" w:right="1440" w:hanging="0"/>
        <w:jc w:val="center"/>
        <w:rPr>
          <w:rFonts w:ascii="Times New Roman" w:hAnsi="Times New Roman"/>
          <w:b/>
          <w:sz w:val="22"/>
        </w:rPr>
      </w:pPr>
      <w:r>
        <w:rPr>
          <w:rFonts w:ascii="Times New Roman" w:hAnsi="Times New Roman"/>
          <w:b/>
          <w:sz w:val="22"/>
        </w:rPr>
        <w:t xml:space="preserve">DESCRIPTION OF THE REGISTRANT’S SECURITIES </w:t>
      </w:r>
    </w:p>
    <w:p>
      <w:pPr>
        <w:pStyle w:val="TextBody"/>
        <w:pBdr/>
        <w:bidi w:val="0"/>
        <w:spacing w:before="0" w:after="240"/>
        <w:ind w:left="1440" w:right="1440" w:hanging="0"/>
        <w:jc w:val="center"/>
        <w:rPr>
          <w:rFonts w:ascii="Times New Roman" w:hAnsi="Times New Roman"/>
          <w:b/>
          <w:sz w:val="22"/>
        </w:rPr>
      </w:pPr>
      <w:r>
        <w:rPr>
          <w:rFonts w:ascii="Times New Roman" w:hAnsi="Times New Roman"/>
          <w:b/>
          <w:sz w:val="22"/>
        </w:rPr>
        <w:t>REGISTERED PURSUANT TO SECTION 12 OF THE</w:t>
        <w:br/>
        <w:t xml:space="preserve">SECURITIES EXCHANGE ACT OF 1934 </w:t>
      </w:r>
    </w:p>
    <w:p>
      <w:pPr>
        <w:pStyle w:val="TextBody"/>
        <w:bidi w:val="0"/>
        <w:spacing w:before="0" w:after="240"/>
        <w:ind w:left="1440" w:right="1440" w:firstLine="720"/>
        <w:jc w:val="left"/>
        <w:rPr>
          <w:rFonts w:ascii="Times New Roman" w:hAnsi="Times New Roman"/>
          <w:sz w:val="22"/>
        </w:rPr>
      </w:pPr>
      <w:r>
        <w:rPr>
          <w:rFonts w:ascii="Times New Roman" w:hAnsi="Times New Roman"/>
          <w:sz w:val="22"/>
        </w:rPr>
        <w:t xml:space="preserve">As of the date of the Annual Report on Form 10-K (the “Annual Report”) of which this exhibit is a part, Essential Utilities, Inc. (the “Registrant”) has one class of securities registered under Section 12 of the Securities Exchange Act of 1934, as amended (the “Exchange Act”), its common stock, par value $0.50 per share. </w:t>
      </w:r>
    </w:p>
    <w:p>
      <w:pPr>
        <w:pStyle w:val="TextBody"/>
        <w:bidi w:val="0"/>
        <w:spacing w:before="0" w:after="240"/>
        <w:ind w:left="1440" w:right="1440" w:hanging="0"/>
        <w:jc w:val="left"/>
        <w:rPr>
          <w:rFonts w:ascii="Times New Roman" w:hAnsi="Times New Roman"/>
          <w:b/>
          <w:sz w:val="22"/>
        </w:rPr>
      </w:pPr>
      <w:r>
        <w:rPr>
          <w:rFonts w:ascii="Times New Roman" w:hAnsi="Times New Roman"/>
          <w:b/>
          <w:sz w:val="22"/>
          <w:u w:val="single"/>
        </w:rPr>
        <w:t>Common Stock</w:t>
      </w:r>
      <w:r>
        <w:rPr>
          <w:rFonts w:ascii="Times New Roman" w:hAnsi="Times New Roman"/>
          <w:b/>
          <w:sz w:val="22"/>
        </w:rPr>
        <w:t xml:space="preserve"> </w:t>
      </w:r>
    </w:p>
    <w:p>
      <w:pPr>
        <w:pStyle w:val="TextBody"/>
        <w:bidi w:val="0"/>
        <w:spacing w:before="0" w:after="240"/>
        <w:ind w:left="1440" w:right="1440" w:hanging="0"/>
        <w:jc w:val="left"/>
        <w:rPr>
          <w:rFonts w:ascii="Times New Roman" w:hAnsi="Times New Roman"/>
          <w:b w:val="false"/>
          <w:sz w:val="22"/>
        </w:rPr>
      </w:pPr>
      <w:r>
        <w:rPr>
          <w:rFonts w:ascii="Times New Roman" w:hAnsi="Times New Roman"/>
          <w:b w:val="false"/>
          <w:sz w:val="22"/>
        </w:rPr>
        <w:t xml:space="preserve">Overview </w:t>
      </w:r>
    </w:p>
    <w:p>
      <w:pPr>
        <w:pStyle w:val="TextBody"/>
        <w:bidi w:val="0"/>
        <w:spacing w:before="0" w:after="240"/>
        <w:ind w:left="1440" w:right="1440" w:hanging="0"/>
        <w:jc w:val="left"/>
        <w:rPr>
          <w:rFonts w:ascii="Times New Roman" w:hAnsi="Times New Roman"/>
          <w:sz w:val="22"/>
        </w:rPr>
      </w:pPr>
      <w:r>
        <w:rPr>
          <w:rFonts w:ascii="Times New Roman" w:hAnsi="Times New Roman"/>
          <w:sz w:val="22"/>
        </w:rPr>
        <w:t xml:space="preserve">As of December 31, 2024,  the authorized capital stock of the Company was 601,770,819 shares, consisting of: </w:t>
      </w:r>
    </w:p>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left"/>
              <w:rPr>
                <w:rFonts w:ascii="Times New Roman" w:hAnsi="Times New Roman"/>
                <w:sz w:val="22"/>
              </w:rPr>
            </w:pPr>
            <w:r>
              <w:rPr>
                <w:rFonts w:ascii="Symbol" w:hAnsi="Symbol"/>
                <w:sz w:val="22"/>
              </w:rPr>
              <w:t>·</w:t>
            </w:r>
            <w:r>
              <w:rPr>
                <w:rFonts w:ascii="Times New Roman" w:hAnsi="Times New Roman"/>
                <w:sz w:val="22"/>
              </w:rPr>
              <w:t xml:space="preserve"> </w:t>
            </w:r>
            <w:r>
              <w:rPr>
                <w:rFonts w:ascii="Times New Roman" w:hAnsi="Times New Roman"/>
                <w:color w:val="000000"/>
                <w:sz w:val="22"/>
              </w:rPr>
              <w:t>600,000,000 shares of common stock, par value $0.50 per share; and</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left"/>
              <w:rPr>
                <w:rFonts w:ascii="Times New Roman" w:hAnsi="Times New Roman"/>
                <w:sz w:val="22"/>
              </w:rPr>
            </w:pPr>
            <w:r>
              <w:rPr>
                <w:rFonts w:ascii="Symbol" w:hAnsi="Symbol"/>
                <w:sz w:val="22"/>
              </w:rPr>
              <w:t>·</w:t>
            </w:r>
            <w:r>
              <w:rPr>
                <w:rFonts w:ascii="Times New Roman" w:hAnsi="Times New Roman"/>
                <w:sz w:val="22"/>
              </w:rPr>
              <w:t xml:space="preserve"> </w:t>
            </w:r>
            <w:r>
              <w:rPr>
                <w:rFonts w:ascii="Times New Roman" w:hAnsi="Times New Roman"/>
                <w:color w:val="000000"/>
                <w:sz w:val="22"/>
              </w:rPr>
              <w:t>1,770,819 shares of preferred stock, par value $1.00 per share.</w:t>
            </w:r>
          </w:p>
        </w:tc>
      </w:tr>
    </w:tbl>
    <w:p>
      <w:pPr>
        <w:pStyle w:val="TextBody"/>
        <w:bidi w:val="0"/>
        <w:spacing w:before="0" w:after="240"/>
        <w:ind w:left="1440" w:right="1440" w:hanging="0"/>
        <w:jc w:val="left"/>
        <w:rPr>
          <w:rFonts w:ascii="Times New Roman" w:hAnsi="Times New Roman"/>
          <w:sz w:val="22"/>
        </w:rPr>
      </w:pPr>
      <w:r>
        <w:rPr>
          <w:rFonts w:ascii="Times New Roman" w:hAnsi="Times New Roman"/>
          <w:color w:val="000000"/>
          <w:sz w:val="22"/>
        </w:rPr>
        <w:t>The following summary of certain terms of the Registrant’s common stock is qualified in its entirety by the provisions of the Registrant’s Amended and Restated Articles of Incorporation,  and Amended and Restated Bylaws, each of which is incorporated by reference as an exhibit to the Annual Report.</w:t>
      </w:r>
      <w:r>
        <w:rPr>
          <w:rFonts w:ascii="Times New Roman" w:hAnsi="Times New Roman"/>
          <w:sz w:val="22"/>
        </w:rPr>
        <w:t xml:space="preserve"> </w:t>
      </w:r>
    </w:p>
    <w:p>
      <w:pPr>
        <w:pStyle w:val="TextBody"/>
        <w:bidi w:val="0"/>
        <w:spacing w:before="0" w:after="240"/>
        <w:ind w:left="1440" w:right="1440" w:hanging="0"/>
        <w:jc w:val="left"/>
        <w:rPr>
          <w:rFonts w:ascii="Times New Roman" w:hAnsi="Times New Roman"/>
          <w:b w:val="false"/>
          <w:sz w:val="22"/>
        </w:rPr>
      </w:pPr>
      <w:r>
        <w:rPr>
          <w:rFonts w:ascii="Times New Roman" w:hAnsi="Times New Roman"/>
          <w:b w:val="false"/>
          <w:color w:val="000000"/>
          <w:sz w:val="22"/>
        </w:rPr>
        <w:t>Voting Rights</w:t>
      </w:r>
      <w:r>
        <w:rPr>
          <w:rFonts w:ascii="Times New Roman" w:hAnsi="Times New Roman"/>
          <w:b w:val="false"/>
          <w:sz w:val="22"/>
        </w:rPr>
        <w:t xml:space="preserve"> </w:t>
      </w:r>
    </w:p>
    <w:p>
      <w:pPr>
        <w:pStyle w:val="TextBody"/>
        <w:bidi w:val="0"/>
        <w:spacing w:before="0" w:after="240"/>
        <w:ind w:left="1440" w:right="1440" w:hanging="0"/>
        <w:jc w:val="left"/>
        <w:rPr>
          <w:rFonts w:ascii="Times New Roman" w:hAnsi="Times New Roman"/>
          <w:sz w:val="22"/>
        </w:rPr>
      </w:pPr>
      <w:r>
        <w:rPr>
          <w:rFonts w:ascii="Times New Roman" w:hAnsi="Times New Roman"/>
          <w:color w:val="000000"/>
          <w:sz w:val="22"/>
        </w:rPr>
        <w:t>Holders of the Registrant’s common stock are entitled to one vote for each share held by them at all meetings of the shareholders and are not entitled to cumulate their votes for the election of directors.</w:t>
      </w:r>
      <w:r>
        <w:rPr>
          <w:rFonts w:ascii="Times New Roman" w:hAnsi="Times New Roman"/>
          <w:sz w:val="22"/>
        </w:rPr>
        <w:t xml:space="preserve"> </w:t>
      </w:r>
    </w:p>
    <w:p>
      <w:pPr>
        <w:pStyle w:val="TextBody"/>
        <w:bidi w:val="0"/>
        <w:spacing w:before="0" w:after="240"/>
        <w:ind w:left="1440" w:right="1440" w:hanging="0"/>
        <w:jc w:val="left"/>
        <w:rPr>
          <w:rFonts w:ascii="Times New Roman" w:hAnsi="Times New Roman"/>
          <w:b w:val="false"/>
          <w:sz w:val="22"/>
        </w:rPr>
      </w:pPr>
      <w:r>
        <w:rPr>
          <w:rFonts w:ascii="Times New Roman" w:hAnsi="Times New Roman"/>
          <w:b w:val="false"/>
          <w:color w:val="000000"/>
          <w:sz w:val="22"/>
        </w:rPr>
        <w:t>Dividend Rights and Limitations</w:t>
      </w:r>
      <w:r>
        <w:rPr>
          <w:rFonts w:ascii="Times New Roman" w:hAnsi="Times New Roman"/>
          <w:b w:val="false"/>
          <w:sz w:val="22"/>
        </w:rPr>
        <w:t xml:space="preserve"> </w:t>
      </w:r>
    </w:p>
    <w:p>
      <w:pPr>
        <w:pStyle w:val="TextBody"/>
        <w:bidi w:val="0"/>
        <w:spacing w:before="0" w:after="240"/>
        <w:ind w:left="1440" w:right="1440" w:hanging="0"/>
        <w:jc w:val="left"/>
        <w:rPr>
          <w:rFonts w:ascii="Times New Roman" w:hAnsi="Times New Roman"/>
          <w:sz w:val="22"/>
        </w:rPr>
      </w:pPr>
      <w:r>
        <w:rPr>
          <w:rFonts w:ascii="Times New Roman" w:hAnsi="Times New Roman"/>
          <w:color w:val="000000"/>
          <w:sz w:val="22"/>
        </w:rPr>
        <w:t>Holders of the Registrant’s common stock may receive dividends when declared by its board of directors. Because the Registrant is a holding company, the funds used to pay any dividends on common stock are derived predominantly from the dividends that received from its direct and indirect subsidiaries. Therefore, the Registrant’s ability to pay dividends to holders of its common stock depends upon the subsidiaries’ earnings, financial condition and ability to pay dividends. Most of the subsidiaries are subject to regulation by state utility commissions and the amounts of their earnings and dividends are affected by the manner in which they are regulated. In addition, they are subject to restrictions on the payment of dividends contained in their various debt agreements. Payment of dividends on common stock is also subject to the preferential rights of the holders of any outstanding preferred stock.</w:t>
      </w:r>
      <w:r>
        <w:rPr>
          <w:rFonts w:ascii="Times New Roman" w:hAnsi="Times New Roman"/>
          <w:sz w:val="22"/>
        </w:rPr>
        <w:t xml:space="preserve"> </w:t>
      </w:r>
    </w:p>
    <w:p>
      <w:pPr>
        <w:pStyle w:val="TextBody"/>
        <w:bidi w:val="0"/>
        <w:spacing w:before="0" w:after="240"/>
        <w:ind w:left="1440" w:right="1440" w:hanging="0"/>
        <w:jc w:val="left"/>
        <w:rPr>
          <w:rFonts w:ascii="Times New Roman" w:hAnsi="Times New Roman"/>
          <w:b w:val="false"/>
          <w:sz w:val="22"/>
        </w:rPr>
      </w:pPr>
      <w:r>
        <w:rPr>
          <w:rFonts w:ascii="Times New Roman" w:hAnsi="Times New Roman"/>
          <w:b w:val="false"/>
          <w:color w:val="000000"/>
          <w:sz w:val="22"/>
        </w:rPr>
        <w:t>Liquidation Rights</w:t>
      </w:r>
      <w:r>
        <w:rPr>
          <w:rFonts w:ascii="Times New Roman" w:hAnsi="Times New Roman"/>
          <w:b w:val="false"/>
          <w:sz w:val="22"/>
        </w:rPr>
        <w:t xml:space="preserve"> </w:t>
      </w:r>
    </w:p>
    <w:p>
      <w:pPr>
        <w:pStyle w:val="TextBody"/>
        <w:bidi w:val="0"/>
        <w:spacing w:before="0" w:after="240"/>
        <w:ind w:left="1440" w:right="1440" w:hanging="0"/>
        <w:jc w:val="left"/>
        <w:rPr>
          <w:rFonts w:ascii="Times New Roman" w:hAnsi="Times New Roman"/>
          <w:sz w:val="22"/>
        </w:rPr>
      </w:pPr>
      <w:r>
        <w:rPr>
          <w:rFonts w:ascii="Times New Roman" w:hAnsi="Times New Roman"/>
          <w:color w:val="000000"/>
          <w:sz w:val="22"/>
        </w:rPr>
        <w:t>In the event that the Registrant liquidates, dissolves or winds-up, the holders of its common stock are entitled to share ratably in all of the assets that remain after the Registrant pays its liabilities. This right is subject, however, to the prior distribution rights of any outstanding preferred stock.</w:t>
      </w:r>
      <w:r>
        <w:rPr>
          <w:rFonts w:ascii="Times New Roman" w:hAnsi="Times New Roman"/>
          <w:sz w:val="22"/>
        </w:rPr>
        <w:t xml:space="preserve"> </w:t>
      </w:r>
    </w:p>
    <w:p>
      <w:pPr>
        <w:pStyle w:val="TextBody"/>
        <w:bidi w:val="0"/>
        <w:spacing w:before="0" w:after="240"/>
        <w:ind w:left="1440" w:right="1440" w:hanging="0"/>
        <w:jc w:val="left"/>
        <w:rPr>
          <w:rFonts w:ascii="Times New Roman" w:hAnsi="Times New Roman"/>
          <w:b w:val="false"/>
          <w:sz w:val="22"/>
        </w:rPr>
      </w:pPr>
      <w:r>
        <w:rPr>
          <w:rFonts w:ascii="Times New Roman" w:hAnsi="Times New Roman"/>
          <w:b w:val="false"/>
          <w:color w:val="000000"/>
          <w:sz w:val="22"/>
        </w:rPr>
        <w:t>Listing</w:t>
      </w:r>
      <w:r>
        <w:rPr>
          <w:rFonts w:ascii="Times New Roman" w:hAnsi="Times New Roman"/>
          <w:b w:val="false"/>
          <w:sz w:val="22"/>
        </w:rPr>
        <w:t xml:space="preserve"> </w:t>
      </w:r>
    </w:p>
    <w:p>
      <w:pPr>
        <w:pStyle w:val="TextBody"/>
        <w:bidi w:val="0"/>
        <w:spacing w:before="0" w:after="240"/>
        <w:ind w:left="1440" w:right="1440" w:hanging="0"/>
        <w:jc w:val="left"/>
        <w:rPr>
          <w:rFonts w:ascii="Times New Roman" w:hAnsi="Times New Roman"/>
          <w:sz w:val="22"/>
        </w:rPr>
      </w:pPr>
      <w:r>
        <w:rPr>
          <w:rFonts w:ascii="Times New Roman" w:hAnsi="Times New Roman"/>
          <w:color w:val="000000"/>
          <w:sz w:val="22"/>
        </w:rPr>
        <w:t>The common stock is listed on the New York Stock Exchange (“NYSE”) under the symbol “WTRG.”</w:t>
      </w:r>
      <w:r>
        <w:rPr>
          <w:rFonts w:ascii="Times New Roman" w:hAnsi="Times New Roman"/>
          <w:sz w:val="22"/>
        </w:rPr>
        <w:t xml:space="preserve"> </w:t>
      </w:r>
    </w:p>
    <w:p>
      <w:pPr>
        <w:pStyle w:val="TextBody"/>
        <w:bidi w:val="0"/>
        <w:spacing w:before="0" w:after="0"/>
        <w:ind w:left="1440" w:right="1440" w:hanging="0"/>
        <w:jc w:val="left"/>
        <w:rPr/>
      </w:pPr>
      <w:r>
        <w:rPr/>
        <w:t xml:space="preserve">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bidi w:val="0"/>
        <w:spacing w:before="0" w:after="240"/>
        <w:ind w:left="1440" w:right="1440" w:hanging="0"/>
        <w:jc w:val="left"/>
        <w:rPr>
          <w:rFonts w:ascii="Times New Roman" w:hAnsi="Times New Roman"/>
          <w:b/>
          <w:sz w:val="22"/>
        </w:rPr>
      </w:pPr>
      <w:r>
        <w:rPr>
          <w:rFonts w:ascii="Times New Roman" w:hAnsi="Times New Roman"/>
          <w:b/>
          <w:sz w:val="22"/>
        </w:rPr>
        <w:t xml:space="preserve">Anti-Takeover Provisions </w:t>
      </w:r>
    </w:p>
    <w:p>
      <w:pPr>
        <w:pStyle w:val="TextBody"/>
        <w:bidi w:val="0"/>
        <w:spacing w:before="0" w:after="240"/>
        <w:ind w:left="1440" w:right="1440" w:hanging="0"/>
        <w:jc w:val="left"/>
        <w:rPr>
          <w:rFonts w:ascii="Times New Roman" w:hAnsi="Times New Roman"/>
          <w:b w:val="false"/>
          <w:sz w:val="22"/>
        </w:rPr>
      </w:pPr>
      <w:r>
        <w:rPr>
          <w:rFonts w:ascii="Times New Roman" w:hAnsi="Times New Roman"/>
          <w:b w:val="false"/>
          <w:sz w:val="22"/>
        </w:rPr>
        <w:t xml:space="preserve">Pennsylvania State Law Provisions </w:t>
      </w:r>
    </w:p>
    <w:p>
      <w:pPr>
        <w:pStyle w:val="TextBody"/>
        <w:pBdr/>
        <w:bidi w:val="0"/>
        <w:spacing w:before="0" w:after="240"/>
        <w:ind w:left="1440" w:right="1440" w:hanging="0"/>
        <w:jc w:val="left"/>
        <w:rPr>
          <w:rFonts w:ascii="Times New Roman" w:hAnsi="Times New Roman"/>
          <w:sz w:val="22"/>
        </w:rPr>
      </w:pPr>
      <w:r>
        <w:rPr>
          <w:rFonts w:ascii="Times New Roman" w:hAnsi="Times New Roman"/>
          <w:sz w:val="22"/>
        </w:rPr>
        <w:t xml:space="preserve">Under Section 1712 of the Pennsylvania Business Corporation Law of 1988, as amended (“PBCL”), which is applicable to the Registrant, directors stand in a fiduciary 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Under Section 1715 of the PBCL, in discharging their duties, directors may, in considering the best interests of their corporation, consider various constituencies, including, shareholders, employees, suppliers, customers and creditors of the corporation, and upon communities in which offices or other establishments of the corporation are located. Directors are not required to give prominent consideration to the interests of any particular constituency. Absent a breach of fiduciary duty, a lack of good faith or self-dealing, any act of the board of directors, a committee thereof or an individual director is presumed to be in the best interests of the corporation. Actions by directors relating to an acquisition or potential acquisition of control of the corporation are not subject to any greater obligation to justify, or higher burden of proof, than is applied to any other acts of directors. The PBCL expressly provides that the fiduciary duty of directors does not require them to (i) redeem or otherwise render inapplicable outstanding rights issued under any shareholder rights plan; (ii) render inapplicable the anti-takeover statutes set forth in Chapter 25 of the PBCL (described below); or (iii) take any action solely because of the effect it may have on a proposed acquisition or the consideration to be received by shareholders in such a transaction. In addition, Section 2513 of the PBCL specifically validates shareholder rights plans, or “poison pills,” and the discriminatory dilution provisions contained in such plans. </w:t>
      </w:r>
    </w:p>
    <w:p>
      <w:pPr>
        <w:pStyle w:val="TextBody"/>
        <w:pBdr/>
        <w:bidi w:val="0"/>
        <w:spacing w:before="0" w:after="240"/>
        <w:ind w:left="1440" w:right="1440" w:hanging="0"/>
        <w:jc w:val="left"/>
        <w:rPr>
          <w:rFonts w:ascii="Times New Roman" w:hAnsi="Times New Roman"/>
          <w:sz w:val="22"/>
        </w:rPr>
      </w:pPr>
      <w:r>
        <w:rPr>
          <w:rFonts w:ascii="Times New Roman" w:hAnsi="Times New Roman"/>
          <w:sz w:val="22"/>
        </w:rPr>
        <w:t xml:space="preserve">Chapter 25 of the PBCL contains several anti-takeover statutes applicable to publicly-traded corporations. Corporations may opt-out of such anti-takeover statutes under certain circumstances. The Registrant has not opted-out of any of such statutes. </w:t>
      </w:r>
    </w:p>
    <w:p>
      <w:pPr>
        <w:pStyle w:val="TextBody"/>
        <w:pBdr/>
        <w:bidi w:val="0"/>
        <w:spacing w:before="0" w:after="240"/>
        <w:ind w:left="1440" w:right="1440" w:hanging="0"/>
        <w:jc w:val="left"/>
        <w:rPr>
          <w:rFonts w:ascii="Times New Roman" w:hAnsi="Times New Roman"/>
          <w:sz w:val="22"/>
        </w:rPr>
      </w:pPr>
      <w:r>
        <w:rPr>
          <w:rFonts w:ascii="Times New Roman" w:hAnsi="Times New Roman"/>
          <w:sz w:val="22"/>
        </w:rPr>
        <w:t xml:space="preserve">Section 2538 of Subchapter 25D of the PBCL requires certain transactions with an “interested shareholder” to be approved by a majority of disinterested shareholders. “Interested shareholder” is defined broadly to include any shareholder who is a party to the transaction or who is treated differently than other shareholders and affiliates of the interested shareholder. </w:t>
      </w:r>
    </w:p>
    <w:p>
      <w:pPr>
        <w:pStyle w:val="TextBody"/>
        <w:pBdr/>
        <w:bidi w:val="0"/>
        <w:spacing w:before="0" w:after="240"/>
        <w:ind w:left="1440" w:right="1440" w:hanging="0"/>
        <w:jc w:val="left"/>
        <w:rPr>
          <w:rFonts w:ascii="Times New Roman" w:hAnsi="Times New Roman"/>
          <w:sz w:val="22"/>
        </w:rPr>
      </w:pPr>
      <w:r>
        <w:rPr>
          <w:rFonts w:ascii="Times New Roman" w:hAnsi="Times New Roman"/>
          <w:sz w:val="22"/>
        </w:rPr>
        <w:t xml:space="preserve">Subchapter 25E of the PBCL requires a person or group of persons acting in concert which acquires 20% or more of the voting shares of the corporation to offer to purchase the shares of any other shareholder at “fair value.” “Fair value” means the value not less than the highest price paid per share by the controlling person or group during the 90-day period prior to the control transaction, plus a control premium. Among other exceptions, Subchapter 25E does not apply to shares acquired directly from the corporation in a transaction exempt from the registration requirements of the Securities Act of 1933, or to a one-step merger. </w:t>
      </w:r>
    </w:p>
    <w:p>
      <w:pPr>
        <w:pStyle w:val="TextBody"/>
        <w:pBdr/>
        <w:bidi w:val="0"/>
        <w:spacing w:before="0" w:after="240"/>
        <w:ind w:left="1440" w:right="1440" w:hanging="0"/>
        <w:jc w:val="left"/>
        <w:rPr>
          <w:rFonts w:ascii="Times New Roman" w:hAnsi="Times New Roman"/>
          <w:sz w:val="22"/>
        </w:rPr>
      </w:pPr>
      <w:r>
        <w:rPr>
          <w:rFonts w:ascii="Times New Roman" w:hAnsi="Times New Roman"/>
          <w:sz w:val="22"/>
        </w:rPr>
        <w:t xml:space="preserve">Subchapter 25F of the PBCL generally establishes a 5-year moratorium on a “business combination” with an “interested shareholder.” “Interested shareholder” is defined generally to be any beneficial owner of 20% or more of the corporation’s voting stock or an affiliate or associate of the corporation that at any time within the prior five-year period was a beneficial owner of 20% or more of the corporation’s voting stock. “Business combination” is defined broadly to include mergers, consolidations, asset sales and certain self-dealing transactions. Certain restrictions apply to business combination following the 5-year period. Among other exceptions, Subchapter 25F will be rendered inapplicable if the board of directors approves the proposed business combination, or approves the interested shareholder’s acquisition of 20% of the voting shares, in either case prior to the date on which the shareholder first becomes an interested shareholder. </w:t>
      </w:r>
    </w:p>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2 </w:t>
      </w:r>
    </w:p>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p>
      <w:pPr>
        <w:pStyle w:val="TextBody"/>
        <w:pBdr/>
        <w:bidi w:val="0"/>
        <w:spacing w:before="0" w:after="240"/>
        <w:ind w:left="1440" w:right="1440" w:hanging="0"/>
        <w:jc w:val="left"/>
        <w:rPr>
          <w:rFonts w:ascii="Times New Roman" w:hAnsi="Times New Roman"/>
          <w:sz w:val="22"/>
        </w:rPr>
      </w:pPr>
      <w:r>
        <w:rPr>
          <w:rFonts w:ascii="Times New Roman" w:hAnsi="Times New Roman"/>
          <w:sz w:val="22"/>
        </w:rPr>
        <w:t xml:space="preserve">Subchapter 25G of the PBCL provides that “control shares” lose voting rights unless such rights are restored by the affirmative vote of a majority of (i) the disinterested shares (generally, shares held by persons other than the acquiror, executive officers of the corporation and certain employee stock plans) and (ii) the outstanding voting shares of the corporation. “Control shares” are defined as shares which, upon acquisition, will result in a person or group acquiring for the first time voting control over (a) 20%, (b) 33 1/3% or (c) 50% or more of the outstanding shares, together with shares acquired within 180 days of attaining the applicable threshold and shares purchased with the intention of attaining such threshold. A corporation may redeem control shares if the acquiring person does not request restoration of voting rights as permitted by Subchapter 25G. Among other exceptions, Subchapter 25G does not apply to a merger, consolidation or a share exchange if the corporation is a party to the transaction agreement. </w:t>
      </w:r>
    </w:p>
    <w:p>
      <w:pPr>
        <w:pStyle w:val="TextBody"/>
        <w:pBdr/>
        <w:bidi w:val="0"/>
        <w:spacing w:before="0" w:after="240"/>
        <w:ind w:left="1440" w:right="1440" w:hanging="0"/>
        <w:jc w:val="left"/>
        <w:rPr>
          <w:rFonts w:ascii="Times New Roman" w:hAnsi="Times New Roman"/>
          <w:sz w:val="22"/>
        </w:rPr>
      </w:pPr>
      <w:r>
        <w:rPr>
          <w:rFonts w:ascii="Times New Roman" w:hAnsi="Times New Roman"/>
          <w:sz w:val="22"/>
        </w:rPr>
        <w:t xml:space="preserve">Subchapter 25H of the PBCL provides in certain circumstances for the recovery by the corporation of profits realized from the sale of its stock by a controlling person or group if the sale occurs within 18 months after the controlling person or group became a controlling person or group, and the stock was acquired during such month period or within 24 months before such period. A controlling person or group is a person or group that has acquired, offered to acquire, or publicly disclosed an intention to acquire 20% or more of the voting shares of the corporation or a person or group that has otherwise publicly disclosed or caused to be disclosed that it may seek to acquire control of the corporation through any means. Among other exceptions, Subchapter 25H does not apply to transactions approved by both the board of directors and the shareholders prior to the acquisition or distribution, as appropriate. </w:t>
      </w:r>
    </w:p>
    <w:p>
      <w:pPr>
        <w:pStyle w:val="TextBody"/>
        <w:pBdr/>
        <w:bidi w:val="0"/>
        <w:spacing w:before="0" w:after="240"/>
        <w:ind w:left="1440" w:right="1440" w:hanging="0"/>
        <w:jc w:val="left"/>
        <w:rPr>
          <w:rFonts w:ascii="Times New Roman" w:hAnsi="Times New Roman"/>
          <w:sz w:val="22"/>
        </w:rPr>
      </w:pPr>
      <w:r>
        <w:rPr>
          <w:rFonts w:ascii="Times New Roman" w:hAnsi="Times New Roman"/>
          <w:sz w:val="22"/>
        </w:rPr>
        <w:t xml:space="preserve">Subchapter 25I of the PBCL mandates severance compensation for eligible employees who are terminated within 24 months after the approval of a control-share acquisition. Eligible employees generally are all employees employed in Pennsylvania for at least two years prior to the control-share approval. Severance equals the weekly compensation of the employee multiplied by the employee’s years of service (up to 26 years), less payments made due to the termination. </w:t>
      </w:r>
    </w:p>
    <w:p>
      <w:pPr>
        <w:pStyle w:val="TextBody"/>
        <w:pBdr/>
        <w:bidi w:val="0"/>
        <w:spacing w:before="0" w:after="240"/>
        <w:ind w:left="1440" w:right="1440" w:hanging="0"/>
        <w:jc w:val="left"/>
        <w:rPr>
          <w:rFonts w:ascii="Times New Roman" w:hAnsi="Times New Roman"/>
          <w:sz w:val="22"/>
        </w:rPr>
      </w:pPr>
      <w:r>
        <w:rPr>
          <w:rFonts w:ascii="Times New Roman" w:hAnsi="Times New Roman"/>
          <w:sz w:val="22"/>
        </w:rPr>
        <w:t xml:space="preserve">Subchapter 25J of the PBCL requires the continuation of certain labor contracts relating to business operations owned at the time of a control-share approval. </w:t>
      </w:r>
    </w:p>
    <w:p>
      <w:pPr>
        <w:pStyle w:val="TextBody"/>
        <w:bidi w:val="0"/>
        <w:spacing w:before="0" w:after="240"/>
        <w:ind w:left="1440" w:right="1440" w:hanging="0"/>
        <w:jc w:val="left"/>
        <w:rPr>
          <w:rFonts w:ascii="Times New Roman" w:hAnsi="Times New Roman"/>
          <w:b w:val="false"/>
          <w:sz w:val="22"/>
        </w:rPr>
      </w:pPr>
      <w:r>
        <w:rPr>
          <w:rFonts w:ascii="Times New Roman" w:hAnsi="Times New Roman"/>
          <w:b w:val="false"/>
          <w:sz w:val="22"/>
        </w:rPr>
        <w:t xml:space="preserve">Articles of Incorporation and Bylaw Provisions </w:t>
      </w:r>
    </w:p>
    <w:p>
      <w:pPr>
        <w:pStyle w:val="TextBody"/>
        <w:bidi w:val="0"/>
        <w:spacing w:before="0" w:after="240"/>
        <w:ind w:left="1440" w:right="1440" w:hanging="0"/>
        <w:jc w:val="left"/>
        <w:rPr>
          <w:rFonts w:ascii="Times New Roman" w:hAnsi="Times New Roman"/>
          <w:sz w:val="22"/>
        </w:rPr>
      </w:pPr>
      <w:r>
        <w:rPr>
          <w:rFonts w:ascii="Times New Roman" w:hAnsi="Times New Roman"/>
          <w:sz w:val="22"/>
        </w:rPr>
        <w:t xml:space="preserve">Certain provisions of the Registrant’s Amended and Restated Articles of Incorporation, as amended (the “Articles”), and Amended and Restated Bylaws (the “Bylaws”) may have the effect of discouraging unilateral tender offers or other attempts to take over and acquire its business. These provisions might discourage some potentially interested purchaser from attempting a unilateral takeover bid for the Registrant on terms which some shareholders might favor. The Articles require that certain fundamental transactions must be approved by the holders of 75% of the outstanding shares of capital stock entitled to vote on the matter unless at least a majority of the members of the board of directors has approved the transaction, in which case the required shareholder approval will be the minimum approval required by applicable law. The fundamental transactions that are subject to this provision are those transactions that require approval by shareholders under applicable law or the Articles. These transactions include certain amendments of the Articles or Bylaws, certain sales or other dispositions of our assets, certain issuances of our capital stock, or certain transactions involving our merger, consolidation, division, reorganization, dissolution, liquidation or winding up. The Registrant’s Articles and Bylaws also provide that: </w:t>
      </w:r>
    </w:p>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left"/>
              <w:rPr>
                <w:rFonts w:ascii="Times New Roman" w:hAnsi="Times New Roman"/>
                <w:sz w:val="22"/>
              </w:rPr>
            </w:pPr>
            <w:r>
              <w:rPr>
                <w:rFonts w:ascii="Symbol" w:hAnsi="Symbol"/>
                <w:sz w:val="22"/>
              </w:rPr>
              <w:t>·</w:t>
            </w:r>
            <w:r>
              <w:rPr>
                <w:rFonts w:ascii="Times New Roman" w:hAnsi="Times New Roman"/>
                <w:sz w:val="22"/>
              </w:rPr>
              <w:t xml:space="preserve"> </w:t>
            </w:r>
            <w:r>
              <w:rPr>
                <w:rFonts w:ascii="Times New Roman" w:hAnsi="Times New Roman"/>
                <w:color w:val="000000"/>
                <w:sz w:val="22"/>
              </w:rPr>
              <w:t>a special meeting of shareholders may only be called by the chairman, the president, the board of directors or shareholders entitled to cast a majority of the votes which all shareholders are entitled to cast at the particular meeting;</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left"/>
              <w:rPr>
                <w:rFonts w:ascii="Times New Roman" w:hAnsi="Times New Roman"/>
                <w:sz w:val="22"/>
              </w:rPr>
            </w:pPr>
            <w:r>
              <w:rPr>
                <w:rFonts w:ascii="Symbol" w:hAnsi="Symbol"/>
                <w:sz w:val="22"/>
              </w:rPr>
              <w:t>·</w:t>
            </w:r>
            <w:r>
              <w:rPr>
                <w:rFonts w:ascii="Times New Roman" w:hAnsi="Times New Roman"/>
                <w:sz w:val="22"/>
              </w:rPr>
              <w:t xml:space="preserve"> </w:t>
            </w:r>
            <w:r>
              <w:rPr>
                <w:rFonts w:ascii="Times New Roman" w:hAnsi="Times New Roman"/>
                <w:color w:val="000000"/>
                <w:sz w:val="22"/>
              </w:rPr>
              <w:t xml:space="preserve">nominations for election of directors may be made by any shareholder entitled to vote for election of directors if the name of the nominee and certain information relating to the nominee is filed </w:t>
            </w:r>
          </w:p>
          <w:p>
            <w:pPr>
              <w:pStyle w:val="TableContents"/>
              <w:bidi w:val="0"/>
              <w:spacing w:before="0" w:after="0"/>
              <w:ind w:left="0" w:right="0" w:hanging="0"/>
              <w:jc w:val="left"/>
              <w:rPr>
                <w:rFonts w:ascii="Times New Roman" w:hAnsi="Times New Roman"/>
                <w:sz w:val="24"/>
              </w:rPr>
            </w:pPr>
            <w:r>
              <w:rPr>
                <w:rFonts w:ascii="Times New Roman" w:hAnsi="Times New Roman"/>
                <w:sz w:val="24"/>
              </w:rPr>
              <w:t xml:space="preserve">3 </w:t>
            </w:r>
          </w:p>
        </w:tc>
      </w:tr>
    </w:tbl>
    <w:p>
      <w:pPr>
        <w:pStyle w:val="HorizontalLine"/>
        <w:pBdr>
          <w:bottom w:val="double" w:sz="6" w:space="0" w:color="808080"/>
        </w:pBdr>
        <w:bidi w:val="0"/>
        <w:ind w:left="1440" w:right="1440" w:hanging="0"/>
        <w:jc w:val="left"/>
        <w:rPr/>
      </w:pPr>
      <w:r>
        <w:rPr/>
      </w:r>
    </w:p>
    <w:p>
      <w:pPr>
        <w:pStyle w:val="TextBody"/>
        <w:bidi w:val="0"/>
        <w:ind w:left="1440" w:right="1440" w:hanging="0"/>
        <w:jc w:val="left"/>
        <w:rPr/>
      </w:pPr>
      <w:r>
        <w:rPr/>
        <w:t> </w:t>
      </w:r>
      <w:r>
        <w:br w:type="page"/>
      </w:r>
    </w:p>
    <w:tbl>
      <w:tblPr>
        <w:tblW w:w="7325" w:type="dxa"/>
        <w:jc w:val="left"/>
        <w:tblInd w:w="1440" w:type="dxa"/>
        <w:tblLayout w:type="fixed"/>
        <w:tblCellMar>
          <w:top w:w="0" w:type="dxa"/>
          <w:left w:w="0" w:type="dxa"/>
          <w:bottom w:w="0" w:type="dxa"/>
          <w:right w:w="0" w:type="dxa"/>
        </w:tblCellMar>
      </w:tblPr>
      <w:tblGrid>
        <w:gridCol w:w="7325"/>
      </w:tblGrid>
      <w:tr>
        <w:trPr/>
        <w:tc>
          <w:tcPr>
            <w:tcW w:w="7325" w:type="dxa"/>
            <w:tcBorders/>
            <w:vAlign w:val="center"/>
          </w:tcPr>
          <w:p>
            <w:pPr>
              <w:pStyle w:val="TableContents"/>
              <w:pBdr/>
              <w:bidi w:val="0"/>
              <w:spacing w:before="0" w:after="240"/>
              <w:ind w:left="1440" w:right="0" w:hanging="0"/>
              <w:jc w:val="left"/>
              <w:rPr>
                <w:rFonts w:ascii="Times New Roman" w:hAnsi="Times New Roman"/>
                <w:color w:val="000000"/>
                <w:sz w:val="22"/>
              </w:rPr>
            </w:pPr>
            <w:r>
              <w:rPr>
                <w:rFonts w:ascii="Times New Roman" w:hAnsi="Times New Roman"/>
                <w:color w:val="000000"/>
                <w:sz w:val="22"/>
              </w:rPr>
              <w:t xml:space="preserve">with our corporate secretary not less than 14 days nor more than 50 days before any meeting of shareholders to elect directors; </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left"/>
              <w:rPr>
                <w:rFonts w:ascii="Times New Roman" w:hAnsi="Times New Roman"/>
                <w:sz w:val="22"/>
              </w:rPr>
            </w:pPr>
            <w:r>
              <w:rPr>
                <w:rFonts w:ascii="Symbol" w:hAnsi="Symbol"/>
                <w:sz w:val="22"/>
              </w:rPr>
              <w:t>·</w:t>
            </w:r>
            <w:r>
              <w:rPr>
                <w:rFonts w:ascii="Times New Roman" w:hAnsi="Times New Roman"/>
                <w:sz w:val="22"/>
              </w:rPr>
              <w:t xml:space="preserve"> </w:t>
            </w:r>
            <w:r>
              <w:rPr>
                <w:rFonts w:ascii="Times New Roman" w:hAnsi="Times New Roman"/>
                <w:color w:val="000000"/>
                <w:sz w:val="22"/>
              </w:rPr>
              <w:t>under a “proxy access bylaw”, any eligible shareholder, or eligible group of up to 20 shareholders, owning 3% or more of the Registrant’s common stock continuously for a three-year period and through the date of the next annual meeting of shareholders may, subject to certain limitations and conditions set forth in the Bylaws, nominate and include in the Company’s proxy materials for such annual meeting of shareholders a number of director nominees not to exceed the greater of (a) one director and (b) 20% of the directors then serving on the Board (rounded down to the nearest whole number); </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left"/>
              <w:rPr>
                <w:rFonts w:ascii="Times New Roman" w:hAnsi="Times New Roman"/>
                <w:sz w:val="22"/>
              </w:rPr>
            </w:pPr>
            <w:r>
              <w:rPr>
                <w:rFonts w:ascii="Symbol" w:hAnsi="Symbol"/>
                <w:sz w:val="22"/>
              </w:rPr>
              <w:t>·</w:t>
            </w:r>
            <w:r>
              <w:rPr>
                <w:rFonts w:ascii="Times New Roman" w:hAnsi="Times New Roman"/>
                <w:sz w:val="22"/>
              </w:rPr>
              <w:t xml:space="preserve"> </w:t>
            </w:r>
            <w:r>
              <w:rPr>
                <w:rFonts w:ascii="Times New Roman" w:hAnsi="Times New Roman"/>
                <w:color w:val="000000"/>
                <w:sz w:val="22"/>
              </w:rPr>
              <w:t>a nomination and notice process is established whereby a shareholder can submit a nomination for election of a person or persons to serve on the Board, other than pursuant to the “proxy access” nomination process set forth in the Bylaws, to implement the universal proxy rules governing contested elections of directors under Rule 14a-19 promulgated under the Exchange Act; </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left"/>
              <w:rPr>
                <w:rFonts w:ascii="Times New Roman" w:hAnsi="Times New Roman"/>
                <w:sz w:val="22"/>
              </w:rPr>
            </w:pPr>
            <w:r>
              <w:rPr>
                <w:rFonts w:ascii="Symbol" w:hAnsi="Symbol"/>
                <w:sz w:val="22"/>
              </w:rPr>
              <w:t>·</w:t>
            </w:r>
            <w:r>
              <w:rPr>
                <w:rFonts w:ascii="Times New Roman" w:hAnsi="Times New Roman"/>
                <w:sz w:val="22"/>
              </w:rPr>
              <w:t xml:space="preserve"> </w:t>
            </w:r>
            <w:r>
              <w:rPr>
                <w:rFonts w:ascii="Times New Roman" w:hAnsi="Times New Roman"/>
                <w:color w:val="000000"/>
                <w:sz w:val="22"/>
              </w:rPr>
              <w:t>certain advance notice procedures must be met for shareholder proposals to be made at annual meetings of shareholders. These advance notice procedures generally require a notice to be delivered not less than 90 days nor more than 120 days before the anniversary date of the immediately preceding annual meeting of shareholders; and</w:t>
            </w:r>
          </w:p>
        </w:tc>
      </w:tr>
    </w:tbl>
    <w:tbl>
      <w:tblPr>
        <w:tblW w:w="7325" w:type="dxa"/>
        <w:jc w:val="left"/>
        <w:tblInd w:w="1440" w:type="dxa"/>
        <w:tblLayout w:type="fixed"/>
        <w:tblCellMar>
          <w:top w:w="0" w:type="dxa"/>
          <w:left w:w="0" w:type="dxa"/>
          <w:bottom w:w="0" w:type="dxa"/>
          <w:right w:w="0" w:type="dxa"/>
        </w:tblCellMar>
      </w:tblPr>
      <w:tblGrid>
        <w:gridCol w:w="735"/>
        <w:gridCol w:w="6590"/>
      </w:tblGrid>
      <w:tr>
        <w:trPr/>
        <w:tc>
          <w:tcPr>
            <w:tcW w:w="735" w:type="dxa"/>
            <w:tcBorders/>
            <w:vAlign w:val="center"/>
          </w:tcPr>
          <w:p>
            <w:pPr>
              <w:pStyle w:val="TableContents"/>
              <w:bidi w:val="0"/>
              <w:spacing w:before="0" w:after="283"/>
              <w:ind w:left="0" w:right="0" w:firstLine="720"/>
              <w:jc w:val="left"/>
              <w:rPr>
                <w:sz w:val="4"/>
                <w:szCs w:val="4"/>
              </w:rPr>
            </w:pPr>
            <w:r>
              <w:rPr>
                <w:sz w:val="4"/>
                <w:szCs w:val="4"/>
              </w:rPr>
            </w:r>
          </w:p>
        </w:tc>
        <w:tc>
          <w:tcPr>
            <w:tcW w:w="6590" w:type="dxa"/>
            <w:tcBorders/>
          </w:tcPr>
          <w:p>
            <w:pPr>
              <w:pStyle w:val="TableContents"/>
              <w:pBdr/>
              <w:bidi w:val="0"/>
              <w:spacing w:before="0" w:after="240"/>
              <w:ind w:left="0" w:right="0" w:firstLine="720"/>
              <w:jc w:val="left"/>
              <w:rPr>
                <w:rFonts w:ascii="Times New Roman" w:hAnsi="Times New Roman"/>
                <w:sz w:val="22"/>
              </w:rPr>
            </w:pPr>
            <w:r>
              <w:rPr>
                <w:rFonts w:ascii="Symbol" w:hAnsi="Symbol"/>
                <w:sz w:val="22"/>
              </w:rPr>
              <w:t>·</w:t>
            </w:r>
            <w:r>
              <w:rPr>
                <w:rFonts w:ascii="Times New Roman" w:hAnsi="Times New Roman"/>
                <w:sz w:val="22"/>
              </w:rPr>
              <w:t xml:space="preserve"> </w:t>
            </w:r>
            <w:r>
              <w:rPr>
                <w:rFonts w:ascii="Times New Roman" w:hAnsi="Times New Roman"/>
                <w:color w:val="000000"/>
                <w:sz w:val="22"/>
              </w:rPr>
              <w:t xml:space="preserve">unless the Registrant consents in writing to the selection of an alternative forum, the sole and exclusive judicial forum for certain legal actions enumerated in the Bylaws shall be a state court located within Montgomery County, Pennsylvania, or if no state court located within such county has jurisdiction over such action or proceeding, the federal United States District Court for the Eastern District of Pennsylvania.  </w:t>
            </w:r>
          </w:p>
        </w:tc>
      </w:tr>
    </w:tbl>
    <w:p>
      <w:pPr>
        <w:pStyle w:val="TextBody"/>
        <w:bidi w:val="0"/>
        <w:spacing w:before="0" w:after="0"/>
        <w:ind w:left="1440" w:right="1440" w:hanging="0"/>
        <w:jc w:val="left"/>
        <w:rPr>
          <w:rFonts w:ascii="Times New Roman" w:hAnsi="Times New Roman"/>
          <w:sz w:val="24"/>
        </w:rPr>
      </w:pPr>
      <w:r>
        <w:rPr>
          <w:rFonts w:ascii="Times New Roman" w:hAnsi="Times New Roman"/>
          <w:sz w:val="24"/>
        </w:rPr>
        <w:t xml:space="preserve">4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720" w:right="720" w:hanging="0"/>
        <w:jc w:val="right"/>
        <w:rPr>
          <w:rFonts w:ascii="Times New Roman" w:hAnsi="Times New Roman"/>
          <w:sz w:val="20"/>
        </w:rPr>
      </w:pPr>
      <w:bookmarkStart w:id="57" w:name="wtrg-20241231xex4_271.htm"/>
      <w:bookmarkStart w:id="58" w:name="kswtrg20241231xex4_271"/>
      <w:bookmarkEnd w:id="57"/>
      <w:bookmarkEnd w:id="58"/>
      <w:r>
        <w:rPr>
          <w:rFonts w:ascii="Times New Roman" w:hAnsi="Times New Roman"/>
          <w:b/>
          <w:sz w:val="20"/>
        </w:rPr>
        <w:t>Exhibit 4.2.7.1</w:t>
      </w:r>
      <w:r>
        <w:rPr>
          <w:rFonts w:ascii="Times New Roman" w:hAnsi="Times New Roman"/>
          <w:sz w:val="20"/>
        </w:rPr>
        <w:t xml:space="preserve"> </w:t>
      </w:r>
      <w:r>
        <w:br w:type="page"/>
      </w:r>
    </w:p>
    <w:p>
      <w:pPr>
        <w:pStyle w:val="TextBody"/>
        <w:bidi w:val="0"/>
        <w:spacing w:lineRule="auto" w:line="240" w:before="0" w:after="0"/>
        <w:ind w:left="720" w:right="720" w:hanging="0"/>
        <w:jc w:val="both"/>
        <w:rPr>
          <w:rFonts w:cs="Times New Roman"/>
          <w:szCs w:val="20"/>
        </w:rPr>
      </w:pPr>
      <w:r>
        <w:rPr>
          <w:rFonts w:cs="Times New Roman"/>
          <w:szCs w:val="20"/>
        </w:rPr>
        <w:t xml:space="preserve">﻿ </w:t>
      </w:r>
    </w:p>
    <w:p>
      <w:pPr>
        <w:pStyle w:val="TextBody"/>
        <w:bidi w:val="0"/>
        <w:spacing w:lineRule="auto" w:line="240" w:before="0" w:after="0"/>
        <w:ind w:left="720" w:right="720" w:hanging="0"/>
        <w:jc w:val="center"/>
        <w:rPr>
          <w:rFonts w:ascii="Times New Roman" w:hAnsi="Times New Roman"/>
          <w:sz w:val="20"/>
        </w:rPr>
      </w:pPr>
      <w:r>
        <w:rPr>
          <w:rFonts w:ascii="Times New Roman" w:hAnsi="Times New Roman"/>
          <w:b/>
          <w:sz w:val="20"/>
        </w:rPr>
        <w:t>SCHEDULE OF SUPPLEMENTAL INDENTURES SUBSTANTIALLY IDENTICAL TO FORM</w:t>
      </w:r>
      <w:r>
        <w:rPr>
          <w:rFonts w:ascii="Times New Roman" w:hAnsi="Times New Roman"/>
          <w:sz w:val="20"/>
        </w:rPr>
        <w:t xml:space="preserve"> </w:t>
      </w:r>
    </w:p>
    <w:p>
      <w:pPr>
        <w:pStyle w:val="TextBody"/>
        <w:bidi w:val="0"/>
        <w:spacing w:lineRule="auto" w:line="240" w:before="0" w:after="0"/>
        <w:ind w:left="720" w:right="720" w:hanging="0"/>
        <w:jc w:val="center"/>
        <w:rPr>
          <w:rFonts w:ascii="Times New Roman" w:hAnsi="Times New Roman"/>
          <w:sz w:val="20"/>
        </w:rPr>
      </w:pPr>
      <w:r>
        <w:rPr>
          <w:rFonts w:ascii="Times New Roman" w:hAnsi="Times New Roman"/>
          <w:b/>
          <w:sz w:val="20"/>
        </w:rPr>
        <w:t>OF SUPPLEMENTAL INDENTURE</w:t>
      </w:r>
      <w:r>
        <w:rPr>
          <w:rFonts w:ascii="Times New Roman" w:hAnsi="Times New Roman"/>
          <w:sz w:val="20"/>
        </w:rPr>
        <w:t xml:space="preserve"> </w:t>
      </w:r>
      <w:r>
        <w:rPr>
          <w:rFonts w:ascii="Times New Roman" w:hAnsi="Times New Roman"/>
          <w:b/>
          <w:sz w:val="20"/>
        </w:rPr>
        <w:t>DURING AND AFTER 2014</w:t>
      </w:r>
      <w:r>
        <w:rPr>
          <w:rFonts w:ascii="Times New Roman" w:hAnsi="Times New Roman"/>
          <w:sz w:val="20"/>
        </w:rPr>
        <w:t xml:space="preserve"> </w:t>
      </w:r>
    </w:p>
    <w:p>
      <w:pPr>
        <w:pStyle w:val="TextBody"/>
        <w:bidi w:val="0"/>
        <w:spacing w:lineRule="auto" w:line="240" w:before="120" w:after="120"/>
        <w:ind w:left="720" w:right="720" w:hanging="0"/>
        <w:jc w:val="both"/>
        <w:rPr>
          <w:rFonts w:ascii="Times New Roman" w:hAnsi="Times New Roman"/>
          <w:sz w:val="20"/>
        </w:rPr>
      </w:pPr>
      <w:r>
        <w:rPr>
          <w:rFonts w:ascii="Times New Roman" w:hAnsi="Times New Roman"/>
          <w:sz w:val="20"/>
        </w:rPr>
        <w:t>In accordance with Instruction 2 to Item 601 of Regulation S-K, the Registrant has omitted filing the following Supplemental Indentures by and between Aqua Pennsylvania, Inc. and The Bank  of New York Mellon Trust Company, N.A. because they are substantially identical in all material respects to the form of Supplemental Indenture filed as Exhibit 4.1.15 to Essential Utilities, Inc.’s  Annual Report on Form 10</w:t>
        <w:noBreakHyphen/>
        <w:t xml:space="preserve">K for the fiscal year ended December 31, 2015: </w:t>
      </w:r>
    </w:p>
    <w:tbl>
      <w:tblPr>
        <w:tblW w:w="5741" w:type="dxa"/>
        <w:jc w:val="left"/>
        <w:tblInd w:w="720" w:type="dxa"/>
        <w:tblLayout w:type="fixed"/>
        <w:tblCellMar>
          <w:top w:w="0" w:type="dxa"/>
          <w:left w:w="0" w:type="dxa"/>
          <w:bottom w:w="0" w:type="dxa"/>
          <w:right w:w="0" w:type="dxa"/>
        </w:tblCellMar>
      </w:tblPr>
      <w:tblGrid>
        <w:gridCol w:w="38"/>
        <w:gridCol w:w="215"/>
        <w:gridCol w:w="23"/>
        <w:gridCol w:w="546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pBdr/>
              <w:bidi w:val="0"/>
              <w:spacing w:lineRule="auto" w:line="240" w:before="120" w:after="120"/>
              <w:ind w:left="0" w:right="0" w:hanging="0"/>
              <w:jc w:val="both"/>
              <w:rPr>
                <w:rFonts w:ascii="Times New Roman" w:hAnsi="Times New Roman"/>
                <w:sz w:val="20"/>
              </w:rPr>
            </w:pPr>
            <w:r>
              <w:rPr>
                <w:rFonts w:ascii="Times New Roman" w:hAnsi="Times New Roman"/>
                <w:sz w:val="20"/>
              </w:rPr>
              <w:t>1.</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465" w:type="dxa"/>
            <w:tcBorders/>
          </w:tcPr>
          <w:p>
            <w:pPr>
              <w:pStyle w:val="TableContents"/>
              <w:pBdr/>
              <w:bidi w:val="0"/>
              <w:spacing w:lineRule="auto" w:line="240" w:before="120" w:after="0"/>
              <w:ind w:left="0" w:right="0" w:hanging="0"/>
              <w:jc w:val="both"/>
              <w:rPr>
                <w:rFonts w:ascii="Times New Roman" w:hAnsi="Times New Roman"/>
                <w:color w:val="000000"/>
                <w:sz w:val="20"/>
              </w:rPr>
            </w:pPr>
            <w:r>
              <w:rPr>
                <w:rFonts w:ascii="Times New Roman" w:hAnsi="Times New Roman"/>
                <w:color w:val="000000"/>
                <w:sz w:val="20"/>
              </w:rPr>
              <w:t>Forty-Ninth Supplemental Indenture, dated as of December 1, 2014</w:t>
            </w:r>
          </w:p>
        </w:tc>
      </w:tr>
    </w:tbl>
    <w:tbl>
      <w:tblPr>
        <w:tblW w:w="5411" w:type="dxa"/>
        <w:jc w:val="left"/>
        <w:tblInd w:w="720" w:type="dxa"/>
        <w:tblLayout w:type="fixed"/>
        <w:tblCellMar>
          <w:top w:w="0" w:type="dxa"/>
          <w:left w:w="0" w:type="dxa"/>
          <w:bottom w:w="0" w:type="dxa"/>
          <w:right w:w="0" w:type="dxa"/>
        </w:tblCellMar>
      </w:tblPr>
      <w:tblGrid>
        <w:gridCol w:w="38"/>
        <w:gridCol w:w="215"/>
        <w:gridCol w:w="23"/>
        <w:gridCol w:w="513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pBdr/>
              <w:bidi w:val="0"/>
              <w:spacing w:lineRule="auto" w:line="240" w:before="120" w:after="120"/>
              <w:ind w:left="0" w:right="0" w:hanging="0"/>
              <w:jc w:val="both"/>
              <w:rPr>
                <w:rFonts w:ascii="Times New Roman" w:hAnsi="Times New Roman"/>
                <w:sz w:val="20"/>
              </w:rPr>
            </w:pPr>
            <w:r>
              <w:rPr>
                <w:rFonts w:ascii="Times New Roman" w:hAnsi="Times New Roman"/>
                <w:sz w:val="20"/>
              </w:rPr>
              <w:t>2.</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135" w:type="dxa"/>
            <w:tcBorders/>
          </w:tcPr>
          <w:p>
            <w:pPr>
              <w:pStyle w:val="TableContents"/>
              <w:pBdr/>
              <w:bidi w:val="0"/>
              <w:spacing w:lineRule="auto" w:line="240" w:before="120" w:after="0"/>
              <w:ind w:left="0" w:right="0" w:hanging="0"/>
              <w:jc w:val="both"/>
              <w:rPr>
                <w:rFonts w:ascii="Times New Roman" w:hAnsi="Times New Roman"/>
                <w:color w:val="000000"/>
                <w:sz w:val="20"/>
              </w:rPr>
            </w:pPr>
            <w:r>
              <w:rPr>
                <w:rFonts w:ascii="Times New Roman" w:hAnsi="Times New Roman"/>
                <w:color w:val="000000"/>
                <w:sz w:val="20"/>
              </w:rPr>
              <w:t>Fiftieth Supplemental Indenture, dated as of November 1, 2015</w:t>
            </w:r>
          </w:p>
        </w:tc>
      </w:tr>
    </w:tbl>
    <w:tbl>
      <w:tblPr>
        <w:tblW w:w="5621" w:type="dxa"/>
        <w:jc w:val="left"/>
        <w:tblInd w:w="720" w:type="dxa"/>
        <w:tblLayout w:type="fixed"/>
        <w:tblCellMar>
          <w:top w:w="0" w:type="dxa"/>
          <w:left w:w="0" w:type="dxa"/>
          <w:bottom w:w="0" w:type="dxa"/>
          <w:right w:w="0" w:type="dxa"/>
        </w:tblCellMar>
      </w:tblPr>
      <w:tblGrid>
        <w:gridCol w:w="38"/>
        <w:gridCol w:w="215"/>
        <w:gridCol w:w="23"/>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pBdr/>
              <w:bidi w:val="0"/>
              <w:spacing w:lineRule="auto" w:line="240" w:before="120" w:after="120"/>
              <w:ind w:left="0" w:right="0" w:hanging="0"/>
              <w:jc w:val="both"/>
              <w:rPr>
                <w:rFonts w:ascii="Times New Roman" w:hAnsi="Times New Roman"/>
                <w:sz w:val="20"/>
              </w:rPr>
            </w:pPr>
            <w:r>
              <w:rPr>
                <w:rFonts w:ascii="Times New Roman" w:hAnsi="Times New Roman"/>
                <w:sz w:val="20"/>
              </w:rPr>
              <w:t>3.</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345" w:type="dxa"/>
            <w:tcBorders/>
          </w:tcPr>
          <w:p>
            <w:pPr>
              <w:pStyle w:val="TableContents"/>
              <w:pBdr/>
              <w:bidi w:val="0"/>
              <w:spacing w:lineRule="auto" w:line="240" w:before="120" w:after="0"/>
              <w:ind w:left="0" w:right="0" w:hanging="0"/>
              <w:jc w:val="both"/>
              <w:rPr>
                <w:rFonts w:ascii="Times New Roman" w:hAnsi="Times New Roman"/>
                <w:color w:val="000000"/>
                <w:sz w:val="20"/>
              </w:rPr>
            </w:pPr>
            <w:r>
              <w:rPr>
                <w:rFonts w:ascii="Times New Roman" w:hAnsi="Times New Roman"/>
                <w:color w:val="000000"/>
                <w:sz w:val="20"/>
              </w:rPr>
              <w:t>Fifty-First Supplemental Indenture, dated as of November 1, 2016</w:t>
            </w:r>
          </w:p>
        </w:tc>
      </w:tr>
    </w:tbl>
    <w:tbl>
      <w:tblPr>
        <w:tblW w:w="5501" w:type="dxa"/>
        <w:jc w:val="left"/>
        <w:tblInd w:w="720" w:type="dxa"/>
        <w:tblLayout w:type="fixed"/>
        <w:tblCellMar>
          <w:top w:w="0" w:type="dxa"/>
          <w:left w:w="0" w:type="dxa"/>
          <w:bottom w:w="0" w:type="dxa"/>
          <w:right w:w="0" w:type="dxa"/>
        </w:tblCellMar>
      </w:tblPr>
      <w:tblGrid>
        <w:gridCol w:w="38"/>
        <w:gridCol w:w="215"/>
        <w:gridCol w:w="23"/>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pBdr/>
              <w:bidi w:val="0"/>
              <w:spacing w:lineRule="auto" w:line="240" w:before="120" w:after="120"/>
              <w:ind w:left="0" w:right="0" w:hanging="0"/>
              <w:jc w:val="both"/>
              <w:rPr>
                <w:rFonts w:ascii="Times New Roman" w:hAnsi="Times New Roman"/>
                <w:sz w:val="20"/>
              </w:rPr>
            </w:pPr>
            <w:r>
              <w:rPr>
                <w:rFonts w:ascii="Times New Roman" w:hAnsi="Times New Roman"/>
                <w:sz w:val="20"/>
              </w:rPr>
              <w:t>4.</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225" w:type="dxa"/>
            <w:tcBorders/>
          </w:tcPr>
          <w:p>
            <w:pPr>
              <w:pStyle w:val="TableContents"/>
              <w:pBdr/>
              <w:bidi w:val="0"/>
              <w:spacing w:lineRule="auto" w:line="240" w:before="120" w:after="0"/>
              <w:ind w:left="0" w:right="0" w:hanging="0"/>
              <w:jc w:val="both"/>
              <w:rPr>
                <w:rFonts w:ascii="Times New Roman" w:hAnsi="Times New Roman"/>
                <w:color w:val="000000"/>
                <w:sz w:val="20"/>
              </w:rPr>
            </w:pPr>
            <w:r>
              <w:rPr>
                <w:rFonts w:ascii="Times New Roman" w:hAnsi="Times New Roman"/>
                <w:color w:val="000000"/>
                <w:sz w:val="20"/>
              </w:rPr>
              <w:t>Fifty-Second Supplemental Indenture, dated as of June 15, 2017</w:t>
            </w:r>
          </w:p>
        </w:tc>
      </w:tr>
    </w:tbl>
    <w:tbl>
      <w:tblPr>
        <w:tblW w:w="5246" w:type="dxa"/>
        <w:jc w:val="left"/>
        <w:tblInd w:w="720" w:type="dxa"/>
        <w:tblLayout w:type="fixed"/>
        <w:tblCellMar>
          <w:top w:w="0" w:type="dxa"/>
          <w:left w:w="0" w:type="dxa"/>
          <w:bottom w:w="0" w:type="dxa"/>
          <w:right w:w="0" w:type="dxa"/>
        </w:tblCellMar>
      </w:tblPr>
      <w:tblGrid>
        <w:gridCol w:w="38"/>
        <w:gridCol w:w="215"/>
        <w:gridCol w:w="23"/>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pBdr/>
              <w:bidi w:val="0"/>
              <w:spacing w:lineRule="auto" w:line="240" w:before="120" w:after="120"/>
              <w:ind w:left="0" w:right="0" w:hanging="0"/>
              <w:jc w:val="both"/>
              <w:rPr>
                <w:rFonts w:ascii="Times New Roman" w:hAnsi="Times New Roman"/>
                <w:sz w:val="20"/>
              </w:rPr>
            </w:pPr>
            <w:r>
              <w:rPr>
                <w:rFonts w:ascii="Times New Roman" w:hAnsi="Times New Roman"/>
                <w:sz w:val="20"/>
              </w:rPr>
              <w:t>5.</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970" w:type="dxa"/>
            <w:tcBorders/>
          </w:tcPr>
          <w:p>
            <w:pPr>
              <w:pStyle w:val="TableContents"/>
              <w:pBdr/>
              <w:bidi w:val="0"/>
              <w:spacing w:lineRule="auto" w:line="240" w:before="120" w:after="0"/>
              <w:ind w:left="0" w:right="0" w:hanging="0"/>
              <w:jc w:val="both"/>
              <w:rPr>
                <w:rFonts w:ascii="Times New Roman" w:hAnsi="Times New Roman"/>
                <w:color w:val="000000"/>
                <w:sz w:val="20"/>
              </w:rPr>
            </w:pPr>
            <w:r>
              <w:rPr>
                <w:rFonts w:ascii="Times New Roman" w:hAnsi="Times New Roman"/>
                <w:color w:val="000000"/>
                <w:sz w:val="20"/>
              </w:rPr>
              <w:t>Fifty-Third Supplemental Indenture, dated as of June 1, 2018</w:t>
            </w:r>
          </w:p>
        </w:tc>
      </w:tr>
    </w:tbl>
    <w:tbl>
      <w:tblPr>
        <w:tblW w:w="5711" w:type="dxa"/>
        <w:jc w:val="left"/>
        <w:tblInd w:w="720" w:type="dxa"/>
        <w:tblLayout w:type="fixed"/>
        <w:tblCellMar>
          <w:top w:w="0" w:type="dxa"/>
          <w:left w:w="0" w:type="dxa"/>
          <w:bottom w:w="0" w:type="dxa"/>
          <w:right w:w="0" w:type="dxa"/>
        </w:tblCellMar>
      </w:tblPr>
      <w:tblGrid>
        <w:gridCol w:w="38"/>
        <w:gridCol w:w="215"/>
        <w:gridCol w:w="23"/>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pBdr/>
              <w:bidi w:val="0"/>
              <w:spacing w:lineRule="auto" w:line="240" w:before="120" w:after="120"/>
              <w:ind w:left="0" w:right="0" w:hanging="0"/>
              <w:jc w:val="both"/>
              <w:rPr>
                <w:rFonts w:ascii="Times New Roman" w:hAnsi="Times New Roman"/>
                <w:sz w:val="20"/>
              </w:rPr>
            </w:pPr>
            <w:r>
              <w:rPr>
                <w:rFonts w:ascii="Times New Roman" w:hAnsi="Times New Roman"/>
                <w:sz w:val="20"/>
              </w:rPr>
              <w:t>6.</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435" w:type="dxa"/>
            <w:tcBorders/>
          </w:tcPr>
          <w:p>
            <w:pPr>
              <w:pStyle w:val="TableContents"/>
              <w:pBdr/>
              <w:bidi w:val="0"/>
              <w:spacing w:lineRule="auto" w:line="240" w:before="120" w:after="0"/>
              <w:ind w:left="0" w:right="0" w:hanging="0"/>
              <w:jc w:val="both"/>
              <w:rPr>
                <w:rFonts w:ascii="Times New Roman" w:hAnsi="Times New Roman"/>
                <w:color w:val="000000"/>
                <w:sz w:val="20"/>
              </w:rPr>
            </w:pPr>
            <w:r>
              <w:rPr>
                <w:rFonts w:ascii="Times New Roman" w:hAnsi="Times New Roman"/>
                <w:color w:val="000000"/>
                <w:sz w:val="20"/>
              </w:rPr>
              <w:t>Fifty-Fourth Supplemental Indenture, dated as of October 15, 2018</w:t>
            </w:r>
          </w:p>
        </w:tc>
      </w:tr>
    </w:tbl>
    <w:tbl>
      <w:tblPr>
        <w:tblW w:w="5186" w:type="dxa"/>
        <w:jc w:val="left"/>
        <w:tblInd w:w="720" w:type="dxa"/>
        <w:tblLayout w:type="fixed"/>
        <w:tblCellMar>
          <w:top w:w="0" w:type="dxa"/>
          <w:left w:w="0" w:type="dxa"/>
          <w:bottom w:w="0" w:type="dxa"/>
          <w:right w:w="0" w:type="dxa"/>
        </w:tblCellMar>
      </w:tblPr>
      <w:tblGrid>
        <w:gridCol w:w="38"/>
        <w:gridCol w:w="215"/>
        <w:gridCol w:w="23"/>
        <w:gridCol w:w="491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pBdr/>
              <w:bidi w:val="0"/>
              <w:spacing w:lineRule="auto" w:line="240" w:before="120" w:after="120"/>
              <w:ind w:left="0" w:right="0" w:hanging="0"/>
              <w:jc w:val="both"/>
              <w:rPr>
                <w:rFonts w:ascii="Times New Roman" w:hAnsi="Times New Roman"/>
                <w:sz w:val="20"/>
              </w:rPr>
            </w:pPr>
            <w:r>
              <w:rPr>
                <w:rFonts w:ascii="Times New Roman" w:hAnsi="Times New Roman"/>
                <w:sz w:val="20"/>
              </w:rPr>
              <w:t>7.</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910" w:type="dxa"/>
            <w:tcBorders/>
          </w:tcPr>
          <w:p>
            <w:pPr>
              <w:pStyle w:val="TableContents"/>
              <w:pBdr/>
              <w:bidi w:val="0"/>
              <w:spacing w:lineRule="auto" w:line="240" w:before="120" w:after="0"/>
              <w:ind w:left="0" w:right="0" w:hanging="0"/>
              <w:jc w:val="both"/>
              <w:rPr>
                <w:rFonts w:ascii="Times New Roman" w:hAnsi="Times New Roman"/>
                <w:color w:val="000000"/>
                <w:sz w:val="20"/>
              </w:rPr>
            </w:pPr>
            <w:r>
              <w:rPr>
                <w:rFonts w:ascii="Times New Roman" w:hAnsi="Times New Roman"/>
                <w:color w:val="000000"/>
                <w:sz w:val="20"/>
              </w:rPr>
              <w:t>Fifty-Fifth Supplemental Indenture, dated as of May 1, 2019</w:t>
            </w:r>
          </w:p>
        </w:tc>
      </w:tr>
    </w:tbl>
    <w:tbl>
      <w:tblPr>
        <w:tblW w:w="5711" w:type="dxa"/>
        <w:jc w:val="left"/>
        <w:tblInd w:w="720" w:type="dxa"/>
        <w:tblLayout w:type="fixed"/>
        <w:tblCellMar>
          <w:top w:w="0" w:type="dxa"/>
          <w:left w:w="0" w:type="dxa"/>
          <w:bottom w:w="0" w:type="dxa"/>
          <w:right w:w="0" w:type="dxa"/>
        </w:tblCellMar>
      </w:tblPr>
      <w:tblGrid>
        <w:gridCol w:w="38"/>
        <w:gridCol w:w="215"/>
        <w:gridCol w:w="23"/>
        <w:gridCol w:w="543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pBdr/>
              <w:bidi w:val="0"/>
              <w:spacing w:lineRule="auto" w:line="240" w:before="120" w:after="120"/>
              <w:ind w:left="0" w:right="0" w:hanging="0"/>
              <w:jc w:val="both"/>
              <w:rPr>
                <w:rFonts w:ascii="Times New Roman" w:hAnsi="Times New Roman"/>
                <w:sz w:val="20"/>
              </w:rPr>
            </w:pPr>
            <w:r>
              <w:rPr>
                <w:rFonts w:ascii="Times New Roman" w:hAnsi="Times New Roman"/>
                <w:sz w:val="20"/>
              </w:rPr>
              <w:t>8.</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435" w:type="dxa"/>
            <w:tcBorders/>
          </w:tcPr>
          <w:p>
            <w:pPr>
              <w:pStyle w:val="TableContents"/>
              <w:pBdr/>
              <w:bidi w:val="0"/>
              <w:spacing w:lineRule="auto" w:line="240" w:before="120" w:after="0"/>
              <w:ind w:left="0" w:right="0" w:hanging="0"/>
              <w:jc w:val="both"/>
              <w:rPr>
                <w:rFonts w:ascii="Times New Roman" w:hAnsi="Times New Roman"/>
                <w:color w:val="000000"/>
                <w:sz w:val="20"/>
              </w:rPr>
            </w:pPr>
            <w:r>
              <w:rPr>
                <w:rFonts w:ascii="Times New Roman" w:hAnsi="Times New Roman"/>
                <w:color w:val="000000"/>
                <w:sz w:val="20"/>
              </w:rPr>
              <w:t>Fifty-Sixth Supplemental Indenture, dated as of September 1, 2019</w:t>
            </w:r>
          </w:p>
        </w:tc>
      </w:tr>
    </w:tbl>
    <w:tbl>
      <w:tblPr>
        <w:tblW w:w="5921" w:type="dxa"/>
        <w:jc w:val="left"/>
        <w:tblInd w:w="720" w:type="dxa"/>
        <w:tblLayout w:type="fixed"/>
        <w:tblCellMar>
          <w:top w:w="0" w:type="dxa"/>
          <w:left w:w="0" w:type="dxa"/>
          <w:bottom w:w="0" w:type="dxa"/>
          <w:right w:w="0" w:type="dxa"/>
        </w:tblCellMar>
      </w:tblPr>
      <w:tblGrid>
        <w:gridCol w:w="38"/>
        <w:gridCol w:w="215"/>
        <w:gridCol w:w="23"/>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pBdr/>
              <w:bidi w:val="0"/>
              <w:spacing w:lineRule="auto" w:line="240" w:before="120" w:after="120"/>
              <w:ind w:left="0" w:right="0" w:hanging="0"/>
              <w:jc w:val="both"/>
              <w:rPr>
                <w:rFonts w:ascii="Times New Roman" w:hAnsi="Times New Roman"/>
                <w:sz w:val="20"/>
              </w:rPr>
            </w:pPr>
            <w:r>
              <w:rPr>
                <w:rFonts w:ascii="Times New Roman" w:hAnsi="Times New Roman"/>
                <w:sz w:val="20"/>
              </w:rPr>
              <w:t>9.</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645" w:type="dxa"/>
            <w:tcBorders/>
          </w:tcPr>
          <w:p>
            <w:pPr>
              <w:pStyle w:val="TableContents"/>
              <w:pBdr/>
              <w:bidi w:val="0"/>
              <w:spacing w:lineRule="auto" w:line="240" w:before="120" w:after="0"/>
              <w:ind w:left="0" w:right="0" w:hanging="0"/>
              <w:jc w:val="both"/>
              <w:rPr>
                <w:rFonts w:ascii="Times New Roman" w:hAnsi="Times New Roman"/>
                <w:color w:val="000000"/>
                <w:sz w:val="20"/>
              </w:rPr>
            </w:pPr>
            <w:r>
              <w:rPr>
                <w:rFonts w:ascii="Times New Roman" w:hAnsi="Times New Roman"/>
                <w:color w:val="000000"/>
                <w:sz w:val="20"/>
              </w:rPr>
              <w:t>Fifty-Seventh Supplemental Indenture, dated as of November 1, 2019</w:t>
            </w:r>
          </w:p>
        </w:tc>
      </w:tr>
    </w:tbl>
    <w:tbl>
      <w:tblPr>
        <w:tblW w:w="5606" w:type="dxa"/>
        <w:jc w:val="left"/>
        <w:tblInd w:w="720" w:type="dxa"/>
        <w:tblLayout w:type="fixed"/>
        <w:tblCellMar>
          <w:top w:w="0" w:type="dxa"/>
          <w:left w:w="0" w:type="dxa"/>
          <w:bottom w:w="0" w:type="dxa"/>
          <w:right w:w="0" w:type="dxa"/>
        </w:tblCellMar>
      </w:tblPr>
      <w:tblGrid>
        <w:gridCol w:w="38"/>
        <w:gridCol w:w="320"/>
        <w:gridCol w:w="23"/>
        <w:gridCol w:w="522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pBdr/>
              <w:bidi w:val="0"/>
              <w:spacing w:lineRule="auto" w:line="240" w:before="120" w:after="120"/>
              <w:ind w:left="0" w:right="0" w:hanging="0"/>
              <w:jc w:val="both"/>
              <w:rPr>
                <w:rFonts w:ascii="Times New Roman" w:hAnsi="Times New Roman"/>
                <w:sz w:val="20"/>
              </w:rPr>
            </w:pPr>
            <w:r>
              <w:rPr>
                <w:rFonts w:ascii="Times New Roman" w:hAnsi="Times New Roman"/>
                <w:sz w:val="20"/>
              </w:rPr>
              <w:t>10.</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225" w:type="dxa"/>
            <w:tcBorders/>
          </w:tcPr>
          <w:p>
            <w:pPr>
              <w:pStyle w:val="TableContents"/>
              <w:pBdr/>
              <w:bidi w:val="0"/>
              <w:spacing w:lineRule="auto" w:line="240" w:before="120" w:after="0"/>
              <w:ind w:left="0" w:right="0" w:hanging="0"/>
              <w:jc w:val="both"/>
              <w:rPr>
                <w:rFonts w:ascii="Times New Roman" w:hAnsi="Times New Roman"/>
                <w:color w:val="000000"/>
                <w:sz w:val="20"/>
              </w:rPr>
            </w:pPr>
            <w:r>
              <w:rPr>
                <w:rFonts w:ascii="Times New Roman" w:hAnsi="Times New Roman"/>
                <w:color w:val="000000"/>
                <w:sz w:val="20"/>
              </w:rPr>
              <w:t>Fifty-Eight Supplemental Indenture, dated as of March 15, 2020</w:t>
            </w:r>
          </w:p>
        </w:tc>
      </w:tr>
    </w:tbl>
    <w:tbl>
      <w:tblPr>
        <w:tblW w:w="5891" w:type="dxa"/>
        <w:jc w:val="left"/>
        <w:tblInd w:w="720" w:type="dxa"/>
        <w:tblLayout w:type="fixed"/>
        <w:tblCellMar>
          <w:top w:w="0" w:type="dxa"/>
          <w:left w:w="0" w:type="dxa"/>
          <w:bottom w:w="0" w:type="dxa"/>
          <w:right w:w="0" w:type="dxa"/>
        </w:tblCellMar>
      </w:tblPr>
      <w:tblGrid>
        <w:gridCol w:w="38"/>
        <w:gridCol w:w="320"/>
        <w:gridCol w:w="23"/>
        <w:gridCol w:w="551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pBdr/>
              <w:bidi w:val="0"/>
              <w:spacing w:lineRule="auto" w:line="240" w:before="120" w:after="120"/>
              <w:ind w:left="0" w:right="0" w:hanging="0"/>
              <w:jc w:val="both"/>
              <w:rPr>
                <w:rFonts w:ascii="Times New Roman" w:hAnsi="Times New Roman"/>
                <w:sz w:val="20"/>
              </w:rPr>
            </w:pPr>
            <w:r>
              <w:rPr>
                <w:rFonts w:ascii="Times New Roman" w:hAnsi="Times New Roman"/>
                <w:sz w:val="20"/>
              </w:rPr>
              <w:t>11.</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510" w:type="dxa"/>
            <w:tcBorders/>
          </w:tcPr>
          <w:p>
            <w:pPr>
              <w:pStyle w:val="TableContents"/>
              <w:pBdr/>
              <w:bidi w:val="0"/>
              <w:spacing w:lineRule="auto" w:line="240" w:before="120" w:after="0"/>
              <w:ind w:left="0" w:right="0" w:hanging="0"/>
              <w:jc w:val="both"/>
              <w:rPr>
                <w:rFonts w:ascii="Times New Roman" w:hAnsi="Times New Roman"/>
                <w:color w:val="000000"/>
                <w:sz w:val="20"/>
              </w:rPr>
            </w:pPr>
            <w:r>
              <w:rPr>
                <w:rFonts w:ascii="Times New Roman" w:hAnsi="Times New Roman"/>
                <w:color w:val="000000"/>
                <w:sz w:val="20"/>
              </w:rPr>
              <w:t>Fifty-Ninth Supplemental Indenture, dated as of September 1, 2020 </w:t>
            </w:r>
          </w:p>
        </w:tc>
      </w:tr>
    </w:tbl>
    <w:tbl>
      <w:tblPr>
        <w:tblW w:w="5576" w:type="dxa"/>
        <w:jc w:val="left"/>
        <w:tblInd w:w="720" w:type="dxa"/>
        <w:tblLayout w:type="fixed"/>
        <w:tblCellMar>
          <w:top w:w="0" w:type="dxa"/>
          <w:left w:w="0" w:type="dxa"/>
          <w:bottom w:w="0" w:type="dxa"/>
          <w:right w:w="0" w:type="dxa"/>
        </w:tblCellMar>
      </w:tblPr>
      <w:tblGrid>
        <w:gridCol w:w="38"/>
        <w:gridCol w:w="320"/>
        <w:gridCol w:w="23"/>
        <w:gridCol w:w="519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pBdr/>
              <w:bidi w:val="0"/>
              <w:spacing w:lineRule="auto" w:line="240" w:before="120" w:after="120"/>
              <w:ind w:left="0" w:right="0" w:hanging="0"/>
              <w:jc w:val="both"/>
              <w:rPr>
                <w:rFonts w:ascii="Times New Roman" w:hAnsi="Times New Roman"/>
                <w:sz w:val="20"/>
              </w:rPr>
            </w:pPr>
            <w:r>
              <w:rPr>
                <w:rFonts w:ascii="Times New Roman" w:hAnsi="Times New Roman"/>
                <w:sz w:val="20"/>
              </w:rPr>
              <w:t>12.</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195" w:type="dxa"/>
            <w:tcBorders/>
          </w:tcPr>
          <w:p>
            <w:pPr>
              <w:pStyle w:val="TableContents"/>
              <w:pBdr/>
              <w:bidi w:val="0"/>
              <w:spacing w:lineRule="auto" w:line="240" w:before="120" w:after="0"/>
              <w:ind w:left="0" w:right="0" w:hanging="0"/>
              <w:jc w:val="both"/>
              <w:rPr>
                <w:rFonts w:ascii="Times New Roman" w:hAnsi="Times New Roman"/>
                <w:color w:val="000000"/>
                <w:sz w:val="20"/>
              </w:rPr>
            </w:pPr>
            <w:r>
              <w:rPr>
                <w:rFonts w:ascii="Times New Roman" w:hAnsi="Times New Roman"/>
                <w:color w:val="000000"/>
                <w:sz w:val="20"/>
              </w:rPr>
              <w:t>Sixtieth Supplemental Indenture, dated as of September 1, 2022</w:t>
            </w:r>
          </w:p>
        </w:tc>
      </w:tr>
    </w:tbl>
    <w:tbl>
      <w:tblPr>
        <w:tblW w:w="5741" w:type="dxa"/>
        <w:jc w:val="left"/>
        <w:tblInd w:w="720" w:type="dxa"/>
        <w:tblLayout w:type="fixed"/>
        <w:tblCellMar>
          <w:top w:w="0" w:type="dxa"/>
          <w:left w:w="0" w:type="dxa"/>
          <w:bottom w:w="0" w:type="dxa"/>
          <w:right w:w="0" w:type="dxa"/>
        </w:tblCellMar>
      </w:tblPr>
      <w:tblGrid>
        <w:gridCol w:w="38"/>
        <w:gridCol w:w="320"/>
        <w:gridCol w:w="23"/>
        <w:gridCol w:w="536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pBdr/>
              <w:bidi w:val="0"/>
              <w:spacing w:lineRule="auto" w:line="240" w:before="120" w:after="120"/>
              <w:ind w:left="0" w:right="0" w:hanging="0"/>
              <w:jc w:val="both"/>
              <w:rPr>
                <w:rFonts w:ascii="Times New Roman" w:hAnsi="Times New Roman"/>
                <w:sz w:val="20"/>
              </w:rPr>
            </w:pPr>
            <w:r>
              <w:rPr>
                <w:rFonts w:ascii="Times New Roman" w:hAnsi="Times New Roman"/>
                <w:sz w:val="20"/>
              </w:rPr>
              <w:t>13.</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360" w:type="dxa"/>
            <w:tcBorders/>
          </w:tcPr>
          <w:p>
            <w:pPr>
              <w:pStyle w:val="TableContents"/>
              <w:pBdr/>
              <w:bidi w:val="0"/>
              <w:spacing w:lineRule="auto" w:line="240" w:before="120" w:after="0"/>
              <w:ind w:left="0" w:right="0" w:hanging="0"/>
              <w:jc w:val="both"/>
              <w:rPr>
                <w:rFonts w:ascii="Times New Roman" w:hAnsi="Times New Roman"/>
                <w:color w:val="000000"/>
                <w:sz w:val="20"/>
              </w:rPr>
            </w:pPr>
            <w:r>
              <w:rPr>
                <w:rFonts w:ascii="Times New Roman" w:hAnsi="Times New Roman"/>
                <w:color w:val="000000"/>
                <w:sz w:val="20"/>
              </w:rPr>
              <w:t>Sixty-First Supplemental Indenture, dated as of December 1, 2022</w:t>
            </w:r>
          </w:p>
        </w:tc>
      </w:tr>
    </w:tbl>
    <w:tbl>
      <w:tblPr>
        <w:tblW w:w="5621" w:type="dxa"/>
        <w:jc w:val="left"/>
        <w:tblInd w:w="720" w:type="dxa"/>
        <w:tblLayout w:type="fixed"/>
        <w:tblCellMar>
          <w:top w:w="0" w:type="dxa"/>
          <w:left w:w="0" w:type="dxa"/>
          <w:bottom w:w="0" w:type="dxa"/>
          <w:right w:w="0" w:type="dxa"/>
        </w:tblCellMar>
      </w:tblPr>
      <w:tblGrid>
        <w:gridCol w:w="38"/>
        <w:gridCol w:w="320"/>
        <w:gridCol w:w="23"/>
        <w:gridCol w:w="524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pBdr/>
              <w:bidi w:val="0"/>
              <w:spacing w:lineRule="auto" w:line="240" w:before="120" w:after="120"/>
              <w:ind w:left="0" w:right="0" w:hanging="0"/>
              <w:jc w:val="both"/>
              <w:rPr>
                <w:rFonts w:ascii="Times New Roman" w:hAnsi="Times New Roman"/>
                <w:sz w:val="20"/>
              </w:rPr>
            </w:pPr>
            <w:r>
              <w:rPr>
                <w:rFonts w:ascii="Times New Roman" w:hAnsi="Times New Roman"/>
                <w:sz w:val="20"/>
              </w:rPr>
              <w:t>14.</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240" w:type="dxa"/>
            <w:tcBorders/>
          </w:tcPr>
          <w:p>
            <w:pPr>
              <w:pStyle w:val="TableContents"/>
              <w:pBdr/>
              <w:bidi w:val="0"/>
              <w:spacing w:lineRule="auto" w:line="240" w:before="120" w:after="0"/>
              <w:ind w:left="0" w:right="0" w:hanging="0"/>
              <w:jc w:val="both"/>
              <w:rPr>
                <w:rFonts w:ascii="Times New Roman" w:hAnsi="Times New Roman"/>
                <w:color w:val="000000"/>
                <w:sz w:val="20"/>
              </w:rPr>
            </w:pPr>
            <w:r>
              <w:rPr>
                <w:rFonts w:ascii="Times New Roman" w:hAnsi="Times New Roman"/>
                <w:color w:val="000000"/>
                <w:sz w:val="20"/>
              </w:rPr>
              <w:t>Sixty-Second Supplemental Indenture, dated as of July 27, 2023</w:t>
            </w:r>
          </w:p>
        </w:tc>
      </w:tr>
    </w:tbl>
    <w:p>
      <w:pPr>
        <w:pStyle w:val="TextBody"/>
        <w:bidi w:val="0"/>
        <w:spacing w:lineRule="auto" w:line="240" w:before="0" w:after="0"/>
        <w:ind w:left="720" w:right="720" w:hanging="0"/>
        <w:jc w:val="both"/>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bidi w:val="0"/>
        <w:ind w:left="720" w:right="720" w:hanging="0"/>
        <w:jc w:val="left"/>
        <w:rPr/>
      </w:pPr>
      <w:r>
        <w:rPr/>
      </w:r>
    </w:p>
    <w:p>
      <w:pPr>
        <w:pStyle w:val="TextBody"/>
        <w:bidi w:val="0"/>
        <w:spacing w:lineRule="auto" w:line="240" w:before="0" w:after="0"/>
        <w:ind w:left="720" w:right="720" w:hanging="0"/>
        <w:jc w:val="right"/>
        <w:rPr>
          <w:rFonts w:ascii="Times New Roman" w:hAnsi="Times New Roman"/>
          <w:sz w:val="20"/>
        </w:rPr>
      </w:pPr>
      <w:bookmarkStart w:id="59" w:name="wtrg-20241231xex10_101.htm"/>
      <w:bookmarkStart w:id="60" w:name="kswtrg20241231xex10_101"/>
      <w:bookmarkEnd w:id="59"/>
      <w:bookmarkEnd w:id="60"/>
      <w:r>
        <w:rPr>
          <w:rFonts w:ascii="Times New Roman" w:hAnsi="Times New Roman"/>
          <w:b/>
          <w:sz w:val="20"/>
        </w:rPr>
        <w:t>Exhibit 10.10.1</w:t>
      </w:r>
      <w:r>
        <w:rPr>
          <w:rFonts w:ascii="Times New Roman" w:hAnsi="Times New Roman"/>
          <w:sz w:val="20"/>
        </w:rPr>
        <w:t xml:space="preserve"> </w:t>
      </w:r>
      <w:r>
        <w:br w:type="page"/>
      </w:r>
    </w:p>
    <w:p>
      <w:pPr>
        <w:pStyle w:val="TextBody"/>
        <w:bidi w:val="0"/>
        <w:spacing w:lineRule="auto" w:line="240" w:before="0" w:after="0"/>
        <w:ind w:left="720" w:right="720" w:hanging="0"/>
        <w:jc w:val="both"/>
        <w:rPr>
          <w:rFonts w:cs="Times New Roman"/>
          <w:szCs w:val="20"/>
        </w:rPr>
      </w:pPr>
      <w:r>
        <w:rPr>
          <w:rFonts w:cs="Times New Roman"/>
          <w:szCs w:val="20"/>
        </w:rPr>
        <w:t xml:space="preserve">﻿ </w:t>
      </w:r>
    </w:p>
    <w:p>
      <w:pPr>
        <w:pStyle w:val="TextBody"/>
        <w:bidi w:val="0"/>
        <w:spacing w:lineRule="auto" w:line="240" w:before="0" w:after="0"/>
        <w:ind w:left="720" w:right="720" w:hanging="0"/>
        <w:jc w:val="both"/>
        <w:rPr>
          <w:rFonts w:cs="Times New Roman"/>
          <w:szCs w:val="20"/>
        </w:rPr>
      </w:pPr>
      <w:r>
        <w:rPr>
          <w:rFonts w:cs="Times New Roman"/>
          <w:szCs w:val="20"/>
        </w:rPr>
        <w:t xml:space="preserve">﻿ </w:t>
      </w:r>
    </w:p>
    <w:p>
      <w:pPr>
        <w:pStyle w:val="TextBody"/>
        <w:bidi w:val="0"/>
        <w:spacing w:lineRule="auto" w:line="240" w:before="0" w:after="0"/>
        <w:ind w:left="720" w:right="720" w:hanging="0"/>
        <w:jc w:val="center"/>
        <w:rPr>
          <w:rFonts w:ascii="Times New Roman" w:hAnsi="Times New Roman"/>
          <w:sz w:val="20"/>
        </w:rPr>
      </w:pPr>
      <w:r>
        <w:rPr>
          <w:rFonts w:ascii="Times New Roman" w:hAnsi="Times New Roman"/>
          <w:b/>
          <w:sz w:val="20"/>
        </w:rPr>
        <w:t>SCHEDULE OF CHANGE IN CONTROL AGREEMENTS</w:t>
      </w:r>
      <w:r>
        <w:rPr>
          <w:rFonts w:ascii="Times New Roman" w:hAnsi="Times New Roman"/>
          <w:sz w:val="20"/>
        </w:rPr>
        <w:t xml:space="preserve"> </w:t>
      </w:r>
    </w:p>
    <w:p>
      <w:pPr>
        <w:pStyle w:val="TextBody"/>
        <w:bidi w:val="0"/>
        <w:spacing w:lineRule="auto" w:line="240" w:before="0" w:after="0"/>
        <w:ind w:left="720" w:right="720" w:hanging="0"/>
        <w:jc w:val="center"/>
        <w:rPr>
          <w:rFonts w:cs="Times New Roman"/>
          <w:szCs w:val="20"/>
        </w:rPr>
      </w:pPr>
      <w:r>
        <w:rPr>
          <w:rFonts w:cs="Times New Roman"/>
          <w:bCs/>
          <w:szCs w:val="20"/>
        </w:rPr>
        <w:t>﻿</w:t>
      </w:r>
      <w:r>
        <w:rPr>
          <w:rFonts w:cs="Times New Roman"/>
          <w:szCs w:val="20"/>
        </w:rPr>
        <w:t xml:space="preserve"> </w:t>
      </w:r>
    </w:p>
    <w:p>
      <w:pPr>
        <w:pStyle w:val="TextBody"/>
        <w:bidi w:val="0"/>
        <w:spacing w:lineRule="auto" w:line="240" w:before="0" w:after="0"/>
        <w:ind w:left="720" w:right="720" w:hanging="0"/>
        <w:jc w:val="both"/>
        <w:rPr>
          <w:rFonts w:ascii="Times New Roman" w:hAnsi="Times New Roman"/>
          <w:sz w:val="20"/>
        </w:rPr>
      </w:pPr>
      <w:r>
        <w:rPr>
          <w:rFonts w:ascii="Times New Roman" w:hAnsi="Times New Roman"/>
          <w:sz w:val="20"/>
        </w:rPr>
        <w:t xml:space="preserve">In accordance with Instruction 2 to Item 601 of Regulation S-K, Essential Utilities, Inc. (the “Company”) has omitted filing Change in Control Agreements by and between the Company and the following executive officers because the agreements are substantially identical in all material respects to the form of Change in Control Agreement filed as Exhibit 10.10 to the Company’s Annual Report on Form 10-K for the year ended December 31, 2024:  </w:t>
      </w:r>
    </w:p>
    <w:p>
      <w:pPr>
        <w:pStyle w:val="TextBody"/>
        <w:bidi w:val="0"/>
        <w:spacing w:lineRule="auto" w:line="240" w:before="0" w:after="0"/>
        <w:ind w:left="720" w:right="720" w:hanging="0"/>
        <w:jc w:val="both"/>
        <w:rPr>
          <w:rFonts w:cs="Times New Roman"/>
          <w:szCs w:val="20"/>
        </w:rPr>
      </w:pPr>
      <w:r>
        <w:rPr>
          <w:rFonts w:cs="Times New Roman"/>
          <w:szCs w:val="20"/>
        </w:rPr>
        <w:t xml:space="preserve">﻿ </w:t>
      </w:r>
    </w:p>
    <w:p>
      <w:pPr>
        <w:pStyle w:val="TextBody"/>
        <w:bidi w:val="0"/>
        <w:spacing w:lineRule="auto" w:line="240" w:before="0" w:after="0"/>
        <w:ind w:left="720" w:right="720" w:hanging="0"/>
        <w:jc w:val="both"/>
        <w:rPr>
          <w:rFonts w:cs="Times New Roman"/>
          <w:szCs w:val="20"/>
        </w:rPr>
      </w:pPr>
      <w:r>
        <w:rPr>
          <w:rFonts w:cs="Times New Roman"/>
          <w:szCs w:val="20"/>
        </w:rPr>
        <w:t xml:space="preserve">﻿ </w:t>
      </w:r>
    </w:p>
    <w:tbl>
      <w:tblPr>
        <w:tblW w:w="1736" w:type="dxa"/>
        <w:jc w:val="left"/>
        <w:tblInd w:w="720" w:type="dxa"/>
        <w:tblLayout w:type="fixed"/>
        <w:tblCellMar>
          <w:top w:w="0" w:type="dxa"/>
          <w:left w:w="0" w:type="dxa"/>
          <w:bottom w:w="0" w:type="dxa"/>
          <w:right w:w="0" w:type="dxa"/>
        </w:tblCellMar>
      </w:tblPr>
      <w:tblGrid>
        <w:gridCol w:w="38"/>
        <w:gridCol w:w="215"/>
        <w:gridCol w:w="23"/>
        <w:gridCol w:w="146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1.</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460"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Daniel J. Schuller</w:t>
            </w:r>
          </w:p>
        </w:tc>
      </w:tr>
    </w:tbl>
    <w:tbl>
      <w:tblPr>
        <w:tblW w:w="2111" w:type="dxa"/>
        <w:jc w:val="left"/>
        <w:tblInd w:w="720" w:type="dxa"/>
        <w:tblLayout w:type="fixed"/>
        <w:tblCellMar>
          <w:top w:w="0" w:type="dxa"/>
          <w:left w:w="0" w:type="dxa"/>
          <w:bottom w:w="0" w:type="dxa"/>
          <w:right w:w="0" w:type="dxa"/>
        </w:tblCellMar>
      </w:tblPr>
      <w:tblGrid>
        <w:gridCol w:w="38"/>
        <w:gridCol w:w="215"/>
        <w:gridCol w:w="23"/>
        <w:gridCol w:w="183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2.</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835"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Christopher P. Luning</w:t>
            </w:r>
          </w:p>
        </w:tc>
      </w:tr>
    </w:tbl>
    <w:tbl>
      <w:tblPr>
        <w:tblW w:w="1556" w:type="dxa"/>
        <w:jc w:val="left"/>
        <w:tblInd w:w="720" w:type="dxa"/>
        <w:tblLayout w:type="fixed"/>
        <w:tblCellMar>
          <w:top w:w="0" w:type="dxa"/>
          <w:left w:w="0" w:type="dxa"/>
          <w:bottom w:w="0" w:type="dxa"/>
          <w:right w:w="0" w:type="dxa"/>
        </w:tblCellMar>
      </w:tblPr>
      <w:tblGrid>
        <w:gridCol w:w="38"/>
        <w:gridCol w:w="215"/>
        <w:gridCol w:w="23"/>
        <w:gridCol w:w="1280"/>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3.</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280"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Michael Huwar</w:t>
            </w:r>
          </w:p>
        </w:tc>
      </w:tr>
    </w:tbl>
    <w:tbl>
      <w:tblPr>
        <w:tblW w:w="1571" w:type="dxa"/>
        <w:jc w:val="left"/>
        <w:tblInd w:w="720" w:type="dxa"/>
        <w:tblLayout w:type="fixed"/>
        <w:tblCellMar>
          <w:top w:w="0" w:type="dxa"/>
          <w:left w:w="0" w:type="dxa"/>
          <w:bottom w:w="0" w:type="dxa"/>
          <w:right w:w="0" w:type="dxa"/>
        </w:tblCellMar>
      </w:tblPr>
      <w:tblGrid>
        <w:gridCol w:w="38"/>
        <w:gridCol w:w="215"/>
        <w:gridCol w:w="23"/>
        <w:gridCol w:w="1295"/>
      </w:tblGrid>
      <w:tr>
        <w:trPr/>
        <w:tc>
          <w:tcPr>
            <w:tcW w:w="38" w:type="dxa"/>
            <w:tcBorders/>
            <w:vAlign w:val="center"/>
          </w:tcPr>
          <w:p>
            <w:pPr>
              <w:pStyle w:val="TableContents"/>
              <w:bidi w:val="0"/>
              <w:spacing w:before="0" w:after="283"/>
              <w:jc w:val="left"/>
              <w:rPr>
                <w:sz w:val="4"/>
                <w:szCs w:val="4"/>
              </w:rPr>
            </w:pPr>
            <w:r>
              <w:rPr>
                <w:sz w:val="4"/>
                <w:szCs w:val="4"/>
              </w:rPr>
            </w:r>
          </w:p>
        </w:tc>
        <w:tc>
          <w:tcPr>
            <w:tcW w:w="215" w:type="dxa"/>
            <w:tcBorders/>
          </w:tcPr>
          <w:p>
            <w:pPr>
              <w:pStyle w:val="TableContents"/>
              <w:pBdr/>
              <w:bidi w:val="0"/>
              <w:spacing w:lineRule="auto" w:line="240" w:before="0" w:after="0"/>
              <w:ind w:left="0" w:right="0" w:hanging="0"/>
              <w:jc w:val="both"/>
              <w:rPr>
                <w:rFonts w:ascii="Times New Roman" w:hAnsi="Times New Roman"/>
                <w:sz w:val="20"/>
              </w:rPr>
            </w:pPr>
            <w:r>
              <w:rPr>
                <w:rFonts w:ascii="Times New Roman" w:hAnsi="Times New Roman"/>
                <w:sz w:val="20"/>
              </w:rPr>
              <w:t>4.</w:t>
            </w:r>
            <w:r>
              <w:rPr>
                <w:rFonts w:ascii="Times New Roman" w:hAnsi="Times New Roman"/>
                <w:sz w:val="20"/>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295" w:type="dxa"/>
            <w:tcBorders/>
          </w:tcPr>
          <w:p>
            <w:pPr>
              <w:pStyle w:val="TableContents"/>
              <w:pBdr/>
              <w:bidi w:val="0"/>
              <w:spacing w:lineRule="auto" w:line="240" w:before="0" w:after="0"/>
              <w:ind w:left="0" w:right="0" w:hanging="0"/>
              <w:jc w:val="both"/>
              <w:rPr>
                <w:rFonts w:ascii="Times New Roman" w:hAnsi="Times New Roman"/>
                <w:color w:val="000000"/>
                <w:sz w:val="20"/>
              </w:rPr>
            </w:pPr>
            <w:r>
              <w:rPr>
                <w:rFonts w:ascii="Times New Roman" w:hAnsi="Times New Roman"/>
                <w:color w:val="000000"/>
                <w:sz w:val="20"/>
              </w:rPr>
              <w:t>Colleen Arnold</w:t>
            </w:r>
          </w:p>
        </w:tc>
      </w:tr>
    </w:tbl>
    <w:p>
      <w:pPr>
        <w:pStyle w:val="TextBody"/>
        <w:bidi w:val="0"/>
        <w:spacing w:lineRule="auto" w:line="240" w:before="0" w:after="0"/>
        <w:ind w:left="720" w:right="720" w:hanging="0"/>
        <w:jc w:val="both"/>
        <w:rPr>
          <w:rFonts w:cs="Times New Roman"/>
          <w:szCs w:val="20"/>
        </w:rPr>
      </w:pPr>
      <w:r>
        <w:rPr>
          <w:rFonts w:cs="Times New Roman"/>
          <w:color w:val="000000"/>
          <w:szCs w:val="20"/>
        </w:rPr>
        <w:t>﻿</w:t>
      </w:r>
      <w:r>
        <w:rPr>
          <w:rFonts w:cs="Times New Roman"/>
          <w:szCs w:val="20"/>
        </w:rPr>
        <w:t xml:space="preserve"> </w:t>
      </w:r>
    </w:p>
    <w:p>
      <w:pPr>
        <w:pStyle w:val="HorizontalLine"/>
        <w:pBdr>
          <w:bottom w:val="double" w:sz="6" w:space="0" w:color="808080"/>
        </w:pBdr>
        <w:bidi w:val="0"/>
        <w:ind w:left="720" w:right="720" w:hanging="0"/>
        <w:jc w:val="left"/>
        <w:rPr/>
      </w:pPr>
      <w:r>
        <w:rPr/>
      </w:r>
    </w:p>
    <w:p>
      <w:pPr>
        <w:pStyle w:val="TextBody"/>
        <w:bidi w:val="0"/>
        <w:spacing w:lineRule="atLeast" w:line="276" w:before="11" w:after="0"/>
        <w:ind w:left="1420" w:right="1420" w:hanging="0"/>
        <w:jc w:val="right"/>
        <w:rPr>
          <w:rFonts w:ascii="Times New Roman" w:hAnsi="Times New Roman"/>
          <w:sz w:val="24"/>
        </w:rPr>
      </w:pPr>
      <w:bookmarkStart w:id="61" w:name="wtrg-20241231xex10_71.htm"/>
      <w:bookmarkStart w:id="62" w:name="kswtrg20241231xex10_71"/>
      <w:bookmarkEnd w:id="61"/>
      <w:bookmarkEnd w:id="62"/>
      <w:r>
        <w:rPr>
          <w:rFonts w:ascii="Times New Roman" w:hAnsi="Times New Roman"/>
          <w:b/>
          <w:color w:val="000000"/>
          <w:sz w:val="24"/>
        </w:rPr>
        <w:t>Exhibit 10.7.1</w:t>
      </w:r>
      <w:r>
        <w:rPr>
          <w:rFonts w:ascii="Times New Roman" w:hAnsi="Times New Roman"/>
          <w:sz w:val="24"/>
        </w:rPr>
        <w:t xml:space="preserve"> </w:t>
      </w:r>
      <w:r>
        <w:br w:type="page"/>
      </w:r>
    </w:p>
    <w:p>
      <w:pPr>
        <w:pStyle w:val="TextBody"/>
        <w:bidi w:val="0"/>
        <w:spacing w:lineRule="atLeast" w:line="276" w:before="11" w:after="0"/>
        <w:ind w:left="1420" w:right="1420" w:hanging="0"/>
        <w:jc w:val="right"/>
        <w:rPr>
          <w:rFonts w:ascii="Times New Roman" w:hAnsi="Times New Roman"/>
          <w:sz w:val="24"/>
        </w:rPr>
      </w:pPr>
      <w:r>
        <w:rPr>
          <w:rFonts w:ascii="Times New Roman" w:hAnsi="Times New Roman"/>
          <w:b/>
          <w:color w:val="000000"/>
          <w:sz w:val="24"/>
        </w:rPr>
        <w:t>Form of 2025 Performance-Based</w:t>
      </w:r>
      <w:r>
        <w:rPr>
          <w:rFonts w:ascii="Times New Roman" w:hAnsi="Times New Roman"/>
          <w:color w:val="000000"/>
          <w:sz w:val="24"/>
        </w:rPr>
        <w:t> </w:t>
      </w:r>
      <w:r>
        <w:rPr>
          <w:rFonts w:ascii="Times New Roman" w:hAnsi="Times New Roman"/>
          <w:b/>
          <w:color w:val="000000"/>
          <w:sz w:val="24"/>
        </w:rPr>
        <w:t>Share Unit Grant Agreement</w:t>
      </w:r>
      <w:r>
        <w:rPr>
          <w:rFonts w:ascii="Times New Roman" w:hAnsi="Times New Roman"/>
          <w:sz w:val="24"/>
        </w:rPr>
        <w:t xml:space="preserve"> </w:t>
      </w:r>
    </w:p>
    <w:p>
      <w:pPr>
        <w:pStyle w:val="TextBody"/>
        <w:bidi w:val="0"/>
        <w:spacing w:lineRule="atLeast" w:line="276" w:before="11" w:after="0"/>
        <w:ind w:left="1420" w:right="1420" w:hanging="0"/>
        <w:jc w:val="right"/>
        <w:rPr>
          <w:rFonts w:cs="Times New Roman"/>
          <w:szCs w:val="24"/>
        </w:rPr>
      </w:pPr>
      <w:r>
        <w:rPr>
          <w:rFonts w:cs="Times New Roman"/>
          <w:bCs/>
          <w:color w:val="000000"/>
          <w:szCs w:val="24"/>
        </w:rPr>
        <w:t>﻿</w:t>
      </w:r>
      <w:r>
        <w:rPr>
          <w:rFonts w:cs="Times New Roman"/>
          <w:szCs w:val="24"/>
        </w:rPr>
        <w:t xml:space="preserve"> </w:t>
      </w:r>
    </w:p>
    <w:p>
      <w:pPr>
        <w:pStyle w:val="TextBody"/>
        <w:bidi w:val="0"/>
        <w:spacing w:lineRule="atLeast" w:line="268" w:before="245" w:after="0"/>
        <w:ind w:left="1420" w:right="1420" w:hanging="0"/>
        <w:jc w:val="center"/>
        <w:rPr>
          <w:rFonts w:ascii="Times New Roman" w:hAnsi="Times New Roman"/>
          <w:sz w:val="24"/>
        </w:rPr>
      </w:pPr>
      <w:r>
        <w:rPr>
          <w:rFonts w:ascii="Times New Roman" w:hAnsi="Times New Roman"/>
          <w:b/>
          <w:color w:val="000000"/>
          <w:sz w:val="24"/>
        </w:rPr>
        <w:t>ESSENTIAL UTILITIES, INC.</w:t>
      </w:r>
      <w:r>
        <w:rPr>
          <w:rFonts w:ascii="Times New Roman" w:hAnsi="Times New Roman"/>
          <w:sz w:val="24"/>
        </w:rPr>
        <w:t xml:space="preserve"> </w:t>
      </w:r>
    </w:p>
    <w:p>
      <w:pPr>
        <w:pStyle w:val="TextBody"/>
        <w:bidi w:val="0"/>
        <w:spacing w:lineRule="atLeast" w:line="268" w:before="11" w:after="0"/>
        <w:ind w:left="1420" w:right="1420" w:hanging="0"/>
        <w:jc w:val="center"/>
        <w:rPr>
          <w:rFonts w:ascii="Times New Roman" w:hAnsi="Times New Roman"/>
          <w:sz w:val="24"/>
        </w:rPr>
      </w:pPr>
      <w:r>
        <w:rPr>
          <w:rFonts w:ascii="Times New Roman" w:hAnsi="Times New Roman"/>
          <w:b/>
          <w:color w:val="000000"/>
          <w:sz w:val="24"/>
        </w:rPr>
        <w:t>AMENDED AND RESTATED EQUITY COMPENSATION PLAN</w:t>
      </w:r>
      <w:r>
        <w:rPr>
          <w:rFonts w:ascii="Times New Roman" w:hAnsi="Times New Roman"/>
          <w:sz w:val="24"/>
        </w:rPr>
        <w:t xml:space="preserve"> </w:t>
      </w:r>
    </w:p>
    <w:p>
      <w:pPr>
        <w:pStyle w:val="TextBody"/>
        <w:bidi w:val="0"/>
        <w:spacing w:lineRule="atLeast" w:line="274" w:before="239" w:after="0"/>
        <w:ind w:left="1420" w:right="1420" w:hanging="0"/>
        <w:jc w:val="center"/>
        <w:rPr>
          <w:rFonts w:ascii="Times New Roman" w:hAnsi="Times New Roman"/>
          <w:sz w:val="24"/>
        </w:rPr>
      </w:pPr>
      <w:r>
        <w:rPr>
          <w:rFonts w:ascii="Times New Roman" w:hAnsi="Times New Roman"/>
          <w:b/>
          <w:color w:val="000000"/>
          <w:sz w:val="24"/>
        </w:rPr>
        <w:t xml:space="preserve">PERFORMANCE-BASED SHARE UNIT GRANT </w:t>
      </w:r>
      <w:r>
        <w:rPr>
          <w:rFonts w:ascii="Times New Roman" w:hAnsi="Times New Roman"/>
          <w:sz w:val="24"/>
        </w:rPr>
        <w:br/>
      </w:r>
      <w:r>
        <w:rPr>
          <w:rFonts w:ascii="Times New Roman" w:hAnsi="Times New Roman"/>
          <w:b/>
          <w:color w:val="000000"/>
          <w:sz w:val="24"/>
        </w:rPr>
        <w:t>TERMS AND CONDITIONS</w:t>
      </w:r>
      <w:r>
        <w:rPr>
          <w:rFonts w:ascii="Times New Roman" w:hAnsi="Times New Roman"/>
          <w:sz w:val="24"/>
        </w:rPr>
        <w:t xml:space="preserve"> </w:t>
      </w:r>
    </w:p>
    <w:p>
      <w:pPr>
        <w:pStyle w:val="TextBody"/>
        <w:bidi w:val="0"/>
        <w:spacing w:lineRule="atLeast" w:line="276" w:before="246" w:after="0"/>
        <w:ind w:left="1420" w:right="1420" w:hanging="0"/>
        <w:jc w:val="left"/>
        <w:rPr>
          <w:rFonts w:ascii="Times New Roman" w:hAnsi="Times New Roman"/>
          <w:sz w:val="24"/>
        </w:rPr>
      </w:pPr>
      <w:r>
        <w:rPr>
          <w:rFonts w:ascii="Times New Roman" w:hAnsi="Times New Roman"/>
          <w:color w:val="000000"/>
          <w:sz w:val="24"/>
          <w:u w:val="single"/>
        </w:rPr>
        <w:t>1.Grant of Performance Units</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38" w:after="0"/>
        <w:ind w:left="1420" w:right="1420" w:firstLine="720"/>
        <w:jc w:val="left"/>
        <w:rPr>
          <w:rFonts w:ascii="Times New Roman" w:hAnsi="Times New Roman"/>
          <w:sz w:val="24"/>
        </w:rPr>
      </w:pPr>
      <w:r>
        <w:rPr>
          <w:rFonts w:ascii="Times New Roman" w:hAnsi="Times New Roman"/>
          <w:color w:val="000000"/>
          <w:sz w:val="24"/>
        </w:rPr>
        <w:t>These Performance-Based Share Unit Grant Terms and Conditions (the “Grant Conditions”) shall apply and be part of the grant made by Essential Utilities, Inc., a Pennsylvania corporation (the “Company”), to the Grantee named in the Performance-Based Share Unit Grant (the “Performance-Based Unit Grant”) to which these Grant Conditions are attached (the “Grantee”), under the terms and provisions of the Essential Utilities, Inc. Amended and Restated Equity Compensation Plan, as amended and restated (the “Plan”). The applicable provisions of the Plan are incorporated into the Grant Conditions by reference, including the definitions of terms contained in the Plan (unless such terms are otherwise defined herein). The Grantee is an employee of the Company, its subsidiaries, or its Affiliates (collectively, the “Employer”).</w:t>
      </w:r>
      <w:r>
        <w:rPr>
          <w:rFonts w:ascii="Times New Roman" w:hAnsi="Times New Roman"/>
          <w:sz w:val="24"/>
        </w:rPr>
        <w:t xml:space="preserve"> </w:t>
      </w:r>
    </w:p>
    <w:p>
      <w:pPr>
        <w:pStyle w:val="TextBody"/>
        <w:bidi w:val="0"/>
        <w:spacing w:lineRule="atLeast" w:line="276" w:before="242" w:after="0"/>
        <w:ind w:left="1420" w:right="1564" w:firstLine="720"/>
        <w:jc w:val="left"/>
        <w:rPr>
          <w:rFonts w:ascii="Times New Roman" w:hAnsi="Times New Roman"/>
          <w:sz w:val="24"/>
        </w:rPr>
      </w:pPr>
      <w:r>
        <w:rPr>
          <w:rFonts w:ascii="Times New Roman" w:hAnsi="Times New Roman"/>
          <w:color w:val="000000"/>
          <w:sz w:val="24"/>
        </w:rPr>
        <w:t xml:space="preserve">Subject to the terms and vesting conditions hereinafter set forth, the Company, with the approval and at the direction of the Executive Compensation Committee (the “Committee”) of the Company’s Board of Directors (the “Board”), has granted to the Grantee a target award (the “Target Award”) of performance-based share units as specified in the Performance-Based Share Unit Grant (the “Performance Units”). The Performance Units are contingently awarded and shall be earned, vested and payable if and to the extent that the performance goals described on </w:t>
      </w:r>
      <w:r>
        <w:rPr>
          <w:rFonts w:ascii="Times New Roman" w:hAnsi="Times New Roman"/>
          <w:color w:val="000000"/>
          <w:sz w:val="24"/>
          <w:u w:val="single"/>
        </w:rPr>
        <w:t>Schedule A</w:t>
      </w:r>
      <w:r>
        <w:rPr>
          <w:rFonts w:ascii="Times New Roman" w:hAnsi="Times New Roman"/>
          <w:color w:val="000000"/>
          <w:sz w:val="24"/>
        </w:rPr>
        <w:t xml:space="preserve"> (the “Performance Goals”), employment conditions and other conditions of these Grant Conditions are met. The Performance Units are granted with Dividend Equivalents (as defined in Section 6).</w:t>
      </w:r>
      <w:r>
        <w:rPr>
          <w:rFonts w:ascii="Times New Roman" w:hAnsi="Times New Roman"/>
          <w:sz w:val="24"/>
        </w:rPr>
        <w:t xml:space="preserve"> </w:t>
      </w:r>
    </w:p>
    <w:p>
      <w:pPr>
        <w:pStyle w:val="TextBody"/>
        <w:bidi w:val="0"/>
        <w:spacing w:lineRule="atLeast" w:line="276" w:before="238" w:after="0"/>
        <w:ind w:left="1420" w:right="1420" w:hanging="0"/>
        <w:jc w:val="left"/>
        <w:rPr>
          <w:rFonts w:ascii="Times New Roman" w:hAnsi="Times New Roman"/>
          <w:sz w:val="24"/>
        </w:rPr>
      </w:pPr>
      <w:r>
        <w:rPr>
          <w:rFonts w:ascii="Times New Roman" w:hAnsi="Times New Roman"/>
          <w:color w:val="000000"/>
          <w:sz w:val="24"/>
          <w:u w:val="single"/>
        </w:rPr>
        <w:t>2.Vesting</w:t>
      </w:r>
      <w:r>
        <w:rPr>
          <w:rFonts w:ascii="Times New Roman" w:hAnsi="Times New Roman"/>
          <w:color w:val="000000"/>
          <w:sz w:val="24"/>
        </w:rPr>
        <w:t>.</w:t>
      </w:r>
      <w:r>
        <w:rPr>
          <w:rFonts w:ascii="Times New Roman" w:hAnsi="Times New Roman"/>
          <w:sz w:val="24"/>
        </w:rPr>
        <w:t xml:space="preserve"> </w:t>
      </w:r>
    </w:p>
    <w:p>
      <w:pPr>
        <w:pStyle w:val="TextBody"/>
        <w:bidi w:val="0"/>
        <w:spacing w:lineRule="atLeast" w:line="276" w:before="242" w:after="0"/>
        <w:ind w:left="1420" w:right="1420" w:firstLine="720"/>
        <w:jc w:val="left"/>
        <w:rPr>
          <w:rFonts w:ascii="Times New Roman" w:hAnsi="Times New Roman"/>
          <w:sz w:val="24"/>
        </w:rPr>
      </w:pPr>
      <w:r>
        <w:rPr>
          <w:rFonts w:ascii="Times New Roman" w:hAnsi="Times New Roman"/>
          <w:color w:val="000000"/>
          <w:sz w:val="24"/>
        </w:rPr>
        <w:t>Except as otherwise set forth in these Grant Conditions, the Grantee shall earn and vest in a number of Performance Units based on the attainment of the Performance Goals as of the end of the Performance Period, provided that the Grantee continues to be employed by the Employer through the Vesting Date stated on the Performance-Based Share Unit Grant (the “Vesting Date”). The “Performance Period” is the performance period beginning and ending on the applicable dates stated on the Performance-Based Share Unit Grant. The “Vesting Period” is the period beginning on the Grant Date and ending on the Vesting Date.</w:t>
      </w:r>
      <w:r>
        <w:rPr>
          <w:rFonts w:ascii="Times New Roman" w:hAnsi="Times New Roman"/>
          <w:sz w:val="24"/>
        </w:rPr>
        <w:t xml:space="preserve"> </w:t>
      </w:r>
    </w:p>
    <w:p>
      <w:pPr>
        <w:pStyle w:val="TextBody"/>
        <w:bidi w:val="0"/>
        <w:spacing w:lineRule="atLeast" w:line="276" w:before="243" w:after="0"/>
        <w:ind w:left="1420" w:right="1492" w:hanging="0"/>
        <w:jc w:val="left"/>
        <w:rPr>
          <w:rFonts w:ascii="Times New Roman" w:hAnsi="Times New Roman"/>
          <w:sz w:val="24"/>
        </w:rPr>
      </w:pPr>
      <w:r>
        <w:rPr>
          <w:rFonts w:ascii="Times New Roman" w:hAnsi="Times New Roman"/>
          <w:color w:val="000000"/>
          <w:sz w:val="24"/>
        </w:rPr>
        <w:t>(a)Except as otherwise set forth in these Grant Conditions, at the end of the Performance Period, the Committee will determine whether and to what extent the Performance Goals have been met and the amount earned with respect to the Performance Units. The Grantee can earn up to two hundred percent (200%) of the Target Award based on the attainment of the Performance Goals.</w:t>
      </w:r>
      <w:r>
        <w:rPr>
          <w:rFonts w:ascii="Times New Roman" w:hAnsi="Times New Roman"/>
          <w:sz w:val="24"/>
        </w:rPr>
        <w:t xml:space="preserve"> </w:t>
      </w:r>
    </w:p>
    <w:p>
      <w:pPr>
        <w:pStyle w:val="TextBody"/>
        <w:bidi w:val="0"/>
        <w:spacing w:before="0" w:after="0"/>
        <w:ind w:left="1420" w:right="1420" w:hanging="0"/>
        <w:jc w:val="left"/>
        <w:rPr/>
      </w:pPr>
      <w:r>
        <w:rPr/>
        <w:t xml:space="preserve">  </w:t>
      </w:r>
    </w:p>
    <w:p>
      <w:pPr>
        <w:pStyle w:val="HorizontalLine"/>
        <w:pBdr>
          <w:bottom w:val="double" w:sz="6" w:space="0" w:color="808080"/>
        </w:pBdr>
        <w:bidi w:val="0"/>
        <w:ind w:left="1420" w:right="1420" w:hanging="0"/>
        <w:jc w:val="left"/>
        <w:rPr/>
      </w:pPr>
      <w:r>
        <w:rPr/>
      </w:r>
    </w:p>
    <w:p>
      <w:pPr>
        <w:pStyle w:val="TextBody"/>
        <w:bidi w:val="0"/>
        <w:ind w:left="1420" w:right="1420" w:hanging="0"/>
        <w:jc w:val="left"/>
        <w:rPr/>
      </w:pPr>
      <w:r>
        <w:rPr/>
        <w:t> </w:t>
      </w:r>
      <w:r>
        <w:br w:type="page"/>
      </w:r>
    </w:p>
    <w:p>
      <w:pPr>
        <w:pStyle w:val="TextBody"/>
        <w:bidi w:val="0"/>
        <w:spacing w:lineRule="atLeast" w:line="276" w:before="11" w:after="0"/>
        <w:ind w:left="1420" w:right="1780" w:hanging="0"/>
        <w:jc w:val="left"/>
        <w:rPr>
          <w:rFonts w:ascii="Times New Roman" w:hAnsi="Times New Roman"/>
          <w:sz w:val="24"/>
        </w:rPr>
      </w:pPr>
      <w:r>
        <w:rPr>
          <w:rFonts w:ascii="Times New Roman" w:hAnsi="Times New Roman"/>
          <w:color w:val="000000"/>
          <w:sz w:val="24"/>
        </w:rPr>
        <w:t>(b)Except as described in Section 3 below, the Grantee must continue to be employed by the Employer throughout the Vesting Period in order for the Grantee to vest and receive payment with respect to the earned Performance Units.</w:t>
      </w:r>
      <w:r>
        <w:rPr>
          <w:rFonts w:ascii="Times New Roman" w:hAnsi="Times New Roman"/>
          <w:sz w:val="24"/>
        </w:rPr>
        <w:t xml:space="preserve"> </w:t>
      </w:r>
    </w:p>
    <w:p>
      <w:pPr>
        <w:pStyle w:val="TextBody"/>
        <w:bidi w:val="0"/>
        <w:spacing w:lineRule="atLeast" w:line="276" w:before="237" w:after="0"/>
        <w:ind w:left="1420" w:right="1636" w:hanging="0"/>
        <w:jc w:val="left"/>
        <w:rPr>
          <w:rFonts w:ascii="Times New Roman" w:hAnsi="Times New Roman"/>
          <w:sz w:val="24"/>
        </w:rPr>
      </w:pPr>
      <w:r>
        <w:rPr>
          <w:rFonts w:ascii="Times New Roman" w:hAnsi="Times New Roman"/>
          <w:color w:val="000000"/>
          <w:sz w:val="24"/>
        </w:rPr>
        <w:t>(c)Except as specifically provided below, no Performance Units shall vest prior to the Vesting Date, and if the Performance Goals are not attained at the end of the Performance Period, the Performance Units shall be immediately forfeited and shall cease to be outstanding.</w:t>
      </w:r>
      <w:r>
        <w:rPr>
          <w:rFonts w:ascii="Times New Roman" w:hAnsi="Times New Roman"/>
          <w:sz w:val="24"/>
        </w:rPr>
        <w:t xml:space="preserve"> </w:t>
      </w:r>
    </w:p>
    <w:p>
      <w:pPr>
        <w:pStyle w:val="TextBody"/>
        <w:bidi w:val="0"/>
        <w:spacing w:lineRule="atLeast" w:line="272" w:before="247" w:after="0"/>
        <w:ind w:left="1420" w:right="1420" w:hanging="0"/>
        <w:jc w:val="left"/>
        <w:rPr>
          <w:rFonts w:ascii="Times New Roman" w:hAnsi="Times New Roman"/>
          <w:sz w:val="24"/>
        </w:rPr>
      </w:pPr>
      <w:r>
        <w:rPr>
          <w:rFonts w:ascii="Times New Roman" w:hAnsi="Times New Roman"/>
          <w:color w:val="000000"/>
          <w:sz w:val="24"/>
          <w:u w:val="single"/>
        </w:rPr>
        <w:t>3.Termination of Employment on Account of Retirement, Death, or Disability</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37" w:after="0"/>
        <w:ind w:left="1420" w:right="1420" w:hanging="0"/>
        <w:jc w:val="left"/>
        <w:rPr>
          <w:rFonts w:ascii="Times New Roman" w:hAnsi="Times New Roman"/>
          <w:sz w:val="24"/>
        </w:rPr>
      </w:pPr>
      <w:r>
        <w:rPr>
          <w:rFonts w:ascii="Times New Roman" w:hAnsi="Times New Roman"/>
          <w:color w:val="000000"/>
          <w:sz w:val="24"/>
        </w:rPr>
        <w:t>(a)Except as described below, if the Grantee ceases to be employed by the Employer prior to the Vesting Date, the Performance Units shall be forfeited as of the termination date and shall cease to be outstanding.</w:t>
      </w:r>
      <w:r>
        <w:rPr>
          <w:rFonts w:ascii="Times New Roman" w:hAnsi="Times New Roman"/>
          <w:sz w:val="24"/>
        </w:rPr>
        <w:t xml:space="preserve"> </w:t>
      </w:r>
    </w:p>
    <w:p>
      <w:pPr>
        <w:pStyle w:val="TextBody"/>
        <w:bidi w:val="0"/>
        <w:spacing w:lineRule="atLeast" w:line="275" w:before="246" w:after="0"/>
        <w:ind w:left="1420" w:right="1564" w:hanging="0"/>
        <w:jc w:val="left"/>
        <w:rPr>
          <w:rFonts w:ascii="Times New Roman" w:hAnsi="Times New Roman"/>
          <w:sz w:val="24"/>
        </w:rPr>
      </w:pPr>
      <w:r>
        <w:rPr>
          <w:rFonts w:ascii="Times New Roman" w:hAnsi="Times New Roman"/>
          <w:color w:val="000000"/>
          <w:sz w:val="24"/>
        </w:rPr>
        <w:t>(b)If the Grantee ceases to be employed by the Employer during the Vesting Period on account of the Grantee’s death or Disability, the Grantee’s outstanding Performance Units shall remain outstanding through the Vesting Period and the Grantee shall earn Performance Units based on the attainment of the Performance Goals, as determined following the end of the Performance Period (or as described in Section 4, if applicable). The earned Performance Units shall be paid as described in Section 5.</w:t>
      </w:r>
      <w:r>
        <w:rPr>
          <w:rFonts w:ascii="Times New Roman" w:hAnsi="Times New Roman"/>
          <w:sz w:val="24"/>
        </w:rPr>
        <w:t xml:space="preserve"> </w:t>
      </w:r>
    </w:p>
    <w:p>
      <w:pPr>
        <w:pStyle w:val="TextBody"/>
        <w:bidi w:val="0"/>
        <w:spacing w:lineRule="atLeast" w:line="276" w:before="243" w:after="0"/>
        <w:ind w:left="1420" w:right="1636" w:hanging="0"/>
        <w:jc w:val="left"/>
        <w:rPr>
          <w:rFonts w:ascii="Times New Roman" w:hAnsi="Times New Roman"/>
          <w:sz w:val="24"/>
        </w:rPr>
      </w:pPr>
      <w:r>
        <w:rPr>
          <w:rFonts w:ascii="Times New Roman" w:hAnsi="Times New Roman"/>
          <w:color w:val="000000"/>
          <w:sz w:val="24"/>
        </w:rPr>
        <w:t>(c)If the Grantee ceases to be employed by the Employer during the Vesting Period on account of Retirement (defined below), the Grantee shall remain eligible to earn the outstanding Performance Units based on attainment of the Performance Goals, as determined following the end of the Performance Period (or as described in Section 4, if applicable). The earned portion shall be determined based on the number of Performance Units earned based on the attainment of the Performance Goals during the Performance Period, without proration. The earned Performance Units shall be paid as described in Section 5.</w:t>
      </w:r>
      <w:r>
        <w:rPr>
          <w:rFonts w:ascii="Times New Roman" w:hAnsi="Times New Roman"/>
          <w:sz w:val="24"/>
        </w:rPr>
        <w:t xml:space="preserve"> </w:t>
      </w:r>
    </w:p>
    <w:p>
      <w:pPr>
        <w:pStyle w:val="TextBody"/>
        <w:bidi w:val="0"/>
        <w:spacing w:lineRule="atLeast" w:line="276" w:before="237" w:after="0"/>
        <w:ind w:left="1420" w:right="1420" w:hanging="0"/>
        <w:jc w:val="left"/>
        <w:rPr>
          <w:rFonts w:ascii="Times New Roman" w:hAnsi="Times New Roman"/>
          <w:sz w:val="24"/>
        </w:rPr>
      </w:pPr>
      <w:r>
        <w:rPr>
          <w:rFonts w:ascii="Times New Roman" w:hAnsi="Times New Roman"/>
          <w:color w:val="000000"/>
          <w:sz w:val="24"/>
        </w:rPr>
        <w:t>(d)For purposes of these Grant Conditions, “Retirement” shall mean (i) the Grantee’s voluntary termination of employment after (A) the Grantee has attained age fifty-five (55) and has five (5) full years of service with the Employer or (B) a combination of age and years of service equal to at least 60, and (ii) the Grantee has provided the Company at least six (6) months advance written notice of such Retirement.</w:t>
      </w:r>
      <w:r>
        <w:rPr>
          <w:rFonts w:ascii="Times New Roman" w:hAnsi="Times New Roman"/>
          <w:sz w:val="24"/>
        </w:rPr>
        <w:t xml:space="preserve"> </w:t>
      </w:r>
    </w:p>
    <w:p>
      <w:pPr>
        <w:pStyle w:val="TextBody"/>
        <w:bidi w:val="0"/>
        <w:spacing w:lineRule="atLeast" w:line="272" w:before="247" w:after="0"/>
        <w:ind w:left="1420" w:right="1420" w:hanging="0"/>
        <w:jc w:val="left"/>
        <w:rPr>
          <w:rFonts w:ascii="Times New Roman" w:hAnsi="Times New Roman"/>
          <w:sz w:val="24"/>
        </w:rPr>
      </w:pPr>
      <w:r>
        <w:rPr>
          <w:rFonts w:ascii="Times New Roman" w:hAnsi="Times New Roman"/>
          <w:color w:val="000000"/>
          <w:sz w:val="24"/>
          <w:u w:val="single"/>
        </w:rPr>
        <w:t>4.Change in Control</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37" w:after="0"/>
        <w:ind w:left="1420" w:right="1636" w:hanging="0"/>
        <w:jc w:val="left"/>
        <w:rPr>
          <w:rFonts w:ascii="Times New Roman" w:hAnsi="Times New Roman"/>
          <w:sz w:val="24"/>
        </w:rPr>
      </w:pPr>
      <w:r>
        <w:rPr>
          <w:rFonts w:ascii="Times New Roman" w:hAnsi="Times New Roman"/>
          <w:color w:val="000000"/>
          <w:sz w:val="24"/>
        </w:rPr>
        <w:t>(a)If a Change in Control occurs during the Vesting Period, the Grantee shall earn outstanding Performance Units as of the date of the Change in Control (the “Change in Control Date”) as follows:</w:t>
      </w:r>
      <w:r>
        <w:rPr>
          <w:rFonts w:ascii="Times New Roman" w:hAnsi="Times New Roman"/>
          <w:sz w:val="24"/>
        </w:rPr>
        <w:t xml:space="preserve"> </w:t>
      </w:r>
    </w:p>
    <w:p>
      <w:pPr>
        <w:pStyle w:val="TextBody"/>
        <w:bidi w:val="0"/>
        <w:spacing w:lineRule="atLeast" w:line="275" w:before="244" w:after="1302"/>
        <w:ind w:left="1420" w:right="1492" w:hanging="0"/>
        <w:jc w:val="left"/>
        <w:rPr>
          <w:rFonts w:ascii="Times New Roman" w:hAnsi="Times New Roman"/>
          <w:sz w:val="24"/>
        </w:rPr>
      </w:pPr>
      <w:r>
        <w:rPr>
          <w:rFonts w:ascii="Times New Roman" w:hAnsi="Times New Roman"/>
          <w:color w:val="000000"/>
          <w:sz w:val="24"/>
        </w:rPr>
        <w:t>(i)If the Change in Control occurs before the end of the Performance Period, the Grantee shall earn the greater of (x) the number of Performance Units earned based on the attainment of the Performance Goals from the beginning of the Performance Period to the Change in Control Date, or (y) the Target Award.</w:t>
      </w:r>
      <w:r>
        <w:rPr>
          <w:rFonts w:ascii="Times New Roman" w:hAnsi="Times New Roman"/>
          <w:sz w:val="24"/>
        </w:rPr>
        <w:t xml:space="preserve"> </w:t>
      </w:r>
    </w:p>
    <w:p>
      <w:pPr>
        <w:pStyle w:val="TextBody"/>
        <w:bidi w:val="0"/>
        <w:spacing w:lineRule="atLeast" w:line="275" w:before="244" w:after="1302"/>
        <w:ind w:left="1420" w:right="1420" w:hanging="0"/>
        <w:jc w:val="left"/>
        <w:rPr/>
      </w:pPr>
      <w:r>
        <w:rPr/>
        <w:t xml:space="preserve">  </w:t>
      </w:r>
    </w:p>
    <w:p>
      <w:pPr>
        <w:pStyle w:val="TextBody"/>
        <w:bidi w:val="0"/>
        <w:spacing w:lineRule="atLeast" w:line="272" w:before="3" w:after="0"/>
        <w:ind w:left="1420" w:right="1420" w:hanging="0"/>
        <w:jc w:val="center"/>
        <w:rPr>
          <w:rFonts w:ascii="Times New Roman" w:hAnsi="Times New Roman"/>
          <w:sz w:val="24"/>
        </w:rPr>
      </w:pPr>
      <w:r>
        <w:rPr>
          <w:rFonts w:ascii="Times New Roman" w:hAnsi="Times New Roman"/>
          <w:color w:val="000000"/>
          <w:sz w:val="24"/>
        </w:rPr>
        <w:t>2</w:t>
      </w:r>
      <w:r>
        <w:rPr>
          <w:rFonts w:ascii="Times New Roman" w:hAnsi="Times New Roman"/>
          <w:sz w:val="24"/>
        </w:rPr>
        <w:t xml:space="preserve"> </w:t>
      </w:r>
    </w:p>
    <w:p>
      <w:pPr>
        <w:pStyle w:val="TextBody"/>
        <w:bidi w:val="0"/>
        <w:spacing w:before="0" w:after="0"/>
        <w:ind w:left="1420" w:right="1420" w:hanging="0"/>
        <w:jc w:val="left"/>
        <w:rPr/>
      </w:pPr>
      <w:r>
        <w:rPr/>
        <w:t xml:space="preserve">  </w:t>
      </w:r>
    </w:p>
    <w:p>
      <w:pPr>
        <w:pStyle w:val="HorizontalLine"/>
        <w:pBdr>
          <w:bottom w:val="double" w:sz="6" w:space="0" w:color="808080"/>
        </w:pBdr>
        <w:bidi w:val="0"/>
        <w:ind w:left="1400" w:right="1440" w:hanging="0"/>
        <w:jc w:val="left"/>
        <w:rPr/>
      </w:pPr>
      <w:r>
        <w:rPr/>
      </w:r>
    </w:p>
    <w:p>
      <w:pPr>
        <w:pStyle w:val="TextBody"/>
        <w:bidi w:val="0"/>
        <w:ind w:left="1400" w:right="1440" w:hanging="0"/>
        <w:jc w:val="left"/>
        <w:rPr/>
      </w:pPr>
      <w:r>
        <w:rPr/>
        <w:t> </w:t>
      </w:r>
      <w:r>
        <w:br w:type="page"/>
      </w:r>
    </w:p>
    <w:p>
      <w:pPr>
        <w:pStyle w:val="TextBody"/>
        <w:bidi w:val="0"/>
        <w:spacing w:lineRule="atLeast" w:line="276" w:before="10" w:after="0"/>
        <w:ind w:left="1472" w:right="1512" w:hanging="0"/>
        <w:jc w:val="left"/>
        <w:rPr>
          <w:rFonts w:ascii="Times New Roman" w:hAnsi="Times New Roman"/>
          <w:sz w:val="24"/>
        </w:rPr>
      </w:pPr>
      <w:r>
        <w:rPr>
          <w:rFonts w:ascii="Times New Roman" w:hAnsi="Times New Roman"/>
          <w:color w:val="000000"/>
          <w:sz w:val="24"/>
        </w:rPr>
        <w:t>(ii)If a Change in Control occurs after the end of the Performance Period but before the Vesting Date, the Grantee shall earn Performance Units based on the attainment of the Performance Goals as of the end of the Performance Period.</w:t>
      </w:r>
      <w:r>
        <w:rPr>
          <w:rFonts w:ascii="Times New Roman" w:hAnsi="Times New Roman"/>
          <w:sz w:val="24"/>
        </w:rPr>
        <w:t xml:space="preserve"> </w:t>
      </w:r>
    </w:p>
    <w:p>
      <w:pPr>
        <w:pStyle w:val="TextBody"/>
        <w:bidi w:val="0"/>
        <w:spacing w:lineRule="atLeast" w:line="276" w:before="237" w:after="0"/>
        <w:ind w:left="1472" w:right="1800" w:hanging="0"/>
        <w:jc w:val="left"/>
        <w:rPr>
          <w:rFonts w:ascii="Times New Roman" w:hAnsi="Times New Roman"/>
          <w:sz w:val="24"/>
        </w:rPr>
      </w:pPr>
      <w:r>
        <w:rPr>
          <w:rFonts w:ascii="Times New Roman" w:hAnsi="Times New Roman"/>
          <w:color w:val="000000"/>
          <w:sz w:val="24"/>
        </w:rPr>
        <w:t>Performance Units earned as of the Change in Control Date, as described above in subsection (a)(i) or (ii), are referred to as the “CIC Earned Units.” All reference in this Agreement to “Performance Units” includes CIC Earned Units on and after a Change in Control.</w:t>
      </w:r>
      <w:r>
        <w:rPr>
          <w:rFonts w:ascii="Times New Roman" w:hAnsi="Times New Roman"/>
          <w:sz w:val="24"/>
        </w:rPr>
        <w:t xml:space="preserve"> </w:t>
      </w:r>
    </w:p>
    <w:p>
      <w:pPr>
        <w:pStyle w:val="TextBody"/>
        <w:bidi w:val="0"/>
        <w:spacing w:lineRule="atLeast" w:line="275" w:before="244" w:after="0"/>
        <w:ind w:left="1472" w:right="1512" w:hanging="0"/>
        <w:jc w:val="left"/>
        <w:rPr>
          <w:rFonts w:ascii="Times New Roman" w:hAnsi="Times New Roman"/>
          <w:sz w:val="24"/>
        </w:rPr>
      </w:pPr>
      <w:r>
        <w:rPr>
          <w:rFonts w:ascii="Times New Roman" w:hAnsi="Times New Roman"/>
          <w:color w:val="000000"/>
          <w:sz w:val="24"/>
        </w:rPr>
        <w:t>(b)The Grantee shall vest in the CIC Earned Units on the Vesting Date if the Grantee continues to be employed by the Employer through the Vesting Date. Except as described below, the CIC Earned Units shall only vest if the Grantee continues to be employed by the Employer through the Vesting Date.</w:t>
      </w:r>
      <w:r>
        <w:rPr>
          <w:rFonts w:ascii="Times New Roman" w:hAnsi="Times New Roman"/>
          <w:sz w:val="24"/>
        </w:rPr>
        <w:t xml:space="preserve"> </w:t>
      </w:r>
    </w:p>
    <w:p>
      <w:pPr>
        <w:pStyle w:val="TextBody"/>
        <w:bidi w:val="0"/>
        <w:spacing w:lineRule="atLeast" w:line="274" w:before="248" w:after="0"/>
        <w:ind w:left="1472" w:right="1512" w:hanging="0"/>
        <w:jc w:val="left"/>
        <w:rPr>
          <w:rFonts w:ascii="Times New Roman" w:hAnsi="Times New Roman"/>
          <w:sz w:val="24"/>
        </w:rPr>
      </w:pPr>
      <w:r>
        <w:rPr>
          <w:rFonts w:ascii="Times New Roman" w:hAnsi="Times New Roman"/>
          <w:color w:val="000000"/>
          <w:sz w:val="24"/>
        </w:rPr>
        <w:t>(c)If prior to the Vesting Date, a Change in Control occurs and the Grantee ceases to be employed by the Employer upon or following a Change in Control on account of (i) the Grantee’s Retirement, (ii) the Grantee’s termination by the Company without Cause, (iii) the termination by the Grantee for Good Reason (defined below), or (iv) the Grantee’s Disability or death, the CIC Earned Units shall vest as of the termination date.</w:t>
      </w:r>
      <w:r>
        <w:rPr>
          <w:rFonts w:ascii="Times New Roman" w:hAnsi="Times New Roman"/>
          <w:sz w:val="24"/>
        </w:rPr>
        <w:t xml:space="preserve"> </w:t>
      </w:r>
    </w:p>
    <w:p>
      <w:pPr>
        <w:pStyle w:val="TextBody"/>
        <w:bidi w:val="0"/>
        <w:spacing w:lineRule="atLeast" w:line="275" w:before="244" w:after="0"/>
        <w:ind w:left="1472" w:right="1728" w:hanging="0"/>
        <w:jc w:val="left"/>
        <w:rPr>
          <w:rFonts w:ascii="Times New Roman" w:hAnsi="Times New Roman"/>
          <w:sz w:val="24"/>
        </w:rPr>
      </w:pPr>
      <w:r>
        <w:rPr>
          <w:rFonts w:ascii="Times New Roman" w:hAnsi="Times New Roman"/>
          <w:color w:val="000000"/>
          <w:sz w:val="24"/>
        </w:rPr>
        <w:t>(d)Notwithstanding the foregoing, if the CIC Earned Units are not assumed by, or replaced with comparable rights by, the surviving corporation (or a parent or subsidiary of the surviving corporation), the CIC Earned Units shall fully vest immediately prior to the consummation of the Change in Control).</w:t>
      </w:r>
      <w:r>
        <w:rPr>
          <w:rFonts w:ascii="Times New Roman" w:hAnsi="Times New Roman"/>
          <w:sz w:val="24"/>
        </w:rPr>
        <w:t xml:space="preserve"> </w:t>
      </w:r>
    </w:p>
    <w:p>
      <w:pPr>
        <w:pStyle w:val="TextBody"/>
        <w:bidi w:val="0"/>
        <w:spacing w:lineRule="atLeast" w:line="276" w:before="242" w:after="0"/>
        <w:ind w:left="1472" w:right="1512" w:hanging="0"/>
        <w:jc w:val="left"/>
        <w:rPr>
          <w:rFonts w:ascii="Times New Roman" w:hAnsi="Times New Roman"/>
          <w:sz w:val="24"/>
        </w:rPr>
      </w:pPr>
      <w:r>
        <w:rPr>
          <w:rFonts w:ascii="Times New Roman" w:hAnsi="Times New Roman"/>
          <w:color w:val="000000"/>
          <w:sz w:val="24"/>
        </w:rPr>
        <w:t>(e)For purposes hereof, “Good Reason” shall have the meaning set forth in any written severance or employment agreement between the Grantee and Essential Utilities or, if there is no such agreement or such agreement does not define Good Reason, shall mean, except as otherwise provided in the last paragraph of this subsection, a termination of employment as a result of one or more of the following events, without the Grantee’s written consent to the event:</w:t>
      </w:r>
      <w:r>
        <w:rPr>
          <w:rFonts w:ascii="Times New Roman" w:hAnsi="Times New Roman"/>
          <w:sz w:val="24"/>
        </w:rPr>
        <w:t xml:space="preserve"> </w:t>
      </w:r>
    </w:p>
    <w:p>
      <w:pPr>
        <w:pStyle w:val="TextBody"/>
        <w:bidi w:val="0"/>
        <w:spacing w:lineRule="atLeast" w:line="278" w:before="236" w:after="0"/>
        <w:ind w:left="1472" w:right="2088" w:hanging="0"/>
        <w:jc w:val="left"/>
        <w:rPr>
          <w:rFonts w:ascii="Times New Roman" w:hAnsi="Times New Roman"/>
          <w:sz w:val="24"/>
        </w:rPr>
      </w:pPr>
      <w:r>
        <w:rPr>
          <w:rFonts w:ascii="Times New Roman" w:hAnsi="Times New Roman"/>
          <w:color w:val="000000"/>
          <w:sz w:val="24"/>
        </w:rPr>
        <w:t>(i)any action or inaction that constitutes a material breach by Essential Utilities (or any successor thereto) of this Agreement;</w:t>
      </w:r>
      <w:r>
        <w:rPr>
          <w:rFonts w:ascii="Times New Roman" w:hAnsi="Times New Roman"/>
          <w:sz w:val="24"/>
        </w:rPr>
        <w:t xml:space="preserve"> </w:t>
      </w:r>
    </w:p>
    <w:p>
      <w:pPr>
        <w:pStyle w:val="TextBody"/>
        <w:bidi w:val="0"/>
        <w:spacing w:lineRule="atLeast" w:line="273" w:before="246" w:after="0"/>
        <w:ind w:left="1472" w:right="1944" w:hanging="0"/>
        <w:jc w:val="left"/>
        <w:rPr>
          <w:rFonts w:ascii="Times New Roman" w:hAnsi="Times New Roman"/>
          <w:sz w:val="24"/>
        </w:rPr>
      </w:pPr>
      <w:r>
        <w:rPr>
          <w:rFonts w:ascii="Times New Roman" w:hAnsi="Times New Roman"/>
          <w:color w:val="000000"/>
          <w:sz w:val="24"/>
        </w:rPr>
        <w:t>(ii)a material diminution of the authority, duties or responsibilities of the Grantee held immediately prior to the Change in Control;</w:t>
      </w:r>
      <w:r>
        <w:rPr>
          <w:rFonts w:ascii="Times New Roman" w:hAnsi="Times New Roman"/>
          <w:sz w:val="24"/>
        </w:rPr>
        <w:t xml:space="preserve"> </w:t>
      </w:r>
    </w:p>
    <w:p>
      <w:pPr>
        <w:pStyle w:val="TextBody"/>
        <w:bidi w:val="0"/>
        <w:spacing w:lineRule="atLeast" w:line="276" w:before="243" w:after="0"/>
        <w:ind w:left="1472" w:right="1512" w:hanging="0"/>
        <w:jc w:val="left"/>
        <w:rPr>
          <w:rFonts w:ascii="Times New Roman" w:hAnsi="Times New Roman"/>
          <w:sz w:val="24"/>
        </w:rPr>
      </w:pPr>
      <w:r>
        <w:rPr>
          <w:rFonts w:ascii="Times New Roman" w:hAnsi="Times New Roman"/>
          <w:color w:val="000000"/>
          <w:sz w:val="24"/>
        </w:rPr>
        <w:t>(iii)a material diminution in the Grantee’s base salary, which, for purposes of this Agreement, means a reduction in base salary of ten (10) percent or more that does not apply generally to all executive officers of Essential Utilities;</w:t>
      </w:r>
      <w:r>
        <w:rPr>
          <w:rFonts w:ascii="Times New Roman" w:hAnsi="Times New Roman"/>
          <w:sz w:val="24"/>
        </w:rPr>
        <w:t xml:space="preserve"> </w:t>
      </w:r>
    </w:p>
    <w:p>
      <w:pPr>
        <w:pStyle w:val="TextBody"/>
        <w:bidi w:val="0"/>
        <w:spacing w:lineRule="atLeast" w:line="276" w:before="237" w:after="0"/>
        <w:ind w:left="1472" w:right="1512" w:hanging="0"/>
        <w:jc w:val="left"/>
        <w:rPr>
          <w:rFonts w:ascii="Times New Roman" w:hAnsi="Times New Roman"/>
          <w:sz w:val="24"/>
        </w:rPr>
      </w:pPr>
      <w:r>
        <w:rPr>
          <w:rFonts w:ascii="Times New Roman" w:hAnsi="Times New Roman"/>
          <w:color w:val="000000"/>
          <w:sz w:val="24"/>
        </w:rPr>
        <w:t>(iv)a material change in the geographic location at which the Grantee must perform services under this Agreement, which, for purposes of this Agreement, means a requirement that the Grantee be based at any office or location which is located more than fifty (50) miles from the Grantee’s primary place of employment immediately prior to the Change in Control on other than on a temporary basis (less than 6 months);</w:t>
      </w:r>
      <w:r>
        <w:rPr>
          <w:rFonts w:ascii="Times New Roman" w:hAnsi="Times New Roman"/>
          <w:sz w:val="24"/>
        </w:rPr>
        <w:t xml:space="preserve"> </w:t>
      </w:r>
    </w:p>
    <w:p>
      <w:pPr>
        <w:pStyle w:val="TextBody"/>
        <w:bidi w:val="0"/>
        <w:spacing w:lineRule="atLeast" w:line="273" w:before="246" w:after="511"/>
        <w:ind w:left="1472" w:right="1728" w:hanging="0"/>
        <w:jc w:val="left"/>
        <w:rPr>
          <w:rFonts w:ascii="Times New Roman" w:hAnsi="Times New Roman"/>
          <w:sz w:val="24"/>
        </w:rPr>
      </w:pPr>
      <w:r>
        <w:rPr>
          <w:rFonts w:ascii="Times New Roman" w:hAnsi="Times New Roman"/>
          <w:color w:val="000000"/>
          <w:sz w:val="24"/>
        </w:rPr>
        <w:t>(v)a material diminution in the authority, duties, or responsibilities of the supervisor to whom the Grantee is required to report, including a requirement that the Grantee</w:t>
      </w:r>
      <w:r>
        <w:rPr>
          <w:rFonts w:ascii="Times New Roman" w:hAnsi="Times New Roman"/>
          <w:sz w:val="24"/>
        </w:rPr>
        <w:t xml:space="preserve"> </w:t>
      </w:r>
    </w:p>
    <w:p>
      <w:pPr>
        <w:pStyle w:val="TextBody"/>
        <w:bidi w:val="0"/>
        <w:spacing w:lineRule="atLeast" w:line="273" w:before="246" w:after="511"/>
        <w:ind w:left="1400" w:right="1440" w:hanging="0"/>
        <w:jc w:val="left"/>
        <w:rPr/>
      </w:pPr>
      <w:r>
        <w:rPr/>
        <w:t xml:space="preserve">  </w:t>
      </w:r>
    </w:p>
    <w:p>
      <w:pPr>
        <w:pStyle w:val="TextBody"/>
        <w:bidi w:val="0"/>
        <w:spacing w:lineRule="atLeast" w:line="271" w:before="3" w:after="0"/>
        <w:ind w:left="1420" w:right="1420" w:hanging="0"/>
        <w:jc w:val="center"/>
        <w:rPr>
          <w:rFonts w:ascii="Times New Roman" w:hAnsi="Times New Roman"/>
          <w:sz w:val="24"/>
        </w:rPr>
      </w:pPr>
      <w:r>
        <w:rPr>
          <w:rFonts w:ascii="Times New Roman" w:hAnsi="Times New Roman"/>
          <w:color w:val="000000"/>
          <w:sz w:val="24"/>
        </w:rPr>
        <w:t>3</w:t>
      </w:r>
      <w:r>
        <w:rPr>
          <w:rFonts w:ascii="Times New Roman" w:hAnsi="Times New Roman"/>
          <w:sz w:val="24"/>
        </w:rPr>
        <w:t xml:space="preserve"> </w:t>
      </w:r>
    </w:p>
    <w:p>
      <w:pPr>
        <w:pStyle w:val="TextBody"/>
        <w:bidi w:val="0"/>
        <w:spacing w:before="0" w:after="0"/>
        <w:ind w:left="1420" w:right="1420" w:hanging="0"/>
        <w:jc w:val="left"/>
        <w:rPr/>
      </w:pPr>
      <w:r>
        <w:rPr/>
        <w:t xml:space="preserve">  </w:t>
      </w:r>
    </w:p>
    <w:p>
      <w:pPr>
        <w:pStyle w:val="HorizontalLine"/>
        <w:pBdr>
          <w:bottom w:val="double" w:sz="6" w:space="0" w:color="808080"/>
        </w:pBdr>
        <w:bidi w:val="0"/>
        <w:ind w:left="1420" w:right="1420" w:hanging="0"/>
        <w:jc w:val="left"/>
        <w:rPr/>
      </w:pPr>
      <w:r>
        <w:rPr/>
      </w:r>
    </w:p>
    <w:p>
      <w:pPr>
        <w:pStyle w:val="TextBody"/>
        <w:bidi w:val="0"/>
        <w:ind w:left="1420" w:right="1420" w:hanging="0"/>
        <w:jc w:val="left"/>
        <w:rPr/>
      </w:pPr>
      <w:r>
        <w:rPr/>
        <w:t> </w:t>
      </w:r>
      <w:r>
        <w:br w:type="page"/>
      </w:r>
    </w:p>
    <w:p>
      <w:pPr>
        <w:pStyle w:val="TextBody"/>
        <w:bidi w:val="0"/>
        <w:spacing w:lineRule="atLeast" w:line="273" w:before="14" w:after="0"/>
        <w:ind w:left="1420" w:right="1492" w:hanging="0"/>
        <w:jc w:val="left"/>
        <w:rPr>
          <w:rFonts w:ascii="Times New Roman" w:hAnsi="Times New Roman"/>
          <w:sz w:val="24"/>
        </w:rPr>
      </w:pPr>
      <w:r>
        <w:rPr>
          <w:rFonts w:ascii="Times New Roman" w:hAnsi="Times New Roman"/>
          <w:color w:val="000000"/>
          <w:sz w:val="24"/>
        </w:rPr>
        <w:t>report to a corporate officer or employee instead of reporting directly to the board of directors of a corporation (or similar governing body with respect to an entity other than a corporation); or</w:t>
      </w:r>
      <w:r>
        <w:rPr>
          <w:rFonts w:ascii="Times New Roman" w:hAnsi="Times New Roman"/>
          <w:sz w:val="24"/>
        </w:rPr>
        <w:t xml:space="preserve"> </w:t>
      </w:r>
    </w:p>
    <w:p>
      <w:pPr>
        <w:pStyle w:val="TextBody"/>
        <w:bidi w:val="0"/>
        <w:spacing w:lineRule="atLeast" w:line="273" w:before="246" w:after="0"/>
        <w:ind w:left="1420" w:right="2212" w:firstLine="1440"/>
        <w:jc w:val="left"/>
        <w:rPr>
          <w:rFonts w:ascii="Times New Roman" w:hAnsi="Times New Roman"/>
          <w:sz w:val="24"/>
        </w:rPr>
      </w:pPr>
      <w:r>
        <w:rPr>
          <w:rFonts w:ascii="Times New Roman" w:hAnsi="Times New Roman"/>
          <w:color w:val="000000"/>
          <w:sz w:val="24"/>
        </w:rPr>
        <w:t>(vi) a material diminution in the budget over which the Grantee retains authority.</w:t>
      </w:r>
      <w:r>
        <w:rPr>
          <w:rFonts w:ascii="Times New Roman" w:hAnsi="Times New Roman"/>
          <w:sz w:val="24"/>
        </w:rPr>
        <w:t xml:space="preserve"> </w:t>
      </w:r>
    </w:p>
    <w:p>
      <w:pPr>
        <w:pStyle w:val="TextBody"/>
        <w:bidi w:val="0"/>
        <w:spacing w:lineRule="atLeast" w:line="277" w:before="238" w:after="0"/>
        <w:ind w:left="1420" w:right="1564" w:hanging="0"/>
        <w:jc w:val="left"/>
        <w:rPr>
          <w:rFonts w:ascii="Times New Roman" w:hAnsi="Times New Roman"/>
          <w:sz w:val="24"/>
        </w:rPr>
      </w:pPr>
      <w:r>
        <w:rPr>
          <w:rFonts w:ascii="Times New Roman" w:hAnsi="Times New Roman"/>
          <w:color w:val="000000"/>
          <w:sz w:val="24"/>
        </w:rPr>
        <w:t>A termination of employment after any of the foregoing events shall be a Good Reason only if the Grantee provides written notice to Essential Utilities of the existence of such event within ninety (90) days after the initial occurrence of such event, and Essential Utilities fails to remedy the event within thirty (30) days following the receipt of such notice and the Grantee terminates employment within fifteen (15) days thereafter.</w:t>
      </w:r>
      <w:r>
        <w:rPr>
          <w:rFonts w:ascii="Times New Roman" w:hAnsi="Times New Roman"/>
          <w:sz w:val="24"/>
        </w:rPr>
        <w:t xml:space="preserve"> </w:t>
      </w:r>
    </w:p>
    <w:p>
      <w:pPr>
        <w:pStyle w:val="TextBody"/>
        <w:bidi w:val="0"/>
        <w:spacing w:lineRule="atLeast" w:line="279" w:before="234" w:after="0"/>
        <w:ind w:left="1420" w:right="1420" w:hanging="0"/>
        <w:jc w:val="left"/>
        <w:rPr>
          <w:rFonts w:ascii="Times New Roman" w:hAnsi="Times New Roman"/>
          <w:sz w:val="24"/>
        </w:rPr>
      </w:pPr>
      <w:r>
        <w:rPr>
          <w:rFonts w:ascii="Times New Roman" w:hAnsi="Times New Roman"/>
          <w:color w:val="000000"/>
          <w:sz w:val="24"/>
        </w:rPr>
        <w:t>(f)If the Grantee ceases to be employed by the Employer for any other reason before the Vesting Date, they shall forfeit Grantee the CIC Earned Units as of the date of termination.</w:t>
      </w:r>
      <w:r>
        <w:rPr>
          <w:rFonts w:ascii="Times New Roman" w:hAnsi="Times New Roman"/>
          <w:sz w:val="24"/>
        </w:rPr>
        <w:t xml:space="preserve"> </w:t>
      </w:r>
    </w:p>
    <w:p>
      <w:pPr>
        <w:pStyle w:val="TextBody"/>
        <w:bidi w:val="0"/>
        <w:spacing w:lineRule="atLeast" w:line="272" w:before="241" w:after="0"/>
        <w:ind w:left="1420" w:right="1420" w:hanging="0"/>
        <w:jc w:val="left"/>
        <w:rPr>
          <w:rFonts w:ascii="Times New Roman" w:hAnsi="Times New Roman"/>
          <w:sz w:val="24"/>
        </w:rPr>
      </w:pPr>
      <w:r>
        <w:rPr>
          <w:rFonts w:ascii="Times New Roman" w:hAnsi="Times New Roman"/>
          <w:color w:val="000000"/>
          <w:sz w:val="24"/>
          <w:u w:val="single"/>
        </w:rPr>
        <w:t>5.Payment with Respect to Performance Units</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3" w:after="0"/>
        <w:ind w:left="1420" w:right="1564" w:hanging="0"/>
        <w:jc w:val="left"/>
        <w:rPr>
          <w:rFonts w:ascii="Times New Roman" w:hAnsi="Times New Roman"/>
          <w:sz w:val="24"/>
        </w:rPr>
      </w:pPr>
      <w:r>
        <w:rPr>
          <w:rFonts w:ascii="Times New Roman" w:hAnsi="Times New Roman"/>
          <w:color w:val="000000"/>
          <w:sz w:val="24"/>
        </w:rPr>
        <w:t>(a)Except as otherwise set forth in Section 4, if the Committee certifies that the Performance Goals and other conditions to payment of the Performance Units have been met, shares of Company Stock equal to the vested earned Performance Units shall be issued to the Grantee within sixty (60) days after the Vesting Date, subject to applicable tax withholding and Section 16 below.</w:t>
      </w:r>
      <w:r>
        <w:rPr>
          <w:rFonts w:ascii="Times New Roman" w:hAnsi="Times New Roman"/>
          <w:sz w:val="24"/>
        </w:rPr>
        <w:t xml:space="preserve"> </w:t>
      </w:r>
    </w:p>
    <w:p>
      <w:pPr>
        <w:pStyle w:val="TextBody"/>
        <w:bidi w:val="0"/>
        <w:spacing w:lineRule="atLeast" w:line="276" w:before="237" w:after="0"/>
        <w:ind w:left="1420" w:right="1420" w:hanging="0"/>
        <w:jc w:val="left"/>
        <w:rPr>
          <w:rFonts w:ascii="Times New Roman" w:hAnsi="Times New Roman"/>
          <w:sz w:val="24"/>
        </w:rPr>
      </w:pPr>
      <w:r>
        <w:rPr>
          <w:rFonts w:ascii="Times New Roman" w:hAnsi="Times New Roman"/>
          <w:color w:val="000000"/>
          <w:sz w:val="24"/>
        </w:rPr>
        <w:t>(b)If, prior to the Vesting Date, a Change in Control occurs and the Grantee continues to be employed by the Employer through the Vesting Date, shares of Company Stock (or other consideration, as described below) equal to the vested CIC Earned Units shall be issued to the Grantee within sixty (60) days after the Vesting Date, subject to applicable tax withholding and Section 16 below.</w:t>
      </w:r>
      <w:r>
        <w:rPr>
          <w:rFonts w:ascii="Times New Roman" w:hAnsi="Times New Roman"/>
          <w:sz w:val="24"/>
        </w:rPr>
        <w:t xml:space="preserve"> </w:t>
      </w:r>
    </w:p>
    <w:p>
      <w:pPr>
        <w:pStyle w:val="TextBody"/>
        <w:bidi w:val="0"/>
        <w:spacing w:lineRule="atLeast" w:line="275" w:before="246" w:after="0"/>
        <w:ind w:left="1420" w:right="1420" w:hanging="0"/>
        <w:jc w:val="left"/>
        <w:rPr>
          <w:rFonts w:ascii="Times New Roman" w:hAnsi="Times New Roman"/>
          <w:sz w:val="24"/>
        </w:rPr>
      </w:pPr>
      <w:r>
        <w:rPr>
          <w:rFonts w:ascii="Times New Roman" w:hAnsi="Times New Roman"/>
          <w:color w:val="000000"/>
          <w:sz w:val="24"/>
        </w:rPr>
        <w:t>(c)If, prior to the Vesting Date, a Change in Control occurs and the Grantee ceases to be employed by the Employer on or after the Change in Control on account of (i) the Grantee’s Retirement, (ii) the Grantee’s termination by the Employer without Cause, or (iii) the Grantee’s Disability or death, shares of Company Stock (or other consideration, as described below) equal to the vested CIC Earned Units shall be issued to the Grantee within sixty (60) days following the Grantee’s date of termination, subject to applicable tax withholding and Section 16 below.</w:t>
      </w:r>
      <w:r>
        <w:rPr>
          <w:rFonts w:ascii="Times New Roman" w:hAnsi="Times New Roman"/>
          <w:sz w:val="24"/>
        </w:rPr>
        <w:t xml:space="preserve"> </w:t>
      </w:r>
    </w:p>
    <w:p>
      <w:pPr>
        <w:pStyle w:val="TextBody"/>
        <w:bidi w:val="0"/>
        <w:spacing w:lineRule="atLeast" w:line="276" w:before="243" w:after="0"/>
        <w:ind w:left="1420" w:right="1420" w:hanging="0"/>
        <w:jc w:val="left"/>
        <w:rPr>
          <w:rFonts w:ascii="Times New Roman" w:hAnsi="Times New Roman"/>
          <w:sz w:val="24"/>
        </w:rPr>
      </w:pPr>
      <w:r>
        <w:rPr>
          <w:rFonts w:ascii="Times New Roman" w:hAnsi="Times New Roman"/>
          <w:color w:val="000000"/>
          <w:sz w:val="24"/>
        </w:rPr>
        <w:t>(d)Notwithstanding Sections 5(b) and 5(c), if Section 4(d) applies in connection with a Change in Control, shares of Company Stock (or other consideration, as described below) equal to the vested CIC Earned Units shall be issued to the Grantee within sixty (60) days after the consummation of the Change in Control, subject to applicable tax withholding and Section 16 below.</w:t>
      </w:r>
      <w:r>
        <w:rPr>
          <w:rFonts w:ascii="Times New Roman" w:hAnsi="Times New Roman"/>
          <w:sz w:val="24"/>
        </w:rPr>
        <w:t xml:space="preserve"> </w:t>
      </w:r>
    </w:p>
    <w:p>
      <w:pPr>
        <w:pStyle w:val="TextBody"/>
        <w:bidi w:val="0"/>
        <w:spacing w:lineRule="atLeast" w:line="275" w:before="241" w:after="476"/>
        <w:ind w:left="1420" w:right="1420" w:hanging="0"/>
        <w:jc w:val="left"/>
        <w:rPr>
          <w:rFonts w:ascii="Times New Roman" w:hAnsi="Times New Roman"/>
          <w:sz w:val="24"/>
        </w:rPr>
      </w:pPr>
      <w:r>
        <w:rPr>
          <w:rFonts w:ascii="Times New Roman" w:hAnsi="Times New Roman"/>
          <w:color w:val="000000"/>
          <w:sz w:val="24"/>
        </w:rPr>
        <w:t>(e)If the Grantee terminates employment on account of the Grantee’s Disability, death or Retirement before a Change in Control, any outstanding Performance Units under Section 3(b) or 3(c) may be earned as CIC Earned Units pursuant to Section 4(a), but in the event such termination is on account of Retirement, such outstanding Performance Units shall be prorated by applying the fraction in Section 3(c), and such CIC Earned Units shall vest on the date of the Change in Control. Shares of Company Stock (or such other consideration, as</w:t>
      </w:r>
      <w:r>
        <w:rPr>
          <w:rFonts w:ascii="Times New Roman" w:hAnsi="Times New Roman"/>
          <w:sz w:val="24"/>
        </w:rPr>
        <w:t xml:space="preserve"> </w:t>
      </w:r>
    </w:p>
    <w:p>
      <w:pPr>
        <w:pStyle w:val="TextBody"/>
        <w:bidi w:val="0"/>
        <w:spacing w:lineRule="atLeast" w:line="275" w:before="241" w:after="476"/>
        <w:ind w:left="1420" w:right="1420" w:hanging="0"/>
        <w:jc w:val="left"/>
        <w:rPr/>
      </w:pPr>
      <w:r>
        <w:rPr/>
        <w:t xml:space="preserve">  </w:t>
      </w:r>
    </w:p>
    <w:p>
      <w:pPr>
        <w:pStyle w:val="TextBody"/>
        <w:bidi w:val="0"/>
        <w:spacing w:lineRule="atLeast" w:line="272" w:before="0" w:after="0"/>
        <w:ind w:left="1420" w:right="1420" w:hanging="0"/>
        <w:jc w:val="center"/>
        <w:rPr>
          <w:rFonts w:ascii="Times New Roman" w:hAnsi="Times New Roman"/>
          <w:sz w:val="24"/>
        </w:rPr>
      </w:pPr>
      <w:r>
        <w:rPr>
          <w:rFonts w:ascii="Times New Roman" w:hAnsi="Times New Roman"/>
          <w:color w:val="000000"/>
          <w:sz w:val="24"/>
        </w:rPr>
        <w:t>4</w:t>
      </w:r>
      <w:r>
        <w:rPr>
          <w:rFonts w:ascii="Times New Roman" w:hAnsi="Times New Roman"/>
          <w:sz w:val="24"/>
        </w:rPr>
        <w:t xml:space="preserve"> </w:t>
      </w:r>
    </w:p>
    <w:p>
      <w:pPr>
        <w:pStyle w:val="TextBody"/>
        <w:bidi w:val="0"/>
        <w:spacing w:before="0" w:after="0"/>
        <w:ind w:left="1420" w:right="1420" w:hanging="0"/>
        <w:jc w:val="left"/>
        <w:rPr/>
      </w:pPr>
      <w:r>
        <w:rPr/>
        <w:t xml:space="preserve">  </w:t>
      </w:r>
    </w:p>
    <w:p>
      <w:pPr>
        <w:pStyle w:val="HorizontalLine"/>
        <w:pBdr>
          <w:bottom w:val="double" w:sz="6" w:space="0" w:color="808080"/>
        </w:pBdr>
        <w:bidi w:val="0"/>
        <w:ind w:left="1420" w:right="1420" w:hanging="0"/>
        <w:jc w:val="left"/>
        <w:rPr/>
      </w:pPr>
      <w:r>
        <w:rPr/>
      </w:r>
    </w:p>
    <w:p>
      <w:pPr>
        <w:pStyle w:val="TextBody"/>
        <w:bidi w:val="0"/>
        <w:ind w:left="1420" w:right="1420" w:hanging="0"/>
        <w:jc w:val="left"/>
        <w:rPr/>
      </w:pPr>
      <w:r>
        <w:rPr/>
        <w:t> </w:t>
      </w:r>
      <w:r>
        <w:br w:type="page"/>
      </w:r>
    </w:p>
    <w:p>
      <w:pPr>
        <w:pStyle w:val="TextBody"/>
        <w:bidi w:val="0"/>
        <w:spacing w:lineRule="atLeast" w:line="276" w:before="11" w:after="0"/>
        <w:ind w:left="1420" w:right="1420" w:hanging="0"/>
        <w:jc w:val="left"/>
        <w:rPr>
          <w:rFonts w:ascii="Times New Roman" w:hAnsi="Times New Roman"/>
          <w:sz w:val="24"/>
        </w:rPr>
      </w:pPr>
      <w:r>
        <w:rPr>
          <w:rFonts w:ascii="Times New Roman" w:hAnsi="Times New Roman"/>
          <w:color w:val="000000"/>
          <w:sz w:val="24"/>
        </w:rPr>
        <w:t>described below) equal to the vested CIC Earned Units shall be issued to the Grantee within sixty (60) days after the Change in Control, subject to applicable tax withholding and Section 16 below.</w:t>
      </w:r>
      <w:r>
        <w:rPr>
          <w:rFonts w:ascii="Times New Roman" w:hAnsi="Times New Roman"/>
          <w:sz w:val="24"/>
        </w:rPr>
        <w:t xml:space="preserve"> </w:t>
      </w:r>
    </w:p>
    <w:p>
      <w:pPr>
        <w:pStyle w:val="TextBody"/>
        <w:bidi w:val="0"/>
        <w:spacing w:lineRule="atLeast" w:line="276" w:before="237" w:after="0"/>
        <w:ind w:left="1420" w:right="1492" w:hanging="0"/>
        <w:jc w:val="left"/>
        <w:rPr>
          <w:rFonts w:ascii="Times New Roman" w:hAnsi="Times New Roman"/>
          <w:sz w:val="24"/>
        </w:rPr>
      </w:pPr>
      <w:r>
        <w:rPr>
          <w:rFonts w:ascii="Times New Roman" w:hAnsi="Times New Roman"/>
          <w:color w:val="000000"/>
          <w:sz w:val="24"/>
        </w:rPr>
        <w:t>(f)If, in connection with a Change in Control, shares of Company Stock are converted into the right to receive a cash payment or other form of consideration, the vested CIC Earned Units shall be payable in such form of consideration, as determined by the Committee.</w:t>
      </w:r>
      <w:r>
        <w:rPr>
          <w:rFonts w:ascii="Times New Roman" w:hAnsi="Times New Roman"/>
          <w:sz w:val="24"/>
        </w:rPr>
        <w:t xml:space="preserve"> </w:t>
      </w:r>
    </w:p>
    <w:p>
      <w:pPr>
        <w:pStyle w:val="TextBody"/>
        <w:bidi w:val="0"/>
        <w:spacing w:lineRule="atLeast" w:line="273" w:before="246" w:after="0"/>
        <w:ind w:left="1420" w:right="1780" w:hanging="0"/>
        <w:jc w:val="left"/>
        <w:rPr>
          <w:rFonts w:ascii="Times New Roman" w:hAnsi="Times New Roman"/>
          <w:sz w:val="24"/>
        </w:rPr>
      </w:pPr>
      <w:r>
        <w:rPr>
          <w:rFonts w:ascii="Times New Roman" w:hAnsi="Times New Roman"/>
          <w:color w:val="000000"/>
          <w:sz w:val="24"/>
        </w:rPr>
        <w:t>(g)Any fractional shares with respect to vested earned Performance Units shall be paid to the Grantee in cash.</w:t>
      </w:r>
      <w:r>
        <w:rPr>
          <w:rFonts w:ascii="Times New Roman" w:hAnsi="Times New Roman"/>
          <w:sz w:val="24"/>
        </w:rPr>
        <w:t xml:space="preserve"> </w:t>
      </w:r>
    </w:p>
    <w:p>
      <w:pPr>
        <w:pStyle w:val="TextBody"/>
        <w:bidi w:val="0"/>
        <w:spacing w:lineRule="atLeast" w:line="272" w:before="247" w:after="0"/>
        <w:ind w:left="1420" w:right="1420" w:hanging="0"/>
        <w:jc w:val="left"/>
        <w:rPr>
          <w:rFonts w:ascii="Times New Roman" w:hAnsi="Times New Roman"/>
          <w:sz w:val="24"/>
        </w:rPr>
      </w:pPr>
      <w:r>
        <w:rPr>
          <w:rFonts w:ascii="Times New Roman" w:hAnsi="Times New Roman"/>
          <w:color w:val="000000"/>
          <w:sz w:val="24"/>
          <w:u w:val="single"/>
        </w:rPr>
        <w:t>6.Dividend Equivalents with Respect to Performance Units</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5" w:before="241" w:after="0"/>
        <w:ind w:left="1420" w:right="1492" w:hanging="0"/>
        <w:jc w:val="left"/>
        <w:rPr>
          <w:rFonts w:ascii="Times New Roman" w:hAnsi="Times New Roman"/>
          <w:sz w:val="24"/>
        </w:rPr>
      </w:pPr>
      <w:r>
        <w:rPr>
          <w:rFonts w:ascii="Times New Roman" w:hAnsi="Times New Roman"/>
          <w:color w:val="000000"/>
          <w:sz w:val="24"/>
        </w:rPr>
        <w:t>(a)Dividend Equivalents shall accrue with respect to Performance Units and shall be payable subject to the same vesting terms and other conditions as the Performance Units to which they relate. Dividend Equivalents shall be credited when dividends are declared on shares of Company Stock from the Grant Date until payment date for the vested earned Performance Units. If and to the extent that the underlying Performance Units are forfeited, all related Dividend Equivalents shall also be forfeited.</w:t>
      </w:r>
      <w:r>
        <w:rPr>
          <w:rFonts w:ascii="Times New Roman" w:hAnsi="Times New Roman"/>
          <w:sz w:val="24"/>
        </w:rPr>
        <w:t xml:space="preserve"> </w:t>
      </w:r>
    </w:p>
    <w:p>
      <w:pPr>
        <w:pStyle w:val="TextBody"/>
        <w:bidi w:val="0"/>
        <w:spacing w:lineRule="atLeast" w:line="276" w:before="242" w:after="0"/>
        <w:ind w:left="1420" w:right="1492" w:hanging="0"/>
        <w:jc w:val="left"/>
        <w:rPr>
          <w:rFonts w:ascii="Times New Roman" w:hAnsi="Times New Roman"/>
          <w:sz w:val="24"/>
        </w:rPr>
      </w:pPr>
      <w:r>
        <w:rPr>
          <w:rFonts w:ascii="Times New Roman" w:hAnsi="Times New Roman"/>
          <w:color w:val="000000"/>
          <w:sz w:val="24"/>
        </w:rPr>
        <w:t>(b)While the Performance Units are outstanding, the Company will keep records in a bookkeeping account for the Grantee. On each date on which a dividend is declared by the Company on Company Stock, the Company shall credit to the Grantee’s account an amount equal to the Dividend Equivalents associated with the Performance Units held by the Grantee on the record date for the dividend. No interest will be credited to any such account.</w:t>
      </w:r>
      <w:r>
        <w:rPr>
          <w:rFonts w:ascii="Times New Roman" w:hAnsi="Times New Roman"/>
          <w:sz w:val="24"/>
        </w:rPr>
        <w:t xml:space="preserve"> </w:t>
      </w:r>
    </w:p>
    <w:p>
      <w:pPr>
        <w:pStyle w:val="TextBody"/>
        <w:bidi w:val="0"/>
        <w:spacing w:lineRule="atLeast" w:line="273" w:before="246" w:after="0"/>
        <w:ind w:left="1420" w:right="1924" w:hanging="0"/>
        <w:jc w:val="left"/>
        <w:rPr>
          <w:rFonts w:ascii="Times New Roman" w:hAnsi="Times New Roman"/>
          <w:sz w:val="24"/>
        </w:rPr>
      </w:pPr>
      <w:r>
        <w:rPr>
          <w:rFonts w:ascii="Times New Roman" w:hAnsi="Times New Roman"/>
          <w:color w:val="000000"/>
          <w:sz w:val="24"/>
        </w:rPr>
        <w:t>(c)Dividend Equivalents shall be paid in cash at the same time as the underlying vested earned Performance Units are paid.</w:t>
      </w:r>
      <w:r>
        <w:rPr>
          <w:rFonts w:ascii="Times New Roman" w:hAnsi="Times New Roman"/>
          <w:sz w:val="24"/>
        </w:rPr>
        <w:t xml:space="preserve"> </w:t>
      </w:r>
    </w:p>
    <w:p>
      <w:pPr>
        <w:pStyle w:val="TextBody"/>
        <w:bidi w:val="0"/>
        <w:spacing w:lineRule="atLeast" w:line="273" w:before="247" w:after="0"/>
        <w:ind w:left="1420" w:right="1492" w:hanging="0"/>
        <w:jc w:val="left"/>
        <w:rPr>
          <w:rFonts w:ascii="Times New Roman" w:hAnsi="Times New Roman"/>
          <w:sz w:val="24"/>
        </w:rPr>
      </w:pPr>
      <w:r>
        <w:rPr>
          <w:rFonts w:ascii="Times New Roman" w:hAnsi="Times New Roman"/>
          <w:color w:val="000000"/>
          <w:sz w:val="24"/>
        </w:rPr>
        <w:t>(d)Notwithstanding the foregoing, if shares of Company Stock are converted to cash as described in Section 5(f) above in connection with a Change in Control, Dividend Equivalents shall cease to be credited with respect to the Performance Units.</w:t>
      </w:r>
      <w:r>
        <w:rPr>
          <w:rFonts w:ascii="Times New Roman" w:hAnsi="Times New Roman"/>
          <w:sz w:val="24"/>
        </w:rPr>
        <w:t xml:space="preserve"> </w:t>
      </w:r>
    </w:p>
    <w:p>
      <w:pPr>
        <w:pStyle w:val="TextBody"/>
        <w:bidi w:val="0"/>
        <w:spacing w:lineRule="atLeast" w:line="272" w:before="246" w:after="0"/>
        <w:ind w:left="1420" w:right="1420" w:hanging="0"/>
        <w:jc w:val="left"/>
        <w:rPr>
          <w:rFonts w:ascii="Times New Roman" w:hAnsi="Times New Roman"/>
          <w:sz w:val="24"/>
        </w:rPr>
      </w:pPr>
      <w:r>
        <w:rPr>
          <w:rFonts w:ascii="Times New Roman" w:hAnsi="Times New Roman"/>
          <w:color w:val="000000"/>
          <w:sz w:val="24"/>
          <w:u w:val="single"/>
        </w:rPr>
        <w:t>7.Certain Corporate Changes</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2" w:before="247" w:after="0"/>
        <w:ind w:left="2140" w:right="1420" w:hanging="0"/>
        <w:jc w:val="left"/>
        <w:rPr>
          <w:rFonts w:ascii="Times New Roman" w:hAnsi="Times New Roman"/>
          <w:sz w:val="24"/>
        </w:rPr>
      </w:pPr>
      <w:r>
        <w:rPr>
          <w:rFonts w:ascii="Times New Roman" w:hAnsi="Times New Roman"/>
          <w:color w:val="000000"/>
          <w:sz w:val="24"/>
        </w:rPr>
        <w:t>If any change is made to the Company Stock (whether by reason of merger,</w:t>
      </w:r>
      <w:r>
        <w:rPr>
          <w:rFonts w:ascii="Times New Roman" w:hAnsi="Times New Roman"/>
          <w:sz w:val="24"/>
        </w:rPr>
        <w:t xml:space="preserve"> </w:t>
      </w:r>
    </w:p>
    <w:p>
      <w:pPr>
        <w:pStyle w:val="TextBody"/>
        <w:bidi w:val="0"/>
        <w:spacing w:lineRule="atLeast" w:line="275" w:before="0" w:after="750"/>
        <w:ind w:left="1420" w:right="1420" w:hanging="0"/>
        <w:jc w:val="left"/>
        <w:rPr>
          <w:rFonts w:ascii="Times New Roman" w:hAnsi="Times New Roman"/>
          <w:sz w:val="24"/>
        </w:rPr>
      </w:pPr>
      <w:r>
        <w:rPr>
          <w:rFonts w:ascii="Times New Roman" w:hAnsi="Times New Roman"/>
          <w:color w:val="000000"/>
          <w:sz w:val="24"/>
        </w:rPr>
        <w:t>consolidation, reorganization, recapitalization, stock dividend, stock split, combination of shares, or exchange of shares or any other change in capital structure made without receipt of consideration), then unless such event or change results in the termination of all the Performance Units, the Committee shall adjust, in an equitable manner and as provided in the Plan, the number and class of shares underlying the Performance Units to reflect the effect of such event or change in the Company’s capital structure in such a way as to preserve the value of the Performance Units, and the Committee shall adjust the Performance Goals as necessary to reflect the effect of such event or change in the Company’s capital structure. Any adjustment that occurs under the terms of this Section 7 or the Plan will not change the timing or form of payment with respect to any Performance Units and will be consistent with Section 409A of the Code, to the extent applicable.</w:t>
      </w:r>
      <w:r>
        <w:rPr>
          <w:rFonts w:ascii="Times New Roman" w:hAnsi="Times New Roman"/>
          <w:sz w:val="24"/>
        </w:rPr>
        <w:t xml:space="preserve"> </w:t>
      </w:r>
    </w:p>
    <w:p>
      <w:pPr>
        <w:pStyle w:val="TextBody"/>
        <w:bidi w:val="0"/>
        <w:spacing w:lineRule="atLeast" w:line="275" w:before="0" w:after="750"/>
        <w:ind w:left="1420" w:right="1420" w:hanging="0"/>
        <w:jc w:val="left"/>
        <w:rPr/>
      </w:pPr>
      <w:r>
        <w:rPr/>
        <w:t xml:space="preserve">  </w:t>
      </w:r>
    </w:p>
    <w:p>
      <w:pPr>
        <w:pStyle w:val="TextBody"/>
        <w:bidi w:val="0"/>
        <w:spacing w:lineRule="atLeast" w:line="272" w:before="3" w:after="0"/>
        <w:ind w:left="1420" w:right="1420" w:hanging="0"/>
        <w:jc w:val="center"/>
        <w:rPr>
          <w:rFonts w:ascii="Times New Roman" w:hAnsi="Times New Roman"/>
          <w:sz w:val="24"/>
        </w:rPr>
      </w:pPr>
      <w:r>
        <w:rPr>
          <w:rFonts w:ascii="Times New Roman" w:hAnsi="Times New Roman"/>
          <w:color w:val="000000"/>
          <w:sz w:val="24"/>
        </w:rPr>
        <w:t>5</w:t>
      </w:r>
      <w:r>
        <w:rPr>
          <w:rFonts w:ascii="Times New Roman" w:hAnsi="Times New Roman"/>
          <w:sz w:val="24"/>
        </w:rPr>
        <w:t xml:space="preserve"> </w:t>
      </w:r>
    </w:p>
    <w:p>
      <w:pPr>
        <w:pStyle w:val="TextBody"/>
        <w:bidi w:val="0"/>
        <w:spacing w:before="0" w:after="0"/>
        <w:ind w:left="1420" w:right="1420" w:hanging="0"/>
        <w:jc w:val="left"/>
        <w:rPr/>
      </w:pPr>
      <w:r>
        <w:rPr/>
        <w:t xml:space="preserve">  </w:t>
      </w:r>
    </w:p>
    <w:p>
      <w:pPr>
        <w:pStyle w:val="HorizontalLine"/>
        <w:pBdr>
          <w:bottom w:val="double" w:sz="6" w:space="0" w:color="808080"/>
        </w:pBdr>
        <w:bidi w:val="0"/>
        <w:ind w:left="1420" w:right="1420" w:hanging="0"/>
        <w:jc w:val="left"/>
        <w:rPr/>
      </w:pPr>
      <w:r>
        <w:rPr/>
      </w:r>
    </w:p>
    <w:p>
      <w:pPr>
        <w:pStyle w:val="TextBody"/>
        <w:bidi w:val="0"/>
        <w:ind w:left="1420" w:right="1420" w:hanging="0"/>
        <w:jc w:val="left"/>
        <w:rPr/>
      </w:pPr>
      <w:r>
        <w:rPr/>
        <w:t> </w:t>
      </w:r>
      <w:r>
        <w:br w:type="page"/>
      </w:r>
    </w:p>
    <w:p>
      <w:pPr>
        <w:pStyle w:val="TextBody"/>
        <w:bidi w:val="0"/>
        <w:spacing w:lineRule="atLeast" w:line="276" w:before="151" w:after="0"/>
        <w:ind w:left="1420" w:right="1420" w:hanging="0"/>
        <w:jc w:val="left"/>
        <w:rPr>
          <w:rFonts w:ascii="Times New Roman" w:hAnsi="Times New Roman"/>
          <w:sz w:val="24"/>
        </w:rPr>
      </w:pPr>
      <w:r>
        <w:rPr>
          <w:rFonts w:ascii="Times New Roman" w:hAnsi="Times New Roman"/>
          <w:color w:val="000000"/>
          <w:sz w:val="24"/>
          <w:u w:val="single"/>
        </w:rPr>
        <w:t>8.No Stockholder Rights</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35" w:after="0"/>
        <w:ind w:left="1420" w:right="1564" w:firstLine="720"/>
        <w:jc w:val="left"/>
        <w:rPr>
          <w:rFonts w:ascii="Times New Roman" w:hAnsi="Times New Roman"/>
          <w:sz w:val="24"/>
        </w:rPr>
      </w:pPr>
      <w:r>
        <w:rPr>
          <w:rFonts w:ascii="Times New Roman" w:hAnsi="Times New Roman"/>
          <w:color w:val="000000"/>
          <w:sz w:val="24"/>
        </w:rPr>
        <w:t>No shares of Company Stock shall be issued to the Grantee at the time the grant is made, and the Grantee shall not be, nor have any of the rights or privileges of, a shareholder of the Company with respect to any Performance Units recorded in the account, including no voting rights and no rights to receive dividends (other than Dividend Equivalents).</w:t>
      </w:r>
      <w:r>
        <w:rPr>
          <w:rFonts w:ascii="Times New Roman" w:hAnsi="Times New Roman"/>
          <w:sz w:val="24"/>
        </w:rPr>
        <w:t xml:space="preserve"> </w:t>
      </w:r>
    </w:p>
    <w:p>
      <w:pPr>
        <w:pStyle w:val="TextBody"/>
        <w:bidi w:val="0"/>
        <w:spacing w:lineRule="atLeast" w:line="276" w:before="242" w:after="0"/>
        <w:ind w:left="1420" w:right="1420" w:hanging="0"/>
        <w:jc w:val="left"/>
        <w:rPr>
          <w:rFonts w:ascii="Times New Roman" w:hAnsi="Times New Roman"/>
          <w:sz w:val="24"/>
        </w:rPr>
      </w:pPr>
      <w:r>
        <w:rPr>
          <w:rFonts w:ascii="Times New Roman" w:hAnsi="Times New Roman"/>
          <w:color w:val="000000"/>
          <w:sz w:val="24"/>
          <w:u w:val="single"/>
        </w:rPr>
        <w:t>9.No Right to Continued Employment</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3" w:after="0"/>
        <w:ind w:left="1420" w:right="1564" w:firstLine="720"/>
        <w:jc w:val="left"/>
        <w:rPr>
          <w:rFonts w:ascii="Times New Roman" w:hAnsi="Times New Roman"/>
          <w:sz w:val="24"/>
        </w:rPr>
      </w:pPr>
      <w:r>
        <w:rPr>
          <w:rFonts w:ascii="Times New Roman" w:hAnsi="Times New Roman"/>
          <w:color w:val="000000"/>
          <w:sz w:val="24"/>
        </w:rPr>
        <w:t>Neither the award of Performance Units, nor any other action taken with respect to the Performance Units, shall confer upon the Grantee any right to continue to be employed by the Employer or shall interfere in any way with the right of the Employer to terminate the Grantee’s employment at any time, consistent with the terms of any written employment agreement between the Grantee and the Employer and applicable law.</w:t>
      </w:r>
      <w:r>
        <w:rPr>
          <w:rFonts w:ascii="Times New Roman" w:hAnsi="Times New Roman"/>
          <w:sz w:val="24"/>
        </w:rPr>
        <w:t xml:space="preserve"> </w:t>
      </w:r>
    </w:p>
    <w:p>
      <w:pPr>
        <w:pStyle w:val="TextBody"/>
        <w:bidi w:val="0"/>
        <w:spacing w:lineRule="atLeast" w:line="276" w:before="237" w:after="0"/>
        <w:ind w:left="1420" w:right="1420" w:hanging="0"/>
        <w:jc w:val="left"/>
        <w:rPr>
          <w:rFonts w:ascii="Times New Roman" w:hAnsi="Times New Roman"/>
          <w:sz w:val="24"/>
        </w:rPr>
      </w:pPr>
      <w:r>
        <w:rPr>
          <w:rFonts w:ascii="Times New Roman" w:hAnsi="Times New Roman"/>
          <w:color w:val="000000"/>
          <w:sz w:val="24"/>
          <w:u w:val="single"/>
        </w:rPr>
        <w:t>10.Termination or Amendment</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0" w:after="0"/>
        <w:ind w:left="1420" w:right="1420" w:firstLine="720"/>
        <w:jc w:val="left"/>
        <w:rPr>
          <w:rFonts w:ascii="Times New Roman" w:hAnsi="Times New Roman"/>
          <w:sz w:val="24"/>
        </w:rPr>
      </w:pPr>
      <w:r>
        <w:rPr>
          <w:rFonts w:ascii="Times New Roman" w:hAnsi="Times New Roman"/>
          <w:color w:val="000000"/>
          <w:sz w:val="24"/>
        </w:rPr>
        <w:t>These Grant Conditions and the award made hereunder may be terminated or amended by the Committee, in whole or in part, in accordance with the applicable terms of the Plan.</w:t>
      </w:r>
      <w:r>
        <w:rPr>
          <w:rFonts w:ascii="Times New Roman" w:hAnsi="Times New Roman"/>
          <w:sz w:val="24"/>
        </w:rPr>
        <w:t xml:space="preserve"> </w:t>
      </w:r>
    </w:p>
    <w:p>
      <w:pPr>
        <w:pStyle w:val="TextBody"/>
        <w:bidi w:val="0"/>
        <w:spacing w:lineRule="atLeast" w:line="276" w:before="238" w:after="0"/>
        <w:ind w:left="1420" w:right="1420" w:hanging="0"/>
        <w:jc w:val="left"/>
        <w:rPr>
          <w:rFonts w:ascii="Times New Roman" w:hAnsi="Times New Roman"/>
          <w:sz w:val="24"/>
        </w:rPr>
      </w:pPr>
      <w:r>
        <w:rPr>
          <w:rFonts w:ascii="Times New Roman" w:hAnsi="Times New Roman"/>
          <w:color w:val="000000"/>
          <w:sz w:val="24"/>
          <w:u w:val="single"/>
        </w:rPr>
        <w:t>11.Notice</w:t>
      </w:r>
      <w:r>
        <w:rPr>
          <w:rFonts w:ascii="Times New Roman" w:hAnsi="Times New Roman"/>
          <w:color w:val="000000"/>
          <w:sz w:val="24"/>
        </w:rPr>
        <w:t>.</w:t>
      </w:r>
      <w:r>
        <w:rPr>
          <w:rFonts w:ascii="Times New Roman" w:hAnsi="Times New Roman"/>
          <w:sz w:val="24"/>
        </w:rPr>
        <w:t xml:space="preserve"> </w:t>
      </w:r>
    </w:p>
    <w:p>
      <w:pPr>
        <w:pStyle w:val="TextBody"/>
        <w:bidi w:val="0"/>
        <w:spacing w:lineRule="atLeast" w:line="276" w:before="245" w:after="0"/>
        <w:ind w:left="1420" w:right="1420" w:firstLine="720"/>
        <w:jc w:val="left"/>
        <w:rPr>
          <w:rFonts w:ascii="Times New Roman" w:hAnsi="Times New Roman"/>
          <w:sz w:val="24"/>
        </w:rPr>
      </w:pPr>
      <w:r>
        <w:rPr>
          <w:rFonts w:ascii="Times New Roman" w:hAnsi="Times New Roman"/>
          <w:color w:val="000000"/>
          <w:sz w:val="24"/>
        </w:rPr>
        <w:t>Any notice to the Company provided for in these Grant Conditions shall be addressed to it in care of the Company’s Chief Human Resources Officer, and any notice to the Grantee shall be addressed to the Grantee at the current address shown on the payroll system of the Company, or to such other address as the Grantee may designate to the Company in writing. Any notice provided for hereunder shall be delivered by hand, sent by telecopy or electronic mail, or enclosed in a properly sealed envelope addressed as stated above, registered and deposited, postage and registry fee prepaid in the United States mail or other mail delivery service. Notice to the Company shall be deemed effective upon receipt. By receipt of these Grant Conditions, the Grantee hereby consents to the delivery of information (including without limitation, information required to be delivered to the Grantee pursuant to the applicable securities laws) regarding the Company, the Plan, and the Performance Units via the Company’s electronic mail system or other electronic delivery system.</w:t>
      </w:r>
      <w:r>
        <w:rPr>
          <w:rFonts w:ascii="Times New Roman" w:hAnsi="Times New Roman"/>
          <w:sz w:val="24"/>
        </w:rPr>
        <w:t xml:space="preserve"> </w:t>
      </w:r>
    </w:p>
    <w:p>
      <w:pPr>
        <w:pStyle w:val="TextBody"/>
        <w:bidi w:val="0"/>
        <w:spacing w:lineRule="atLeast" w:line="276" w:before="237" w:after="0"/>
        <w:ind w:left="1420" w:right="1420" w:hanging="0"/>
        <w:jc w:val="left"/>
        <w:rPr>
          <w:rFonts w:ascii="Times New Roman" w:hAnsi="Times New Roman"/>
          <w:sz w:val="24"/>
        </w:rPr>
      </w:pPr>
      <w:r>
        <w:rPr>
          <w:rFonts w:ascii="Times New Roman" w:hAnsi="Times New Roman"/>
          <w:color w:val="000000"/>
          <w:sz w:val="24"/>
          <w:u w:val="single"/>
        </w:rPr>
        <w:t>12.Incorporation of Plan by Reference</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3" w:after="0"/>
        <w:ind w:left="1420" w:right="1564" w:firstLine="720"/>
        <w:jc w:val="left"/>
        <w:rPr>
          <w:rFonts w:ascii="Times New Roman" w:hAnsi="Times New Roman"/>
          <w:sz w:val="24"/>
        </w:rPr>
      </w:pPr>
      <w:r>
        <w:rPr>
          <w:rFonts w:ascii="Times New Roman" w:hAnsi="Times New Roman"/>
          <w:color w:val="000000"/>
          <w:sz w:val="24"/>
        </w:rPr>
        <w:t>The Performance-Based Share Unit Grant and these Grant Conditions are made pursuant to the terms of the Plan, the terms of which are incorporated herein by reference, and shall in all respects be interpreted in accordance therewith. The decisions of the Committee shall be conclusive upon any question arising hereunder. The Grantee’s receipt of the Performance Units constitutes the Grantee’s acknowledgment that all decisions and determinations of the</w:t>
      </w:r>
      <w:r>
        <w:rPr>
          <w:rFonts w:ascii="Times New Roman" w:hAnsi="Times New Roman"/>
          <w:sz w:val="24"/>
        </w:rPr>
        <w:t xml:space="preserve"> </w:t>
      </w:r>
    </w:p>
    <w:p>
      <w:pPr>
        <w:pStyle w:val="TextBody"/>
        <w:bidi w:val="0"/>
        <w:spacing w:lineRule="atLeast" w:line="275" w:before="0" w:after="750"/>
        <w:ind w:left="1420" w:right="1564" w:hanging="0"/>
        <w:jc w:val="left"/>
        <w:rPr>
          <w:rFonts w:ascii="Times New Roman" w:hAnsi="Times New Roman"/>
          <w:sz w:val="24"/>
        </w:rPr>
      </w:pPr>
      <w:r>
        <w:rPr>
          <w:rFonts w:ascii="Times New Roman" w:hAnsi="Times New Roman"/>
          <w:color w:val="000000"/>
          <w:sz w:val="24"/>
        </w:rPr>
        <w:t>Committee with respect to the Plan, these Grant Conditions, and/or the Performance Units shall be final and binding on the Grantee, his or her beneficiaries and any other person having or claiming an interest in the Performance Units. The settlement of any award with respect to the Performance Units is subject to the provisions of the Plan and to interpretations, regulations and determinations concerning the Plan as established from time to time by the Committee in</w:t>
      </w:r>
      <w:r>
        <w:rPr>
          <w:rFonts w:ascii="Times New Roman" w:hAnsi="Times New Roman"/>
          <w:sz w:val="24"/>
        </w:rPr>
        <w:t xml:space="preserve"> </w:t>
      </w:r>
    </w:p>
    <w:p>
      <w:pPr>
        <w:pStyle w:val="TextBody"/>
        <w:bidi w:val="0"/>
        <w:spacing w:lineRule="atLeast" w:line="275" w:before="0" w:after="750"/>
        <w:ind w:left="1420" w:right="1420" w:hanging="0"/>
        <w:jc w:val="left"/>
        <w:rPr/>
      </w:pPr>
      <w:r>
        <w:rPr/>
        <w:t xml:space="preserve">  </w:t>
      </w:r>
    </w:p>
    <w:p>
      <w:pPr>
        <w:pStyle w:val="TextBody"/>
        <w:bidi w:val="0"/>
        <w:spacing w:lineRule="atLeast" w:line="275" w:before="0" w:after="0"/>
        <w:ind w:left="1420" w:right="1420" w:hanging="0"/>
        <w:jc w:val="center"/>
        <w:rPr>
          <w:rFonts w:ascii="Times New Roman" w:hAnsi="Times New Roman"/>
          <w:sz w:val="24"/>
        </w:rPr>
      </w:pPr>
      <w:r>
        <w:rPr>
          <w:rFonts w:ascii="Times New Roman" w:hAnsi="Times New Roman"/>
          <w:color w:val="000000"/>
          <w:sz w:val="24"/>
        </w:rPr>
        <w:t>6</w:t>
      </w:r>
      <w:r>
        <w:rPr>
          <w:rFonts w:ascii="Times New Roman" w:hAnsi="Times New Roman"/>
          <w:sz w:val="24"/>
        </w:rPr>
        <w:t xml:space="preserve"> </w:t>
      </w:r>
    </w:p>
    <w:p>
      <w:pPr>
        <w:pStyle w:val="TextBody"/>
        <w:bidi w:val="0"/>
        <w:spacing w:before="0" w:after="0"/>
        <w:ind w:left="1420" w:right="1420" w:hanging="0"/>
        <w:jc w:val="left"/>
        <w:rPr/>
      </w:pPr>
      <w:r>
        <w:rPr/>
        <w:t xml:space="preserve">  </w:t>
      </w:r>
    </w:p>
    <w:p>
      <w:pPr>
        <w:pStyle w:val="HorizontalLine"/>
        <w:pBdr>
          <w:bottom w:val="double" w:sz="6" w:space="0" w:color="808080"/>
        </w:pBdr>
        <w:bidi w:val="0"/>
        <w:ind w:left="1400" w:right="1440" w:hanging="0"/>
        <w:jc w:val="left"/>
        <w:rPr/>
      </w:pPr>
      <w:r>
        <w:rPr/>
      </w:r>
    </w:p>
    <w:p>
      <w:pPr>
        <w:pStyle w:val="TextBody"/>
        <w:bidi w:val="0"/>
        <w:ind w:left="1400" w:right="1440" w:hanging="0"/>
        <w:jc w:val="left"/>
        <w:rPr/>
      </w:pPr>
      <w:r>
        <w:rPr/>
        <w:t> </w:t>
      </w:r>
      <w:r>
        <w:br w:type="page"/>
      </w:r>
    </w:p>
    <w:p>
      <w:pPr>
        <w:pStyle w:val="TextBody"/>
        <w:bidi w:val="0"/>
        <w:spacing w:lineRule="atLeast" w:line="276" w:before="8" w:after="0"/>
        <w:ind w:left="1400" w:right="1584" w:hanging="0"/>
        <w:jc w:val="left"/>
        <w:rPr>
          <w:rFonts w:ascii="Times New Roman" w:hAnsi="Times New Roman"/>
          <w:sz w:val="24"/>
        </w:rPr>
      </w:pPr>
      <w:r>
        <w:rPr>
          <w:rFonts w:ascii="Times New Roman" w:hAnsi="Times New Roman"/>
          <w:color w:val="000000"/>
          <w:sz w:val="24"/>
        </w:rPr>
        <w:t>accordance with the provisions of the Plan. A copy of the Plan will be furnished to each Grantee upon request.</w:t>
      </w:r>
      <w:r>
        <w:rPr>
          <w:rFonts w:ascii="Times New Roman" w:hAnsi="Times New Roman"/>
          <w:sz w:val="24"/>
        </w:rPr>
        <w:t xml:space="preserve"> </w:t>
      </w:r>
    </w:p>
    <w:p>
      <w:pPr>
        <w:pStyle w:val="TextBody"/>
        <w:bidi w:val="0"/>
        <w:spacing w:lineRule="atLeast" w:line="276" w:before="243" w:after="0"/>
        <w:ind w:left="1400" w:right="1440" w:hanging="0"/>
        <w:jc w:val="left"/>
        <w:rPr>
          <w:rFonts w:ascii="Times New Roman" w:hAnsi="Times New Roman"/>
          <w:sz w:val="24"/>
        </w:rPr>
      </w:pPr>
      <w:r>
        <w:rPr>
          <w:rFonts w:ascii="Times New Roman" w:hAnsi="Times New Roman"/>
          <w:color w:val="000000"/>
          <w:sz w:val="24"/>
          <w:u w:val="single"/>
        </w:rPr>
        <w:t>13.Income Taxes; Withholding Taxes</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37" w:after="0"/>
        <w:ind w:left="1400" w:right="1440" w:firstLine="720"/>
        <w:jc w:val="left"/>
        <w:rPr>
          <w:rFonts w:ascii="Times New Roman" w:hAnsi="Times New Roman"/>
          <w:sz w:val="24"/>
        </w:rPr>
      </w:pPr>
      <w:r>
        <w:rPr>
          <w:rFonts w:ascii="Times New Roman" w:hAnsi="Times New Roman"/>
          <w:color w:val="000000"/>
          <w:sz w:val="24"/>
        </w:rPr>
        <w:t>The Grantee is solely responsible for the satisfaction of all taxes and penalties that may arise in connection with the award or settlement of Performance Units and Dividend Equivalents pursuant to these Grant Conditions. At the time of taxation, the Employer shall have the right to deduct from other compensation, or to withhold shares of Company Stock, in an amount equal to the federal (including FICA), state, local and foreign taxes and other amounts as may be required by law to be withheld with respect to the Performance Units, as approved in advance by the Committee.</w:t>
      </w:r>
      <w:r>
        <w:rPr>
          <w:rFonts w:ascii="Times New Roman" w:hAnsi="Times New Roman"/>
          <w:sz w:val="24"/>
        </w:rPr>
        <w:t xml:space="preserve"> </w:t>
      </w:r>
    </w:p>
    <w:p>
      <w:pPr>
        <w:pStyle w:val="TextBody"/>
        <w:bidi w:val="0"/>
        <w:spacing w:lineRule="atLeast" w:line="276" w:before="243" w:after="0"/>
        <w:ind w:left="1400" w:right="1440" w:hanging="0"/>
        <w:jc w:val="left"/>
        <w:rPr>
          <w:rFonts w:ascii="Times New Roman" w:hAnsi="Times New Roman"/>
          <w:sz w:val="24"/>
        </w:rPr>
      </w:pPr>
      <w:r>
        <w:rPr>
          <w:rFonts w:ascii="Times New Roman" w:hAnsi="Times New Roman"/>
          <w:color w:val="000000"/>
          <w:sz w:val="24"/>
          <w:u w:val="single"/>
        </w:rPr>
        <w:t>14.Governing Law; Enforcement</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35" w:after="0"/>
        <w:ind w:left="1400" w:right="1512" w:firstLine="720"/>
        <w:jc w:val="left"/>
        <w:rPr>
          <w:rFonts w:ascii="Times New Roman" w:hAnsi="Times New Roman"/>
          <w:sz w:val="24"/>
        </w:rPr>
      </w:pPr>
      <w:r>
        <w:rPr>
          <w:rFonts w:ascii="Times New Roman" w:hAnsi="Times New Roman"/>
          <w:color w:val="000000"/>
          <w:sz w:val="24"/>
        </w:rPr>
        <w:t>The validity, construction, interpretation and effect of the Performance-Based Share Unit Grant and these Grant Conditions shall be governed by, and determined in accordance with, the applicable laws of the Commonwealth of Pennsylvania, excluding any conflicts or choice of law rule or principle. The resolution of any dispute regarding, or the enforcement of, this Performance-Based Share Unit Grant and these Grant Conditions shall take place in a court of competent jurisdiction located within the Commonwealth of Pennsylvania, notwithstanding any dispute resolution terms that may exist under any employment agreement between the Grantee and the Company.</w:t>
      </w:r>
      <w:r>
        <w:rPr>
          <w:rFonts w:ascii="Times New Roman" w:hAnsi="Times New Roman"/>
          <w:sz w:val="24"/>
        </w:rPr>
        <w:t xml:space="preserve"> </w:t>
      </w:r>
    </w:p>
    <w:p>
      <w:pPr>
        <w:pStyle w:val="TextBody"/>
        <w:bidi w:val="0"/>
        <w:spacing w:lineRule="atLeast" w:line="276" w:before="242" w:after="0"/>
        <w:ind w:left="1400" w:right="1440" w:hanging="0"/>
        <w:jc w:val="left"/>
        <w:rPr>
          <w:rFonts w:ascii="Times New Roman" w:hAnsi="Times New Roman"/>
          <w:sz w:val="24"/>
        </w:rPr>
      </w:pPr>
      <w:r>
        <w:rPr>
          <w:rFonts w:ascii="Times New Roman" w:hAnsi="Times New Roman"/>
          <w:color w:val="000000"/>
          <w:sz w:val="24"/>
          <w:u w:val="single"/>
        </w:rPr>
        <w:t>15.Assignment</w:t>
      </w:r>
      <w:r>
        <w:rPr>
          <w:rFonts w:ascii="Times New Roman" w:hAnsi="Times New Roman"/>
          <w:color w:val="000000"/>
          <w:sz w:val="24"/>
        </w:rPr>
        <w:t>.</w:t>
      </w:r>
      <w:r>
        <w:rPr>
          <w:rFonts w:ascii="Times New Roman" w:hAnsi="Times New Roman"/>
          <w:sz w:val="24"/>
        </w:rPr>
        <w:t xml:space="preserve"> </w:t>
      </w:r>
    </w:p>
    <w:p>
      <w:pPr>
        <w:pStyle w:val="TextBody"/>
        <w:bidi w:val="0"/>
        <w:spacing w:lineRule="atLeast" w:line="276" w:before="240" w:after="0"/>
        <w:ind w:left="1400" w:right="1728" w:firstLine="720"/>
        <w:jc w:val="left"/>
        <w:rPr>
          <w:rFonts w:ascii="Times New Roman" w:hAnsi="Times New Roman"/>
          <w:sz w:val="24"/>
        </w:rPr>
      </w:pPr>
      <w:r>
        <w:rPr>
          <w:rFonts w:ascii="Times New Roman" w:hAnsi="Times New Roman"/>
          <w:color w:val="000000"/>
          <w:sz w:val="24"/>
        </w:rPr>
        <w:t>The Performance-Based Share Unit Grant and these Grant Conditions shall bind and inure to the benefit of the successors and assignees of the Company. The Grantee may not sell, assign, transfer, pledge or otherwise dispose of the Performance Units, except to a successor grantee in the event of the Grantee’s death.</w:t>
      </w:r>
      <w:r>
        <w:rPr>
          <w:rFonts w:ascii="Times New Roman" w:hAnsi="Times New Roman"/>
          <w:sz w:val="24"/>
        </w:rPr>
        <w:t xml:space="preserve"> </w:t>
      </w:r>
    </w:p>
    <w:p>
      <w:pPr>
        <w:pStyle w:val="TextBody"/>
        <w:bidi w:val="0"/>
        <w:spacing w:lineRule="atLeast" w:line="276" w:before="238" w:after="0"/>
        <w:ind w:left="1400" w:right="1440" w:hanging="0"/>
        <w:jc w:val="left"/>
        <w:rPr>
          <w:rFonts w:ascii="Times New Roman" w:hAnsi="Times New Roman"/>
          <w:sz w:val="24"/>
        </w:rPr>
      </w:pPr>
      <w:r>
        <w:rPr>
          <w:rFonts w:ascii="Times New Roman" w:hAnsi="Times New Roman"/>
          <w:color w:val="000000"/>
          <w:sz w:val="24"/>
          <w:u w:val="single"/>
        </w:rPr>
        <w:t>16.Section 409A</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2" w:after="438"/>
        <w:ind w:left="1400" w:right="1584" w:firstLine="720"/>
        <w:jc w:val="left"/>
        <w:rPr>
          <w:rFonts w:ascii="Times New Roman" w:hAnsi="Times New Roman"/>
          <w:sz w:val="24"/>
        </w:rPr>
      </w:pPr>
      <w:r>
        <w:rPr>
          <w:rFonts w:ascii="Times New Roman" w:hAnsi="Times New Roman"/>
          <w:color w:val="000000"/>
          <w:sz w:val="24"/>
        </w:rPr>
        <w:t>The Performance-Based Share Unit Grant and these Grant Conditions are intended to comply with Code Section 409A or an exemption, and payments may only be made under these Grant Conditions upon an event and in a manner permitted by Code Section 409A, to the extent applicable. Notwithstanding anything in these Grant Conditions to the contrary, if required by Code Section 409A, if the Grantee is considered a “specified employee” for purposes of Code Section 409A and if any payment under these Grant Conditions is required to be delayed for a period of six (6) months after separation from service pursuant to Code Section 409A, such payment shall be delayed as required by Code Section 409A, and the accumulated payment amounts shall be paid in a lump sum payment within ten (10) days after the end of the six (6)-month period. If the Grantee dies during the postponement period prior to payment, the amounts withheld on account of Code Section 409A shall be paid to the personal representative of the Grantee’s estate within sixty (60) days after the date of the Grantee’s death. Notwithstanding anything in these Grant Conditions to the contrary, if the Performance Units are subject to Code Section 409A and if required by Code Section 409A, any payments to be made upon a termination of employment under these Grant Conditions may only be made upon a “separation</w:t>
      </w:r>
      <w:r>
        <w:rPr>
          <w:rFonts w:ascii="Times New Roman" w:hAnsi="Times New Roman"/>
          <w:sz w:val="24"/>
        </w:rPr>
        <w:t xml:space="preserve"> </w:t>
      </w:r>
    </w:p>
    <w:p>
      <w:pPr>
        <w:pStyle w:val="TextBody"/>
        <w:bidi w:val="0"/>
        <w:spacing w:lineRule="atLeast" w:line="276" w:before="242" w:after="438"/>
        <w:ind w:left="1400" w:right="1440" w:hanging="0"/>
        <w:jc w:val="left"/>
        <w:rPr/>
      </w:pPr>
      <w:r>
        <w:rPr/>
        <w:t xml:space="preserve">  </w:t>
      </w:r>
    </w:p>
    <w:p>
      <w:pPr>
        <w:pStyle w:val="TextBody"/>
        <w:bidi w:val="0"/>
        <w:spacing w:lineRule="atLeast" w:line="275" w:before="0" w:after="0"/>
        <w:ind w:left="1420" w:right="1420" w:hanging="0"/>
        <w:jc w:val="center"/>
        <w:rPr>
          <w:rFonts w:ascii="Times New Roman" w:hAnsi="Times New Roman"/>
          <w:sz w:val="24"/>
        </w:rPr>
      </w:pPr>
      <w:r>
        <w:rPr>
          <w:rFonts w:ascii="Times New Roman" w:hAnsi="Times New Roman"/>
          <w:color w:val="000000"/>
          <w:sz w:val="24"/>
        </w:rPr>
        <w:t>7</w:t>
      </w:r>
      <w:r>
        <w:rPr>
          <w:rFonts w:ascii="Times New Roman" w:hAnsi="Times New Roman"/>
          <w:sz w:val="24"/>
        </w:rPr>
        <w:t xml:space="preserve"> </w:t>
      </w:r>
    </w:p>
    <w:p>
      <w:pPr>
        <w:pStyle w:val="TextBody"/>
        <w:bidi w:val="0"/>
        <w:spacing w:before="0" w:after="0"/>
        <w:ind w:left="1420" w:right="1420" w:hanging="0"/>
        <w:jc w:val="left"/>
        <w:rPr/>
      </w:pPr>
      <w:r>
        <w:rPr/>
        <w:t xml:space="preserve">  </w:t>
      </w:r>
    </w:p>
    <w:p>
      <w:pPr>
        <w:pStyle w:val="HorizontalLine"/>
        <w:pBdr>
          <w:bottom w:val="double" w:sz="6" w:space="0" w:color="808080"/>
        </w:pBdr>
        <w:bidi w:val="0"/>
        <w:ind w:left="1420" w:right="1420" w:hanging="0"/>
        <w:jc w:val="left"/>
        <w:rPr/>
      </w:pPr>
      <w:r>
        <w:rPr/>
      </w:r>
    </w:p>
    <w:p>
      <w:pPr>
        <w:pStyle w:val="TextBody"/>
        <w:bidi w:val="0"/>
        <w:ind w:left="1420" w:right="1420" w:hanging="0"/>
        <w:jc w:val="left"/>
        <w:rPr/>
      </w:pPr>
      <w:r>
        <w:rPr/>
        <w:t> </w:t>
      </w:r>
      <w:r>
        <w:br w:type="page"/>
      </w:r>
    </w:p>
    <w:p>
      <w:pPr>
        <w:pStyle w:val="TextBody"/>
        <w:bidi w:val="0"/>
        <w:spacing w:lineRule="atLeast" w:line="275" w:before="16" w:after="0"/>
        <w:ind w:left="1420" w:right="1420" w:hanging="0"/>
        <w:jc w:val="left"/>
        <w:rPr>
          <w:rFonts w:ascii="Times New Roman" w:hAnsi="Times New Roman"/>
          <w:sz w:val="24"/>
        </w:rPr>
      </w:pPr>
      <w:r>
        <w:rPr>
          <w:rFonts w:ascii="Times New Roman" w:hAnsi="Times New Roman"/>
          <w:color w:val="000000"/>
          <w:sz w:val="24"/>
        </w:rPr>
        <w:t>from service” under Code Section 409A. In no event may the Grantee, directly or indirectly, designate the calendar year of a payment, except in accordance with Code Section 409A. Notwithstanding anything in these Grant Conditions to the contrary, if required by Code Section 409A, if CIC Earned Units are subject to Code Section 409A, and if a Change in Control is not a “change in control event” under Code Section 409A or the payment event does not occur upon or within two years following a “change in control event” under Code Section 409A, any vested CIC Earned Units shall be paid to the Grantee upon the Vesting Date and not on account of an earlier termination of employment.</w:t>
      </w:r>
      <w:r>
        <w:rPr>
          <w:rFonts w:ascii="Times New Roman" w:hAnsi="Times New Roman"/>
          <w:sz w:val="24"/>
        </w:rPr>
        <w:t xml:space="preserve"> </w:t>
      </w:r>
    </w:p>
    <w:p>
      <w:pPr>
        <w:pStyle w:val="TextBody"/>
        <w:bidi w:val="0"/>
        <w:spacing w:lineRule="atLeast" w:line="272" w:before="247" w:after="0"/>
        <w:ind w:left="1420" w:right="1420" w:hanging="0"/>
        <w:jc w:val="left"/>
        <w:rPr>
          <w:rFonts w:ascii="Times New Roman" w:hAnsi="Times New Roman"/>
          <w:sz w:val="24"/>
        </w:rPr>
      </w:pPr>
      <w:r>
        <w:rPr>
          <w:rFonts w:ascii="Times New Roman" w:hAnsi="Times New Roman"/>
          <w:color w:val="000000"/>
          <w:sz w:val="24"/>
          <w:u w:val="single"/>
        </w:rPr>
        <w:t>17.</w:t>
      </w:r>
      <w:r>
        <w:rPr>
          <w:rFonts w:ascii="Times New Roman" w:hAnsi="Times New Roman"/>
          <w:color w:val="000000"/>
          <w:sz w:val="24"/>
        </w:rPr>
        <w:t>Company Policies.</w:t>
      </w:r>
      <w:r>
        <w:rPr>
          <w:rFonts w:ascii="Times New Roman" w:hAnsi="Times New Roman"/>
          <w:sz w:val="24"/>
        </w:rPr>
        <w:t xml:space="preserve"> </w:t>
      </w:r>
    </w:p>
    <w:p>
      <w:pPr>
        <w:pStyle w:val="TextBody"/>
        <w:bidi w:val="0"/>
        <w:spacing w:lineRule="atLeast" w:line="276" w:before="237" w:after="0"/>
        <w:ind w:left="1420" w:right="1420" w:firstLine="720"/>
        <w:jc w:val="left"/>
        <w:rPr>
          <w:rFonts w:ascii="Times New Roman" w:hAnsi="Times New Roman"/>
          <w:sz w:val="24"/>
        </w:rPr>
      </w:pPr>
      <w:r>
        <w:rPr>
          <w:rFonts w:ascii="Times New Roman" w:hAnsi="Times New Roman"/>
          <w:color w:val="000000"/>
          <w:sz w:val="24"/>
        </w:rPr>
        <w:t>This Performance-Based Unit Grant and all shares issued pursuant to this grant shall be subject to any applicable recoupment or clawback policies and other policies implemented by the Board, as in effect from time to time.</w:t>
      </w:r>
      <w:r>
        <w:rPr>
          <w:rFonts w:ascii="Times New Roman" w:hAnsi="Times New Roman"/>
          <w:sz w:val="24"/>
        </w:rPr>
        <w:t xml:space="preserve"> </w:t>
      </w:r>
    </w:p>
    <w:p>
      <w:pPr>
        <w:pStyle w:val="TextBody"/>
        <w:bidi w:val="0"/>
        <w:spacing w:lineRule="atLeast" w:line="272" w:before="247" w:after="9087"/>
        <w:ind w:left="5308" w:right="1420" w:hanging="0"/>
        <w:jc w:val="left"/>
        <w:rPr>
          <w:rFonts w:ascii="Times New Roman" w:hAnsi="Times New Roman"/>
          <w:sz w:val="24"/>
        </w:rPr>
      </w:pPr>
      <w:r>
        <w:rPr>
          <w:rFonts w:ascii="Times New Roman" w:hAnsi="Times New Roman"/>
          <w:color w:val="000000"/>
          <w:sz w:val="24"/>
        </w:rPr>
        <w:t>***</w:t>
      </w:r>
      <w:r>
        <w:rPr>
          <w:rFonts w:ascii="Times New Roman" w:hAnsi="Times New Roman"/>
          <w:sz w:val="24"/>
        </w:rPr>
        <w:t xml:space="preserve"> </w:t>
      </w:r>
    </w:p>
    <w:p>
      <w:pPr>
        <w:pStyle w:val="TextBody"/>
        <w:bidi w:val="0"/>
        <w:spacing w:lineRule="atLeast" w:line="272" w:before="247" w:after="9087"/>
        <w:ind w:left="1420" w:right="1420" w:hanging="0"/>
        <w:jc w:val="left"/>
        <w:rPr/>
      </w:pPr>
      <w:r>
        <w:rPr/>
        <w:t xml:space="preserve">  </w:t>
      </w:r>
    </w:p>
    <w:p>
      <w:pPr>
        <w:pStyle w:val="TextBody"/>
        <w:bidi w:val="0"/>
        <w:spacing w:lineRule="atLeast" w:line="272" w:before="3" w:after="0"/>
        <w:ind w:left="1420" w:right="1420" w:hanging="0"/>
        <w:jc w:val="center"/>
        <w:rPr>
          <w:rFonts w:ascii="Times New Roman" w:hAnsi="Times New Roman"/>
          <w:sz w:val="24"/>
        </w:rPr>
      </w:pPr>
      <w:r>
        <w:rPr>
          <w:rFonts w:ascii="Times New Roman" w:hAnsi="Times New Roman"/>
          <w:color w:val="000000"/>
          <w:sz w:val="24"/>
        </w:rPr>
        <w:t>8</w:t>
      </w:r>
      <w:r>
        <w:rPr>
          <w:rFonts w:ascii="Times New Roman" w:hAnsi="Times New Roman"/>
          <w:sz w:val="24"/>
        </w:rPr>
        <w:t xml:space="preserve"> </w:t>
      </w:r>
    </w:p>
    <w:p>
      <w:pPr>
        <w:pStyle w:val="TextBody"/>
        <w:bidi w:val="0"/>
        <w:spacing w:before="0" w:after="0"/>
        <w:ind w:left="1420" w:right="1420" w:hanging="0"/>
        <w:jc w:val="left"/>
        <w:rPr/>
      </w:pPr>
      <w:r>
        <w:rPr/>
        <w:t xml:space="preserve">  </w:t>
      </w:r>
    </w:p>
    <w:p>
      <w:pPr>
        <w:pStyle w:val="HorizontalLine"/>
        <w:pBdr>
          <w:bottom w:val="double" w:sz="6" w:space="0" w:color="808080"/>
        </w:pBdr>
        <w:bidi w:val="0"/>
        <w:ind w:left="1380" w:right="1460" w:hanging="0"/>
        <w:jc w:val="left"/>
        <w:rPr/>
      </w:pPr>
      <w:r>
        <w:rPr/>
      </w:r>
    </w:p>
    <w:p>
      <w:pPr>
        <w:pStyle w:val="TextBody"/>
        <w:bidi w:val="0"/>
        <w:ind w:left="1380" w:right="1460" w:hanging="0"/>
        <w:jc w:val="left"/>
        <w:rPr/>
      </w:pPr>
      <w:r>
        <w:rPr/>
        <w:t> </w:t>
      </w:r>
      <w:r>
        <w:br w:type="page"/>
      </w:r>
    </w:p>
    <w:p>
      <w:pPr>
        <w:pStyle w:val="TextBody"/>
        <w:bidi w:val="0"/>
        <w:spacing w:lineRule="atLeast" w:line="273" w:before="15" w:after="0"/>
        <w:ind w:left="1380" w:right="1460" w:hanging="0"/>
        <w:jc w:val="center"/>
        <w:rPr>
          <w:rFonts w:ascii="Times New Roman" w:hAnsi="Times New Roman"/>
          <w:sz w:val="24"/>
        </w:rPr>
      </w:pPr>
      <w:r>
        <w:rPr>
          <w:rFonts w:ascii="Times New Roman" w:hAnsi="Times New Roman"/>
          <w:b/>
          <w:color w:val="000000"/>
          <w:sz w:val="24"/>
        </w:rPr>
        <w:t>Schedule A</w:t>
      </w:r>
      <w:r>
        <w:rPr>
          <w:rFonts w:ascii="Times New Roman" w:hAnsi="Times New Roman"/>
          <w:sz w:val="24"/>
        </w:rPr>
        <w:t xml:space="preserve"> </w:t>
      </w:r>
    </w:p>
    <w:p>
      <w:pPr>
        <w:pStyle w:val="TextBody"/>
        <w:bidi w:val="0"/>
        <w:spacing w:lineRule="atLeast" w:line="273" w:before="240" w:after="0"/>
        <w:ind w:left="1380" w:right="1460" w:hanging="0"/>
        <w:jc w:val="center"/>
        <w:rPr>
          <w:rFonts w:ascii="Times New Roman" w:hAnsi="Times New Roman"/>
          <w:sz w:val="24"/>
        </w:rPr>
      </w:pPr>
      <w:r>
        <w:rPr>
          <w:rFonts w:ascii="Times New Roman" w:hAnsi="Times New Roman"/>
          <w:b/>
          <w:color w:val="000000"/>
          <w:sz w:val="24"/>
        </w:rPr>
        <w:t>Performance Goals for 2025 Performance Units</w:t>
      </w:r>
      <w:r>
        <w:rPr>
          <w:rFonts w:ascii="Times New Roman" w:hAnsi="Times New Roman"/>
          <w:sz w:val="24"/>
        </w:rPr>
        <w:t xml:space="preserve"> </w:t>
      </w:r>
    </w:p>
    <w:p>
      <w:pPr>
        <w:pStyle w:val="TextBody"/>
        <w:bidi w:val="0"/>
        <w:spacing w:lineRule="atLeast" w:line="276" w:before="243" w:after="0"/>
        <w:ind w:left="1452" w:right="1460" w:hanging="0"/>
        <w:jc w:val="left"/>
        <w:rPr>
          <w:rFonts w:ascii="Times New Roman" w:hAnsi="Times New Roman"/>
          <w:sz w:val="24"/>
        </w:rPr>
      </w:pPr>
      <w:r>
        <w:rPr>
          <w:rFonts w:ascii="Times New Roman" w:hAnsi="Times New Roman"/>
          <w:color w:val="000000"/>
          <w:sz w:val="24"/>
          <w:u w:val="single"/>
        </w:rPr>
        <w:t>1.Performance Goals</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54" w:after="0"/>
        <w:ind w:left="2820" w:right="1676" w:hanging="720"/>
        <w:jc w:val="left"/>
        <w:rPr>
          <w:rFonts w:ascii="Times New Roman" w:hAnsi="Times New Roman"/>
          <w:sz w:val="20"/>
        </w:rPr>
      </w:pPr>
      <w:r>
        <w:rPr>
          <w:rFonts w:ascii="Times New Roman" w:hAnsi="Times New Roman"/>
          <w:color w:val="000000"/>
          <w:sz w:val="20"/>
        </w:rPr>
        <w:t>[__________]</w:t>
      </w:r>
      <w:r>
        <w:rPr>
          <w:rFonts w:ascii="Times New Roman" w:hAnsi="Times New Roman"/>
          <w:sz w:val="20"/>
        </w:rPr>
        <w:t xml:space="preserve"> </w:t>
      </w:r>
    </w:p>
    <w:p>
      <w:pPr>
        <w:pStyle w:val="TextBody"/>
        <w:bidi w:val="0"/>
        <w:spacing w:lineRule="atLeast" w:line="276" w:before="243" w:after="0"/>
        <w:ind w:left="1452" w:right="1460" w:hanging="0"/>
        <w:jc w:val="left"/>
        <w:rPr>
          <w:rFonts w:ascii="Times New Roman" w:hAnsi="Times New Roman"/>
          <w:sz w:val="24"/>
        </w:rPr>
      </w:pPr>
      <w:r>
        <w:rPr>
          <w:rFonts w:ascii="Times New Roman" w:hAnsi="Times New Roman"/>
          <w:color w:val="000000"/>
          <w:sz w:val="24"/>
          <w:u w:val="single"/>
        </w:rPr>
        <w:t>2.Calculation of TSR</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54" w:after="0"/>
        <w:ind w:left="2100" w:right="1676" w:hanging="0"/>
        <w:jc w:val="left"/>
        <w:rPr>
          <w:rFonts w:ascii="Times New Roman" w:hAnsi="Times New Roman"/>
          <w:sz w:val="20"/>
        </w:rPr>
      </w:pPr>
      <w:r>
        <w:rPr>
          <w:rFonts w:ascii="Times New Roman" w:hAnsi="Times New Roman"/>
          <w:color w:val="000000"/>
          <w:sz w:val="20"/>
        </w:rPr>
        <w:t>[__________]</w:t>
      </w:r>
      <w:r>
        <w:rPr>
          <w:rFonts w:ascii="Times New Roman" w:hAnsi="Times New Roman"/>
          <w:sz w:val="20"/>
        </w:rPr>
        <w:t xml:space="preserve"> </w:t>
      </w:r>
    </w:p>
    <w:p>
      <w:pPr>
        <w:pStyle w:val="TextBody"/>
        <w:bidi w:val="0"/>
        <w:spacing w:lineRule="atLeast" w:line="275" w:before="244" w:after="0"/>
        <w:ind w:left="1380" w:right="1820" w:hanging="0"/>
        <w:jc w:val="left"/>
        <w:rPr>
          <w:rFonts w:ascii="Times New Roman" w:hAnsi="Times New Roman"/>
          <w:sz w:val="24"/>
        </w:rPr>
      </w:pPr>
      <w:r>
        <w:rPr>
          <w:rFonts w:ascii="Times New Roman" w:hAnsi="Times New Roman"/>
          <w:color w:val="000000"/>
          <w:sz w:val="24"/>
          <w:u w:val="single"/>
        </w:rPr>
        <w:t>3.Performance Units Earned Based on Comparative TSR to the Peer Group</w:t>
      </w:r>
      <w:r>
        <w:rPr>
          <w:rFonts w:ascii="Times New Roman" w:hAnsi="Times New Roman"/>
          <w:color w:val="000000"/>
          <w:sz w:val="24"/>
        </w:rPr>
        <w:t>.  _____% of the Target Award of Performance Units (the “Peer Group Portion”) shall be earned based on ________ for the Performance Period, in accordance with the following:</w:t>
      </w:r>
      <w:r>
        <w:rPr>
          <w:rFonts w:ascii="Times New Roman" w:hAnsi="Times New Roman"/>
          <w:sz w:val="24"/>
        </w:rPr>
        <w:t xml:space="preserve"> </w:t>
      </w:r>
    </w:p>
    <w:p>
      <w:pPr>
        <w:pStyle w:val="TextBody"/>
        <w:bidi w:val="0"/>
        <w:spacing w:lineRule="atLeast" w:line="272" w:before="247" w:after="212"/>
        <w:ind w:left="2172" w:right="1460" w:hanging="0"/>
        <w:jc w:val="left"/>
        <w:rPr>
          <w:rFonts w:ascii="Times New Roman" w:hAnsi="Times New Roman"/>
          <w:sz w:val="24"/>
        </w:rPr>
      </w:pPr>
      <w:r>
        <w:rPr>
          <w:rFonts w:ascii="Times New Roman" w:hAnsi="Times New Roman"/>
          <w:color w:val="000000"/>
          <w:sz w:val="24"/>
        </w:rPr>
        <w:t>(a)The Peer Group for this purpose consists of:</w:t>
      </w:r>
      <w:r>
        <w:rPr>
          <w:rFonts w:ascii="Times New Roman" w:hAnsi="Times New Roman"/>
          <w:sz w:val="24"/>
        </w:rPr>
        <w:t xml:space="preserve"> </w:t>
      </w:r>
    </w:p>
    <w:tbl>
      <w:tblPr>
        <w:tblW w:w="2461" w:type="dxa"/>
        <w:jc w:val="center"/>
        <w:tblInd w:w="0" w:type="dxa"/>
        <w:tblLayout w:type="fixed"/>
        <w:tblCellMar>
          <w:top w:w="0" w:type="dxa"/>
          <w:left w:w="0" w:type="dxa"/>
          <w:bottom w:w="0" w:type="dxa"/>
          <w:right w:w="0" w:type="dxa"/>
        </w:tblCellMar>
      </w:tblPr>
      <w:tblGrid>
        <w:gridCol w:w="1040"/>
        <w:gridCol w:w="1145"/>
        <w:gridCol w:w="276"/>
      </w:tblGrid>
      <w:tr>
        <w:trPr/>
        <w:tc>
          <w:tcPr>
            <w:tcW w:w="1040" w:type="dxa"/>
            <w:tcBorders/>
          </w:tcPr>
          <w:p>
            <w:pPr>
              <w:pStyle w:val="TableContents"/>
              <w:bidi w:val="0"/>
              <w:spacing w:before="0" w:after="0"/>
              <w:ind w:left="0" w:right="0" w:hanging="0"/>
              <w:jc w:val="left"/>
              <w:rPr/>
            </w:pPr>
            <w:r>
              <w:rPr/>
              <w:t> </w:t>
            </w:r>
          </w:p>
        </w:tc>
        <w:tc>
          <w:tcPr>
            <w:tcW w:w="1145" w:type="dxa"/>
            <w:tcBorders/>
          </w:tcPr>
          <w:p>
            <w:pPr>
              <w:pStyle w:val="TableContents"/>
              <w:bidi w:val="0"/>
              <w:spacing w:before="0" w:after="283"/>
              <w:jc w:val="left"/>
              <w:rPr>
                <w:sz w:val="4"/>
                <w:szCs w:val="4"/>
              </w:rPr>
            </w:pPr>
            <w:r>
              <w:rPr>
                <w:sz w:val="4"/>
                <w:szCs w:val="4"/>
              </w:rPr>
            </w:r>
          </w:p>
        </w:tc>
        <w:tc>
          <w:tcPr>
            <w:tcW w:w="276" w:type="dxa"/>
            <w:tcBorders/>
          </w:tcPr>
          <w:p>
            <w:pPr>
              <w:pStyle w:val="TableContents"/>
              <w:bidi w:val="0"/>
              <w:spacing w:before="0" w:after="283"/>
              <w:jc w:val="left"/>
              <w:rPr>
                <w:sz w:val="4"/>
                <w:szCs w:val="4"/>
              </w:rPr>
            </w:pPr>
            <w:r>
              <w:rPr>
                <w:sz w:val="4"/>
                <w:szCs w:val="4"/>
              </w:rPr>
            </w:r>
          </w:p>
        </w:tc>
      </w:tr>
      <w:tr>
        <w:trPr/>
        <w:tc>
          <w:tcPr>
            <w:tcW w:w="1040" w:type="dxa"/>
            <w:tcBorders>
              <w:top w:val="single" w:sz="8" w:space="0" w:color="000000"/>
              <w:left w:val="single" w:sz="8" w:space="0" w:color="000000"/>
              <w:bottom w:val="single" w:sz="8" w:space="0" w:color="000000"/>
              <w:right w:val="single" w:sz="8" w:space="0" w:color="000000"/>
            </w:tcBorders>
            <w:tcMar>
              <w:top w:w="28" w:type="dxa"/>
              <w:left w:w="156" w:type="dxa"/>
              <w:bottom w:w="28" w:type="dxa"/>
              <w:right w:w="156" w:type="dxa"/>
            </w:tcMar>
          </w:tcPr>
          <w:p>
            <w:pPr>
              <w:pStyle w:val="TableContents"/>
              <w:bidi w:val="0"/>
              <w:spacing w:before="0" w:after="0"/>
              <w:ind w:left="0" w:right="930" w:hanging="0"/>
              <w:jc w:val="both"/>
              <w:rPr>
                <w:rFonts w:ascii="Symbol" w:hAnsi="Symbol"/>
                <w:sz w:val="20"/>
              </w:rPr>
            </w:pPr>
            <w:r>
              <w:rPr>
                <w:rFonts w:ascii="Symbol" w:hAnsi="Symbol"/>
                <w:sz w:val="20"/>
              </w:rPr>
              <w:t>·</w:t>
            </w:r>
          </w:p>
          <w:p>
            <w:pPr>
              <w:pStyle w:val="TableContents"/>
              <w:bidi w:val="0"/>
              <w:spacing w:before="0" w:after="0"/>
              <w:ind w:left="0" w:right="0" w:hanging="0"/>
              <w:jc w:val="left"/>
              <w:rPr>
                <w:rFonts w:cs="Tahoma"/>
                <w:color w:val="000000"/>
                <w:szCs w:val="24"/>
              </w:rPr>
            </w:pPr>
            <w:r>
              <w:rPr>
                <w:rFonts w:cs="Tahoma"/>
                <w:color w:val="000000"/>
                <w:szCs w:val="24"/>
              </w:rPr>
              <w:t>﻿</w:t>
            </w:r>
          </w:p>
        </w:tc>
        <w:tc>
          <w:tcPr>
            <w:tcW w:w="1145" w:type="dxa"/>
            <w:tcBorders>
              <w:top w:val="single" w:sz="8" w:space="0" w:color="000000"/>
              <w:left w:val="single" w:sz="8" w:space="0" w:color="000000"/>
              <w:bottom w:val="single" w:sz="8" w:space="0" w:color="000000"/>
              <w:right w:val="single" w:sz="8" w:space="0" w:color="000000"/>
            </w:tcBorders>
            <w:tcMar>
              <w:top w:w="28" w:type="dxa"/>
              <w:left w:w="156" w:type="dxa"/>
              <w:bottom w:w="28" w:type="dxa"/>
              <w:right w:w="156" w:type="dxa"/>
            </w:tcMar>
          </w:tcPr>
          <w:p>
            <w:pPr>
              <w:pStyle w:val="TableContents"/>
              <w:bidi w:val="0"/>
              <w:spacing w:before="0" w:after="0"/>
              <w:ind w:left="0" w:right="930" w:hanging="0"/>
              <w:jc w:val="both"/>
              <w:rPr/>
            </w:pPr>
            <w:r>
              <w:rPr/>
              <w:t>  </w:t>
            </w:r>
            <w:r>
              <w:rPr>
                <w:rFonts w:ascii="Symbol" w:hAnsi="Symbol"/>
                <w:sz w:val="20"/>
              </w:rPr>
              <w:t>·</w:t>
            </w:r>
          </w:p>
        </w:tc>
        <w:tc>
          <w:tcPr>
            <w:tcW w:w="276" w:type="dxa"/>
            <w:tcBorders>
              <w:top w:val="single" w:sz="8" w:space="0" w:color="000000"/>
              <w:left w:val="single" w:sz="8" w:space="0" w:color="000000"/>
              <w:bottom w:val="single" w:sz="8" w:space="0" w:color="000000"/>
              <w:right w:val="single" w:sz="8" w:space="0" w:color="000000"/>
            </w:tcBorders>
            <w:tcMar>
              <w:top w:w="28" w:type="dxa"/>
              <w:left w:w="156" w:type="dxa"/>
              <w:bottom w:w="28" w:type="dxa"/>
              <w:right w:w="156" w:type="dxa"/>
            </w:tcMar>
          </w:tcPr>
          <w:p>
            <w:pPr>
              <w:pStyle w:val="TableContents"/>
              <w:bidi w:val="0"/>
              <w:spacing w:before="0" w:after="0"/>
              <w:ind w:left="0" w:right="46" w:hanging="0"/>
              <w:jc w:val="both"/>
              <w:rPr/>
            </w:pPr>
            <w:r>
              <w:rPr/>
              <w:t>  </w:t>
            </w:r>
            <w:r>
              <w:rPr>
                <w:rFonts w:ascii="Symbol" w:hAnsi="Symbol"/>
                <w:sz w:val="20"/>
              </w:rPr>
              <w:t>·</w:t>
            </w:r>
          </w:p>
        </w:tc>
      </w:tr>
      <w:tr>
        <w:trPr/>
        <w:tc>
          <w:tcPr>
            <w:tcW w:w="1040" w:type="dxa"/>
            <w:tcBorders>
              <w:top w:val="single" w:sz="8" w:space="0" w:color="000000"/>
              <w:left w:val="single" w:sz="8" w:space="0" w:color="000000"/>
              <w:bottom w:val="single" w:sz="8" w:space="0" w:color="000000"/>
              <w:right w:val="single" w:sz="8" w:space="0" w:color="000000"/>
            </w:tcBorders>
            <w:tcMar>
              <w:top w:w="28" w:type="dxa"/>
              <w:left w:w="156" w:type="dxa"/>
              <w:bottom w:w="28" w:type="dxa"/>
              <w:right w:w="156" w:type="dxa"/>
            </w:tcMar>
          </w:tcPr>
          <w:p>
            <w:pPr>
              <w:pStyle w:val="TableContents"/>
              <w:bidi w:val="0"/>
              <w:spacing w:before="0" w:after="0"/>
              <w:ind w:left="0" w:right="930" w:hanging="0"/>
              <w:jc w:val="both"/>
              <w:rPr>
                <w:rFonts w:ascii="Symbol" w:hAnsi="Symbol"/>
                <w:sz w:val="20"/>
              </w:rPr>
            </w:pPr>
            <w:r>
              <w:rPr>
                <w:rFonts w:ascii="Symbol" w:hAnsi="Symbol"/>
                <w:sz w:val="20"/>
              </w:rPr>
              <w:t>·</w:t>
            </w:r>
          </w:p>
          <w:p>
            <w:pPr>
              <w:pStyle w:val="TableContents"/>
              <w:bidi w:val="0"/>
              <w:spacing w:before="0" w:after="0"/>
              <w:ind w:left="0" w:right="0" w:hanging="0"/>
              <w:jc w:val="left"/>
              <w:rPr>
                <w:rFonts w:cs="Tahoma"/>
                <w:color w:val="000000"/>
                <w:szCs w:val="24"/>
              </w:rPr>
            </w:pPr>
            <w:r>
              <w:rPr>
                <w:rFonts w:cs="Tahoma"/>
                <w:color w:val="000000"/>
                <w:szCs w:val="24"/>
              </w:rPr>
              <w:t>﻿</w:t>
            </w:r>
          </w:p>
        </w:tc>
        <w:tc>
          <w:tcPr>
            <w:tcW w:w="1145" w:type="dxa"/>
            <w:tcBorders>
              <w:top w:val="single" w:sz="8" w:space="0" w:color="000000"/>
              <w:left w:val="single" w:sz="8" w:space="0" w:color="000000"/>
              <w:bottom w:val="single" w:sz="8" w:space="0" w:color="000000"/>
              <w:right w:val="single" w:sz="8" w:space="0" w:color="000000"/>
            </w:tcBorders>
            <w:tcMar>
              <w:top w:w="28" w:type="dxa"/>
              <w:left w:w="156" w:type="dxa"/>
              <w:bottom w:w="28" w:type="dxa"/>
              <w:right w:w="156" w:type="dxa"/>
            </w:tcMar>
          </w:tcPr>
          <w:p>
            <w:pPr>
              <w:pStyle w:val="TableContents"/>
              <w:bidi w:val="0"/>
              <w:spacing w:before="0" w:after="0"/>
              <w:ind w:left="0" w:right="930" w:hanging="0"/>
              <w:jc w:val="both"/>
              <w:rPr/>
            </w:pPr>
            <w:r>
              <w:rPr/>
              <w:t>  </w:t>
            </w:r>
            <w:r>
              <w:rPr>
                <w:rFonts w:ascii="Symbol" w:hAnsi="Symbol"/>
                <w:sz w:val="20"/>
              </w:rPr>
              <w:t>·</w:t>
            </w:r>
          </w:p>
        </w:tc>
        <w:tc>
          <w:tcPr>
            <w:tcW w:w="276" w:type="dxa"/>
            <w:tcBorders>
              <w:top w:val="single" w:sz="8" w:space="0" w:color="000000"/>
              <w:left w:val="single" w:sz="8" w:space="0" w:color="000000"/>
              <w:bottom w:val="single" w:sz="8" w:space="0" w:color="000000"/>
              <w:right w:val="single" w:sz="8" w:space="0" w:color="000000"/>
            </w:tcBorders>
            <w:tcMar>
              <w:top w:w="28" w:type="dxa"/>
              <w:left w:w="156" w:type="dxa"/>
              <w:bottom w:w="28" w:type="dxa"/>
              <w:right w:w="156" w:type="dxa"/>
            </w:tcMar>
          </w:tcPr>
          <w:p>
            <w:pPr>
              <w:pStyle w:val="TableContents"/>
              <w:bidi w:val="0"/>
              <w:spacing w:before="0" w:after="0"/>
              <w:ind w:left="0" w:right="46" w:hanging="0"/>
              <w:jc w:val="both"/>
              <w:rPr/>
            </w:pPr>
            <w:r>
              <w:rPr/>
              <w:t>  </w:t>
            </w:r>
            <w:r>
              <w:rPr>
                <w:rFonts w:ascii="Symbol" w:hAnsi="Symbol"/>
                <w:sz w:val="20"/>
              </w:rPr>
              <w:t>·</w:t>
            </w:r>
          </w:p>
        </w:tc>
      </w:tr>
      <w:tr>
        <w:trPr/>
        <w:tc>
          <w:tcPr>
            <w:tcW w:w="1040" w:type="dxa"/>
            <w:tcBorders>
              <w:top w:val="single" w:sz="8" w:space="0" w:color="000000"/>
              <w:left w:val="single" w:sz="8" w:space="0" w:color="000000"/>
              <w:bottom w:val="single" w:sz="8" w:space="0" w:color="000000"/>
              <w:right w:val="single" w:sz="8" w:space="0" w:color="000000"/>
            </w:tcBorders>
            <w:tcMar>
              <w:top w:w="28" w:type="dxa"/>
              <w:left w:w="156" w:type="dxa"/>
              <w:bottom w:w="28" w:type="dxa"/>
              <w:right w:w="156" w:type="dxa"/>
            </w:tcMar>
          </w:tcPr>
          <w:p>
            <w:pPr>
              <w:pStyle w:val="TableContents"/>
              <w:bidi w:val="0"/>
              <w:spacing w:before="0" w:after="0"/>
              <w:ind w:left="0" w:right="930" w:hanging="0"/>
              <w:jc w:val="both"/>
              <w:rPr>
                <w:rFonts w:ascii="Symbol" w:hAnsi="Symbol"/>
                <w:sz w:val="20"/>
              </w:rPr>
            </w:pPr>
            <w:r>
              <w:rPr>
                <w:rFonts w:ascii="Symbol" w:hAnsi="Symbol"/>
                <w:sz w:val="20"/>
              </w:rPr>
              <w:t>·</w:t>
            </w:r>
          </w:p>
          <w:p>
            <w:pPr>
              <w:pStyle w:val="TableContents"/>
              <w:bidi w:val="0"/>
              <w:spacing w:before="0" w:after="0"/>
              <w:ind w:left="0" w:right="0" w:hanging="0"/>
              <w:jc w:val="left"/>
              <w:rPr>
                <w:rFonts w:cs="Tahoma"/>
                <w:color w:val="000000"/>
                <w:szCs w:val="24"/>
              </w:rPr>
            </w:pPr>
            <w:r>
              <w:rPr>
                <w:rFonts w:cs="Tahoma"/>
                <w:color w:val="000000"/>
                <w:szCs w:val="24"/>
              </w:rPr>
              <w:t>﻿</w:t>
            </w:r>
          </w:p>
        </w:tc>
        <w:tc>
          <w:tcPr>
            <w:tcW w:w="1145" w:type="dxa"/>
            <w:tcBorders>
              <w:top w:val="single" w:sz="8" w:space="0" w:color="000000"/>
              <w:left w:val="single" w:sz="8" w:space="0" w:color="000000"/>
              <w:bottom w:val="single" w:sz="8" w:space="0" w:color="000000"/>
              <w:right w:val="single" w:sz="8" w:space="0" w:color="000000"/>
            </w:tcBorders>
            <w:tcMar>
              <w:top w:w="28" w:type="dxa"/>
              <w:left w:w="156" w:type="dxa"/>
              <w:bottom w:w="28" w:type="dxa"/>
              <w:right w:w="156" w:type="dxa"/>
            </w:tcMar>
          </w:tcPr>
          <w:p>
            <w:pPr>
              <w:pStyle w:val="TableContents"/>
              <w:bidi w:val="0"/>
              <w:spacing w:before="0" w:after="0"/>
              <w:ind w:left="0" w:right="930" w:hanging="0"/>
              <w:jc w:val="both"/>
              <w:rPr/>
            </w:pPr>
            <w:r>
              <w:rPr/>
              <w:t>  </w:t>
            </w:r>
            <w:r>
              <w:rPr>
                <w:rFonts w:ascii="Symbol" w:hAnsi="Symbol"/>
                <w:sz w:val="20"/>
              </w:rPr>
              <w:t>·</w:t>
            </w:r>
          </w:p>
        </w:tc>
        <w:tc>
          <w:tcPr>
            <w:tcW w:w="276" w:type="dxa"/>
            <w:tcBorders>
              <w:top w:val="single" w:sz="8" w:space="0" w:color="000000"/>
              <w:left w:val="single" w:sz="8" w:space="0" w:color="000000"/>
              <w:bottom w:val="single" w:sz="8" w:space="0" w:color="000000"/>
              <w:right w:val="single" w:sz="8" w:space="0" w:color="000000"/>
            </w:tcBorders>
            <w:tcMar>
              <w:top w:w="28" w:type="dxa"/>
              <w:left w:w="156" w:type="dxa"/>
              <w:bottom w:w="28" w:type="dxa"/>
              <w:right w:w="156" w:type="dxa"/>
            </w:tcMar>
          </w:tcPr>
          <w:p>
            <w:pPr>
              <w:pStyle w:val="TableContents"/>
              <w:bidi w:val="0"/>
              <w:spacing w:before="0" w:after="0"/>
              <w:ind w:left="0" w:right="46" w:hanging="0"/>
              <w:jc w:val="both"/>
              <w:rPr/>
            </w:pPr>
            <w:r>
              <w:rPr/>
              <w:t>  </w:t>
            </w:r>
            <w:r>
              <w:rPr>
                <w:rFonts w:ascii="Symbol" w:hAnsi="Symbol"/>
                <w:sz w:val="20"/>
              </w:rPr>
              <w:t>·</w:t>
            </w:r>
          </w:p>
        </w:tc>
      </w:tr>
      <w:tr>
        <w:trPr/>
        <w:tc>
          <w:tcPr>
            <w:tcW w:w="1040" w:type="dxa"/>
            <w:tcBorders>
              <w:top w:val="single" w:sz="8" w:space="0" w:color="000000"/>
              <w:left w:val="single" w:sz="8" w:space="0" w:color="000000"/>
              <w:bottom w:val="single" w:sz="8" w:space="0" w:color="000000"/>
              <w:right w:val="single" w:sz="8" w:space="0" w:color="000000"/>
            </w:tcBorders>
            <w:tcMar>
              <w:top w:w="28" w:type="dxa"/>
              <w:left w:w="156" w:type="dxa"/>
              <w:bottom w:w="28" w:type="dxa"/>
              <w:right w:w="156" w:type="dxa"/>
            </w:tcMar>
          </w:tcPr>
          <w:p>
            <w:pPr>
              <w:pStyle w:val="TableContents"/>
              <w:bidi w:val="0"/>
              <w:spacing w:before="0" w:after="0"/>
              <w:ind w:left="0" w:right="930" w:hanging="0"/>
              <w:jc w:val="both"/>
              <w:rPr>
                <w:rFonts w:ascii="Symbol" w:hAnsi="Symbol"/>
                <w:sz w:val="20"/>
              </w:rPr>
            </w:pPr>
            <w:r>
              <w:rPr>
                <w:rFonts w:ascii="Symbol" w:hAnsi="Symbol"/>
                <w:sz w:val="20"/>
              </w:rPr>
              <w:t>·</w:t>
            </w:r>
          </w:p>
          <w:p>
            <w:pPr>
              <w:pStyle w:val="TableContents"/>
              <w:bidi w:val="0"/>
              <w:spacing w:before="0" w:after="0"/>
              <w:ind w:left="0" w:right="0" w:hanging="0"/>
              <w:jc w:val="left"/>
              <w:rPr>
                <w:rFonts w:cs="Tahoma"/>
                <w:color w:val="000000"/>
                <w:szCs w:val="24"/>
              </w:rPr>
            </w:pPr>
            <w:r>
              <w:rPr>
                <w:rFonts w:cs="Tahoma"/>
                <w:color w:val="000000"/>
                <w:szCs w:val="24"/>
              </w:rPr>
              <w:t>﻿</w:t>
            </w:r>
          </w:p>
        </w:tc>
        <w:tc>
          <w:tcPr>
            <w:tcW w:w="1145" w:type="dxa"/>
            <w:tcBorders>
              <w:top w:val="single" w:sz="8" w:space="0" w:color="000000"/>
              <w:left w:val="single" w:sz="8" w:space="0" w:color="000000"/>
              <w:bottom w:val="single" w:sz="8" w:space="0" w:color="000000"/>
              <w:right w:val="single" w:sz="8" w:space="0" w:color="000000"/>
            </w:tcBorders>
            <w:tcMar>
              <w:top w:w="28" w:type="dxa"/>
              <w:left w:w="156" w:type="dxa"/>
              <w:bottom w:w="28" w:type="dxa"/>
              <w:right w:w="156" w:type="dxa"/>
            </w:tcMar>
          </w:tcPr>
          <w:p>
            <w:pPr>
              <w:pStyle w:val="TableContents"/>
              <w:bidi w:val="0"/>
              <w:spacing w:before="0" w:after="0"/>
              <w:ind w:left="0" w:right="930" w:hanging="0"/>
              <w:jc w:val="both"/>
              <w:rPr/>
            </w:pPr>
            <w:r>
              <w:rPr/>
              <w:t>  </w:t>
            </w:r>
            <w:r>
              <w:rPr>
                <w:rFonts w:ascii="Symbol" w:hAnsi="Symbol"/>
                <w:sz w:val="20"/>
              </w:rPr>
              <w:t>·</w:t>
            </w:r>
          </w:p>
        </w:tc>
        <w:tc>
          <w:tcPr>
            <w:tcW w:w="276" w:type="dxa"/>
            <w:tcBorders>
              <w:top w:val="single" w:sz="8" w:space="0" w:color="000000"/>
              <w:left w:val="single" w:sz="8" w:space="0" w:color="000000"/>
              <w:bottom w:val="single" w:sz="8" w:space="0" w:color="000000"/>
              <w:right w:val="single" w:sz="8" w:space="0" w:color="000000"/>
            </w:tcBorders>
            <w:tcMar>
              <w:top w:w="28" w:type="dxa"/>
              <w:left w:w="156" w:type="dxa"/>
              <w:bottom w:w="28" w:type="dxa"/>
              <w:right w:w="156" w:type="dxa"/>
            </w:tcMar>
          </w:tcPr>
          <w:p>
            <w:pPr>
              <w:pStyle w:val="TableContents"/>
              <w:bidi w:val="0"/>
              <w:spacing w:before="0" w:after="0"/>
              <w:ind w:left="0" w:right="46" w:hanging="0"/>
              <w:jc w:val="both"/>
              <w:rPr/>
            </w:pPr>
            <w:r>
              <w:rPr/>
              <w:t>  </w:t>
            </w:r>
            <w:r>
              <w:rPr>
                <w:rFonts w:ascii="Symbol" w:hAnsi="Symbol"/>
                <w:sz w:val="20"/>
              </w:rPr>
              <w:t>·</w:t>
            </w:r>
          </w:p>
        </w:tc>
      </w:tr>
      <w:tr>
        <w:trPr/>
        <w:tc>
          <w:tcPr>
            <w:tcW w:w="1040" w:type="dxa"/>
            <w:tcBorders>
              <w:top w:val="single" w:sz="8" w:space="0" w:color="000000"/>
              <w:left w:val="single" w:sz="8" w:space="0" w:color="000000"/>
              <w:bottom w:val="single" w:sz="8" w:space="0" w:color="000000"/>
              <w:right w:val="single" w:sz="8" w:space="0" w:color="000000"/>
            </w:tcBorders>
            <w:tcMar>
              <w:top w:w="28" w:type="dxa"/>
              <w:left w:w="156" w:type="dxa"/>
              <w:bottom w:w="28" w:type="dxa"/>
              <w:right w:w="156" w:type="dxa"/>
            </w:tcMar>
          </w:tcPr>
          <w:p>
            <w:pPr>
              <w:pStyle w:val="TableContents"/>
              <w:bidi w:val="0"/>
              <w:spacing w:before="0" w:after="0"/>
              <w:ind w:left="0" w:right="930" w:hanging="0"/>
              <w:jc w:val="both"/>
              <w:rPr>
                <w:rFonts w:ascii="Symbol" w:hAnsi="Symbol"/>
                <w:sz w:val="20"/>
              </w:rPr>
            </w:pPr>
            <w:r>
              <w:rPr>
                <w:rFonts w:ascii="Symbol" w:hAnsi="Symbol"/>
                <w:sz w:val="20"/>
              </w:rPr>
              <w:t>·</w:t>
            </w:r>
          </w:p>
        </w:tc>
        <w:tc>
          <w:tcPr>
            <w:tcW w:w="1145" w:type="dxa"/>
            <w:tcBorders>
              <w:top w:val="single" w:sz="8" w:space="0" w:color="000000"/>
              <w:left w:val="single" w:sz="8" w:space="0" w:color="000000"/>
              <w:bottom w:val="single" w:sz="8" w:space="0" w:color="000000"/>
              <w:right w:val="single" w:sz="8" w:space="0" w:color="000000"/>
            </w:tcBorders>
            <w:tcMar>
              <w:top w:w="28" w:type="dxa"/>
              <w:left w:w="156" w:type="dxa"/>
              <w:bottom w:w="28" w:type="dxa"/>
              <w:right w:w="156" w:type="dxa"/>
            </w:tcMar>
          </w:tcPr>
          <w:p>
            <w:pPr>
              <w:pStyle w:val="TableContents"/>
              <w:bidi w:val="0"/>
              <w:spacing w:before="0" w:after="0"/>
              <w:ind w:left="0" w:right="930" w:hanging="0"/>
              <w:jc w:val="both"/>
              <w:rPr/>
            </w:pPr>
            <w:r>
              <w:rPr/>
              <w:t>  </w:t>
            </w:r>
            <w:r>
              <w:rPr>
                <w:rFonts w:ascii="Symbol" w:hAnsi="Symbol"/>
                <w:sz w:val="20"/>
              </w:rPr>
              <w:t>·</w:t>
            </w:r>
          </w:p>
        </w:tc>
        <w:tc>
          <w:tcPr>
            <w:tcW w:w="276" w:type="dxa"/>
            <w:tcBorders>
              <w:top w:val="single" w:sz="8" w:space="0" w:color="000000"/>
              <w:left w:val="single" w:sz="8" w:space="0" w:color="000000"/>
              <w:bottom w:val="single" w:sz="8" w:space="0" w:color="000000"/>
              <w:right w:val="single" w:sz="8" w:space="0" w:color="000000"/>
            </w:tcBorders>
            <w:tcMar>
              <w:top w:w="28" w:type="dxa"/>
              <w:left w:w="156" w:type="dxa"/>
              <w:bottom w:w="28" w:type="dxa"/>
              <w:right w:w="156" w:type="dxa"/>
            </w:tcMar>
          </w:tcPr>
          <w:p>
            <w:pPr>
              <w:pStyle w:val="TableContents"/>
              <w:bidi w:val="0"/>
              <w:spacing w:before="0" w:after="0"/>
              <w:ind w:left="0" w:right="46" w:hanging="0"/>
              <w:jc w:val="both"/>
              <w:rPr/>
            </w:pPr>
            <w:r>
              <w:rPr/>
              <w:t>  </w:t>
            </w:r>
            <w:r>
              <w:rPr>
                <w:rFonts w:ascii="Symbol" w:hAnsi="Symbol"/>
                <w:sz w:val="20"/>
              </w:rPr>
              <w:t>·</w:t>
            </w:r>
          </w:p>
        </w:tc>
      </w:tr>
    </w:tbl>
    <w:p>
      <w:pPr>
        <w:pStyle w:val="TextBody"/>
        <w:bidi w:val="0"/>
        <w:spacing w:lineRule="atLeast" w:line="272" w:before="3" w:after="0"/>
        <w:ind w:left="2172" w:right="146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lineRule="atLeast" w:line="272" w:before="3" w:after="0"/>
        <w:ind w:left="2172" w:right="1460" w:hanging="0"/>
        <w:jc w:val="left"/>
        <w:rPr>
          <w:rFonts w:ascii="Times New Roman" w:hAnsi="Times New Roman"/>
          <w:sz w:val="24"/>
        </w:rPr>
      </w:pPr>
      <w:r>
        <w:rPr>
          <w:rFonts w:ascii="Times New Roman" w:hAnsi="Times New Roman"/>
          <w:color w:val="000000"/>
          <w:sz w:val="24"/>
        </w:rPr>
        <w:t>(b)The Peer Group shall be subject to change as follows:</w:t>
      </w:r>
      <w:r>
        <w:rPr>
          <w:rFonts w:ascii="Times New Roman" w:hAnsi="Times New Roman"/>
          <w:sz w:val="24"/>
        </w:rPr>
        <w:t xml:space="preserve"> </w:t>
      </w:r>
    </w:p>
    <w:p>
      <w:pPr>
        <w:pStyle w:val="TextBody"/>
        <w:bidi w:val="0"/>
        <w:spacing w:lineRule="atLeast" w:line="272" w:before="3" w:after="0"/>
        <w:ind w:left="2172" w:right="1460"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380" w:right="1892" w:hanging="0"/>
        <w:jc w:val="left"/>
        <w:rPr>
          <w:rFonts w:ascii="Times New Roman" w:hAnsi="Times New Roman"/>
          <w:sz w:val="24"/>
        </w:rPr>
      </w:pPr>
      <w:r>
        <w:rPr>
          <w:rFonts w:ascii="Times New Roman" w:hAnsi="Times New Roman"/>
          <w:color w:val="000000"/>
          <w:sz w:val="24"/>
        </w:rPr>
        <w:t>(i)In the event of a merger, acquisition, or business combination transaction of a Peer Company in which the Peer Company is the surviving entity and remains publicly traded, the surviving entity shall remain a Peer Company.</w:t>
      </w:r>
      <w:r>
        <w:rPr>
          <w:rFonts w:ascii="Times New Roman" w:hAnsi="Times New Roman"/>
          <w:sz w:val="24"/>
        </w:rPr>
        <w:t xml:space="preserve"> </w:t>
      </w:r>
    </w:p>
    <w:p>
      <w:pPr>
        <w:pStyle w:val="TextBody"/>
        <w:bidi w:val="0"/>
        <w:spacing w:before="0" w:after="0"/>
        <w:ind w:left="2820" w:right="1748"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380" w:right="1748" w:hanging="0"/>
        <w:jc w:val="left"/>
        <w:rPr>
          <w:rFonts w:ascii="Times New Roman" w:hAnsi="Times New Roman"/>
          <w:sz w:val="24"/>
        </w:rPr>
      </w:pPr>
      <w:r>
        <w:rPr>
          <w:rFonts w:ascii="Times New Roman" w:hAnsi="Times New Roman"/>
          <w:color w:val="000000"/>
          <w:sz w:val="24"/>
        </w:rPr>
        <w:t>(ii)In the event of a merger, acquisition or business combination transaction of a Peer Company, a “going private” transaction or similar event involving a Peer Company or the liquidation of a Peer Company, in each case where the Peer Company is not the surviving entity or is no longer publicly traded, the TSR for the Peer Company shall be calculated by dividing the Closing Average Share Value (as defined below) using the date immediately prior to the merger, acquisition, or business combination transaction by the Opening Share Value (as defined below).</w:t>
      </w:r>
      <w:r>
        <w:rPr>
          <w:rFonts w:ascii="Times New Roman" w:hAnsi="Times New Roman"/>
          <w:sz w:val="24"/>
        </w:rPr>
        <w:t xml:space="preserve"> </w:t>
      </w:r>
    </w:p>
    <w:p>
      <w:pPr>
        <w:pStyle w:val="TextBody"/>
        <w:bidi w:val="0"/>
        <w:spacing w:before="0" w:after="0"/>
        <w:ind w:left="2820" w:right="1604"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380" w:right="1604" w:hanging="0"/>
        <w:jc w:val="left"/>
        <w:rPr>
          <w:rFonts w:ascii="Times New Roman" w:hAnsi="Times New Roman"/>
          <w:sz w:val="24"/>
        </w:rPr>
      </w:pPr>
      <w:r>
        <w:rPr>
          <w:rFonts w:ascii="Times New Roman" w:hAnsi="Times New Roman"/>
          <w:color w:val="000000"/>
          <w:sz w:val="24"/>
        </w:rPr>
        <w:t>(iii)In the event of an announced merger, acquisition or business combination transaction of a Peer Company, a “going private” transaction or similar event involving a Peer Company or the liquidation of a Peer Company, or the announcement of an intention to enter into a merger, acquisition or business combination of a Peer Company, a “going private”transaction or similar event, in each case where the Peer Company is not the surviving entity or is no longer publicly traded, the TSR for the Peer Company shall be calculated by dividing the Closing Average Share Value (as defined below) using the date immediately prior to the announcement of the merger, acquisition, or business combination by the Opening Share Value (as defined below).</w:t>
      </w:r>
      <w:r>
        <w:rPr>
          <w:rFonts w:ascii="Times New Roman" w:hAnsi="Times New Roman"/>
          <w:sz w:val="24"/>
        </w:rPr>
        <w:t xml:space="preserve"> </w:t>
      </w:r>
    </w:p>
    <w:p>
      <w:pPr>
        <w:pStyle w:val="HorizontalLine"/>
        <w:pBdr>
          <w:bottom w:val="double" w:sz="6" w:space="0" w:color="808080"/>
        </w:pBdr>
        <w:bidi w:val="0"/>
        <w:ind w:left="1380" w:right="1460" w:hanging="0"/>
        <w:jc w:val="left"/>
        <w:rPr/>
      </w:pPr>
      <w:r>
        <w:rPr/>
      </w:r>
    </w:p>
    <w:p>
      <w:pPr>
        <w:pStyle w:val="TextBody"/>
        <w:bidi w:val="0"/>
        <w:ind w:left="1380" w:right="1460" w:hanging="0"/>
        <w:jc w:val="left"/>
        <w:rPr/>
      </w:pPr>
      <w:r>
        <w:rPr/>
        <w:t> </w:t>
      </w:r>
      <w:r>
        <w:br w:type="page"/>
      </w:r>
    </w:p>
    <w:p>
      <w:pPr>
        <w:pStyle w:val="TextBody"/>
        <w:bidi w:val="0"/>
        <w:spacing w:before="0" w:after="0"/>
        <w:ind w:left="1380" w:right="1460" w:hanging="0"/>
        <w:jc w:val="left"/>
        <w:rPr/>
      </w:pPr>
      <w:r>
        <w:rPr/>
        <w:t xml:space="preserve">  </w:t>
      </w:r>
    </w:p>
    <w:p>
      <w:pPr>
        <w:pStyle w:val="TextBody"/>
        <w:bidi w:val="0"/>
        <w:spacing w:lineRule="atLeast" w:line="276" w:before="242" w:after="0"/>
        <w:ind w:left="1380" w:right="1460" w:hanging="0"/>
        <w:jc w:val="left"/>
        <w:rPr>
          <w:rFonts w:ascii="Times New Roman" w:hAnsi="Times New Roman"/>
          <w:sz w:val="24"/>
        </w:rPr>
      </w:pPr>
      <w:r>
        <w:rPr>
          <w:rFonts w:ascii="Times New Roman" w:hAnsi="Times New Roman"/>
          <w:color w:val="000000"/>
          <w:sz w:val="24"/>
        </w:rPr>
        <w:t>(c)The term “Closing Average Share Value” means the average value of the common stock for the trading days during the two calendar months ending on the last trading day of the Performance Period, which shall be calculated as follows: (i) determine the closing price of the common stock on each trading date during the two-month period, (ii) multiply each closing price as of that trading date by the applicable share number described below, and (iii) average the amounts so determined for the two-month period. The Closing Average Share Value shall take into account any dividends on the common stock for which the ex-dividend date occurred during the Performance Period, as if the dividend amount had been reinvested in common stock at the closing price on the ex-dividend date. The share number in clause (ii) above, for a given trading day, is the sum of one share plus the cumulative number of shares deemed purchased with such dividends. Notwithstanding the foregoing, if the Closing Average Share Value is calculated as of a Change in Control, then the Closing Average Share Value shall be based on the two-month period ending immediately prior to the Change in Control.</w:t>
      </w:r>
      <w:r>
        <w:rPr>
          <w:rFonts w:ascii="Times New Roman" w:hAnsi="Times New Roman"/>
          <w:sz w:val="24"/>
        </w:rPr>
        <w:t xml:space="preserve"> </w:t>
      </w:r>
    </w:p>
    <w:p>
      <w:pPr>
        <w:pStyle w:val="TextBody"/>
        <w:bidi w:val="0"/>
        <w:spacing w:lineRule="atLeast" w:line="276" w:before="238" w:after="0"/>
        <w:ind w:left="1380" w:right="1460" w:hanging="0"/>
        <w:jc w:val="left"/>
        <w:rPr>
          <w:rFonts w:ascii="Times New Roman" w:hAnsi="Times New Roman"/>
          <w:sz w:val="24"/>
        </w:rPr>
      </w:pPr>
      <w:r>
        <w:rPr>
          <w:rFonts w:ascii="Times New Roman" w:hAnsi="Times New Roman"/>
          <w:color w:val="000000"/>
          <w:sz w:val="24"/>
        </w:rPr>
        <w:t>(d)The term “Opening Average Share Value” means the average value of the common stock for the trading days during the two calendar months ending on the last trading day prior to the beginning of the Performance Period, which shall be calculated as follows: (i) determine the closing price of the common stock on each trading date during the two-month period, (ii) multiply each closing price as of that trading date by the applicable share number described below, and (iii) average the amounts so determined for the two-month period. The Opening Average Share Value shall take into account any dividends on the common stock for which the ex-dividend date occurred during the two-month period, as if the dividend amount had been reinvested in common stock at the closing price on the ex-dividend date. The share number in clause (ii) above, for a given trading day, is the sum of one share plus the cumulative number of shares deemed purchased with such dividends.</w:t>
      </w:r>
      <w:r>
        <w:rPr>
          <w:rFonts w:ascii="Times New Roman" w:hAnsi="Times New Roman"/>
          <w:sz w:val="24"/>
        </w:rPr>
        <w:t xml:space="preserve"> </w:t>
      </w:r>
    </w:p>
    <w:p>
      <w:pPr>
        <w:pStyle w:val="TextBody"/>
        <w:bidi w:val="0"/>
        <w:spacing w:before="0" w:after="0"/>
        <w:ind w:left="2100" w:right="1604"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380" w:right="1604" w:hanging="0"/>
        <w:jc w:val="left"/>
        <w:rPr>
          <w:rFonts w:ascii="Times New Roman" w:hAnsi="Times New Roman"/>
          <w:sz w:val="24"/>
        </w:rPr>
      </w:pPr>
      <w:r>
        <w:rPr>
          <w:rFonts w:ascii="Times New Roman" w:hAnsi="Times New Roman"/>
          <w:color w:val="000000"/>
          <w:sz w:val="24"/>
        </w:rPr>
        <w:t>(e)The Peer Group Portion shall be earned based on how the Company’s TSR ranks in comparison to the TSRs of the Peer Group in accordance with the following schedule, depending on how many companies remain in the Peer Group at the end of the Performance Period:</w:t>
      </w:r>
      <w:r>
        <w:rPr>
          <w:rFonts w:ascii="Times New Roman" w:hAnsi="Times New Roman"/>
          <w:sz w:val="24"/>
        </w:rPr>
        <w:t xml:space="preserve"> </w:t>
      </w:r>
    </w:p>
    <w:p>
      <w:pPr>
        <w:pStyle w:val="TextBody"/>
        <w:bidi w:val="0"/>
        <w:spacing w:before="0" w:after="0"/>
        <w:ind w:left="2100" w:right="1604" w:hanging="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2100" w:right="1604" w:hanging="0"/>
        <w:jc w:val="left"/>
        <w:rPr>
          <w:rFonts w:ascii="Times New Roman" w:hAnsi="Times New Roman"/>
          <w:sz w:val="20"/>
        </w:rPr>
      </w:pPr>
      <w:r>
        <w:rPr>
          <w:rFonts w:ascii="Times New Roman" w:hAnsi="Times New Roman"/>
          <w:color w:val="000000"/>
          <w:sz w:val="20"/>
        </w:rPr>
        <w:t>[__________]</w:t>
      </w:r>
      <w:r>
        <w:rPr>
          <w:rFonts w:ascii="Times New Roman" w:hAnsi="Times New Roman"/>
          <w:sz w:val="20"/>
        </w:rPr>
        <w:t xml:space="preserve"> </w:t>
      </w:r>
    </w:p>
    <w:p>
      <w:pPr>
        <w:pStyle w:val="TextBody"/>
        <w:bidi w:val="0"/>
        <w:spacing w:lineRule="atLeast" w:line="275" w:before="244" w:after="0"/>
        <w:ind w:left="1380" w:right="1820" w:hanging="0"/>
        <w:jc w:val="left"/>
        <w:rPr>
          <w:rFonts w:ascii="Times New Roman" w:hAnsi="Times New Roman"/>
          <w:sz w:val="24"/>
        </w:rPr>
      </w:pPr>
      <w:r>
        <w:rPr>
          <w:rFonts w:ascii="Times New Roman" w:hAnsi="Times New Roman"/>
          <w:color w:val="000000"/>
          <w:sz w:val="24"/>
          <w:u w:val="single"/>
        </w:rPr>
        <w:t>4.Performance Units Earned Based on Return on Earnings</w:t>
      </w:r>
      <w:r>
        <w:rPr>
          <w:rFonts w:ascii="Times New Roman" w:hAnsi="Times New Roman"/>
          <w:color w:val="000000"/>
          <w:sz w:val="24"/>
        </w:rPr>
        <w:t>.  _____% of the employee’s target performance-based award (the “ROE”) shall be earned based on _____ according to the following schedule:</w:t>
      </w:r>
      <w:r>
        <w:rPr>
          <w:rFonts w:ascii="Times New Roman" w:hAnsi="Times New Roman"/>
          <w:sz w:val="24"/>
        </w:rPr>
        <w:t xml:space="preserve"> </w:t>
      </w:r>
    </w:p>
    <w:p>
      <w:pPr>
        <w:pStyle w:val="TextBody"/>
        <w:bidi w:val="0"/>
        <w:spacing w:before="0" w:after="0"/>
        <w:ind w:left="2100" w:right="1604" w:hanging="0"/>
        <w:jc w:val="left"/>
        <w:rPr>
          <w:rFonts w:cs="Times New Roman"/>
          <w:szCs w:val="20"/>
        </w:rPr>
      </w:pPr>
      <w:r>
        <w:rPr>
          <w:rFonts w:cs="Times New Roman"/>
          <w:color w:val="000000"/>
          <w:szCs w:val="20"/>
        </w:rPr>
        <w:t>﻿</w:t>
      </w:r>
      <w:r>
        <w:rPr>
          <w:rFonts w:cs="Times New Roman"/>
          <w:szCs w:val="20"/>
        </w:rPr>
        <w:t xml:space="preserve"> </w:t>
      </w:r>
    </w:p>
    <w:p>
      <w:pPr>
        <w:pStyle w:val="TextBody"/>
        <w:bidi w:val="0"/>
        <w:spacing w:before="0" w:after="0"/>
        <w:ind w:left="2100" w:right="1604" w:hanging="0"/>
        <w:jc w:val="left"/>
        <w:rPr>
          <w:rFonts w:ascii="Times New Roman" w:hAnsi="Times New Roman"/>
          <w:sz w:val="20"/>
        </w:rPr>
      </w:pPr>
      <w:r>
        <w:rPr>
          <w:rFonts w:ascii="Times New Roman" w:hAnsi="Times New Roman"/>
          <w:color w:val="000000"/>
          <w:sz w:val="20"/>
        </w:rPr>
        <w:t>[__________]</w:t>
      </w:r>
      <w:r>
        <w:rPr>
          <w:rFonts w:ascii="Times New Roman" w:hAnsi="Times New Roman"/>
          <w:sz w:val="20"/>
        </w:rPr>
        <w:t xml:space="preserve"> </w:t>
      </w:r>
    </w:p>
    <w:p>
      <w:pPr>
        <w:pStyle w:val="TextBody"/>
        <w:bidi w:val="0"/>
        <w:spacing w:lineRule="atLeast" w:line="277" w:before="0" w:after="0"/>
        <w:ind w:left="1380" w:right="1604" w:hanging="0"/>
        <w:jc w:val="both"/>
        <w:rPr>
          <w:rFonts w:cs="Times New Roman"/>
          <w:szCs w:val="24"/>
        </w:rPr>
      </w:pPr>
      <w:r>
        <w:rPr>
          <w:rFonts w:cs="Times New Roman"/>
          <w:color w:val="000000"/>
          <w:szCs w:val="24"/>
        </w:rPr>
        <w:t>﻿</w:t>
      </w:r>
      <w:r>
        <w:rPr>
          <w:rFonts w:cs="Times New Roman"/>
          <w:szCs w:val="24"/>
        </w:rPr>
        <w:t xml:space="preserve"> </w:t>
      </w:r>
    </w:p>
    <w:p>
      <w:pPr>
        <w:pStyle w:val="TextBody"/>
        <w:bidi w:val="0"/>
        <w:spacing w:lineRule="atLeast" w:line="277" w:before="0" w:after="0"/>
        <w:ind w:left="1380" w:right="1604" w:hanging="0"/>
        <w:jc w:val="both"/>
        <w:rPr>
          <w:rFonts w:ascii="Times New Roman" w:hAnsi="Times New Roman"/>
          <w:sz w:val="24"/>
        </w:rPr>
      </w:pPr>
      <w:r>
        <w:rPr>
          <w:rFonts w:ascii="Times New Roman" w:hAnsi="Times New Roman"/>
          <w:color w:val="000000"/>
          <w:sz w:val="24"/>
        </w:rPr>
        <w:t>If the ROE falls between the measuring points on the foregoing schedule, the percentage earned will be based on linear interpolation between the applicable measuring points.</w:t>
      </w:r>
      <w:r>
        <w:rPr>
          <w:rFonts w:ascii="Times New Roman" w:hAnsi="Times New Roman"/>
          <w:sz w:val="24"/>
        </w:rPr>
        <w:t xml:space="preserve"> </w:t>
      </w:r>
    </w:p>
    <w:p>
      <w:pPr>
        <w:pStyle w:val="TextBody"/>
        <w:bidi w:val="0"/>
        <w:spacing w:lineRule="atLeast" w:line="277" w:before="231" w:after="1507"/>
        <w:ind w:left="1380" w:right="1532" w:hanging="0"/>
        <w:jc w:val="left"/>
        <w:rPr>
          <w:rFonts w:ascii="Times New Roman" w:hAnsi="Times New Roman"/>
          <w:sz w:val="24"/>
        </w:rPr>
      </w:pPr>
      <w:r>
        <w:rPr>
          <w:rFonts w:ascii="Times New Roman" w:hAnsi="Times New Roman"/>
          <w:color w:val="000000"/>
          <w:sz w:val="24"/>
          <w:u w:val="single"/>
        </w:rPr>
        <w:t>Performance Units Earned Based on the Achievement of Targeted Operating and Maintenance  Expenses</w:t>
      </w:r>
      <w:r>
        <w:rPr>
          <w:rFonts w:ascii="Times New Roman" w:hAnsi="Times New Roman"/>
          <w:color w:val="000000"/>
          <w:sz w:val="24"/>
        </w:rPr>
        <w:t>.  _____%  of the employee’s target performance-based award shall be earned based on the Company’s achieving targets for the consolidated operations and maintenance expenses of the Company and its subsidiaries, but excluding operations and maintenance expenses from all market based activities from _____ (the “Regulated O&amp;M”). The Regulated O&amp;M shall be calculated according to the following schedule:</w:t>
      </w:r>
      <w:r>
        <w:rPr>
          <w:rFonts w:ascii="Times New Roman" w:hAnsi="Times New Roman"/>
          <w:sz w:val="24"/>
        </w:rPr>
        <w:t xml:space="preserve"> </w:t>
      </w:r>
    </w:p>
    <w:p>
      <w:pPr>
        <w:pStyle w:val="TextBody"/>
        <w:bidi w:val="0"/>
        <w:spacing w:lineRule="atLeast" w:line="277" w:before="231" w:after="1507"/>
        <w:ind w:left="1380" w:right="1460" w:hanging="0"/>
        <w:jc w:val="left"/>
        <w:rPr/>
      </w:pPr>
      <w:r>
        <w:rPr/>
        <w:t xml:space="preserve">  </w:t>
      </w:r>
    </w:p>
    <w:p>
      <w:pPr>
        <w:pStyle w:val="TextBody"/>
        <w:bidi w:val="0"/>
        <w:spacing w:before="0" w:after="0"/>
        <w:ind w:left="1420" w:right="1420" w:hanging="0"/>
        <w:jc w:val="left"/>
        <w:rPr/>
      </w:pPr>
      <w:r>
        <w:rPr/>
        <w:t xml:space="preserve">  </w:t>
      </w:r>
    </w:p>
    <w:p>
      <w:pPr>
        <w:pStyle w:val="HorizontalLine"/>
        <w:pBdr>
          <w:bottom w:val="double" w:sz="6" w:space="0" w:color="808080"/>
        </w:pBdr>
        <w:bidi w:val="0"/>
        <w:ind w:left="1400" w:right="1440" w:hanging="0"/>
        <w:jc w:val="left"/>
        <w:rPr/>
      </w:pPr>
      <w:r>
        <w:rPr/>
      </w:r>
    </w:p>
    <w:p>
      <w:pPr>
        <w:pStyle w:val="TextBody"/>
        <w:bidi w:val="0"/>
        <w:ind w:left="1400" w:right="1440" w:hanging="0"/>
        <w:jc w:val="left"/>
        <w:rPr/>
      </w:pPr>
      <w:r>
        <w:rPr/>
        <w:t> </w:t>
      </w:r>
      <w:r>
        <w:br w:type="page"/>
      </w:r>
    </w:p>
    <w:p>
      <w:pPr>
        <w:pStyle w:val="TextBody"/>
        <w:bidi w:val="0"/>
        <w:spacing w:before="0" w:after="0"/>
        <w:ind w:left="2120" w:right="1584" w:hanging="0"/>
        <w:jc w:val="left"/>
        <w:rPr>
          <w:rFonts w:ascii="Times New Roman" w:hAnsi="Times New Roman"/>
          <w:sz w:val="20"/>
        </w:rPr>
      </w:pPr>
      <w:r>
        <w:rPr>
          <w:rFonts w:ascii="Times New Roman" w:hAnsi="Times New Roman"/>
          <w:color w:val="000000"/>
          <w:sz w:val="20"/>
        </w:rPr>
        <w:t>[__________]</w:t>
      </w:r>
      <w:r>
        <w:rPr>
          <w:rFonts w:ascii="Times New Roman" w:hAnsi="Times New Roman"/>
          <w:sz w:val="20"/>
        </w:rPr>
        <w:t xml:space="preserve"> </w:t>
      </w:r>
    </w:p>
    <w:p>
      <w:pPr>
        <w:pStyle w:val="TextBody"/>
        <w:bidi w:val="0"/>
        <w:spacing w:lineRule="atLeast" w:line="276" w:before="280" w:after="0"/>
        <w:ind w:left="1400" w:right="1440" w:hanging="0"/>
        <w:jc w:val="left"/>
        <w:rPr>
          <w:rFonts w:ascii="Times New Roman" w:hAnsi="Times New Roman"/>
          <w:sz w:val="24"/>
        </w:rPr>
      </w:pPr>
      <w:r>
        <w:rPr>
          <w:rFonts w:ascii="Times New Roman" w:hAnsi="Times New Roman"/>
          <w:color w:val="000000"/>
          <w:sz w:val="24"/>
        </w:rPr>
        <w:t>If the Company’s Regulated O&amp;M falls between the measuring points on the foregoing schedule, the percentage vesting will be based on linear interpolation between the applicable measuring points.</w:t>
      </w:r>
      <w:r>
        <w:rPr>
          <w:rFonts w:ascii="Times New Roman" w:hAnsi="Times New Roman"/>
          <w:sz w:val="24"/>
        </w:rPr>
        <w:t xml:space="preserve"> </w:t>
      </w:r>
    </w:p>
    <w:p>
      <w:pPr>
        <w:pStyle w:val="TextBody"/>
        <w:bidi w:val="0"/>
        <w:spacing w:lineRule="atLeast" w:line="273" w:before="241" w:after="0"/>
        <w:ind w:left="1400" w:right="1512" w:hanging="0"/>
        <w:jc w:val="left"/>
        <w:rPr>
          <w:rFonts w:ascii="Times New Roman" w:hAnsi="Times New Roman"/>
          <w:sz w:val="24"/>
        </w:rPr>
      </w:pPr>
      <w:r>
        <w:rPr>
          <w:rFonts w:ascii="Times New Roman" w:hAnsi="Times New Roman"/>
          <w:color w:val="000000"/>
          <w:sz w:val="24"/>
        </w:rPr>
        <w:t>(a)Performance shares awarded based on market conditions (the Company’s relative TSR metrics) will be valued using a Monte Carlo simulation model.</w:t>
      </w:r>
      <w:r>
        <w:rPr>
          <w:rFonts w:ascii="Times New Roman" w:hAnsi="Times New Roman"/>
          <w:sz w:val="24"/>
        </w:rPr>
        <w:t xml:space="preserve"> </w:t>
      </w:r>
    </w:p>
    <w:p>
      <w:pPr>
        <w:pStyle w:val="TextBody"/>
        <w:bidi w:val="0"/>
        <w:spacing w:lineRule="atLeast" w:line="276" w:before="243" w:after="0"/>
        <w:ind w:left="1400" w:right="1440" w:hanging="0"/>
        <w:jc w:val="left"/>
        <w:rPr>
          <w:rFonts w:ascii="Times New Roman" w:hAnsi="Times New Roman"/>
          <w:sz w:val="24"/>
        </w:rPr>
      </w:pPr>
      <w:r>
        <w:rPr>
          <w:rFonts w:ascii="Times New Roman" w:hAnsi="Times New Roman"/>
          <w:color w:val="000000"/>
          <w:sz w:val="24"/>
        </w:rPr>
        <w:t>(b)For performance shares awarded based on the internal metrics (Rate Base Growth &amp; Target O&amp;M Expenses), the grant date accounting value will equal the Company’s share price assuming dividend equivalents as provided in shares actually earned.</w:t>
      </w:r>
      <w:r>
        <w:rPr>
          <w:rFonts w:ascii="Times New Roman" w:hAnsi="Times New Roman"/>
          <w:sz w:val="24"/>
        </w:rPr>
        <w:t xml:space="preserve"> </w:t>
      </w:r>
    </w:p>
    <w:p>
      <w:pPr>
        <w:pStyle w:val="TextBody"/>
        <w:bidi w:val="0"/>
        <w:spacing w:lineRule="atLeast" w:line="276" w:before="243" w:after="0"/>
        <w:ind w:left="1400" w:right="1440" w:firstLine="720"/>
        <w:jc w:val="left"/>
        <w:rPr>
          <w:rFonts w:cs="Times New Roman"/>
          <w:szCs w:val="24"/>
        </w:rPr>
      </w:pPr>
      <w:r>
        <w:rPr>
          <w:rFonts w:cs="Times New Roman"/>
          <w:color w:val="000000"/>
          <w:szCs w:val="24"/>
        </w:rPr>
        <w:t>﻿</w:t>
      </w:r>
      <w:r>
        <w:rPr>
          <w:rFonts w:cs="Times New Roman"/>
          <w:szCs w:val="24"/>
        </w:rPr>
        <w:t xml:space="preserve"> </w:t>
      </w:r>
    </w:p>
    <w:p>
      <w:pPr>
        <w:pStyle w:val="TextBody"/>
        <w:bidi w:val="0"/>
        <w:spacing w:lineRule="atLeast" w:line="277" w:before="237" w:after="5212"/>
        <w:ind w:left="1400" w:right="1440" w:hanging="0"/>
        <w:jc w:val="left"/>
        <w:rPr>
          <w:rFonts w:ascii="Times New Roman" w:hAnsi="Times New Roman"/>
          <w:sz w:val="24"/>
        </w:rPr>
      </w:pPr>
      <w:r>
        <w:rPr>
          <w:rFonts w:ascii="Times New Roman" w:hAnsi="Times New Roman"/>
          <w:color w:val="000000"/>
          <w:sz w:val="24"/>
          <w:u w:val="single"/>
        </w:rPr>
        <w:t>5.General Terms</w:t>
      </w:r>
      <w:r>
        <w:rPr>
          <w:rFonts w:ascii="Times New Roman" w:hAnsi="Times New Roman"/>
          <w:color w:val="000000"/>
          <w:sz w:val="24"/>
        </w:rPr>
        <w:t>. Any portion of the Performance Units that is not earned as of the end of the Performance Period shall be forfeited as of the end of the Performance Period (or as provided above upon an earlier Change in Control). In no event shall the maximum number of Performance Units that may be payable pursuant to these Grant Conditions exceed 200% of the Target Award.</w:t>
      </w:r>
      <w:r>
        <w:rPr>
          <w:rFonts w:ascii="Times New Roman" w:hAnsi="Times New Roman"/>
          <w:sz w:val="24"/>
        </w:rPr>
        <w:t xml:space="preserve"> </w:t>
      </w:r>
    </w:p>
    <w:p>
      <w:pPr>
        <w:pStyle w:val="TextBody"/>
        <w:bidi w:val="0"/>
        <w:spacing w:lineRule="atLeast" w:line="277" w:before="237" w:after="5212"/>
        <w:ind w:left="1400" w:right="1440" w:hanging="0"/>
        <w:jc w:val="left"/>
        <w:rPr/>
      </w:pPr>
      <w:r>
        <w:rPr/>
        <w:t xml:space="preserve">  </w:t>
      </w:r>
    </w:p>
    <w:p>
      <w:pPr>
        <w:pStyle w:val="TextBody"/>
        <w:bidi w:val="0"/>
        <w:spacing w:lineRule="atLeast" w:line="274" w:before="0" w:after="0"/>
        <w:ind w:left="1420" w:right="1420" w:hanging="0"/>
        <w:jc w:val="center"/>
        <w:rPr>
          <w:rFonts w:cs="Times New Roman"/>
          <w:szCs w:val="24"/>
        </w:rPr>
      </w:pPr>
      <w:r>
        <w:rPr>
          <w:rFonts w:cs="Times New Roman"/>
          <w:color w:val="000000"/>
          <w:szCs w:val="24"/>
        </w:rPr>
        <w:t>﻿</w:t>
      </w:r>
      <w:r>
        <w:rPr>
          <w:rFonts w:cs="Times New Roman"/>
          <w:szCs w:val="24"/>
        </w:rPr>
        <w:t xml:space="preserve"> </w:t>
      </w:r>
    </w:p>
    <w:p>
      <w:pPr>
        <w:pStyle w:val="HorizontalLine"/>
        <w:pBdr>
          <w:bottom w:val="double" w:sz="6" w:space="0" w:color="808080"/>
        </w:pBdr>
        <w:bidi w:val="0"/>
        <w:ind w:left="1420" w:right="1420" w:hanging="0"/>
        <w:jc w:val="left"/>
        <w:rPr/>
      </w:pPr>
      <w:r>
        <w:rPr/>
      </w:r>
    </w:p>
    <w:p>
      <w:pPr>
        <w:pStyle w:val="TextBody"/>
        <w:bidi w:val="0"/>
        <w:spacing w:lineRule="atLeast" w:line="276" w:before="11" w:after="0"/>
        <w:ind w:left="1420" w:right="1440" w:hanging="0"/>
        <w:jc w:val="right"/>
        <w:rPr>
          <w:rFonts w:ascii="Times New Roman" w:hAnsi="Times New Roman"/>
          <w:sz w:val="24"/>
        </w:rPr>
      </w:pPr>
      <w:bookmarkStart w:id="63" w:name="wtrg-20241231xex10_72.htm"/>
      <w:bookmarkStart w:id="64" w:name="kswtrg20241231xex10_72"/>
      <w:bookmarkEnd w:id="63"/>
      <w:bookmarkEnd w:id="64"/>
      <w:r>
        <w:rPr>
          <w:rFonts w:ascii="Times New Roman" w:hAnsi="Times New Roman"/>
          <w:b/>
          <w:color w:val="000000"/>
          <w:sz w:val="24"/>
        </w:rPr>
        <w:t>Exhibit 10.7.2</w:t>
      </w:r>
      <w:r>
        <w:rPr>
          <w:rFonts w:ascii="Times New Roman" w:hAnsi="Times New Roman"/>
          <w:sz w:val="24"/>
        </w:rPr>
        <w:t xml:space="preserve"> </w:t>
      </w:r>
      <w:r>
        <w:br w:type="page"/>
      </w:r>
    </w:p>
    <w:p>
      <w:pPr>
        <w:pStyle w:val="TextBody"/>
        <w:bidi w:val="0"/>
        <w:spacing w:lineRule="atLeast" w:line="276" w:before="11" w:after="0"/>
        <w:ind w:left="1420" w:right="1440" w:hanging="0"/>
        <w:jc w:val="right"/>
        <w:rPr>
          <w:rFonts w:ascii="Times New Roman" w:hAnsi="Times New Roman"/>
          <w:sz w:val="24"/>
        </w:rPr>
      </w:pPr>
      <w:r>
        <w:rPr>
          <w:rFonts w:ascii="Times New Roman" w:hAnsi="Times New Roman"/>
          <w:b/>
          <w:color w:val="000000"/>
          <w:sz w:val="24"/>
        </w:rPr>
        <w:t>Form of 2025 Restricted Stock Unit Grant Agreement</w:t>
      </w:r>
      <w:r>
        <w:rPr>
          <w:rFonts w:ascii="Times New Roman" w:hAnsi="Times New Roman"/>
          <w:sz w:val="24"/>
        </w:rPr>
        <w:t xml:space="preserve"> </w:t>
      </w:r>
    </w:p>
    <w:p>
      <w:pPr>
        <w:pStyle w:val="TextBody"/>
        <w:bidi w:val="0"/>
        <w:spacing w:lineRule="atLeast" w:line="266" w:before="448" w:after="0"/>
        <w:ind w:left="1420" w:right="1440" w:hanging="0"/>
        <w:jc w:val="center"/>
        <w:rPr>
          <w:rFonts w:ascii="Times New Roman" w:hAnsi="Times New Roman"/>
          <w:sz w:val="24"/>
        </w:rPr>
      </w:pPr>
      <w:r>
        <w:rPr>
          <w:rFonts w:ascii="Times New Roman" w:hAnsi="Times New Roman"/>
          <w:b/>
          <w:color w:val="000000"/>
          <w:sz w:val="24"/>
        </w:rPr>
        <w:t>ESSENTIAL UTILITIES, INC.</w:t>
      </w:r>
      <w:r>
        <w:rPr>
          <w:rFonts w:ascii="Times New Roman" w:hAnsi="Times New Roman"/>
          <w:sz w:val="24"/>
        </w:rPr>
        <w:t xml:space="preserve"> </w:t>
      </w:r>
    </w:p>
    <w:p>
      <w:pPr>
        <w:pStyle w:val="TextBody"/>
        <w:bidi w:val="0"/>
        <w:spacing w:lineRule="atLeast" w:line="266" w:before="7" w:after="0"/>
        <w:ind w:left="1420" w:right="1440" w:hanging="0"/>
        <w:jc w:val="center"/>
        <w:rPr>
          <w:rFonts w:ascii="Times New Roman" w:hAnsi="Times New Roman"/>
          <w:sz w:val="24"/>
        </w:rPr>
      </w:pPr>
      <w:r>
        <w:rPr>
          <w:rFonts w:ascii="Times New Roman" w:hAnsi="Times New Roman"/>
          <w:b/>
          <w:color w:val="000000"/>
          <w:sz w:val="24"/>
        </w:rPr>
        <w:t>AMENDED AND RESTATED EQUITY COMPENSATION PLAN</w:t>
      </w:r>
      <w:r>
        <w:rPr>
          <w:rFonts w:ascii="Times New Roman" w:hAnsi="Times New Roman"/>
          <w:sz w:val="24"/>
        </w:rPr>
        <w:t xml:space="preserve"> </w:t>
      </w:r>
    </w:p>
    <w:p>
      <w:pPr>
        <w:pStyle w:val="TextBody"/>
        <w:bidi w:val="0"/>
        <w:spacing w:lineRule="atLeast" w:line="273" w:before="246" w:after="0"/>
        <w:ind w:left="1420" w:right="1440" w:hanging="0"/>
        <w:jc w:val="center"/>
        <w:rPr>
          <w:rFonts w:ascii="Times New Roman" w:hAnsi="Times New Roman"/>
          <w:sz w:val="24"/>
        </w:rPr>
      </w:pPr>
      <w:r>
        <w:rPr>
          <w:rFonts w:ascii="Times New Roman" w:hAnsi="Times New Roman"/>
          <w:b/>
          <w:color w:val="000000"/>
          <w:sz w:val="24"/>
        </w:rPr>
        <w:t xml:space="preserve">2025 RESTRICTED STOCK UNIT GRANT </w:t>
      </w:r>
      <w:r>
        <w:rPr>
          <w:rFonts w:ascii="Times New Roman" w:hAnsi="Times New Roman"/>
          <w:sz w:val="24"/>
        </w:rPr>
        <w:br/>
      </w:r>
      <w:r>
        <w:rPr>
          <w:rFonts w:ascii="Times New Roman" w:hAnsi="Times New Roman"/>
          <w:b/>
          <w:color w:val="000000"/>
          <w:sz w:val="24"/>
        </w:rPr>
        <w:t>TERMS AND CONDITIONS</w:t>
      </w:r>
      <w:r>
        <w:rPr>
          <w:rFonts w:ascii="Times New Roman" w:hAnsi="Times New Roman"/>
          <w:sz w:val="24"/>
        </w:rPr>
        <w:t xml:space="preserve"> </w:t>
      </w:r>
    </w:p>
    <w:p>
      <w:pPr>
        <w:pStyle w:val="TextBody"/>
        <w:bidi w:val="0"/>
        <w:spacing w:lineRule="atLeast" w:line="276" w:before="244" w:after="0"/>
        <w:ind w:left="1420" w:right="1440" w:hanging="0"/>
        <w:jc w:val="left"/>
        <w:rPr>
          <w:rFonts w:ascii="Times New Roman" w:hAnsi="Times New Roman"/>
          <w:sz w:val="24"/>
        </w:rPr>
      </w:pPr>
      <w:r>
        <w:rPr>
          <w:rFonts w:ascii="Times New Roman" w:hAnsi="Times New Roman"/>
          <w:color w:val="000000"/>
          <w:sz w:val="24"/>
          <w:u w:val="single"/>
        </w:rPr>
        <w:t>1.Grant of Restricted Units</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2" w:after="0"/>
        <w:ind w:left="1420" w:right="1584" w:firstLine="720"/>
        <w:jc w:val="left"/>
        <w:rPr>
          <w:rFonts w:ascii="Times New Roman" w:hAnsi="Times New Roman"/>
          <w:sz w:val="24"/>
        </w:rPr>
      </w:pPr>
      <w:r>
        <w:rPr>
          <w:rFonts w:ascii="Times New Roman" w:hAnsi="Times New Roman"/>
          <w:color w:val="000000"/>
          <w:sz w:val="24"/>
        </w:rPr>
        <w:t>These Restricted Stock Unit Grant Terms and Conditions (the “Grant Conditions”) shall apply and be part of the grant made by Essential Utilities Inc., a Pennsylvania corporation (the “Company”), to the Grantee named in the Restricted Stock Unit Grant (the “Restricted Stock Unit Grant”) to which these Grant Conditions are attached (the “Grantee”), under the terms and provisions of the Essential Utilities Inc. Amended and Restated Equity Compensation Plan, as amended and restated (the “Plan”). The applicable provisions of the Plan are incorporated into these Grant Conditions by reference, including the definitions of terms contained in the Plan (unless such terms are otherwise defined herein). The Grantee is an employee of the Company, its subsidiaries or its Affiliates (collectively, the “Employer”).</w:t>
      </w:r>
      <w:r>
        <w:rPr>
          <w:rFonts w:ascii="Times New Roman" w:hAnsi="Times New Roman"/>
          <w:sz w:val="24"/>
        </w:rPr>
        <w:t xml:space="preserve"> </w:t>
      </w:r>
    </w:p>
    <w:p>
      <w:pPr>
        <w:pStyle w:val="TextBody"/>
        <w:bidi w:val="0"/>
        <w:spacing w:lineRule="atLeast" w:line="276" w:before="240" w:after="0"/>
        <w:ind w:left="1420" w:right="1656" w:firstLine="720"/>
        <w:jc w:val="left"/>
        <w:rPr>
          <w:rFonts w:ascii="Times New Roman" w:hAnsi="Times New Roman"/>
          <w:sz w:val="24"/>
        </w:rPr>
      </w:pPr>
      <w:r>
        <w:rPr>
          <w:rFonts w:ascii="Times New Roman" w:hAnsi="Times New Roman"/>
          <w:color w:val="000000"/>
          <w:sz w:val="24"/>
        </w:rPr>
        <w:t>Subject to the terms and vesting conditions hereinafter set forth, the Company, with the approval and at the direction of the Executive Compensation Committee (the “Committee”) of the Company’s Board of Directors (the “Board”), has granted to the Grantee the number of restricted stock units specified in the Restricted Stock Unit Grant (the “Restricted Units”). The Restricted Units shall become vested as set forth in these Grant Conditions and Grant. The Restricted Units are granted with Dividend Equivalents (as defined in Section 8).</w:t>
      </w:r>
      <w:r>
        <w:rPr>
          <w:rFonts w:ascii="Times New Roman" w:hAnsi="Times New Roman"/>
          <w:sz w:val="24"/>
        </w:rPr>
        <w:t xml:space="preserve"> </w:t>
      </w:r>
    </w:p>
    <w:p>
      <w:pPr>
        <w:pStyle w:val="TextBody"/>
        <w:bidi w:val="0"/>
        <w:spacing w:lineRule="atLeast" w:line="276" w:before="243" w:after="0"/>
        <w:ind w:left="1420" w:right="1440" w:hanging="0"/>
        <w:jc w:val="left"/>
        <w:rPr>
          <w:rFonts w:ascii="Times New Roman" w:hAnsi="Times New Roman"/>
          <w:sz w:val="24"/>
        </w:rPr>
      </w:pPr>
      <w:r>
        <w:rPr>
          <w:rFonts w:ascii="Times New Roman" w:hAnsi="Times New Roman"/>
          <w:color w:val="000000"/>
          <w:sz w:val="24"/>
          <w:u w:val="single"/>
        </w:rPr>
        <w:t>2.Restricted Unit Account</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0" w:after="0"/>
        <w:ind w:left="1420" w:right="1440" w:firstLine="720"/>
        <w:jc w:val="left"/>
        <w:rPr>
          <w:rFonts w:ascii="Times New Roman" w:hAnsi="Times New Roman"/>
          <w:sz w:val="24"/>
        </w:rPr>
      </w:pPr>
      <w:r>
        <w:rPr>
          <w:rFonts w:ascii="Times New Roman" w:hAnsi="Times New Roman"/>
          <w:color w:val="000000"/>
          <w:sz w:val="24"/>
        </w:rPr>
        <w:t>Restricted Units represent hypothetical shares of common stock of the Company (“Company Stock”), and not actual shares of Company Stock. The Company shall establish and maintain a Restricted Unit account, as a bookkeeping account on its records, for the Grantee and shall record in such account the number of Restricted Units granted to the Grantee. No shares of Company Stock shall be issued to the Grantee at the time the grant is made, and the Grantee shall not be, nor have any of the rights or privileges of, a shareholder of the Company with respect to any Restricted Units recorded in the account, including no voting rights and no rights to receive dividends (other than Dividend Equivalents). The Grantee shall not have any interest in any fund or specific assets of the Company by reason of this award or the Restricted Unit account established for the Grantee.</w:t>
      </w:r>
      <w:r>
        <w:rPr>
          <w:rFonts w:ascii="Times New Roman" w:hAnsi="Times New Roman"/>
          <w:sz w:val="24"/>
        </w:rPr>
        <w:t xml:space="preserve"> </w:t>
      </w:r>
    </w:p>
    <w:p>
      <w:pPr>
        <w:pStyle w:val="TextBody"/>
        <w:bidi w:val="0"/>
        <w:spacing w:lineRule="atLeast" w:line="276" w:before="237" w:after="0"/>
        <w:ind w:left="1420" w:right="1440" w:hanging="0"/>
        <w:jc w:val="left"/>
        <w:rPr>
          <w:rFonts w:ascii="Times New Roman" w:hAnsi="Times New Roman"/>
          <w:sz w:val="24"/>
        </w:rPr>
      </w:pPr>
      <w:r>
        <w:rPr>
          <w:rFonts w:ascii="Times New Roman" w:hAnsi="Times New Roman"/>
          <w:color w:val="000000"/>
          <w:sz w:val="24"/>
          <w:u w:val="single"/>
        </w:rPr>
        <w:t>3.Vesting</w:t>
      </w:r>
      <w:r>
        <w:rPr>
          <w:rFonts w:ascii="Times New Roman" w:hAnsi="Times New Roman"/>
          <w:color w:val="000000"/>
          <w:sz w:val="24"/>
        </w:rPr>
        <w:t>.</w:t>
      </w:r>
      <w:r>
        <w:rPr>
          <w:rFonts w:ascii="Times New Roman" w:hAnsi="Times New Roman"/>
          <w:sz w:val="24"/>
        </w:rPr>
        <w:t xml:space="preserve"> </w:t>
      </w:r>
    </w:p>
    <w:p>
      <w:pPr>
        <w:pStyle w:val="TextBody"/>
        <w:bidi w:val="0"/>
        <w:spacing w:lineRule="atLeast" w:line="276" w:before="240" w:after="0"/>
        <w:ind w:left="1420" w:right="2016" w:hanging="0"/>
        <w:jc w:val="left"/>
        <w:rPr>
          <w:rFonts w:ascii="Times New Roman" w:hAnsi="Times New Roman"/>
          <w:sz w:val="24"/>
        </w:rPr>
      </w:pPr>
      <w:r>
        <w:rPr>
          <w:rFonts w:ascii="Times New Roman" w:hAnsi="Times New Roman"/>
          <w:color w:val="000000"/>
          <w:sz w:val="24"/>
        </w:rPr>
        <w:t>(a)The Restricted Units shall vest on the following dates (each date, a “Vesting Date”) if the Grantee continues to be employed by the Employer through the Vesting Date:</w:t>
      </w:r>
      <w:r>
        <w:rPr>
          <w:rFonts w:ascii="Times New Roman" w:hAnsi="Times New Roman"/>
          <w:sz w:val="24"/>
        </w:rPr>
        <w:t xml:space="preserve"> </w:t>
      </w:r>
    </w:p>
    <w:p>
      <w:pPr>
        <w:pStyle w:val="TextBody"/>
        <w:bidi w:val="0"/>
        <w:spacing w:lineRule="atLeast" w:line="262" w:before="242" w:after="0"/>
        <w:ind w:left="2140" w:right="1440" w:hanging="0"/>
        <w:jc w:val="left"/>
        <w:rPr>
          <w:rFonts w:ascii="Times New Roman" w:hAnsi="Times New Roman"/>
          <w:sz w:val="24"/>
        </w:rPr>
      </w:pPr>
      <w:r>
        <w:rPr>
          <w:rFonts w:ascii="Times New Roman" w:hAnsi="Times New Roman"/>
          <w:color w:val="000000"/>
          <w:sz w:val="24"/>
          <w:u w:val="single"/>
        </w:rPr>
        <w:t>Vesting DateShares for Which the Option is Vested</w:t>
      </w:r>
      <w:r>
        <w:rPr>
          <w:rFonts w:ascii="Times New Roman" w:hAnsi="Times New Roman"/>
          <w:sz w:val="24"/>
        </w:rPr>
        <w:t xml:space="preserve"> </w:t>
      </w:r>
    </w:p>
    <w:p>
      <w:pPr>
        <w:pStyle w:val="TextBody"/>
        <w:bidi w:val="0"/>
        <w:spacing w:lineRule="atLeast" w:line="276" w:before="252" w:after="0"/>
        <w:ind w:left="1636" w:right="1440" w:hanging="0"/>
        <w:jc w:val="left"/>
        <w:rPr>
          <w:rFonts w:ascii="Times New Roman" w:hAnsi="Times New Roman"/>
          <w:sz w:val="24"/>
        </w:rPr>
      </w:pPr>
      <w:r>
        <w:rPr>
          <w:rFonts w:ascii="Times New Roman" w:hAnsi="Times New Roman"/>
          <w:color w:val="000000"/>
          <w:sz w:val="24"/>
        </w:rPr>
        <w:t>First Anniversary of the Grant Date____% of the Shares</w:t>
      </w:r>
      <w:r>
        <w:rPr>
          <w:rFonts w:ascii="Times New Roman" w:hAnsi="Times New Roman"/>
          <w:sz w:val="24"/>
        </w:rPr>
        <w:t xml:space="preserve"> </w:t>
      </w:r>
    </w:p>
    <w:p>
      <w:pPr>
        <w:pStyle w:val="TextBody"/>
        <w:bidi w:val="0"/>
        <w:spacing w:lineRule="atLeast" w:line="276" w:before="3" w:after="0"/>
        <w:ind w:left="1636" w:right="1440" w:hanging="0"/>
        <w:jc w:val="left"/>
        <w:rPr>
          <w:rFonts w:ascii="Times New Roman" w:hAnsi="Times New Roman"/>
          <w:sz w:val="24"/>
        </w:rPr>
      </w:pPr>
      <w:r>
        <w:rPr>
          <w:rFonts w:ascii="Times New Roman" w:hAnsi="Times New Roman"/>
          <w:color w:val="000000"/>
          <w:sz w:val="24"/>
        </w:rPr>
        <w:t>Second Anniversary of the Grant Date____% of the Shares</w:t>
      </w:r>
      <w:r>
        <w:rPr>
          <w:rFonts w:ascii="Times New Roman" w:hAnsi="Times New Roman"/>
          <w:sz w:val="24"/>
        </w:rPr>
        <w:t xml:space="preserve"> </w:t>
      </w:r>
    </w:p>
    <w:p>
      <w:pPr>
        <w:pStyle w:val="TextBody"/>
        <w:bidi w:val="0"/>
        <w:spacing w:lineRule="atLeast" w:line="265" w:before="0" w:after="0"/>
        <w:ind w:left="1636" w:right="1440" w:hanging="0"/>
        <w:jc w:val="left"/>
        <w:rPr>
          <w:rFonts w:ascii="Times New Roman" w:hAnsi="Times New Roman"/>
          <w:sz w:val="24"/>
        </w:rPr>
      </w:pPr>
      <w:r>
        <w:rPr>
          <w:rFonts w:ascii="Times New Roman" w:hAnsi="Times New Roman"/>
          <w:color w:val="000000"/>
          <w:sz w:val="24"/>
        </w:rPr>
        <w:t>Third Anniversary of the Grant Date____% of the Shares</w:t>
      </w:r>
      <w:r>
        <w:rPr>
          <w:rFonts w:ascii="Times New Roman" w:hAnsi="Times New Roman"/>
          <w:sz w:val="24"/>
        </w:rPr>
        <w:t xml:space="preserve"> </w:t>
      </w:r>
    </w:p>
    <w:p>
      <w:pPr>
        <w:pStyle w:val="TextBody"/>
        <w:bidi w:val="0"/>
        <w:spacing w:before="0" w:after="0"/>
        <w:ind w:left="1420" w:right="1440" w:hanging="0"/>
        <w:jc w:val="left"/>
        <w:rPr/>
      </w:pPr>
      <w:r>
        <w:rPr/>
        <w:t xml:space="preserve">  </w:t>
      </w:r>
    </w:p>
    <w:p>
      <w:pPr>
        <w:pStyle w:val="HorizontalLine"/>
        <w:pBdr>
          <w:bottom w:val="double" w:sz="6" w:space="0" w:color="808080"/>
        </w:pBdr>
        <w:bidi w:val="0"/>
        <w:ind w:left="1420" w:right="1440" w:hanging="0"/>
        <w:jc w:val="left"/>
        <w:rPr/>
      </w:pPr>
      <w:r>
        <w:rPr/>
      </w:r>
    </w:p>
    <w:p>
      <w:pPr>
        <w:pStyle w:val="TextBody"/>
        <w:bidi w:val="0"/>
        <w:ind w:left="1420" w:right="1440" w:hanging="0"/>
        <w:jc w:val="left"/>
        <w:rPr/>
      </w:pPr>
      <w:r>
        <w:rPr/>
        <w:t> </w:t>
      </w:r>
      <w:r>
        <w:br w:type="page"/>
      </w:r>
    </w:p>
    <w:p>
      <w:pPr>
        <w:pStyle w:val="TextBody"/>
        <w:bidi w:val="0"/>
        <w:spacing w:lineRule="atLeast" w:line="276" w:before="8" w:after="0"/>
        <w:ind w:left="1420" w:right="1440" w:hanging="0"/>
        <w:jc w:val="left"/>
        <w:rPr>
          <w:rFonts w:ascii="Times New Roman" w:hAnsi="Times New Roman"/>
          <w:sz w:val="24"/>
        </w:rPr>
      </w:pPr>
      <w:r>
        <w:rPr>
          <w:rFonts w:ascii="Times New Roman" w:hAnsi="Times New Roman"/>
          <w:color w:val="000000"/>
          <w:sz w:val="24"/>
        </w:rPr>
        <w:t>The vesting of the Restricted Units is cumulative but shall not exceed 100% of the Shares subject to the Restricted Units. If the foregoing schedule would produce fractional Shares, the number of Shares for which the Restricted Units becomes vested shall be rounded down to the nearest whole Share; provided that, the portion of the Option subject to vesting on the Third Anniversary of the Grant Date shall include the Shares subject the Restricted Units that did not previously vest as a result of such rounding.</w:t>
      </w:r>
      <w:r>
        <w:rPr>
          <w:rFonts w:ascii="Times New Roman" w:hAnsi="Times New Roman"/>
          <w:sz w:val="24"/>
        </w:rPr>
        <w:t xml:space="preserve"> </w:t>
      </w:r>
    </w:p>
    <w:p>
      <w:pPr>
        <w:pStyle w:val="TextBody"/>
        <w:bidi w:val="0"/>
        <w:spacing w:lineRule="atLeast" w:line="276" w:before="243" w:after="0"/>
        <w:ind w:left="1420" w:right="1440" w:hanging="0"/>
        <w:jc w:val="left"/>
        <w:rPr>
          <w:rFonts w:ascii="Times New Roman" w:hAnsi="Times New Roman"/>
          <w:sz w:val="24"/>
        </w:rPr>
      </w:pPr>
      <w:r>
        <w:rPr>
          <w:rFonts w:ascii="Times New Roman" w:hAnsi="Times New Roman"/>
          <w:color w:val="000000"/>
          <w:sz w:val="24"/>
          <w:u w:val="single"/>
        </w:rPr>
        <w:t>4.Termination of Employment on Account of Retirement, Death, or Disability</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0" w:after="0"/>
        <w:ind w:left="1420" w:right="1440" w:hanging="0"/>
        <w:jc w:val="left"/>
        <w:rPr>
          <w:rFonts w:ascii="Times New Roman" w:hAnsi="Times New Roman"/>
          <w:sz w:val="24"/>
        </w:rPr>
      </w:pPr>
      <w:r>
        <w:rPr>
          <w:rFonts w:ascii="Times New Roman" w:hAnsi="Times New Roman"/>
          <w:color w:val="000000"/>
          <w:sz w:val="24"/>
        </w:rPr>
        <w:t>(a)Except as described below, if the Grantee ceases to be employed by the Employer prior to the Vesting Date, the Restricted Units shall be forfeited as of the termination date.</w:t>
      </w:r>
      <w:r>
        <w:rPr>
          <w:rFonts w:ascii="Times New Roman" w:hAnsi="Times New Roman"/>
          <w:sz w:val="24"/>
        </w:rPr>
        <w:t xml:space="preserve"> </w:t>
      </w:r>
    </w:p>
    <w:p>
      <w:pPr>
        <w:pStyle w:val="TextBody"/>
        <w:bidi w:val="0"/>
        <w:spacing w:lineRule="atLeast" w:line="276" w:before="235" w:after="0"/>
        <w:ind w:left="1420" w:right="1584" w:hanging="0"/>
        <w:jc w:val="left"/>
        <w:rPr>
          <w:rFonts w:ascii="Times New Roman" w:hAnsi="Times New Roman"/>
          <w:sz w:val="24"/>
        </w:rPr>
      </w:pPr>
      <w:r>
        <w:rPr>
          <w:rFonts w:ascii="Times New Roman" w:hAnsi="Times New Roman"/>
          <w:color w:val="000000"/>
          <w:sz w:val="24"/>
        </w:rPr>
        <w:t>(b)Subject to Section 5(b), if the Grantee ceases to be employed by the Employer prior to the Vesting Date on account of the Grantee’s Retirement (defined below), the Grantee shall vest in the unvested Restricted Units upon such Retirement. Shares of Company Stock equal to the Restricted Units that so vest shall be issued to the Grantee within sixty (60) days following the Grantee’s Retirement date, subject to applicable tax withholding and subject to Section 19 below. For purposes of these Grant Conditions, “Retirement” shall mean (i) the Grantee’s voluntary termination of employment after (A) the Grantee has attained age fifty-five (55) and has five (5) full years of service with the Employer or (B a combination of age and years of service equal to at least 60, and (ii) the Grantee has provided the Company at least six (6) months’ advance written notice of such Retirement.</w:t>
      </w:r>
      <w:r>
        <w:rPr>
          <w:rFonts w:ascii="Times New Roman" w:hAnsi="Times New Roman"/>
          <w:sz w:val="24"/>
        </w:rPr>
        <w:t xml:space="preserve"> </w:t>
      </w:r>
    </w:p>
    <w:p>
      <w:pPr>
        <w:pStyle w:val="TextBody"/>
        <w:bidi w:val="0"/>
        <w:spacing w:lineRule="atLeast" w:line="276" w:before="242" w:after="0"/>
        <w:ind w:left="1420" w:right="1584" w:hanging="0"/>
        <w:jc w:val="left"/>
        <w:rPr>
          <w:rFonts w:ascii="Times New Roman" w:hAnsi="Times New Roman"/>
          <w:sz w:val="24"/>
        </w:rPr>
      </w:pPr>
      <w:r>
        <w:rPr>
          <w:rFonts w:ascii="Times New Roman" w:hAnsi="Times New Roman"/>
          <w:color w:val="000000"/>
          <w:sz w:val="24"/>
        </w:rPr>
        <w:t>(c)If the Grantee ceases to be employed by the Employer prior to the Vesting Date on account of the Grantee’s death or Disability, the Grantee’s Restricted Units shall fully vest and shares of Company Stock equal to the vested Restricted Units shall be issued to the Grantee within sixty (60) days after the Grantee’s date of termination, subject to applicable tax withholding and subject to Section 19 below.</w:t>
      </w:r>
      <w:r>
        <w:rPr>
          <w:rFonts w:ascii="Times New Roman" w:hAnsi="Times New Roman"/>
          <w:sz w:val="24"/>
        </w:rPr>
        <w:t xml:space="preserve"> </w:t>
      </w:r>
    </w:p>
    <w:p>
      <w:pPr>
        <w:pStyle w:val="TextBody"/>
        <w:bidi w:val="0"/>
        <w:spacing w:lineRule="atLeast" w:line="276" w:before="238" w:after="0"/>
        <w:ind w:left="1420" w:right="1440" w:hanging="0"/>
        <w:jc w:val="left"/>
        <w:rPr>
          <w:rFonts w:ascii="Times New Roman" w:hAnsi="Times New Roman"/>
          <w:sz w:val="24"/>
        </w:rPr>
      </w:pPr>
      <w:r>
        <w:rPr>
          <w:rFonts w:ascii="Times New Roman" w:hAnsi="Times New Roman"/>
          <w:color w:val="000000"/>
          <w:sz w:val="24"/>
          <w:u w:val="single"/>
        </w:rPr>
        <w:t>5.Change in Control</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5" w:after="0"/>
        <w:ind w:left="1420" w:right="1512" w:hanging="0"/>
        <w:jc w:val="left"/>
        <w:rPr>
          <w:rFonts w:ascii="Times New Roman" w:hAnsi="Times New Roman"/>
          <w:sz w:val="24"/>
        </w:rPr>
      </w:pPr>
      <w:r>
        <w:rPr>
          <w:rFonts w:ascii="Times New Roman" w:hAnsi="Times New Roman"/>
          <w:color w:val="000000"/>
          <w:sz w:val="24"/>
        </w:rPr>
        <w:t>(a)Except as described below, if a Change in Control occurs prior to the Vesting Date, the Grantee’s Restricted Units shall remain outstanding and shall vest on the Vesting Date if the Grantee continues to be employed by the Employer through the Vesting Date. Shares of Company Stock (or other consideration, as described below) equal to the vested Restricted Units shall be issued to the Grantee within sixty (60) days after the Vesting Date, subject to applicable tax withholding and Section 19 below.</w:t>
      </w:r>
      <w:r>
        <w:rPr>
          <w:rFonts w:ascii="Times New Roman" w:hAnsi="Times New Roman"/>
          <w:sz w:val="24"/>
        </w:rPr>
        <w:t xml:space="preserve"> </w:t>
      </w:r>
    </w:p>
    <w:p>
      <w:pPr>
        <w:pStyle w:val="TextBody"/>
        <w:bidi w:val="0"/>
        <w:spacing w:lineRule="atLeast" w:line="276" w:before="237" w:after="1230"/>
        <w:ind w:left="1420" w:right="1656" w:hanging="0"/>
        <w:jc w:val="left"/>
        <w:rPr>
          <w:rFonts w:ascii="Times New Roman" w:hAnsi="Times New Roman"/>
          <w:sz w:val="24"/>
        </w:rPr>
      </w:pPr>
      <w:r>
        <w:rPr>
          <w:rFonts w:ascii="Times New Roman" w:hAnsi="Times New Roman"/>
          <w:color w:val="000000"/>
          <w:sz w:val="24"/>
        </w:rPr>
        <w:t>(b)If the Grantee ceases to be employed by the Employer upon or following a Change in Control on account of (i) the Grantee’s Retirement, (ii) termination by the Employer without Cause, (iii) termination by the Grantee for Good Reason (defined below), or (iv) the Grantee’s Disability or death, the Grantee’s outstanding unvested Restricted Units shall fully vest. Shares of Company Stock (or such other consideration, as described below) equal to the Grantee’s vested Restricted Units shall be issued to the Grantee within sixty (60) days after the Grantee’s date of termination, subject to applicable tax withholding and Section 19 below.</w:t>
      </w:r>
      <w:r>
        <w:rPr>
          <w:rFonts w:ascii="Times New Roman" w:hAnsi="Times New Roman"/>
          <w:sz w:val="24"/>
        </w:rPr>
        <w:t xml:space="preserve"> </w:t>
      </w:r>
    </w:p>
    <w:p>
      <w:pPr>
        <w:pStyle w:val="TextBody"/>
        <w:bidi w:val="0"/>
        <w:spacing w:lineRule="atLeast" w:line="276" w:before="237" w:after="1230"/>
        <w:ind w:left="1420" w:right="1440" w:hanging="0"/>
        <w:jc w:val="left"/>
        <w:rPr/>
      </w:pPr>
      <w:r>
        <w:rPr/>
        <w:t xml:space="preserve">  </w:t>
      </w:r>
    </w:p>
    <w:p>
      <w:pPr>
        <w:pStyle w:val="TextBody"/>
        <w:bidi w:val="0"/>
        <w:spacing w:lineRule="atLeast" w:line="275" w:before="0" w:after="0"/>
        <w:ind w:left="1420" w:right="1440" w:hanging="0"/>
        <w:jc w:val="center"/>
        <w:rPr>
          <w:rFonts w:ascii="Times New Roman" w:hAnsi="Times New Roman"/>
          <w:sz w:val="24"/>
        </w:rPr>
      </w:pPr>
      <w:r>
        <w:rPr>
          <w:rFonts w:ascii="Times New Roman" w:hAnsi="Times New Roman"/>
          <w:color w:val="000000"/>
          <w:sz w:val="24"/>
        </w:rPr>
        <w:t>2</w:t>
      </w:r>
      <w:r>
        <w:rPr>
          <w:rFonts w:ascii="Times New Roman" w:hAnsi="Times New Roman"/>
          <w:sz w:val="24"/>
        </w:rPr>
        <w:t xml:space="preserve"> </w:t>
      </w:r>
    </w:p>
    <w:p>
      <w:pPr>
        <w:pStyle w:val="TextBody"/>
        <w:bidi w:val="0"/>
        <w:spacing w:before="0" w:after="0"/>
        <w:ind w:left="1420" w:right="1440" w:hanging="0"/>
        <w:jc w:val="left"/>
        <w:rPr/>
      </w:pPr>
      <w:r>
        <w:rPr/>
        <w:t xml:space="preserve">  </w:t>
      </w:r>
    </w:p>
    <w:p>
      <w:pPr>
        <w:pStyle w:val="HorizontalLine"/>
        <w:pBdr>
          <w:bottom w:val="double" w:sz="6" w:space="0" w:color="808080"/>
        </w:pBdr>
        <w:bidi w:val="0"/>
        <w:ind w:left="1420" w:right="1440" w:hanging="0"/>
        <w:jc w:val="left"/>
        <w:rPr/>
      </w:pPr>
      <w:r>
        <w:rPr/>
      </w:r>
    </w:p>
    <w:p>
      <w:pPr>
        <w:pStyle w:val="TextBody"/>
        <w:bidi w:val="0"/>
        <w:ind w:left="1420" w:right="1440" w:hanging="0"/>
        <w:jc w:val="left"/>
        <w:rPr/>
      </w:pPr>
      <w:r>
        <w:rPr/>
        <w:t> </w:t>
      </w:r>
      <w:r>
        <w:br w:type="page"/>
      </w:r>
    </w:p>
    <w:p>
      <w:pPr>
        <w:pStyle w:val="TextBody"/>
        <w:bidi w:val="0"/>
        <w:spacing w:lineRule="atLeast" w:line="276" w:before="11" w:after="0"/>
        <w:ind w:left="1420" w:right="1728" w:hanging="0"/>
        <w:jc w:val="left"/>
        <w:rPr>
          <w:rFonts w:ascii="Times New Roman" w:hAnsi="Times New Roman"/>
          <w:sz w:val="24"/>
        </w:rPr>
      </w:pPr>
      <w:r>
        <w:rPr>
          <w:rFonts w:ascii="Times New Roman" w:hAnsi="Times New Roman"/>
          <w:color w:val="000000"/>
          <w:sz w:val="24"/>
        </w:rPr>
        <w:t>(c)If the Grantee terminates employment for any other reason prior to the Vesting Date, except as set forth in Section 4, the Restricted Units shall be forfeited as of the date of termination.</w:t>
      </w:r>
      <w:r>
        <w:rPr>
          <w:rFonts w:ascii="Times New Roman" w:hAnsi="Times New Roman"/>
          <w:sz w:val="24"/>
        </w:rPr>
        <w:t xml:space="preserve"> </w:t>
      </w:r>
    </w:p>
    <w:p>
      <w:pPr>
        <w:pStyle w:val="TextBody"/>
        <w:bidi w:val="0"/>
        <w:spacing w:lineRule="atLeast" w:line="277" w:before="236" w:after="0"/>
        <w:ind w:left="1420" w:right="1512" w:hanging="0"/>
        <w:jc w:val="left"/>
        <w:rPr>
          <w:rFonts w:ascii="Times New Roman" w:hAnsi="Times New Roman"/>
          <w:sz w:val="24"/>
        </w:rPr>
      </w:pPr>
      <w:r>
        <w:rPr>
          <w:rFonts w:ascii="Times New Roman" w:hAnsi="Times New Roman"/>
          <w:color w:val="000000"/>
          <w:sz w:val="24"/>
        </w:rPr>
        <w:t>(d)Notwithstanding any other provision in these Grant Conditions, if the Restricted Units are not assumed by, or replaced with comparable rights by, the surviving corporation (or a parent or subsidiary of the surviving corporation), the unvested portion of the Restricted Units shall fully vest immediately prior to the consummation of the Change in Control.</w:t>
      </w:r>
      <w:r>
        <w:rPr>
          <w:rFonts w:ascii="Times New Roman" w:hAnsi="Times New Roman"/>
          <w:sz w:val="24"/>
        </w:rPr>
        <w:t xml:space="preserve"> </w:t>
      </w:r>
    </w:p>
    <w:p>
      <w:pPr>
        <w:pStyle w:val="TextBody"/>
        <w:bidi w:val="0"/>
        <w:spacing w:lineRule="atLeast" w:line="276" w:before="237" w:after="0"/>
        <w:ind w:left="1420" w:right="1440" w:hanging="0"/>
        <w:jc w:val="left"/>
        <w:rPr>
          <w:rFonts w:ascii="Times New Roman" w:hAnsi="Times New Roman"/>
          <w:sz w:val="24"/>
        </w:rPr>
      </w:pPr>
      <w:r>
        <w:rPr>
          <w:rFonts w:ascii="Times New Roman" w:hAnsi="Times New Roman"/>
          <w:color w:val="000000"/>
          <w:sz w:val="24"/>
        </w:rPr>
        <w:t>(e)If, in connection with the Change in Control, shares of Company Stock are converted into the right to receive a cash payment or other form of consideration, the vested Restricted Units shall be payable in such form of consideration, as determined by the Committee.</w:t>
      </w:r>
      <w:r>
        <w:rPr>
          <w:rFonts w:ascii="Times New Roman" w:hAnsi="Times New Roman"/>
          <w:sz w:val="24"/>
        </w:rPr>
        <w:t xml:space="preserve"> </w:t>
      </w:r>
    </w:p>
    <w:p>
      <w:pPr>
        <w:pStyle w:val="TextBody"/>
        <w:bidi w:val="0"/>
        <w:spacing w:lineRule="atLeast" w:line="276" w:before="238" w:after="0"/>
        <w:ind w:left="1420" w:right="1440" w:hanging="0"/>
        <w:jc w:val="left"/>
        <w:rPr>
          <w:rFonts w:ascii="Times New Roman" w:hAnsi="Times New Roman"/>
          <w:sz w:val="24"/>
        </w:rPr>
      </w:pPr>
      <w:r>
        <w:rPr>
          <w:rFonts w:ascii="Times New Roman" w:hAnsi="Times New Roman"/>
          <w:color w:val="000000"/>
          <w:sz w:val="24"/>
          <w:u w:val="single"/>
        </w:rPr>
        <w:t>6.Definitions</w:t>
      </w:r>
      <w:r>
        <w:rPr>
          <w:rFonts w:ascii="Times New Roman" w:hAnsi="Times New Roman"/>
          <w:color w:val="000000"/>
          <w:sz w:val="24"/>
        </w:rPr>
        <w:t>.</w:t>
      </w:r>
      <w:r>
        <w:rPr>
          <w:rFonts w:ascii="Times New Roman" w:hAnsi="Times New Roman"/>
          <w:sz w:val="24"/>
        </w:rPr>
        <w:t xml:space="preserve"> </w:t>
      </w:r>
    </w:p>
    <w:p>
      <w:pPr>
        <w:pStyle w:val="TextBody"/>
        <w:bidi w:val="0"/>
        <w:spacing w:lineRule="atLeast" w:line="275" w:before="245" w:after="0"/>
        <w:ind w:left="1420" w:right="1584" w:hanging="0"/>
        <w:jc w:val="left"/>
        <w:rPr>
          <w:rFonts w:ascii="Times New Roman" w:hAnsi="Times New Roman"/>
          <w:sz w:val="24"/>
        </w:rPr>
      </w:pPr>
      <w:r>
        <w:rPr>
          <w:rFonts w:ascii="Times New Roman" w:hAnsi="Times New Roman"/>
          <w:color w:val="000000"/>
          <w:sz w:val="24"/>
        </w:rPr>
        <w:t>(a)For purposes of these Grant Conditions, “Good Reason” shall have the meaning set forth in any written severance or employment agreement between the Grantee and Essential Utilities or, if there is no such agreement or such agreement does not define Good Reason, shall mean, except as otherwise provided in the last paragraph of this subsection, a termination of employment as a result of one or more of the following events, without the Grantee’s written consent to the event:</w:t>
      </w:r>
      <w:r>
        <w:rPr>
          <w:rFonts w:ascii="Times New Roman" w:hAnsi="Times New Roman"/>
          <w:sz w:val="24"/>
        </w:rPr>
        <w:t xml:space="preserve"> </w:t>
      </w:r>
    </w:p>
    <w:p>
      <w:pPr>
        <w:pStyle w:val="TextBody"/>
        <w:bidi w:val="0"/>
        <w:spacing w:lineRule="atLeast" w:line="278" w:before="236" w:after="0"/>
        <w:ind w:left="1420" w:right="2088" w:hanging="0"/>
        <w:jc w:val="left"/>
        <w:rPr>
          <w:rFonts w:ascii="Times New Roman" w:hAnsi="Times New Roman"/>
          <w:sz w:val="24"/>
        </w:rPr>
      </w:pPr>
      <w:r>
        <w:rPr>
          <w:rFonts w:ascii="Times New Roman" w:hAnsi="Times New Roman"/>
          <w:color w:val="000000"/>
          <w:sz w:val="24"/>
        </w:rPr>
        <w:t>(i)any action or inaction that constitutes a material breach by Essential Utilities (or any successor thereto) of this Agreement;</w:t>
      </w:r>
      <w:r>
        <w:rPr>
          <w:rFonts w:ascii="Times New Roman" w:hAnsi="Times New Roman"/>
          <w:sz w:val="24"/>
        </w:rPr>
        <w:t xml:space="preserve"> </w:t>
      </w:r>
    </w:p>
    <w:p>
      <w:pPr>
        <w:pStyle w:val="TextBody"/>
        <w:bidi w:val="0"/>
        <w:spacing w:lineRule="atLeast" w:line="273" w:before="246" w:after="0"/>
        <w:ind w:left="1420" w:right="1944" w:hanging="0"/>
        <w:jc w:val="left"/>
        <w:rPr>
          <w:rFonts w:ascii="Times New Roman" w:hAnsi="Times New Roman"/>
          <w:sz w:val="24"/>
        </w:rPr>
      </w:pPr>
      <w:r>
        <w:rPr>
          <w:rFonts w:ascii="Times New Roman" w:hAnsi="Times New Roman"/>
          <w:color w:val="000000"/>
          <w:sz w:val="24"/>
        </w:rPr>
        <w:t>(ii)a material diminution of the authority, duties or responsibilities of the Grantee held immediately prior to the Change in Control;</w:t>
      </w:r>
      <w:r>
        <w:rPr>
          <w:rFonts w:ascii="Times New Roman" w:hAnsi="Times New Roman"/>
          <w:sz w:val="24"/>
        </w:rPr>
        <w:t xml:space="preserve"> </w:t>
      </w:r>
    </w:p>
    <w:p>
      <w:pPr>
        <w:pStyle w:val="TextBody"/>
        <w:bidi w:val="0"/>
        <w:spacing w:lineRule="atLeast" w:line="273" w:before="247" w:after="0"/>
        <w:ind w:left="1420" w:right="1512" w:hanging="0"/>
        <w:jc w:val="left"/>
        <w:rPr>
          <w:rFonts w:ascii="Times New Roman" w:hAnsi="Times New Roman"/>
          <w:sz w:val="24"/>
        </w:rPr>
      </w:pPr>
      <w:r>
        <w:rPr>
          <w:rFonts w:ascii="Times New Roman" w:hAnsi="Times New Roman"/>
          <w:color w:val="000000"/>
          <w:sz w:val="24"/>
        </w:rPr>
        <w:t>(iii)a material diminution in the Grantee’s base salary, which, for purposes of this Agreement, means a reduction in base salary of ten (10) percent or more that does not apply generally to all executive officers of Essential Utilities; or</w:t>
      </w:r>
      <w:r>
        <w:rPr>
          <w:rFonts w:ascii="Times New Roman" w:hAnsi="Times New Roman"/>
          <w:sz w:val="24"/>
        </w:rPr>
        <w:t xml:space="preserve"> </w:t>
      </w:r>
    </w:p>
    <w:p>
      <w:pPr>
        <w:pStyle w:val="TextBody"/>
        <w:bidi w:val="0"/>
        <w:spacing w:lineRule="atLeast" w:line="276" w:before="242" w:after="0"/>
        <w:ind w:left="1420" w:right="1584" w:hanging="0"/>
        <w:jc w:val="left"/>
        <w:rPr>
          <w:rFonts w:ascii="Times New Roman" w:hAnsi="Times New Roman"/>
          <w:sz w:val="24"/>
        </w:rPr>
      </w:pPr>
      <w:r>
        <w:rPr>
          <w:rFonts w:ascii="Times New Roman" w:hAnsi="Times New Roman"/>
          <w:color w:val="000000"/>
          <w:sz w:val="24"/>
        </w:rPr>
        <w:t>(iv)a material change in the geographic location at which the Grantee must perform services under this Agreement, which, for purposes of this Agreement, means a requirement that the Grantee be based at any office or location which is located more than fifty (50) miles from the Grantee’s primary place of employment immediately prior to the Change in Control on other than on a temporary basis (less than 6 months).</w:t>
      </w:r>
      <w:r>
        <w:rPr>
          <w:rFonts w:ascii="Times New Roman" w:hAnsi="Times New Roman"/>
          <w:sz w:val="24"/>
        </w:rPr>
        <w:t xml:space="preserve"> </w:t>
      </w:r>
    </w:p>
    <w:p>
      <w:pPr>
        <w:pStyle w:val="TextBody"/>
        <w:bidi w:val="0"/>
        <w:spacing w:lineRule="atLeast" w:line="275" w:before="244" w:after="0"/>
        <w:ind w:left="1420" w:right="1512" w:hanging="0"/>
        <w:jc w:val="left"/>
        <w:rPr>
          <w:rFonts w:ascii="Times New Roman" w:hAnsi="Times New Roman"/>
          <w:sz w:val="24"/>
        </w:rPr>
      </w:pPr>
      <w:r>
        <w:rPr>
          <w:rFonts w:ascii="Times New Roman" w:hAnsi="Times New Roman"/>
          <w:color w:val="000000"/>
          <w:sz w:val="24"/>
        </w:rPr>
        <w:t>(v)a material diminution in the authority, duties, or responsibilities of the supervisor to whom the Grantee is required to report, including a requirement that the Grantee report to a corporate officer or employee instead of reporting directly to the board of directors of a corporation (or similar governing body with respect to an entity other than a corporation).</w:t>
      </w:r>
      <w:r>
        <w:rPr>
          <w:rFonts w:ascii="Times New Roman" w:hAnsi="Times New Roman"/>
          <w:sz w:val="24"/>
        </w:rPr>
        <w:t xml:space="preserve"> </w:t>
      </w:r>
    </w:p>
    <w:p>
      <w:pPr>
        <w:pStyle w:val="TextBody"/>
        <w:bidi w:val="0"/>
        <w:spacing w:lineRule="atLeast" w:line="273" w:before="246" w:after="822"/>
        <w:ind w:left="1420" w:right="2232" w:hanging="0"/>
        <w:jc w:val="left"/>
        <w:rPr>
          <w:rFonts w:ascii="Times New Roman" w:hAnsi="Times New Roman"/>
          <w:sz w:val="24"/>
        </w:rPr>
      </w:pPr>
      <w:r>
        <w:rPr>
          <w:rFonts w:ascii="Times New Roman" w:hAnsi="Times New Roman"/>
          <w:color w:val="000000"/>
          <w:sz w:val="24"/>
        </w:rPr>
        <w:t>(vi)a material diminution in the budget over which the Grantee retains authority.</w:t>
      </w:r>
      <w:r>
        <w:rPr>
          <w:rFonts w:ascii="Times New Roman" w:hAnsi="Times New Roman"/>
          <w:sz w:val="24"/>
        </w:rPr>
        <w:t xml:space="preserve"> </w:t>
      </w:r>
    </w:p>
    <w:p>
      <w:pPr>
        <w:pStyle w:val="TextBody"/>
        <w:bidi w:val="0"/>
        <w:spacing w:lineRule="atLeast" w:line="272" w:before="0" w:after="0"/>
        <w:ind w:left="1420" w:right="1440" w:hanging="0"/>
        <w:jc w:val="center"/>
        <w:rPr>
          <w:rFonts w:ascii="Times New Roman" w:hAnsi="Times New Roman"/>
          <w:sz w:val="24"/>
        </w:rPr>
      </w:pPr>
      <w:r>
        <w:rPr>
          <w:rFonts w:ascii="Times New Roman" w:hAnsi="Times New Roman"/>
          <w:color w:val="000000"/>
          <w:sz w:val="24"/>
        </w:rPr>
        <w:t>3</w:t>
      </w:r>
      <w:r>
        <w:rPr>
          <w:rFonts w:ascii="Times New Roman" w:hAnsi="Times New Roman"/>
          <w:sz w:val="24"/>
        </w:rPr>
        <w:t xml:space="preserve"> </w:t>
      </w:r>
    </w:p>
    <w:p>
      <w:pPr>
        <w:pStyle w:val="TextBody"/>
        <w:bidi w:val="0"/>
        <w:spacing w:before="0" w:after="0"/>
        <w:ind w:left="1420" w:right="1440" w:hanging="0"/>
        <w:jc w:val="left"/>
        <w:rPr/>
      </w:pPr>
      <w:r>
        <w:rPr/>
        <w:t xml:space="preserve">  </w:t>
      </w:r>
    </w:p>
    <w:p>
      <w:pPr>
        <w:pStyle w:val="HorizontalLine"/>
        <w:pBdr>
          <w:bottom w:val="double" w:sz="6" w:space="0" w:color="808080"/>
        </w:pBdr>
        <w:bidi w:val="0"/>
        <w:ind w:left="1420" w:right="1440" w:hanging="0"/>
        <w:jc w:val="left"/>
        <w:rPr/>
      </w:pPr>
      <w:r>
        <w:rPr/>
      </w:r>
    </w:p>
    <w:p>
      <w:pPr>
        <w:pStyle w:val="TextBody"/>
        <w:bidi w:val="0"/>
        <w:ind w:left="1420" w:right="1440" w:hanging="0"/>
        <w:jc w:val="left"/>
        <w:rPr/>
      </w:pPr>
      <w:r>
        <w:rPr/>
        <w:t> </w:t>
      </w:r>
      <w:r>
        <w:br w:type="page"/>
      </w:r>
    </w:p>
    <w:p>
      <w:pPr>
        <w:pStyle w:val="TextBody"/>
        <w:bidi w:val="0"/>
        <w:spacing w:lineRule="atLeast" w:line="276" w:before="7" w:after="0"/>
        <w:ind w:left="1420" w:right="1656" w:firstLine="720"/>
        <w:jc w:val="left"/>
        <w:rPr>
          <w:rFonts w:ascii="Times New Roman" w:hAnsi="Times New Roman"/>
          <w:sz w:val="24"/>
        </w:rPr>
      </w:pPr>
      <w:r>
        <w:rPr>
          <w:rFonts w:ascii="Times New Roman" w:hAnsi="Times New Roman"/>
          <w:color w:val="000000"/>
          <w:sz w:val="24"/>
        </w:rPr>
        <w:t>A termination of employment after any of the foregoing events shall be a Good Reason only if the Grantee provides written notice to Essential Utilities of the existence of such event within ninety (90) days after the initial occurrence of such event, and Essential Utilities fails to remedy the event within thirty (30) days following the receipt of such notice and the Grantee terminates employment within fifteen (15) days thereafter.</w:t>
      </w:r>
      <w:r>
        <w:rPr>
          <w:rFonts w:ascii="Times New Roman" w:hAnsi="Times New Roman"/>
          <w:sz w:val="24"/>
        </w:rPr>
        <w:t xml:space="preserve"> </w:t>
      </w:r>
    </w:p>
    <w:p>
      <w:pPr>
        <w:pStyle w:val="TextBody"/>
        <w:bidi w:val="0"/>
        <w:spacing w:lineRule="atLeast" w:line="276" w:before="242" w:after="0"/>
        <w:ind w:left="1420" w:right="1440" w:hanging="0"/>
        <w:jc w:val="left"/>
        <w:rPr>
          <w:rFonts w:ascii="Times New Roman" w:hAnsi="Times New Roman"/>
          <w:sz w:val="24"/>
        </w:rPr>
      </w:pPr>
      <w:r>
        <w:rPr>
          <w:rFonts w:ascii="Times New Roman" w:hAnsi="Times New Roman"/>
          <w:color w:val="000000"/>
          <w:sz w:val="24"/>
          <w:u w:val="single"/>
        </w:rPr>
        <w:t>7.Payment with Respect to Restricted Units</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3" w:after="0"/>
        <w:ind w:left="1420" w:right="1440" w:firstLine="720"/>
        <w:jc w:val="left"/>
        <w:rPr>
          <w:rFonts w:ascii="Times New Roman" w:hAnsi="Times New Roman"/>
          <w:sz w:val="24"/>
        </w:rPr>
      </w:pPr>
      <w:r>
        <w:rPr>
          <w:rFonts w:ascii="Times New Roman" w:hAnsi="Times New Roman"/>
          <w:color w:val="000000"/>
          <w:sz w:val="24"/>
        </w:rPr>
        <w:t>Except as otherwise set forth in Section 4 and 5 above, shares of Company Stock equal to the vested Restricted Units shall be issued to the Grantee within sixty (60) days after the Vesting Date, subject to applicable tax withholding and subject to Section 19. (d) Notwithstanding the foregoing, if Section 5(d) applies in connection with a Change in Control, shares of Company Stock equal to the vested Restricted Units shall be issued to the Grantee within sixty (60) days after the consummation of the Change in Control, subject to applicable tax withholding and Section 16 below. Any fractional Restricted Units shall be paid to the Grantee in cash.</w:t>
      </w:r>
      <w:r>
        <w:rPr>
          <w:rFonts w:ascii="Times New Roman" w:hAnsi="Times New Roman"/>
          <w:sz w:val="24"/>
        </w:rPr>
        <w:t xml:space="preserve"> </w:t>
      </w:r>
    </w:p>
    <w:p>
      <w:pPr>
        <w:pStyle w:val="TextBody"/>
        <w:bidi w:val="0"/>
        <w:spacing w:lineRule="atLeast" w:line="276" w:before="237" w:after="0"/>
        <w:ind w:left="1420" w:right="1440" w:hanging="0"/>
        <w:jc w:val="left"/>
        <w:rPr>
          <w:rFonts w:ascii="Times New Roman" w:hAnsi="Times New Roman"/>
          <w:sz w:val="24"/>
        </w:rPr>
      </w:pPr>
      <w:r>
        <w:rPr>
          <w:rFonts w:ascii="Times New Roman" w:hAnsi="Times New Roman"/>
          <w:color w:val="000000"/>
          <w:sz w:val="24"/>
          <w:u w:val="single"/>
        </w:rPr>
        <w:t>8.Dividend Equivalents with Respect to Restricted Units</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0" w:after="0"/>
        <w:ind w:left="1420" w:right="1656" w:hanging="0"/>
        <w:jc w:val="left"/>
        <w:rPr>
          <w:rFonts w:ascii="Times New Roman" w:hAnsi="Times New Roman"/>
          <w:sz w:val="24"/>
        </w:rPr>
      </w:pPr>
      <w:r>
        <w:rPr>
          <w:rFonts w:ascii="Times New Roman" w:hAnsi="Times New Roman"/>
          <w:color w:val="000000"/>
          <w:sz w:val="24"/>
        </w:rPr>
        <w:t>(a)Dividend Equivalents shall accrue with respect to Restricted Units and shall be payable subject to the same vesting terms and other conditions as the Restricted Units to which they relate. Dividend Equivalents shall be credited when dividends are declared on shares of Company Stock from the Grant Date until the payment date for the vested Restricted Units. If and to the extent that the underlying Restricted Units are forfeited, all related Dividend Equivalents shall also be forfeited.</w:t>
      </w:r>
      <w:r>
        <w:rPr>
          <w:rFonts w:ascii="Times New Roman" w:hAnsi="Times New Roman"/>
          <w:sz w:val="24"/>
        </w:rPr>
        <w:t xml:space="preserve"> </w:t>
      </w:r>
    </w:p>
    <w:p>
      <w:pPr>
        <w:pStyle w:val="TextBody"/>
        <w:bidi w:val="0"/>
        <w:spacing w:lineRule="atLeast" w:line="276" w:before="238" w:after="0"/>
        <w:ind w:left="1420" w:right="1656" w:hanging="0"/>
        <w:jc w:val="left"/>
        <w:rPr>
          <w:rFonts w:ascii="Times New Roman" w:hAnsi="Times New Roman"/>
          <w:sz w:val="24"/>
        </w:rPr>
      </w:pPr>
      <w:r>
        <w:rPr>
          <w:rFonts w:ascii="Times New Roman" w:hAnsi="Times New Roman"/>
          <w:color w:val="000000"/>
          <w:sz w:val="24"/>
        </w:rPr>
        <w:t>(b)While the Restricted Units are outstanding, the Company will keep records in a bookkeeping account for the Grantee. On each date on which a dividend is declared by the Company on Company Stock, the Company shall credit to the Grantee’s account an amount equal to the Dividend Equivalents associated with the Restricted Units held by the Grantee on the record date for the dividend. No interest will be credited to any such account.</w:t>
      </w:r>
      <w:r>
        <w:rPr>
          <w:rFonts w:ascii="Times New Roman" w:hAnsi="Times New Roman"/>
          <w:sz w:val="24"/>
        </w:rPr>
        <w:t xml:space="preserve"> </w:t>
      </w:r>
    </w:p>
    <w:p>
      <w:pPr>
        <w:pStyle w:val="TextBody"/>
        <w:bidi w:val="0"/>
        <w:spacing w:lineRule="atLeast" w:line="276" w:before="245" w:after="0"/>
        <w:ind w:left="1420" w:right="1944" w:hanging="0"/>
        <w:jc w:val="left"/>
        <w:rPr>
          <w:rFonts w:ascii="Times New Roman" w:hAnsi="Times New Roman"/>
          <w:sz w:val="24"/>
        </w:rPr>
      </w:pPr>
      <w:r>
        <w:rPr>
          <w:rFonts w:ascii="Times New Roman" w:hAnsi="Times New Roman"/>
          <w:color w:val="000000"/>
          <w:sz w:val="24"/>
        </w:rPr>
        <w:t>(c)Dividend Equivalents will be paid in cash at the same time as the underlying vested Restricted Units are paid.</w:t>
      </w:r>
      <w:r>
        <w:rPr>
          <w:rFonts w:ascii="Times New Roman" w:hAnsi="Times New Roman"/>
          <w:sz w:val="24"/>
        </w:rPr>
        <w:t xml:space="preserve"> </w:t>
      </w:r>
    </w:p>
    <w:p>
      <w:pPr>
        <w:pStyle w:val="TextBody"/>
        <w:bidi w:val="0"/>
        <w:spacing w:lineRule="atLeast" w:line="276" w:before="237" w:after="0"/>
        <w:ind w:left="1420" w:right="1440" w:hanging="0"/>
        <w:jc w:val="left"/>
        <w:rPr>
          <w:rFonts w:ascii="Times New Roman" w:hAnsi="Times New Roman"/>
          <w:sz w:val="24"/>
        </w:rPr>
      </w:pPr>
      <w:r>
        <w:rPr>
          <w:rFonts w:ascii="Times New Roman" w:hAnsi="Times New Roman"/>
          <w:color w:val="000000"/>
          <w:sz w:val="24"/>
        </w:rPr>
        <w:t>(d)Notwithstanding the foregoing, if shares of Company Stock are converted to cash as described in Section 5(e) above in connection with a Change in Control, Dividend Equivalents shall cease to be credited with respect to Restricted Units.</w:t>
      </w:r>
      <w:r>
        <w:rPr>
          <w:rFonts w:ascii="Times New Roman" w:hAnsi="Times New Roman"/>
          <w:sz w:val="24"/>
        </w:rPr>
        <w:t xml:space="preserve"> </w:t>
      </w:r>
    </w:p>
    <w:p>
      <w:pPr>
        <w:pStyle w:val="TextBody"/>
        <w:bidi w:val="0"/>
        <w:spacing w:lineRule="atLeast" w:line="276" w:before="243" w:after="0"/>
        <w:ind w:left="1420" w:right="1440" w:hanging="0"/>
        <w:jc w:val="left"/>
        <w:rPr>
          <w:rFonts w:ascii="Times New Roman" w:hAnsi="Times New Roman"/>
          <w:sz w:val="24"/>
        </w:rPr>
      </w:pPr>
      <w:r>
        <w:rPr>
          <w:rFonts w:ascii="Times New Roman" w:hAnsi="Times New Roman"/>
          <w:color w:val="000000"/>
          <w:sz w:val="24"/>
          <w:u w:val="single"/>
        </w:rPr>
        <w:t>9.Certain Corporate Changes</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35" w:after="475"/>
        <w:ind w:left="1420" w:right="1440" w:firstLine="720"/>
        <w:jc w:val="left"/>
        <w:rPr>
          <w:rFonts w:ascii="Times New Roman" w:hAnsi="Times New Roman"/>
          <w:sz w:val="24"/>
        </w:rPr>
      </w:pPr>
      <w:r>
        <w:rPr>
          <w:rFonts w:ascii="Times New Roman" w:hAnsi="Times New Roman"/>
          <w:color w:val="000000"/>
          <w:sz w:val="24"/>
        </w:rPr>
        <w:t>If any change is made to the Company Stock (whether by reason of merger, consolidation, reorganization, recapitalization, stock dividend, stock split, combination of shares, or exchange of shares or any other change in capital structure made without receipt of consideration), then unless such event or change results in the termination of all the Restricted Units, the Committee shall adjust, in an equitable manner and as provided in the Plan, the number and class of shares underlying the Restricted Units. Any adjustment that occurs under the terms of this Section 10 or the Plan will not change the timing or form of payment with respect to any Restricted Units.</w:t>
      </w:r>
      <w:r>
        <w:rPr>
          <w:rFonts w:ascii="Times New Roman" w:hAnsi="Times New Roman"/>
          <w:sz w:val="24"/>
        </w:rPr>
        <w:t xml:space="preserve"> </w:t>
      </w:r>
    </w:p>
    <w:p>
      <w:pPr>
        <w:pStyle w:val="TextBody"/>
        <w:bidi w:val="0"/>
        <w:spacing w:lineRule="atLeast" w:line="276" w:before="235" w:after="475"/>
        <w:ind w:left="1420" w:right="1440" w:hanging="0"/>
        <w:jc w:val="left"/>
        <w:rPr/>
      </w:pPr>
      <w:r>
        <w:rPr/>
        <w:t xml:space="preserve">  </w:t>
      </w:r>
    </w:p>
    <w:p>
      <w:pPr>
        <w:pStyle w:val="TextBody"/>
        <w:bidi w:val="0"/>
        <w:spacing w:lineRule="atLeast" w:line="276" w:before="0" w:after="0"/>
        <w:ind w:left="1420" w:right="1440" w:hanging="0"/>
        <w:jc w:val="center"/>
        <w:rPr>
          <w:rFonts w:ascii="Times New Roman" w:hAnsi="Times New Roman"/>
          <w:sz w:val="24"/>
        </w:rPr>
      </w:pPr>
      <w:r>
        <w:rPr>
          <w:rFonts w:ascii="Times New Roman" w:hAnsi="Times New Roman"/>
          <w:color w:val="000000"/>
          <w:sz w:val="24"/>
        </w:rPr>
        <w:t>4</w:t>
      </w:r>
      <w:r>
        <w:rPr>
          <w:rFonts w:ascii="Times New Roman" w:hAnsi="Times New Roman"/>
          <w:sz w:val="24"/>
        </w:rPr>
        <w:t xml:space="preserve"> </w:t>
      </w:r>
    </w:p>
    <w:p>
      <w:pPr>
        <w:pStyle w:val="TextBody"/>
        <w:bidi w:val="0"/>
        <w:spacing w:before="0" w:after="0"/>
        <w:ind w:left="1420" w:right="1440" w:hanging="0"/>
        <w:jc w:val="left"/>
        <w:rPr/>
      </w:pPr>
      <w:r>
        <w:rPr/>
        <w:t xml:space="preserve">  </w:t>
      </w:r>
    </w:p>
    <w:p>
      <w:pPr>
        <w:pStyle w:val="HorizontalLine"/>
        <w:pBdr>
          <w:bottom w:val="double" w:sz="6" w:space="0" w:color="808080"/>
        </w:pBdr>
        <w:bidi w:val="0"/>
        <w:ind w:left="1420" w:right="1440" w:hanging="0"/>
        <w:jc w:val="left"/>
        <w:rPr/>
      </w:pPr>
      <w:r>
        <w:rPr/>
      </w:r>
    </w:p>
    <w:p>
      <w:pPr>
        <w:pStyle w:val="TextBody"/>
        <w:bidi w:val="0"/>
        <w:ind w:left="1420" w:right="1440" w:hanging="0"/>
        <w:jc w:val="left"/>
        <w:rPr/>
      </w:pPr>
      <w:r>
        <w:rPr/>
        <w:t> </w:t>
      </w:r>
      <w:r>
        <w:br w:type="page"/>
      </w:r>
    </w:p>
    <w:p>
      <w:pPr>
        <w:pStyle w:val="TextBody"/>
        <w:bidi w:val="0"/>
        <w:spacing w:lineRule="atLeast" w:line="276" w:before="151" w:after="0"/>
        <w:ind w:left="1420" w:right="1440" w:hanging="0"/>
        <w:jc w:val="left"/>
        <w:rPr>
          <w:rFonts w:ascii="Times New Roman" w:hAnsi="Times New Roman"/>
          <w:sz w:val="24"/>
        </w:rPr>
      </w:pPr>
      <w:r>
        <w:rPr>
          <w:rFonts w:ascii="Times New Roman" w:hAnsi="Times New Roman"/>
          <w:color w:val="000000"/>
          <w:sz w:val="24"/>
          <w:u w:val="single"/>
        </w:rPr>
        <w:t>10.No Right to Continued Employment</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37" w:after="0"/>
        <w:ind w:left="1420" w:right="1584" w:firstLine="720"/>
        <w:jc w:val="left"/>
        <w:rPr>
          <w:rFonts w:ascii="Times New Roman" w:hAnsi="Times New Roman"/>
          <w:sz w:val="24"/>
        </w:rPr>
      </w:pPr>
      <w:r>
        <w:rPr>
          <w:rFonts w:ascii="Times New Roman" w:hAnsi="Times New Roman"/>
          <w:color w:val="000000"/>
          <w:sz w:val="24"/>
        </w:rPr>
        <w:t>Neither the award of Restricted Units, nor any other action taken with respect to the Restricted Units, shall confer upon the Grantee any right to continue to be employed by the Employer or shall interfere in any way with the right of the Employer to terminate the Grantee’s employment at any time, consistent with the terms of any written employment agreement between the Grantee and the Employer and applicable law.</w:t>
      </w:r>
      <w:r>
        <w:rPr>
          <w:rFonts w:ascii="Times New Roman" w:hAnsi="Times New Roman"/>
          <w:sz w:val="24"/>
        </w:rPr>
        <w:t xml:space="preserve"> </w:t>
      </w:r>
    </w:p>
    <w:p>
      <w:pPr>
        <w:pStyle w:val="TextBody"/>
        <w:bidi w:val="0"/>
        <w:spacing w:lineRule="atLeast" w:line="276" w:before="243" w:after="0"/>
        <w:ind w:left="1420" w:right="1440" w:hanging="0"/>
        <w:jc w:val="left"/>
        <w:rPr>
          <w:rFonts w:ascii="Times New Roman" w:hAnsi="Times New Roman"/>
          <w:sz w:val="24"/>
        </w:rPr>
      </w:pPr>
      <w:r>
        <w:rPr>
          <w:rFonts w:ascii="Times New Roman" w:hAnsi="Times New Roman"/>
          <w:color w:val="000000"/>
          <w:sz w:val="24"/>
          <w:u w:val="single"/>
        </w:rPr>
        <w:t>11.Termination or Amendment</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0" w:after="0"/>
        <w:ind w:left="1420" w:right="1440" w:firstLine="720"/>
        <w:jc w:val="left"/>
        <w:rPr>
          <w:rFonts w:ascii="Times New Roman" w:hAnsi="Times New Roman"/>
          <w:sz w:val="24"/>
        </w:rPr>
      </w:pPr>
      <w:r>
        <w:rPr>
          <w:rFonts w:ascii="Times New Roman" w:hAnsi="Times New Roman"/>
          <w:color w:val="000000"/>
          <w:sz w:val="24"/>
        </w:rPr>
        <w:t>These Grant Conditions and the award made hereunder may be terminated or amended by the Committee, in whole or in part, in accordance with the applicable terms of the Plan.</w:t>
      </w:r>
      <w:r>
        <w:rPr>
          <w:rFonts w:ascii="Times New Roman" w:hAnsi="Times New Roman"/>
          <w:sz w:val="24"/>
        </w:rPr>
        <w:t xml:space="preserve"> </w:t>
      </w:r>
    </w:p>
    <w:p>
      <w:pPr>
        <w:pStyle w:val="TextBody"/>
        <w:bidi w:val="0"/>
        <w:spacing w:lineRule="atLeast" w:line="276" w:before="237" w:after="0"/>
        <w:ind w:left="1420" w:right="1440" w:hanging="0"/>
        <w:jc w:val="left"/>
        <w:rPr>
          <w:rFonts w:ascii="Times New Roman" w:hAnsi="Times New Roman"/>
          <w:sz w:val="24"/>
        </w:rPr>
      </w:pPr>
      <w:r>
        <w:rPr>
          <w:rFonts w:ascii="Times New Roman" w:hAnsi="Times New Roman"/>
          <w:color w:val="000000"/>
          <w:sz w:val="24"/>
          <w:u w:val="single"/>
        </w:rPr>
        <w:t>12.Notice</w:t>
      </w:r>
      <w:r>
        <w:rPr>
          <w:rFonts w:ascii="Times New Roman" w:hAnsi="Times New Roman"/>
          <w:color w:val="000000"/>
          <w:sz w:val="24"/>
        </w:rPr>
        <w:t>.</w:t>
      </w:r>
      <w:r>
        <w:rPr>
          <w:rFonts w:ascii="Times New Roman" w:hAnsi="Times New Roman"/>
          <w:sz w:val="24"/>
        </w:rPr>
        <w:t xml:space="preserve"> </w:t>
      </w:r>
    </w:p>
    <w:p>
      <w:pPr>
        <w:pStyle w:val="TextBody"/>
        <w:bidi w:val="0"/>
        <w:spacing w:lineRule="atLeast" w:line="276" w:before="240" w:after="0"/>
        <w:ind w:left="1420" w:right="1440" w:firstLine="720"/>
        <w:jc w:val="left"/>
        <w:rPr>
          <w:rFonts w:ascii="Times New Roman" w:hAnsi="Times New Roman"/>
          <w:sz w:val="24"/>
        </w:rPr>
      </w:pPr>
      <w:r>
        <w:rPr>
          <w:rFonts w:ascii="Times New Roman" w:hAnsi="Times New Roman"/>
          <w:color w:val="000000"/>
          <w:sz w:val="24"/>
        </w:rPr>
        <w:t>Any notice to the Company provided for in these Grant Conditions shall be addressed to it in care of the Company’s Chief Human Resources Officer, and any notice to the Grantee shall be addressed to the Grantee at the current address shown on the payroll system of the Company, or to such other address as the Grantee may designate to the Company in writing. Any notice provided for hereunder shall be delivered by hand, sent by telecopy or electronic mail or enclosed in a properly sealed envelope addressed as stated above, registered and deposited, postage and registry fee prepaid in the United States mail or other mail delivery service. Notice to the Company shall be deemed effective upon receipt. By receipt of these Grant Conditions, the Grantee hereby consents to the delivery of information (including without limitation, information required to be delivered to the Grantee pursuant to the applicable securities laws) regarding the Company, the Plan, and the Restricted Units via the Company’s electronic mail system or other electronic delivery system.</w:t>
      </w:r>
      <w:r>
        <w:rPr>
          <w:rFonts w:ascii="Times New Roman" w:hAnsi="Times New Roman"/>
          <w:sz w:val="24"/>
        </w:rPr>
        <w:t xml:space="preserve"> </w:t>
      </w:r>
    </w:p>
    <w:p>
      <w:pPr>
        <w:pStyle w:val="TextBody"/>
        <w:bidi w:val="0"/>
        <w:spacing w:lineRule="atLeast" w:line="276" w:before="243" w:after="0"/>
        <w:ind w:left="1420" w:right="1440" w:hanging="0"/>
        <w:jc w:val="left"/>
        <w:rPr>
          <w:rFonts w:ascii="Times New Roman" w:hAnsi="Times New Roman"/>
          <w:sz w:val="24"/>
        </w:rPr>
      </w:pPr>
      <w:r>
        <w:rPr>
          <w:rFonts w:ascii="Times New Roman" w:hAnsi="Times New Roman"/>
          <w:color w:val="000000"/>
          <w:sz w:val="24"/>
          <w:u w:val="single"/>
        </w:rPr>
        <w:t>13.Incorporation of Plan by Reference</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37" w:after="0"/>
        <w:ind w:left="1420" w:right="1800" w:firstLine="720"/>
        <w:jc w:val="left"/>
        <w:rPr>
          <w:rFonts w:ascii="Times New Roman" w:hAnsi="Times New Roman"/>
          <w:sz w:val="24"/>
        </w:rPr>
      </w:pPr>
      <w:r>
        <w:rPr>
          <w:rFonts w:ascii="Times New Roman" w:hAnsi="Times New Roman"/>
          <w:color w:val="000000"/>
          <w:sz w:val="24"/>
        </w:rPr>
        <w:t>The Restricted Stock Unit Grant and these Grant Conditions are made pursuant to the terms of the Plan, the terms of which are incorporated herein by reference, and shall in all respects be interpreted in accordance therewith. The decisions of the Committee shall be conclusive upon any question arising hereunder. The Grantee’s receipt of the Restricted Units constitutes the Grantee’s acknowledgment that all decisions and determinations of the</w:t>
      </w:r>
      <w:r>
        <w:rPr>
          <w:rFonts w:ascii="Times New Roman" w:hAnsi="Times New Roman"/>
          <w:sz w:val="24"/>
        </w:rPr>
        <w:t xml:space="preserve"> </w:t>
      </w:r>
    </w:p>
    <w:p>
      <w:pPr>
        <w:pStyle w:val="TextBody"/>
        <w:bidi w:val="0"/>
        <w:spacing w:lineRule="atLeast" w:line="275" w:before="0" w:after="0"/>
        <w:ind w:left="1420" w:right="1584" w:hanging="0"/>
        <w:jc w:val="left"/>
        <w:rPr>
          <w:rFonts w:ascii="Times New Roman" w:hAnsi="Times New Roman"/>
          <w:sz w:val="24"/>
        </w:rPr>
      </w:pPr>
      <w:r>
        <w:rPr>
          <w:rFonts w:ascii="Times New Roman" w:hAnsi="Times New Roman"/>
          <w:color w:val="000000"/>
          <w:sz w:val="24"/>
        </w:rPr>
        <w:t>Committee with respect to the Plan, these Grant Conditions, and/or the Restricted Units shall be final and binding on the Grantee, his or her beneficiaries and any other person having or claiming an interest in the Restricted Units. The settlement of any award with respect to the Restricted Units is subject to the provisions of the Plan and to interpretations, regulations and determinations concerning the Plan as established from time to time by the Committee in accordance with the provisions of the Plan. A copy of the Plan will be furnished to each Grantee upon request.</w:t>
      </w:r>
      <w:r>
        <w:rPr>
          <w:rFonts w:ascii="Times New Roman" w:hAnsi="Times New Roman"/>
          <w:sz w:val="24"/>
        </w:rPr>
        <w:t xml:space="preserve"> </w:t>
      </w:r>
    </w:p>
    <w:p>
      <w:pPr>
        <w:pStyle w:val="TextBody"/>
        <w:bidi w:val="0"/>
        <w:spacing w:lineRule="atLeast" w:line="276" w:before="242" w:after="0"/>
        <w:ind w:left="1420" w:right="1440" w:hanging="0"/>
        <w:jc w:val="left"/>
        <w:rPr>
          <w:rFonts w:ascii="Times New Roman" w:hAnsi="Times New Roman"/>
          <w:sz w:val="24"/>
        </w:rPr>
      </w:pPr>
      <w:r>
        <w:rPr>
          <w:rFonts w:ascii="Times New Roman" w:hAnsi="Times New Roman"/>
          <w:color w:val="000000"/>
          <w:sz w:val="24"/>
          <w:u w:val="single"/>
        </w:rPr>
        <w:t>14.Income Taxes; Withholding Taxes</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38" w:after="476"/>
        <w:ind w:left="1420" w:right="1512" w:firstLine="720"/>
        <w:jc w:val="left"/>
        <w:rPr>
          <w:rFonts w:ascii="Times New Roman" w:hAnsi="Times New Roman"/>
          <w:sz w:val="24"/>
        </w:rPr>
      </w:pPr>
      <w:r>
        <w:rPr>
          <w:rFonts w:ascii="Times New Roman" w:hAnsi="Times New Roman"/>
          <w:color w:val="000000"/>
          <w:sz w:val="24"/>
        </w:rPr>
        <w:t>The Grantee is solely responsible for the satisfaction of all taxes and penalties that may arise in connection with the award or settlement of Restricted Units and payment of Dividend Equivalents pursuant to these Grant Conditions. At the time of taxation, the Employer shall have</w:t>
      </w:r>
      <w:r>
        <w:rPr>
          <w:rFonts w:ascii="Times New Roman" w:hAnsi="Times New Roman"/>
          <w:sz w:val="24"/>
        </w:rPr>
        <w:t xml:space="preserve"> </w:t>
      </w:r>
    </w:p>
    <w:p>
      <w:pPr>
        <w:pStyle w:val="TextBody"/>
        <w:bidi w:val="0"/>
        <w:spacing w:lineRule="atLeast" w:line="276" w:before="238" w:after="476"/>
        <w:ind w:left="1420" w:right="1440" w:hanging="0"/>
        <w:jc w:val="left"/>
        <w:rPr/>
      </w:pPr>
      <w:r>
        <w:rPr/>
        <w:t xml:space="preserve">  </w:t>
      </w:r>
    </w:p>
    <w:p>
      <w:pPr>
        <w:pStyle w:val="TextBody"/>
        <w:bidi w:val="0"/>
        <w:spacing w:lineRule="atLeast" w:line="275" w:before="0" w:after="0"/>
        <w:ind w:left="1420" w:right="1440" w:hanging="0"/>
        <w:jc w:val="center"/>
        <w:rPr>
          <w:rFonts w:ascii="Times New Roman" w:hAnsi="Times New Roman"/>
          <w:sz w:val="24"/>
        </w:rPr>
      </w:pPr>
      <w:r>
        <w:rPr>
          <w:rFonts w:ascii="Times New Roman" w:hAnsi="Times New Roman"/>
          <w:color w:val="000000"/>
          <w:sz w:val="24"/>
        </w:rPr>
        <w:t>5</w:t>
      </w:r>
      <w:r>
        <w:rPr>
          <w:rFonts w:ascii="Times New Roman" w:hAnsi="Times New Roman"/>
          <w:sz w:val="24"/>
        </w:rPr>
        <w:t xml:space="preserve"> </w:t>
      </w:r>
    </w:p>
    <w:p>
      <w:pPr>
        <w:pStyle w:val="TextBody"/>
        <w:bidi w:val="0"/>
        <w:spacing w:before="0" w:after="0"/>
        <w:ind w:left="1420" w:right="1440" w:hanging="0"/>
        <w:jc w:val="left"/>
        <w:rPr/>
      </w:pPr>
      <w:r>
        <w:rPr/>
        <w:t xml:space="preserve">  </w:t>
      </w:r>
    </w:p>
    <w:p>
      <w:pPr>
        <w:pStyle w:val="HorizontalLine"/>
        <w:pBdr>
          <w:bottom w:val="double" w:sz="6" w:space="0" w:color="808080"/>
        </w:pBdr>
        <w:bidi w:val="0"/>
        <w:ind w:left="1420" w:right="1440" w:hanging="0"/>
        <w:jc w:val="left"/>
        <w:rPr/>
      </w:pPr>
      <w:r>
        <w:rPr/>
      </w:r>
    </w:p>
    <w:p>
      <w:pPr>
        <w:pStyle w:val="TextBody"/>
        <w:bidi w:val="0"/>
        <w:ind w:left="1420" w:right="1440" w:hanging="0"/>
        <w:jc w:val="left"/>
        <w:rPr/>
      </w:pPr>
      <w:r>
        <w:rPr/>
        <w:t> </w:t>
      </w:r>
      <w:r>
        <w:br w:type="page"/>
      </w:r>
    </w:p>
    <w:p>
      <w:pPr>
        <w:pStyle w:val="TextBody"/>
        <w:bidi w:val="0"/>
        <w:spacing w:lineRule="atLeast" w:line="276" w:before="8" w:after="0"/>
        <w:ind w:left="1420" w:right="1512" w:hanging="0"/>
        <w:jc w:val="left"/>
        <w:rPr>
          <w:rFonts w:ascii="Times New Roman" w:hAnsi="Times New Roman"/>
          <w:sz w:val="24"/>
        </w:rPr>
      </w:pPr>
      <w:r>
        <w:rPr>
          <w:rFonts w:ascii="Times New Roman" w:hAnsi="Times New Roman"/>
          <w:color w:val="000000"/>
          <w:sz w:val="24"/>
        </w:rPr>
        <w:t>the right to deduct from other compensation, or to withhold shares of Company Stock, in an amount equal to the federal (including FICA), state, local and foreign taxes and other amounts as may be required by law to be withheld with respect to the Restricted Units, as approved in advance by the Committee.</w:t>
      </w:r>
      <w:r>
        <w:rPr>
          <w:rFonts w:ascii="Times New Roman" w:hAnsi="Times New Roman"/>
          <w:sz w:val="24"/>
        </w:rPr>
        <w:t xml:space="preserve"> </w:t>
      </w:r>
    </w:p>
    <w:p>
      <w:pPr>
        <w:pStyle w:val="TextBody"/>
        <w:bidi w:val="0"/>
        <w:spacing w:lineRule="atLeast" w:line="276" w:before="238" w:after="0"/>
        <w:ind w:left="1420" w:right="1440" w:hanging="0"/>
        <w:jc w:val="left"/>
        <w:rPr>
          <w:rFonts w:ascii="Times New Roman" w:hAnsi="Times New Roman"/>
          <w:sz w:val="24"/>
        </w:rPr>
      </w:pPr>
      <w:r>
        <w:rPr>
          <w:rFonts w:ascii="Times New Roman" w:hAnsi="Times New Roman"/>
          <w:color w:val="000000"/>
          <w:sz w:val="24"/>
          <w:u w:val="single"/>
        </w:rPr>
        <w:t>15.Company Policies</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2" w:after="0"/>
        <w:ind w:left="1420" w:right="1512" w:firstLine="720"/>
        <w:jc w:val="left"/>
        <w:rPr>
          <w:rFonts w:ascii="Times New Roman" w:hAnsi="Times New Roman"/>
          <w:sz w:val="24"/>
        </w:rPr>
      </w:pPr>
      <w:r>
        <w:rPr>
          <w:rFonts w:ascii="Times New Roman" w:hAnsi="Times New Roman"/>
          <w:color w:val="000000"/>
          <w:sz w:val="24"/>
        </w:rPr>
        <w:t>This Restricted Unit Grant and all shares issued pursuant to this grant shall be subject to any applicable recoupment or clawback policies and other policies implemented by the Board, as in effect from time to time.</w:t>
      </w:r>
      <w:r>
        <w:rPr>
          <w:rFonts w:ascii="Times New Roman" w:hAnsi="Times New Roman"/>
          <w:sz w:val="24"/>
        </w:rPr>
        <w:t xml:space="preserve"> </w:t>
      </w:r>
    </w:p>
    <w:p>
      <w:pPr>
        <w:pStyle w:val="TextBody"/>
        <w:bidi w:val="0"/>
        <w:spacing w:lineRule="atLeast" w:line="276" w:before="243" w:after="0"/>
        <w:ind w:left="1420" w:right="1440" w:hanging="0"/>
        <w:jc w:val="left"/>
        <w:rPr>
          <w:rFonts w:ascii="Times New Roman" w:hAnsi="Times New Roman"/>
          <w:sz w:val="24"/>
        </w:rPr>
      </w:pPr>
      <w:r>
        <w:rPr>
          <w:rFonts w:ascii="Times New Roman" w:hAnsi="Times New Roman"/>
          <w:color w:val="000000"/>
          <w:sz w:val="24"/>
          <w:u w:val="single"/>
        </w:rPr>
        <w:t>16.Governing Law; Enforcement</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37" w:after="0"/>
        <w:ind w:left="1420" w:right="1440" w:firstLine="720"/>
        <w:jc w:val="left"/>
        <w:rPr>
          <w:rFonts w:ascii="Times New Roman" w:hAnsi="Times New Roman"/>
          <w:sz w:val="24"/>
        </w:rPr>
      </w:pPr>
      <w:r>
        <w:rPr>
          <w:rFonts w:ascii="Times New Roman" w:hAnsi="Times New Roman"/>
          <w:color w:val="000000"/>
          <w:sz w:val="24"/>
        </w:rPr>
        <w:t>The validity, construction, interpretation and effect of the Restricted Stock Unit Grant and these Grant Conditions shall be governed by, and determined in accordance with, the applicable laws of the Commonwealth of Pennsylvania, excluding any conflicts or choice of law rule or principle. The resolution of any dispute regarding, or the enforcement of, this Restricted Stock Unit Grant and these Grant Conditions shall take place in a court of competent jurisdiction located within the Commonwealth of Pennsylvania, notwithstanding any dispute resolution terms that may exist under any employment agreement between the Grantee and the Company.</w:t>
      </w:r>
      <w:r>
        <w:rPr>
          <w:rFonts w:ascii="Times New Roman" w:hAnsi="Times New Roman"/>
          <w:sz w:val="24"/>
        </w:rPr>
        <w:t xml:space="preserve"> </w:t>
      </w:r>
    </w:p>
    <w:p>
      <w:pPr>
        <w:pStyle w:val="TextBody"/>
        <w:bidi w:val="0"/>
        <w:spacing w:lineRule="atLeast" w:line="276" w:before="243" w:after="0"/>
        <w:ind w:left="1420" w:right="1440" w:hanging="0"/>
        <w:jc w:val="left"/>
        <w:rPr>
          <w:rFonts w:ascii="Times New Roman" w:hAnsi="Times New Roman"/>
          <w:sz w:val="24"/>
        </w:rPr>
      </w:pPr>
      <w:r>
        <w:rPr>
          <w:rFonts w:ascii="Times New Roman" w:hAnsi="Times New Roman"/>
          <w:color w:val="000000"/>
          <w:sz w:val="24"/>
          <w:u w:val="single"/>
        </w:rPr>
        <w:t>17.Assignment</w:t>
      </w:r>
      <w:r>
        <w:rPr>
          <w:rFonts w:ascii="Times New Roman" w:hAnsi="Times New Roman"/>
          <w:color w:val="000000"/>
          <w:sz w:val="24"/>
        </w:rPr>
        <w:t>.</w:t>
      </w:r>
      <w:r>
        <w:rPr>
          <w:rFonts w:ascii="Times New Roman" w:hAnsi="Times New Roman"/>
          <w:sz w:val="24"/>
        </w:rPr>
        <w:t xml:space="preserve"> </w:t>
      </w:r>
    </w:p>
    <w:p>
      <w:pPr>
        <w:pStyle w:val="TextBody"/>
        <w:bidi w:val="0"/>
        <w:spacing w:lineRule="atLeast" w:line="276" w:before="240" w:after="0"/>
        <w:ind w:left="1420" w:right="1512" w:firstLine="720"/>
        <w:jc w:val="left"/>
        <w:rPr>
          <w:rFonts w:ascii="Times New Roman" w:hAnsi="Times New Roman"/>
          <w:sz w:val="24"/>
        </w:rPr>
      </w:pPr>
      <w:r>
        <w:rPr>
          <w:rFonts w:ascii="Times New Roman" w:hAnsi="Times New Roman"/>
          <w:color w:val="000000"/>
          <w:sz w:val="24"/>
        </w:rPr>
        <w:t>The Restricted Stock Unit Grant and these Grant Conditions shall bind and inure to the benefit of the successors and assignees of the Company. The Grantee may not sell, assign, transfer, pledge or otherwise dispose of the Restricted Units, except to a successor grantee in the event of the Grantee’s death.</w:t>
      </w:r>
      <w:r>
        <w:rPr>
          <w:rFonts w:ascii="Times New Roman" w:hAnsi="Times New Roman"/>
          <w:sz w:val="24"/>
        </w:rPr>
        <w:t xml:space="preserve"> </w:t>
      </w:r>
    </w:p>
    <w:p>
      <w:pPr>
        <w:pStyle w:val="TextBody"/>
        <w:bidi w:val="0"/>
        <w:spacing w:lineRule="atLeast" w:line="276" w:before="237" w:after="0"/>
        <w:ind w:left="1420" w:right="1440" w:hanging="0"/>
        <w:jc w:val="left"/>
        <w:rPr>
          <w:rFonts w:ascii="Times New Roman" w:hAnsi="Times New Roman"/>
          <w:sz w:val="24"/>
        </w:rPr>
      </w:pPr>
      <w:r>
        <w:rPr>
          <w:rFonts w:ascii="Times New Roman" w:hAnsi="Times New Roman"/>
          <w:color w:val="000000"/>
          <w:sz w:val="24"/>
          <w:u w:val="single"/>
        </w:rPr>
        <w:t>18.Code Section 409A</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0" w:after="0"/>
        <w:ind w:left="1420" w:right="1440" w:firstLine="720"/>
        <w:jc w:val="left"/>
        <w:rPr>
          <w:rFonts w:ascii="Times New Roman" w:hAnsi="Times New Roman"/>
          <w:sz w:val="24"/>
        </w:rPr>
      </w:pPr>
      <w:r>
        <w:rPr>
          <w:rFonts w:ascii="Times New Roman" w:hAnsi="Times New Roman"/>
          <w:color w:val="000000"/>
          <w:sz w:val="24"/>
        </w:rPr>
        <w:t>The Restricted Stock Unit Grant and these Grant Conditions are intended to comply with Code Section 409A or an exemption, and payments may only be made under these Grant Conditions upon an event and in a manner permitted by Code Section 409A, to the extent applicable. Notwithstanding anything in these Grant Conditions to the contrary, if required by Code Section 409A, if the Grantee is considered a “specified employee” for purposes of Code Section 409A and if any payment under these Grant Conditions is required to be delayed for a period of six (6) months after separation from service pursuant to Code Section 409A, such payment shall be delayed as required by Code Section 409A, and the accumulated payment amounts shall be paid in a lump sum payment within ten (10) days after the end of the six (6)-month period. If the Grantee dies during the postponement period prior to payment, the amounts withheld on account of Code Section 409A shall be paid to the personal representative of the Grantee’s estate within sixty (60) days after the date of the Grantee’s death. Any payments to be made upon a termination of employment under these Grant Conditions may only be made upon a “separation from service” under Code Section 409A. In no event may the Grantee, directly or indirectly, designate the calendar year of a payment, except in accordance with Code Section 409A.</w:t>
      </w:r>
      <w:r>
        <w:rPr>
          <w:rFonts w:ascii="Times New Roman" w:hAnsi="Times New Roman"/>
          <w:sz w:val="24"/>
        </w:rPr>
        <w:t xml:space="preserve"> </w:t>
      </w:r>
    </w:p>
    <w:p>
      <w:pPr>
        <w:pStyle w:val="TextBody"/>
        <w:bidi w:val="0"/>
        <w:spacing w:lineRule="atLeast" w:line="276" w:before="238" w:after="476"/>
        <w:ind w:left="1420" w:right="1440" w:hanging="0"/>
        <w:jc w:val="center"/>
        <w:rPr>
          <w:rFonts w:ascii="Times New Roman" w:hAnsi="Times New Roman"/>
          <w:sz w:val="24"/>
        </w:rPr>
      </w:pPr>
      <w:r>
        <w:rPr>
          <w:rFonts w:ascii="Times New Roman" w:hAnsi="Times New Roman"/>
          <w:color w:val="000000"/>
          <w:sz w:val="24"/>
        </w:rPr>
        <w:t>*        *        *</w:t>
      </w:r>
      <w:r>
        <w:rPr>
          <w:rFonts w:ascii="Times New Roman" w:hAnsi="Times New Roman"/>
          <w:sz w:val="24"/>
        </w:rPr>
        <w:t xml:space="preserve"> </w:t>
      </w:r>
    </w:p>
    <w:p>
      <w:pPr>
        <w:pStyle w:val="TextBody"/>
        <w:bidi w:val="0"/>
        <w:spacing w:lineRule="atLeast" w:line="276" w:before="238" w:after="476"/>
        <w:ind w:left="1420" w:right="1440" w:hanging="0"/>
        <w:jc w:val="left"/>
        <w:rPr/>
      </w:pPr>
      <w:r>
        <w:rPr/>
        <w:t xml:space="preserve">  </w:t>
      </w:r>
    </w:p>
    <w:p>
      <w:pPr>
        <w:pStyle w:val="TextBody"/>
        <w:bidi w:val="0"/>
        <w:spacing w:lineRule="atLeast" w:line="275" w:before="0" w:after="0"/>
        <w:ind w:left="1440" w:right="1420" w:hanging="0"/>
        <w:jc w:val="center"/>
        <w:rPr>
          <w:rFonts w:ascii="Times New Roman" w:hAnsi="Times New Roman"/>
          <w:sz w:val="24"/>
        </w:rPr>
      </w:pPr>
      <w:r>
        <w:rPr>
          <w:rFonts w:ascii="Times New Roman" w:hAnsi="Times New Roman"/>
          <w:color w:val="000000"/>
          <w:sz w:val="24"/>
        </w:rPr>
        <w:t>6</w:t>
      </w:r>
      <w:r>
        <w:rPr>
          <w:rFonts w:ascii="Times New Roman" w:hAnsi="Times New Roman"/>
          <w:sz w:val="24"/>
        </w:rPr>
        <w:t xml:space="preserve"> </w:t>
      </w:r>
    </w:p>
    <w:p>
      <w:pPr>
        <w:pStyle w:val="HorizontalLine"/>
        <w:pBdr>
          <w:bottom w:val="double" w:sz="6" w:space="0" w:color="808080"/>
        </w:pBdr>
        <w:bidi w:val="0"/>
        <w:ind w:left="1440" w:right="1420" w:hanging="0"/>
        <w:jc w:val="left"/>
        <w:rPr/>
      </w:pPr>
      <w:r>
        <w:rPr/>
      </w:r>
    </w:p>
    <w:p>
      <w:pPr>
        <w:pStyle w:val="TextBody"/>
        <w:bidi w:val="0"/>
        <w:spacing w:before="0" w:after="0"/>
        <w:ind w:left="1420" w:right="1420" w:hanging="0"/>
        <w:jc w:val="right"/>
        <w:rPr>
          <w:rFonts w:ascii="Times New Roman" w:hAnsi="Times New Roman"/>
          <w:sz w:val="24"/>
        </w:rPr>
      </w:pPr>
      <w:bookmarkStart w:id="65" w:name="wtrg-20241231xex10_73.htm"/>
      <w:bookmarkStart w:id="66" w:name="kswtrg20241231xex10_73"/>
      <w:bookmarkEnd w:id="65"/>
      <w:bookmarkEnd w:id="66"/>
      <w:r>
        <w:rPr>
          <w:rFonts w:ascii="Times New Roman" w:hAnsi="Times New Roman"/>
          <w:b/>
          <w:color w:val="000000"/>
          <w:sz w:val="24"/>
        </w:rPr>
        <w:t>Exhibit 10.7.3</w:t>
      </w:r>
      <w:r>
        <w:rPr>
          <w:rFonts w:ascii="Times New Roman" w:hAnsi="Times New Roman"/>
          <w:sz w:val="24"/>
        </w:rPr>
        <w:t xml:space="preserve"> </w:t>
      </w:r>
      <w:r>
        <w:br w:type="page"/>
      </w:r>
    </w:p>
    <w:p>
      <w:pPr>
        <w:pStyle w:val="TextBody"/>
        <w:bidi w:val="0"/>
        <w:spacing w:before="0" w:after="0"/>
        <w:ind w:left="1420" w:right="1420" w:hanging="0"/>
        <w:jc w:val="right"/>
        <w:rPr>
          <w:rFonts w:ascii="Times New Roman" w:hAnsi="Times New Roman"/>
          <w:sz w:val="24"/>
        </w:rPr>
      </w:pPr>
      <w:r>
        <w:rPr>
          <w:rFonts w:ascii="Times New Roman" w:hAnsi="Times New Roman"/>
          <w:b/>
          <w:color w:val="000000"/>
          <w:sz w:val="24"/>
        </w:rPr>
        <w:t>Form of 2025 Stock Option Agreement</w:t>
      </w:r>
      <w:r>
        <w:rPr>
          <w:rFonts w:ascii="Times New Roman" w:hAnsi="Times New Roman"/>
          <w:sz w:val="24"/>
        </w:rPr>
        <w:t xml:space="preserve"> </w:t>
      </w:r>
    </w:p>
    <w:p>
      <w:pPr>
        <w:pStyle w:val="TextBody"/>
        <w:bidi w:val="0"/>
        <w:spacing w:before="0" w:after="0"/>
        <w:ind w:left="1420" w:right="1420" w:hanging="0"/>
        <w:jc w:val="right"/>
        <w:rPr>
          <w:rFonts w:cs="Times New Roman"/>
          <w:szCs w:val="24"/>
        </w:rPr>
      </w:pPr>
      <w:r>
        <w:rPr>
          <w:rFonts w:cs="Times New Roman"/>
          <w:bCs/>
          <w:color w:val="000000"/>
          <w:szCs w:val="24"/>
        </w:rPr>
        <w:t>﻿</w:t>
      </w:r>
      <w:r>
        <w:rPr>
          <w:rFonts w:cs="Times New Roman"/>
          <w:szCs w:val="24"/>
        </w:rPr>
        <w:t xml:space="preserve"> </w:t>
      </w:r>
    </w:p>
    <w:p>
      <w:pPr>
        <w:pStyle w:val="TextBody"/>
        <w:bidi w:val="0"/>
        <w:spacing w:lineRule="atLeast" w:line="268" w:before="245" w:after="0"/>
        <w:ind w:left="1420" w:right="1420" w:hanging="0"/>
        <w:jc w:val="center"/>
        <w:rPr>
          <w:rFonts w:ascii="Times New Roman" w:hAnsi="Times New Roman"/>
          <w:sz w:val="24"/>
        </w:rPr>
      </w:pPr>
      <w:r>
        <w:rPr>
          <w:rFonts w:ascii="Times New Roman" w:hAnsi="Times New Roman"/>
          <w:b/>
          <w:color w:val="000000"/>
          <w:sz w:val="24"/>
        </w:rPr>
        <w:t>ESSENTIAL UTILITIES, INC.</w:t>
      </w:r>
      <w:r>
        <w:rPr>
          <w:rFonts w:ascii="Times New Roman" w:hAnsi="Times New Roman"/>
          <w:sz w:val="24"/>
        </w:rPr>
        <w:t xml:space="preserve"> </w:t>
      </w:r>
    </w:p>
    <w:p>
      <w:pPr>
        <w:pStyle w:val="TextBody"/>
        <w:bidi w:val="0"/>
        <w:spacing w:lineRule="atLeast" w:line="268" w:before="11" w:after="0"/>
        <w:ind w:left="1420" w:right="1420" w:hanging="0"/>
        <w:jc w:val="center"/>
        <w:rPr>
          <w:rFonts w:ascii="Times New Roman" w:hAnsi="Times New Roman"/>
          <w:sz w:val="24"/>
        </w:rPr>
      </w:pPr>
      <w:r>
        <w:rPr>
          <w:rFonts w:ascii="Times New Roman" w:hAnsi="Times New Roman"/>
          <w:b/>
          <w:color w:val="000000"/>
          <w:sz w:val="24"/>
        </w:rPr>
        <w:t>AMENDED AND RESTATED EQUITY COMPENSATION PLAN</w:t>
      </w:r>
      <w:r>
        <w:rPr>
          <w:rFonts w:ascii="Times New Roman" w:hAnsi="Times New Roman"/>
          <w:sz w:val="24"/>
        </w:rPr>
        <w:t xml:space="preserve"> </w:t>
      </w:r>
    </w:p>
    <w:p>
      <w:pPr>
        <w:pStyle w:val="TextBody"/>
        <w:bidi w:val="0"/>
        <w:spacing w:lineRule="atLeast" w:line="268" w:before="245" w:after="0"/>
        <w:ind w:left="1420" w:right="1420" w:hanging="0"/>
        <w:jc w:val="center"/>
        <w:rPr>
          <w:rFonts w:ascii="Times New Roman" w:hAnsi="Times New Roman"/>
          <w:sz w:val="24"/>
        </w:rPr>
      </w:pPr>
      <w:r>
        <w:rPr>
          <w:rFonts w:ascii="Times New Roman" w:hAnsi="Times New Roman"/>
          <w:b/>
          <w:color w:val="000000"/>
          <w:sz w:val="24"/>
        </w:rPr>
        <w:t>STOCK OPTION</w:t>
      </w:r>
      <w:r>
        <w:rPr>
          <w:rFonts w:ascii="Times New Roman" w:hAnsi="Times New Roman"/>
          <w:sz w:val="24"/>
        </w:rPr>
        <w:t xml:space="preserve"> </w:t>
      </w:r>
    </w:p>
    <w:p>
      <w:pPr>
        <w:pStyle w:val="TextBody"/>
        <w:bidi w:val="0"/>
        <w:spacing w:lineRule="atLeast" w:line="268" w:before="6" w:after="0"/>
        <w:ind w:left="1420" w:right="1420" w:hanging="0"/>
        <w:jc w:val="center"/>
        <w:rPr>
          <w:rFonts w:ascii="Times New Roman" w:hAnsi="Times New Roman"/>
          <w:sz w:val="24"/>
        </w:rPr>
      </w:pPr>
      <w:r>
        <w:rPr>
          <w:rFonts w:ascii="Times New Roman" w:hAnsi="Times New Roman"/>
          <w:b/>
          <w:color w:val="000000"/>
          <w:sz w:val="24"/>
        </w:rPr>
        <w:t>TERMS AND CONDITIONS</w:t>
      </w:r>
      <w:r>
        <w:rPr>
          <w:rFonts w:ascii="Times New Roman" w:hAnsi="Times New Roman"/>
          <w:sz w:val="24"/>
        </w:rPr>
        <w:t xml:space="preserve"> </w:t>
      </w:r>
    </w:p>
    <w:p>
      <w:pPr>
        <w:pStyle w:val="TextBody"/>
        <w:bidi w:val="0"/>
        <w:spacing w:lineRule="atLeast" w:line="273" w:before="250" w:after="0"/>
        <w:ind w:left="1420" w:right="1420" w:hanging="0"/>
        <w:jc w:val="left"/>
        <w:rPr>
          <w:rFonts w:ascii="Times New Roman" w:hAnsi="Times New Roman"/>
          <w:sz w:val="24"/>
        </w:rPr>
      </w:pPr>
      <w:r>
        <w:rPr>
          <w:rFonts w:ascii="Times New Roman" w:hAnsi="Times New Roman"/>
          <w:color w:val="000000"/>
          <w:sz w:val="24"/>
          <w:u w:val="single"/>
        </w:rPr>
        <w:t>1.Grant of Option</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5" w:before="246" w:after="0"/>
        <w:ind w:left="1420" w:right="1492" w:firstLine="720"/>
        <w:jc w:val="left"/>
        <w:rPr>
          <w:rFonts w:ascii="Times New Roman" w:hAnsi="Times New Roman"/>
          <w:sz w:val="24"/>
        </w:rPr>
      </w:pPr>
      <w:r>
        <w:rPr>
          <w:rFonts w:ascii="Times New Roman" w:hAnsi="Times New Roman"/>
          <w:color w:val="000000"/>
          <w:sz w:val="24"/>
        </w:rPr>
        <w:t>These Stock Option Terms and Conditions (the “Grant Conditions”) shall apply and be part of the grant made by Essential Utilities, a Pennsylvania corporation (the “Company”), to the Grantee named in the Stock Option Grant (the “Option”) to which these Grant Conditions are attached (the “Grantee”), under the terms and provisions of the Essential Utilities, Inc. Amended and Restated Equity Compensation Plan, as amended and restated (the “Plan”). The applicable provisions of the Plan are incorporated into the Grant Conditions by reference, including the definitions of terms contained in the Plan (unless such terms are otherwise defined herein). The Grantee is an employee of the Company, its subsidiaries, or its Affiliates (collectively, the “Employer”).</w:t>
      </w:r>
      <w:r>
        <w:rPr>
          <w:rFonts w:ascii="Times New Roman" w:hAnsi="Times New Roman"/>
          <w:sz w:val="24"/>
        </w:rPr>
        <w:t xml:space="preserve"> </w:t>
      </w:r>
    </w:p>
    <w:p>
      <w:pPr>
        <w:pStyle w:val="TextBody"/>
        <w:bidi w:val="0"/>
        <w:spacing w:lineRule="atLeast" w:line="276" w:before="245" w:after="0"/>
        <w:ind w:left="1420" w:right="1420" w:firstLine="720"/>
        <w:jc w:val="left"/>
        <w:rPr>
          <w:rFonts w:ascii="Times New Roman" w:hAnsi="Times New Roman"/>
          <w:sz w:val="24"/>
        </w:rPr>
      </w:pPr>
      <w:r>
        <w:rPr>
          <w:rFonts w:ascii="Times New Roman" w:hAnsi="Times New Roman"/>
          <w:color w:val="000000"/>
          <w:sz w:val="24"/>
        </w:rPr>
        <w:t>Subject to the terms and vesting conditions hereinafter set forth, the Company, with the approval and at the direction of the Executive Compensation Committee (the “Committee”) of the Company’s Board of Directors (the “Board”), has granted to the Grantee a nonqualified stock option (the “Option”) to purchase the number of shares of common stock of the Company (the “Shares”) as specified in the Stock Option Grant at the exercise price per Share set forth in the Stock Option Grant (the “Exercise Price”). The Option shall vest according to Section 2 below.</w:t>
      </w:r>
      <w:r>
        <w:rPr>
          <w:rFonts w:ascii="Times New Roman" w:hAnsi="Times New Roman"/>
          <w:sz w:val="24"/>
        </w:rPr>
        <w:t xml:space="preserve"> </w:t>
      </w:r>
    </w:p>
    <w:p>
      <w:pPr>
        <w:pStyle w:val="TextBody"/>
        <w:bidi w:val="0"/>
        <w:spacing w:lineRule="atLeast" w:line="273" w:before="241" w:after="0"/>
        <w:ind w:left="1420" w:right="1420" w:hanging="0"/>
        <w:jc w:val="left"/>
        <w:rPr>
          <w:rFonts w:ascii="Times New Roman" w:hAnsi="Times New Roman"/>
          <w:sz w:val="24"/>
        </w:rPr>
      </w:pPr>
      <w:r>
        <w:rPr>
          <w:rFonts w:ascii="Times New Roman" w:hAnsi="Times New Roman"/>
          <w:color w:val="000000"/>
          <w:sz w:val="24"/>
          <w:u w:val="single"/>
        </w:rPr>
        <w:t>2.Vesting of Option</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2" w:after="0"/>
        <w:ind w:left="1420" w:right="1492" w:firstLine="720"/>
        <w:jc w:val="left"/>
        <w:rPr>
          <w:rFonts w:ascii="Times New Roman" w:hAnsi="Times New Roman"/>
          <w:sz w:val="24"/>
        </w:rPr>
      </w:pPr>
      <w:r>
        <w:rPr>
          <w:rFonts w:ascii="Times New Roman" w:hAnsi="Times New Roman"/>
          <w:color w:val="000000"/>
          <w:sz w:val="24"/>
        </w:rPr>
        <w:t xml:space="preserve">The Option shall vest on the following dates (each date, a “Vesting Date”) if (i) the Grantee continues to be employed by the Employer through the Vesting Date and (ii) the Performance Goal described on the attached </w:t>
      </w:r>
      <w:r>
        <w:rPr>
          <w:rFonts w:ascii="Times New Roman" w:hAnsi="Times New Roman"/>
          <w:color w:val="000000"/>
          <w:sz w:val="24"/>
          <w:u w:val="single"/>
        </w:rPr>
        <w:t>Schedule A</w:t>
      </w:r>
      <w:r>
        <w:rPr>
          <w:rFonts w:ascii="Times New Roman" w:hAnsi="Times New Roman"/>
          <w:color w:val="000000"/>
          <w:sz w:val="24"/>
        </w:rPr>
        <w:t xml:space="preserve"> is achieved for the calendar year ending on December 31 immediately preceding the Vesting Date (each such calendar year, a “Performance Year”), except as otherwise provided in Sections 3 and 5 below.</w:t>
      </w:r>
      <w:r>
        <w:rPr>
          <w:rFonts w:ascii="Times New Roman" w:hAnsi="Times New Roman"/>
          <w:sz w:val="24"/>
        </w:rPr>
        <w:t xml:space="preserve"> </w:t>
      </w:r>
    </w:p>
    <w:p>
      <w:pPr>
        <w:pStyle w:val="TextBody"/>
        <w:bidi w:val="0"/>
        <w:spacing w:lineRule="atLeast" w:line="273" w:before="241" w:after="0"/>
        <w:ind w:left="3580" w:right="1420" w:hanging="0"/>
        <w:jc w:val="left"/>
        <w:rPr>
          <w:rFonts w:ascii="Times New Roman" w:hAnsi="Times New Roman"/>
          <w:sz w:val="24"/>
        </w:rPr>
      </w:pPr>
      <w:r>
        <w:rPr>
          <w:rFonts w:ascii="Times New Roman" w:hAnsi="Times New Roman"/>
          <w:color w:val="000000"/>
          <w:sz w:val="24"/>
          <w:u w:val="single"/>
        </w:rPr>
        <w:t>Vesting Date</w:t>
      </w:r>
      <w:r>
        <w:rPr>
          <w:rFonts w:ascii="Times New Roman" w:hAnsi="Times New Roman"/>
          <w:color w:val="000000"/>
          <w:sz w:val="24"/>
        </w:rPr>
        <w:t>Shares for Which the</w:t>
      </w:r>
      <w:r>
        <w:rPr>
          <w:rFonts w:ascii="Times New Roman" w:hAnsi="Times New Roman"/>
          <w:sz w:val="24"/>
        </w:rPr>
        <w:t xml:space="preserve"> </w:t>
      </w:r>
    </w:p>
    <w:p>
      <w:pPr>
        <w:pStyle w:val="TextBody"/>
        <w:bidi w:val="0"/>
        <w:spacing w:lineRule="atLeast" w:line="273" w:before="6" w:after="0"/>
        <w:ind w:left="7108" w:right="1420" w:hanging="0"/>
        <w:jc w:val="left"/>
        <w:rPr>
          <w:rFonts w:ascii="Times New Roman" w:hAnsi="Times New Roman"/>
          <w:sz w:val="24"/>
        </w:rPr>
      </w:pPr>
      <w:r>
        <w:rPr>
          <w:rFonts w:ascii="Times New Roman" w:hAnsi="Times New Roman"/>
          <w:color w:val="000000"/>
          <w:sz w:val="24"/>
          <w:u w:val="single"/>
        </w:rPr>
        <w:t>Option is Vested</w:t>
      </w:r>
      <w:r>
        <w:rPr>
          <w:rFonts w:ascii="Times New Roman" w:hAnsi="Times New Roman"/>
          <w:sz w:val="24"/>
        </w:rPr>
        <w:t xml:space="preserve"> </w:t>
      </w:r>
    </w:p>
    <w:p>
      <w:pPr>
        <w:pStyle w:val="TextBody"/>
        <w:bidi w:val="0"/>
        <w:spacing w:lineRule="atLeast" w:line="272" w:before="240" w:after="0"/>
        <w:ind w:left="2500" w:right="1420" w:hanging="0"/>
        <w:jc w:val="left"/>
        <w:rPr>
          <w:rFonts w:ascii="Times New Roman" w:hAnsi="Times New Roman"/>
          <w:sz w:val="24"/>
        </w:rPr>
      </w:pPr>
      <w:r>
        <w:rPr>
          <w:rFonts w:ascii="Times New Roman" w:hAnsi="Times New Roman"/>
          <w:color w:val="000000"/>
          <w:sz w:val="24"/>
        </w:rPr>
        <w:t>First Anniversary of the Grant Date_____ of the Shares</w:t>
      </w:r>
      <w:r>
        <w:rPr>
          <w:rFonts w:ascii="Times New Roman" w:hAnsi="Times New Roman"/>
          <w:sz w:val="24"/>
        </w:rPr>
        <w:t xml:space="preserve"> </w:t>
      </w:r>
    </w:p>
    <w:p>
      <w:pPr>
        <w:pStyle w:val="TextBody"/>
        <w:bidi w:val="0"/>
        <w:spacing w:lineRule="atLeast" w:line="272" w:before="247" w:after="0"/>
        <w:ind w:left="2356" w:right="1420" w:hanging="0"/>
        <w:jc w:val="left"/>
        <w:rPr>
          <w:rFonts w:ascii="Times New Roman" w:hAnsi="Times New Roman"/>
          <w:sz w:val="24"/>
        </w:rPr>
      </w:pPr>
      <w:r>
        <w:rPr>
          <w:rFonts w:ascii="Times New Roman" w:hAnsi="Times New Roman"/>
          <w:color w:val="000000"/>
          <w:sz w:val="24"/>
        </w:rPr>
        <w:t>Second Anniversary of the Grant Date_____ of the Shares</w:t>
      </w:r>
      <w:r>
        <w:rPr>
          <w:rFonts w:ascii="Times New Roman" w:hAnsi="Times New Roman"/>
          <w:sz w:val="24"/>
        </w:rPr>
        <w:t xml:space="preserve"> </w:t>
      </w:r>
    </w:p>
    <w:p>
      <w:pPr>
        <w:pStyle w:val="TextBody"/>
        <w:bidi w:val="0"/>
        <w:spacing w:lineRule="atLeast" w:line="272" w:before="241" w:after="0"/>
        <w:ind w:left="2428" w:right="1420" w:hanging="0"/>
        <w:jc w:val="left"/>
        <w:rPr>
          <w:rFonts w:ascii="Times New Roman" w:hAnsi="Times New Roman"/>
          <w:sz w:val="24"/>
        </w:rPr>
      </w:pPr>
      <w:r>
        <w:rPr>
          <w:rFonts w:ascii="Times New Roman" w:hAnsi="Times New Roman"/>
          <w:color w:val="000000"/>
          <w:sz w:val="24"/>
        </w:rPr>
        <w:t>Third Anniversary of the Grant Date_____ of the Shares</w:t>
      </w:r>
      <w:r>
        <w:rPr>
          <w:rFonts w:ascii="Times New Roman" w:hAnsi="Times New Roman"/>
          <w:sz w:val="24"/>
        </w:rPr>
        <w:t xml:space="preserve"> </w:t>
      </w:r>
    </w:p>
    <w:p>
      <w:pPr>
        <w:pStyle w:val="TextBody"/>
        <w:bidi w:val="0"/>
        <w:spacing w:lineRule="atLeast" w:line="274" w:before="483" w:after="0"/>
        <w:ind w:left="1420" w:right="1708" w:hanging="0"/>
        <w:jc w:val="left"/>
        <w:rPr>
          <w:rFonts w:ascii="Times New Roman" w:hAnsi="Times New Roman"/>
          <w:sz w:val="24"/>
        </w:rPr>
      </w:pPr>
      <w:r>
        <w:rPr>
          <w:rFonts w:ascii="Times New Roman" w:hAnsi="Times New Roman"/>
          <w:color w:val="000000"/>
          <w:sz w:val="24"/>
        </w:rPr>
        <w:t>The vesting of the Option is cumulative but shall not exceed 100% of the Shares subject to the Option. If the foregoing schedule would produce fractional Shares, the number of Shares for which the Option becomes vested shall be rounded down to the nearest whole Share; provided</w:t>
      </w:r>
      <w:r>
        <w:rPr>
          <w:rFonts w:ascii="Times New Roman" w:hAnsi="Times New Roman"/>
          <w:sz w:val="24"/>
        </w:rPr>
        <w:t xml:space="preserve"> </w:t>
      </w:r>
    </w:p>
    <w:p>
      <w:pPr>
        <w:pStyle w:val="TextBody"/>
        <w:bidi w:val="0"/>
        <w:spacing w:before="0" w:after="0"/>
        <w:ind w:left="1420" w:right="1420" w:hanging="0"/>
        <w:jc w:val="left"/>
        <w:rPr/>
      </w:pPr>
      <w:r>
        <w:rPr/>
        <w:t xml:space="preserve">  </w:t>
      </w:r>
    </w:p>
    <w:p>
      <w:pPr>
        <w:pStyle w:val="HorizontalLine"/>
        <w:pBdr>
          <w:bottom w:val="double" w:sz="6" w:space="0" w:color="808080"/>
        </w:pBdr>
        <w:bidi w:val="0"/>
        <w:ind w:left="1420" w:right="1420" w:hanging="0"/>
        <w:jc w:val="left"/>
        <w:rPr/>
      </w:pPr>
      <w:r>
        <w:rPr/>
      </w:r>
    </w:p>
    <w:p>
      <w:pPr>
        <w:pStyle w:val="TextBody"/>
        <w:bidi w:val="0"/>
        <w:ind w:left="1420" w:right="1420" w:hanging="0"/>
        <w:jc w:val="left"/>
        <w:rPr/>
      </w:pPr>
      <w:r>
        <w:rPr/>
        <w:t> </w:t>
      </w:r>
      <w:r>
        <w:br w:type="page"/>
      </w:r>
    </w:p>
    <w:p>
      <w:pPr>
        <w:pStyle w:val="TextBody"/>
        <w:bidi w:val="0"/>
        <w:spacing w:lineRule="atLeast" w:line="276" w:before="9" w:after="0"/>
        <w:ind w:left="1420" w:right="1420" w:hanging="0"/>
        <w:jc w:val="left"/>
        <w:rPr>
          <w:rFonts w:ascii="Times New Roman" w:hAnsi="Times New Roman"/>
          <w:sz w:val="24"/>
        </w:rPr>
      </w:pPr>
      <w:r>
        <w:rPr>
          <w:rFonts w:ascii="Times New Roman" w:hAnsi="Times New Roman"/>
          <w:color w:val="000000"/>
          <w:sz w:val="24"/>
        </w:rPr>
        <w:t>that, the portion of the Option subject to vesting on the Third Anniversary of the Grant Date shall include the Shares subject the Option that did not previously vest as a result of such rounding.</w:t>
      </w:r>
      <w:r>
        <w:rPr>
          <w:rFonts w:ascii="Times New Roman" w:hAnsi="Times New Roman"/>
          <w:sz w:val="24"/>
        </w:rPr>
        <w:t xml:space="preserve"> </w:t>
      </w:r>
    </w:p>
    <w:p>
      <w:pPr>
        <w:pStyle w:val="TextBody"/>
        <w:bidi w:val="0"/>
        <w:spacing w:lineRule="atLeast" w:line="276" w:before="243" w:after="0"/>
        <w:ind w:left="1420" w:right="1420" w:hanging="0"/>
        <w:jc w:val="left"/>
        <w:rPr>
          <w:rFonts w:ascii="Times New Roman" w:hAnsi="Times New Roman"/>
          <w:sz w:val="24"/>
        </w:rPr>
      </w:pPr>
      <w:r>
        <w:rPr>
          <w:rFonts w:ascii="Times New Roman" w:hAnsi="Times New Roman"/>
          <w:color w:val="000000"/>
          <w:sz w:val="24"/>
          <w:u w:val="single"/>
        </w:rPr>
        <w:t>3.Term of Option</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0" w:after="0"/>
        <w:ind w:left="1420" w:right="1708" w:hanging="0"/>
        <w:jc w:val="left"/>
        <w:rPr>
          <w:rFonts w:ascii="Times New Roman" w:hAnsi="Times New Roman"/>
          <w:sz w:val="24"/>
        </w:rPr>
      </w:pPr>
      <w:r>
        <w:rPr>
          <w:rFonts w:ascii="Times New Roman" w:hAnsi="Times New Roman"/>
          <w:color w:val="000000"/>
          <w:sz w:val="24"/>
        </w:rPr>
        <w:t>(a)The Option shall have a term of ___ (___) years from the Grant Date specified in the Stock Option Grant (the “Grant Date”) and shall terminate at the expiration of that period, unless it is terminated at an earlier date pursuant to the provisions of these Grant Conditions or the Plan.</w:t>
      </w:r>
      <w:r>
        <w:rPr>
          <w:rFonts w:ascii="Times New Roman" w:hAnsi="Times New Roman"/>
          <w:sz w:val="24"/>
        </w:rPr>
        <w:t xml:space="preserve"> </w:t>
      </w:r>
    </w:p>
    <w:p>
      <w:pPr>
        <w:pStyle w:val="TextBody"/>
        <w:bidi w:val="0"/>
        <w:spacing w:lineRule="atLeast" w:line="276" w:before="237" w:after="0"/>
        <w:ind w:left="1420" w:right="1564" w:hanging="0"/>
        <w:jc w:val="left"/>
        <w:rPr>
          <w:rFonts w:ascii="Times New Roman" w:hAnsi="Times New Roman"/>
          <w:sz w:val="24"/>
        </w:rPr>
      </w:pPr>
      <w:r>
        <w:rPr>
          <w:rFonts w:ascii="Times New Roman" w:hAnsi="Times New Roman"/>
          <w:color w:val="000000"/>
          <w:sz w:val="24"/>
        </w:rPr>
        <w:t>(b)If the Grantee ceases to be employed by the Employer for any reason, the unvested portion of the Option will terminate on the date the Grantee ceases to be employed by the Employer (the “Termination Date”), unless otherwise provided in this Section 3. Any vested portion of the Option as of the Termination Date may be exercised for the period described in this Section 3.</w:t>
      </w:r>
      <w:r>
        <w:rPr>
          <w:rFonts w:ascii="Times New Roman" w:hAnsi="Times New Roman"/>
          <w:sz w:val="24"/>
        </w:rPr>
        <w:t xml:space="preserve"> </w:t>
      </w:r>
    </w:p>
    <w:p>
      <w:pPr>
        <w:pStyle w:val="TextBody"/>
        <w:bidi w:val="0"/>
        <w:spacing w:lineRule="atLeast" w:line="276" w:before="240" w:after="0"/>
        <w:ind w:left="1420" w:right="1636" w:hanging="0"/>
        <w:jc w:val="left"/>
        <w:rPr>
          <w:rFonts w:ascii="Times New Roman" w:hAnsi="Times New Roman"/>
          <w:sz w:val="24"/>
        </w:rPr>
      </w:pPr>
      <w:r>
        <w:rPr>
          <w:rFonts w:ascii="Times New Roman" w:hAnsi="Times New Roman"/>
          <w:color w:val="000000"/>
          <w:sz w:val="24"/>
        </w:rPr>
        <w:t>(c)If the Grantee ceases to be employed by the Employer for the following reasons, the Option will be treated as follows:</w:t>
      </w:r>
      <w:r>
        <w:rPr>
          <w:rFonts w:ascii="Times New Roman" w:hAnsi="Times New Roman"/>
          <w:sz w:val="24"/>
        </w:rPr>
        <w:t xml:space="preserve"> </w:t>
      </w:r>
    </w:p>
    <w:p>
      <w:pPr>
        <w:pStyle w:val="TextBody"/>
        <w:bidi w:val="0"/>
        <w:spacing w:lineRule="atLeast" w:line="276" w:before="238" w:after="0"/>
        <w:ind w:left="1420" w:right="1708" w:hanging="0"/>
        <w:jc w:val="left"/>
        <w:rPr>
          <w:rFonts w:ascii="Times New Roman" w:hAnsi="Times New Roman"/>
          <w:sz w:val="24"/>
        </w:rPr>
      </w:pPr>
      <w:r>
        <w:rPr>
          <w:rFonts w:ascii="Times New Roman" w:hAnsi="Times New Roman"/>
          <w:i/>
          <w:color w:val="000000"/>
          <w:sz w:val="24"/>
        </w:rPr>
        <w:t>(i)General Rule</w:t>
      </w:r>
      <w:r>
        <w:rPr>
          <w:rFonts w:ascii="Times New Roman" w:hAnsi="Times New Roman"/>
          <w:color w:val="000000"/>
          <w:sz w:val="24"/>
        </w:rPr>
        <w:t>. If the Grantee ceases to be employed by the Employer, except as provided below, the Option will thereafter be exercisable only with respect to that number of Shares with respect to which the Option has vested as of the Termination Date. The vested portion of the Option will terminate upon the earlier of the expiration of the term of the Option or the expiration of the ninety (90) day period commencing on the Termination Date.</w:t>
      </w:r>
      <w:r>
        <w:rPr>
          <w:rFonts w:ascii="Times New Roman" w:hAnsi="Times New Roman"/>
          <w:sz w:val="24"/>
        </w:rPr>
        <w:t xml:space="preserve"> </w:t>
      </w:r>
    </w:p>
    <w:p>
      <w:pPr>
        <w:pStyle w:val="TextBody"/>
        <w:bidi w:val="0"/>
        <w:spacing w:lineRule="atLeast" w:line="276" w:before="245" w:after="0"/>
        <w:ind w:left="1420" w:right="1420" w:hanging="0"/>
        <w:jc w:val="left"/>
        <w:rPr>
          <w:rFonts w:ascii="Times New Roman" w:hAnsi="Times New Roman"/>
          <w:sz w:val="24"/>
        </w:rPr>
      </w:pPr>
      <w:r>
        <w:rPr>
          <w:rFonts w:ascii="Times New Roman" w:hAnsi="Times New Roman"/>
          <w:i/>
          <w:color w:val="000000"/>
          <w:sz w:val="24"/>
        </w:rPr>
        <w:t>(ii)Retirement</w:t>
      </w:r>
      <w:r>
        <w:rPr>
          <w:rFonts w:ascii="Times New Roman" w:hAnsi="Times New Roman"/>
          <w:color w:val="000000"/>
          <w:sz w:val="24"/>
        </w:rPr>
        <w:t>. If the Grantee ceases to be employed by the Employer on account of the Grantee’s Retirement, except as otherwise provided in subsection (iv) below, the unvested Option will vest on the Vesting Date coincident with or immediately following the Termination Date (the “Retirement Vesting Date”) if the Performance Goal is achieved for the Performance Year that relates to the Retirement Vesting Date. If the Grantee ceases to be employed by the Employer on account of Retirement, the vested portion of the Option shall remain outstanding until the expiration of the term of the Option. For purposes of these Grant Conditions, “Retirement” shall mean (i) the Grantee’s voluntary termination of employment after (A) the Grantee has attained age fifty-five (55) and has five (5) full years of service with the Employer or (B) a combination of age and years of service equal to at least 60 , and (ii) the Grantee has provided the Company at least six (6) months’ advance written notice of such Retirement.</w:t>
      </w:r>
      <w:r>
        <w:rPr>
          <w:rFonts w:ascii="Times New Roman" w:hAnsi="Times New Roman"/>
          <w:sz w:val="24"/>
        </w:rPr>
        <w:t xml:space="preserve"> </w:t>
      </w:r>
    </w:p>
    <w:p>
      <w:pPr>
        <w:pStyle w:val="TextBody"/>
        <w:bidi w:val="0"/>
        <w:spacing w:lineRule="atLeast" w:line="276" w:before="237" w:after="0"/>
        <w:ind w:left="1420" w:right="1420" w:hanging="0"/>
        <w:jc w:val="left"/>
        <w:rPr>
          <w:rFonts w:ascii="Times New Roman" w:hAnsi="Times New Roman"/>
          <w:sz w:val="24"/>
        </w:rPr>
      </w:pPr>
      <w:r>
        <w:rPr>
          <w:rFonts w:ascii="Times New Roman" w:hAnsi="Times New Roman"/>
          <w:i/>
          <w:color w:val="000000"/>
          <w:sz w:val="24"/>
        </w:rPr>
        <w:t>(iii)Death or Disability</w:t>
      </w:r>
      <w:r>
        <w:rPr>
          <w:rFonts w:ascii="Times New Roman" w:hAnsi="Times New Roman"/>
          <w:color w:val="000000"/>
          <w:sz w:val="24"/>
        </w:rPr>
        <w:t>. If the Grantee ceases to be employed by the Employer on account of the Grantee’s death or Disability, any unvested portion of the outstanding Option will become immediately vested on the Termination Date. The Option will terminate upon the earlier of the expiration of the term of the Option or the date that is 12 months following the Termination Date.</w:t>
      </w:r>
      <w:r>
        <w:rPr>
          <w:rFonts w:ascii="Times New Roman" w:hAnsi="Times New Roman"/>
          <w:sz w:val="24"/>
        </w:rPr>
        <w:t xml:space="preserve"> </w:t>
      </w:r>
    </w:p>
    <w:p>
      <w:pPr>
        <w:pStyle w:val="TextBody"/>
        <w:bidi w:val="0"/>
        <w:spacing w:lineRule="atLeast" w:line="276" w:before="240" w:after="437"/>
        <w:ind w:left="1420" w:right="1420" w:hanging="0"/>
        <w:jc w:val="left"/>
        <w:rPr>
          <w:rFonts w:ascii="Times New Roman" w:hAnsi="Times New Roman"/>
          <w:sz w:val="24"/>
        </w:rPr>
      </w:pPr>
      <w:r>
        <w:rPr>
          <w:rFonts w:ascii="Times New Roman" w:hAnsi="Times New Roman"/>
          <w:i/>
          <w:color w:val="000000"/>
          <w:sz w:val="24"/>
        </w:rPr>
        <w:t xml:space="preserve">(iv)Termination Upon or Following a Change in Control. </w:t>
      </w:r>
      <w:r>
        <w:rPr>
          <w:rFonts w:ascii="Times New Roman" w:hAnsi="Times New Roman"/>
          <w:color w:val="000000"/>
          <w:sz w:val="24"/>
        </w:rPr>
        <w:t>Notwithstanding the foregoing, if the Grantee ceases to be employed by the Employer upon or following a Change in Control on account of (i) the Grantee’s Retirement, (ii) termination by the Employer without Cause, or (iii) the Grantee’s Disability or death, any unvested portion of the outstanding Option</w:t>
      </w:r>
      <w:r>
        <w:rPr>
          <w:rFonts w:ascii="Times New Roman" w:hAnsi="Times New Roman"/>
          <w:sz w:val="24"/>
        </w:rPr>
        <w:t xml:space="preserve"> </w:t>
      </w:r>
    </w:p>
    <w:p>
      <w:pPr>
        <w:pStyle w:val="TextBody"/>
        <w:bidi w:val="0"/>
        <w:spacing w:lineRule="atLeast" w:line="276" w:before="240" w:after="437"/>
        <w:ind w:left="1420" w:right="1420" w:hanging="0"/>
        <w:jc w:val="left"/>
        <w:rPr/>
      </w:pPr>
      <w:r>
        <w:rPr/>
        <w:t xml:space="preserve">  </w:t>
      </w:r>
    </w:p>
    <w:p>
      <w:pPr>
        <w:pStyle w:val="TextBody"/>
        <w:bidi w:val="0"/>
        <w:spacing w:lineRule="atLeast" w:line="276" w:before="0" w:after="0"/>
        <w:ind w:left="1420" w:right="1420" w:hanging="0"/>
        <w:jc w:val="center"/>
        <w:rPr>
          <w:rFonts w:ascii="Times New Roman" w:hAnsi="Times New Roman"/>
          <w:sz w:val="24"/>
        </w:rPr>
      </w:pPr>
      <w:r>
        <w:rPr>
          <w:rFonts w:ascii="Times New Roman" w:hAnsi="Times New Roman"/>
          <w:color w:val="000000"/>
          <w:sz w:val="24"/>
        </w:rPr>
        <w:t>2</w:t>
      </w:r>
      <w:r>
        <w:rPr>
          <w:rFonts w:ascii="Times New Roman" w:hAnsi="Times New Roman"/>
          <w:sz w:val="24"/>
        </w:rPr>
        <w:t xml:space="preserve"> </w:t>
      </w:r>
    </w:p>
    <w:p>
      <w:pPr>
        <w:pStyle w:val="TextBody"/>
        <w:bidi w:val="0"/>
        <w:spacing w:before="0" w:after="0"/>
        <w:ind w:left="1420" w:right="1420" w:hanging="0"/>
        <w:jc w:val="left"/>
        <w:rPr/>
      </w:pPr>
      <w:r>
        <w:rPr/>
        <w:t xml:space="preserve">  </w:t>
      </w:r>
    </w:p>
    <w:p>
      <w:pPr>
        <w:pStyle w:val="HorizontalLine"/>
        <w:pBdr>
          <w:bottom w:val="double" w:sz="6" w:space="0" w:color="808080"/>
        </w:pBdr>
        <w:bidi w:val="0"/>
        <w:ind w:left="1380" w:right="1460" w:hanging="0"/>
        <w:jc w:val="left"/>
        <w:rPr/>
      </w:pPr>
      <w:r>
        <w:rPr/>
      </w:r>
    </w:p>
    <w:p>
      <w:pPr>
        <w:pStyle w:val="TextBody"/>
        <w:bidi w:val="0"/>
        <w:ind w:left="1380" w:right="1460" w:hanging="0"/>
        <w:jc w:val="left"/>
        <w:rPr/>
      </w:pPr>
      <w:r>
        <w:rPr/>
        <w:t> </w:t>
      </w:r>
      <w:r>
        <w:br w:type="page"/>
      </w:r>
    </w:p>
    <w:p>
      <w:pPr>
        <w:pStyle w:val="TextBody"/>
        <w:bidi w:val="0"/>
        <w:spacing w:lineRule="atLeast" w:line="273" w:before="14" w:after="0"/>
        <w:ind w:left="1452" w:right="1748" w:hanging="0"/>
        <w:jc w:val="left"/>
        <w:rPr>
          <w:rFonts w:ascii="Times New Roman" w:hAnsi="Times New Roman"/>
          <w:sz w:val="24"/>
        </w:rPr>
      </w:pPr>
      <w:r>
        <w:rPr>
          <w:rFonts w:ascii="Times New Roman" w:hAnsi="Times New Roman"/>
          <w:color w:val="000000"/>
          <w:sz w:val="24"/>
        </w:rPr>
        <w:t>shall become fully vested on the Termination Date. The vested Option shall be exercisable for the applicable period described in subsections (i) through (iii) above.</w:t>
      </w:r>
      <w:r>
        <w:rPr>
          <w:rFonts w:ascii="Times New Roman" w:hAnsi="Times New Roman"/>
          <w:sz w:val="24"/>
        </w:rPr>
        <w:t xml:space="preserve"> </w:t>
      </w:r>
    </w:p>
    <w:p>
      <w:pPr>
        <w:pStyle w:val="TextBody"/>
        <w:bidi w:val="0"/>
        <w:spacing w:lineRule="atLeast" w:line="276" w:before="243" w:after="0"/>
        <w:ind w:left="1452" w:right="1460" w:hanging="0"/>
        <w:jc w:val="left"/>
        <w:rPr>
          <w:rFonts w:ascii="Times New Roman" w:hAnsi="Times New Roman"/>
          <w:sz w:val="24"/>
        </w:rPr>
      </w:pPr>
      <w:r>
        <w:rPr>
          <w:rFonts w:ascii="Times New Roman" w:hAnsi="Times New Roman"/>
          <w:i/>
          <w:color w:val="000000"/>
          <w:sz w:val="24"/>
        </w:rPr>
        <w:t>(v)Termination for Cause</w:t>
      </w:r>
      <w:r>
        <w:rPr>
          <w:rFonts w:ascii="Times New Roman" w:hAnsi="Times New Roman"/>
          <w:color w:val="000000"/>
          <w:sz w:val="24"/>
        </w:rPr>
        <w:t>. If the Committee determines that the Grantee has engaged in conduct that constitutes Cause at any time while the Grantee is employed by the Employer or after the Grantee’s termination of employment (A) the vested and unvested Option shall immediately terminate and (B) the Grantee shall automatically forfeit all Shares underlying any exercised portion of the Option for which the Company has not yet delivered the share certificates, upon refund by the Company of the Exercise Price paid by the Grantee for such shares.</w:t>
      </w:r>
      <w:r>
        <w:rPr>
          <w:rFonts w:ascii="Times New Roman" w:hAnsi="Times New Roman"/>
          <w:sz w:val="24"/>
        </w:rPr>
        <w:t xml:space="preserve"> </w:t>
      </w:r>
    </w:p>
    <w:p>
      <w:pPr>
        <w:pStyle w:val="TextBody"/>
        <w:bidi w:val="0"/>
        <w:spacing w:lineRule="atLeast" w:line="275" w:before="241" w:after="0"/>
        <w:ind w:left="1452" w:right="1604" w:hanging="0"/>
        <w:jc w:val="left"/>
        <w:rPr>
          <w:rFonts w:ascii="Times New Roman" w:hAnsi="Times New Roman"/>
          <w:sz w:val="24"/>
        </w:rPr>
      </w:pPr>
      <w:r>
        <w:rPr>
          <w:rFonts w:ascii="Times New Roman" w:hAnsi="Times New Roman"/>
          <w:i/>
          <w:color w:val="000000"/>
          <w:sz w:val="24"/>
        </w:rPr>
        <w:t>(vi)</w:t>
      </w:r>
      <w:r>
        <w:rPr>
          <w:rFonts w:ascii="Times New Roman" w:hAnsi="Times New Roman"/>
          <w:color w:val="000000"/>
          <w:sz w:val="24"/>
        </w:rPr>
        <w:t>For purposes of these Grant Conditions, “Good Reason” shall have the meaning set forth in any written severance or employment agreement between the Grantee and Essential Utilities or, if there is no such agreement or such agreement does not define Good Reason, shall mean, except as otherwise provided in the last paragraph of this subsection, a termination of employment as a result of one or more of the following events, without the Grantee’s written consent to the event:</w:t>
      </w:r>
      <w:r>
        <w:rPr>
          <w:rFonts w:ascii="Times New Roman" w:hAnsi="Times New Roman"/>
          <w:sz w:val="24"/>
        </w:rPr>
        <w:t xml:space="preserve"> </w:t>
      </w:r>
    </w:p>
    <w:p>
      <w:pPr>
        <w:pStyle w:val="TextBody"/>
        <w:bidi w:val="0"/>
        <w:spacing w:lineRule="atLeast" w:line="279" w:before="239" w:after="0"/>
        <w:ind w:left="1452" w:right="1892" w:hanging="0"/>
        <w:jc w:val="left"/>
        <w:rPr>
          <w:rFonts w:ascii="Times New Roman" w:hAnsi="Times New Roman"/>
          <w:sz w:val="24"/>
        </w:rPr>
      </w:pPr>
      <w:r>
        <w:rPr>
          <w:rFonts w:ascii="Times New Roman" w:hAnsi="Times New Roman"/>
          <w:color w:val="000000"/>
          <w:sz w:val="24"/>
        </w:rPr>
        <w:t>(1)any action or inaction that constitutes a material breach by Essential Utilities (or any successor thereto) of this Agreement;</w:t>
      </w:r>
      <w:r>
        <w:rPr>
          <w:rFonts w:ascii="Times New Roman" w:hAnsi="Times New Roman"/>
          <w:sz w:val="24"/>
        </w:rPr>
        <w:t xml:space="preserve"> </w:t>
      </w:r>
    </w:p>
    <w:p>
      <w:pPr>
        <w:pStyle w:val="TextBody"/>
        <w:bidi w:val="0"/>
        <w:spacing w:lineRule="atLeast" w:line="274" w:before="239" w:after="0"/>
        <w:ind w:left="1452" w:right="1892" w:hanging="0"/>
        <w:jc w:val="left"/>
        <w:rPr>
          <w:rFonts w:ascii="Times New Roman" w:hAnsi="Times New Roman"/>
          <w:sz w:val="24"/>
        </w:rPr>
      </w:pPr>
      <w:r>
        <w:rPr>
          <w:rFonts w:ascii="Times New Roman" w:hAnsi="Times New Roman"/>
          <w:color w:val="000000"/>
          <w:sz w:val="24"/>
        </w:rPr>
        <w:t>(2)a material diminution of the authority, duties or responsibilities of the Grantee held immediately prior to the Change in Control;</w:t>
      </w:r>
      <w:r>
        <w:rPr>
          <w:rFonts w:ascii="Times New Roman" w:hAnsi="Times New Roman"/>
          <w:sz w:val="24"/>
        </w:rPr>
        <w:t xml:space="preserve"> </w:t>
      </w:r>
    </w:p>
    <w:p>
      <w:pPr>
        <w:pStyle w:val="TextBody"/>
        <w:bidi w:val="0"/>
        <w:spacing w:lineRule="atLeast" w:line="276" w:before="242" w:after="0"/>
        <w:ind w:left="1452" w:right="1604" w:hanging="0"/>
        <w:jc w:val="left"/>
        <w:rPr>
          <w:rFonts w:ascii="Times New Roman" w:hAnsi="Times New Roman"/>
          <w:sz w:val="24"/>
        </w:rPr>
      </w:pPr>
      <w:r>
        <w:rPr>
          <w:rFonts w:ascii="Times New Roman" w:hAnsi="Times New Roman"/>
          <w:color w:val="000000"/>
          <w:sz w:val="24"/>
        </w:rPr>
        <w:t>(3)a material diminution in the Grantee’s base salary, which, for purposes of this Agreement, means a reduction in base salary of ten (10) percent or more that does not apply generally to all executive officers of Essential Utilities;</w:t>
      </w:r>
      <w:r>
        <w:rPr>
          <w:rFonts w:ascii="Times New Roman" w:hAnsi="Times New Roman"/>
          <w:sz w:val="24"/>
        </w:rPr>
        <w:t xml:space="preserve"> </w:t>
      </w:r>
    </w:p>
    <w:p>
      <w:pPr>
        <w:pStyle w:val="TextBody"/>
        <w:bidi w:val="0"/>
        <w:spacing w:lineRule="atLeast" w:line="276" w:before="243" w:after="0"/>
        <w:ind w:left="1452" w:right="1604" w:hanging="0"/>
        <w:jc w:val="left"/>
        <w:rPr>
          <w:rFonts w:ascii="Times New Roman" w:hAnsi="Times New Roman"/>
          <w:sz w:val="24"/>
        </w:rPr>
      </w:pPr>
      <w:r>
        <w:rPr>
          <w:rFonts w:ascii="Times New Roman" w:hAnsi="Times New Roman"/>
          <w:color w:val="000000"/>
          <w:sz w:val="24"/>
        </w:rPr>
        <w:t>(4)a material change in the geographic location at which the Grantee must perform services under this Agreement, which, for purposes of this Agreement, means a requirement that the Grantee be based at any office or location which is located more than fifty (50) miles from the Grantee’s primary place of employment immediately prior to the Change in Control on other than on a temporary basis (less than 6 months);</w:t>
      </w:r>
      <w:r>
        <w:rPr>
          <w:rFonts w:ascii="Times New Roman" w:hAnsi="Times New Roman"/>
          <w:sz w:val="24"/>
        </w:rPr>
        <w:t xml:space="preserve"> </w:t>
      </w:r>
    </w:p>
    <w:p>
      <w:pPr>
        <w:pStyle w:val="TextBody"/>
        <w:bidi w:val="0"/>
        <w:spacing w:lineRule="atLeast" w:line="276" w:before="237" w:after="0"/>
        <w:ind w:left="1452" w:right="1604" w:hanging="0"/>
        <w:jc w:val="left"/>
        <w:rPr>
          <w:rFonts w:ascii="Times New Roman" w:hAnsi="Times New Roman"/>
          <w:sz w:val="24"/>
        </w:rPr>
      </w:pPr>
      <w:r>
        <w:rPr>
          <w:rFonts w:ascii="Times New Roman" w:hAnsi="Times New Roman"/>
          <w:color w:val="000000"/>
          <w:sz w:val="24"/>
        </w:rPr>
        <w:t>(5)a material diminution in the authority, duties, or responsibilities of the supervisor to whom the Grantee is required to report, including a requirement that the Grantee report to a corporate officer or employee instead of reporting directly to the board of directors of a corporation (or similar governing body with respect to an entity other than a corporation); or</w:t>
      </w:r>
      <w:r>
        <w:rPr>
          <w:rFonts w:ascii="Times New Roman" w:hAnsi="Times New Roman"/>
          <w:sz w:val="24"/>
        </w:rPr>
        <w:t xml:space="preserve"> </w:t>
      </w:r>
    </w:p>
    <w:p>
      <w:pPr>
        <w:pStyle w:val="TextBody"/>
        <w:bidi w:val="0"/>
        <w:spacing w:lineRule="atLeast" w:line="273" w:before="246" w:after="0"/>
        <w:ind w:left="1452" w:right="1604" w:hanging="0"/>
        <w:jc w:val="left"/>
        <w:rPr>
          <w:rFonts w:ascii="Times New Roman" w:hAnsi="Times New Roman"/>
          <w:sz w:val="24"/>
        </w:rPr>
      </w:pPr>
      <w:r>
        <w:rPr>
          <w:rFonts w:ascii="Times New Roman" w:hAnsi="Times New Roman"/>
          <w:color w:val="000000"/>
          <w:sz w:val="24"/>
        </w:rPr>
        <w:t>(6)a material diminution in the budget over which the Grantee retains authority.</w:t>
      </w:r>
      <w:r>
        <w:rPr>
          <w:rFonts w:ascii="Times New Roman" w:hAnsi="Times New Roman"/>
          <w:sz w:val="24"/>
        </w:rPr>
        <w:t xml:space="preserve"> </w:t>
      </w:r>
    </w:p>
    <w:p>
      <w:pPr>
        <w:pStyle w:val="TextBody"/>
        <w:bidi w:val="0"/>
        <w:spacing w:lineRule="atLeast" w:line="276" w:before="238" w:after="476"/>
        <w:ind w:left="1452" w:right="1604" w:hanging="0"/>
        <w:jc w:val="left"/>
        <w:rPr>
          <w:rFonts w:ascii="Times New Roman" w:hAnsi="Times New Roman"/>
          <w:sz w:val="24"/>
        </w:rPr>
      </w:pPr>
      <w:r>
        <w:rPr>
          <w:rFonts w:ascii="Times New Roman" w:hAnsi="Times New Roman"/>
          <w:color w:val="000000"/>
          <w:sz w:val="24"/>
        </w:rPr>
        <w:t>A termination of employment after any of the foregoing events shall be a Good Reason only if the Grantee provides written notice to Essential Utilities of the existence of such event within ninety (90) days after the initial occurrence of such event, and Essential Utilities fails to remedy the event within thirty (30) days following the receipt of such notice and the Grantee terminates employment within fifteen (15) days thereafter.</w:t>
      </w:r>
      <w:r>
        <w:rPr>
          <w:rFonts w:ascii="Times New Roman" w:hAnsi="Times New Roman"/>
          <w:sz w:val="24"/>
        </w:rPr>
        <w:t xml:space="preserve"> </w:t>
      </w:r>
    </w:p>
    <w:p>
      <w:pPr>
        <w:pStyle w:val="TextBody"/>
        <w:bidi w:val="0"/>
        <w:spacing w:lineRule="atLeast" w:line="276" w:before="238" w:after="476"/>
        <w:ind w:left="1380" w:right="1460" w:hanging="0"/>
        <w:jc w:val="left"/>
        <w:rPr/>
      </w:pPr>
      <w:r>
        <w:rPr/>
        <w:t xml:space="preserve">  </w:t>
      </w:r>
    </w:p>
    <w:p>
      <w:pPr>
        <w:pStyle w:val="TextBody"/>
        <w:bidi w:val="0"/>
        <w:spacing w:lineRule="atLeast" w:line="272" w:before="3" w:after="0"/>
        <w:ind w:left="1420" w:right="1420" w:hanging="0"/>
        <w:jc w:val="center"/>
        <w:rPr>
          <w:rFonts w:ascii="Times New Roman" w:hAnsi="Times New Roman"/>
          <w:sz w:val="24"/>
        </w:rPr>
      </w:pPr>
      <w:r>
        <w:rPr>
          <w:rFonts w:ascii="Times New Roman" w:hAnsi="Times New Roman"/>
          <w:color w:val="000000"/>
          <w:sz w:val="24"/>
        </w:rPr>
        <w:t>3</w:t>
      </w:r>
      <w:r>
        <w:rPr>
          <w:rFonts w:ascii="Times New Roman" w:hAnsi="Times New Roman"/>
          <w:sz w:val="24"/>
        </w:rPr>
        <w:t xml:space="preserve"> </w:t>
      </w:r>
    </w:p>
    <w:p>
      <w:pPr>
        <w:pStyle w:val="TextBody"/>
        <w:bidi w:val="0"/>
        <w:spacing w:before="0" w:after="0"/>
        <w:ind w:left="1420" w:right="1420" w:hanging="0"/>
        <w:jc w:val="left"/>
        <w:rPr/>
      </w:pPr>
      <w:r>
        <w:rPr/>
        <w:t xml:space="preserve">  </w:t>
      </w:r>
    </w:p>
    <w:p>
      <w:pPr>
        <w:pStyle w:val="HorizontalLine"/>
        <w:pBdr>
          <w:bottom w:val="double" w:sz="6" w:space="0" w:color="808080"/>
        </w:pBdr>
        <w:bidi w:val="0"/>
        <w:ind w:left="1420" w:right="1420" w:hanging="0"/>
        <w:jc w:val="left"/>
        <w:rPr/>
      </w:pPr>
      <w:r>
        <w:rPr/>
      </w:r>
    </w:p>
    <w:p>
      <w:pPr>
        <w:pStyle w:val="TextBody"/>
        <w:bidi w:val="0"/>
        <w:ind w:left="1420" w:right="1420" w:hanging="0"/>
        <w:jc w:val="left"/>
        <w:rPr/>
      </w:pPr>
      <w:r>
        <w:rPr/>
        <w:t> </w:t>
      </w:r>
      <w:r>
        <w:br w:type="page"/>
      </w:r>
    </w:p>
    <w:p>
      <w:pPr>
        <w:pStyle w:val="TextBody"/>
        <w:bidi w:val="0"/>
        <w:spacing w:lineRule="atLeast" w:line="276" w:before="144" w:after="0"/>
        <w:ind w:left="1420" w:right="1420" w:hanging="0"/>
        <w:jc w:val="left"/>
        <w:rPr>
          <w:rFonts w:ascii="Times New Roman" w:hAnsi="Times New Roman"/>
          <w:sz w:val="24"/>
        </w:rPr>
      </w:pPr>
      <w:r>
        <w:rPr>
          <w:rFonts w:ascii="Times New Roman" w:hAnsi="Times New Roman"/>
          <w:color w:val="000000"/>
          <w:sz w:val="24"/>
          <w:u w:val="single"/>
        </w:rPr>
        <w:t>4.Exercise of the Option</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0" w:after="0"/>
        <w:ind w:left="1420" w:right="1420" w:hanging="0"/>
        <w:jc w:val="left"/>
        <w:rPr>
          <w:rFonts w:ascii="Times New Roman" w:hAnsi="Times New Roman"/>
          <w:sz w:val="24"/>
        </w:rPr>
      </w:pPr>
      <w:r>
        <w:rPr>
          <w:rFonts w:ascii="Times New Roman" w:hAnsi="Times New Roman"/>
          <w:color w:val="000000"/>
          <w:sz w:val="24"/>
        </w:rPr>
        <w:t>(a)Subject to the provisions of Section 2 and 3 above, the Grantee may exercise any vested portion of the Option, in whole or in part, by delivering a notice of exercise to the Company. Payment of the Exercise Price and any applicable withholding taxes must be paid prior to issuance of the Shares and must be received by the Company by the time specified by the Company, depending on the type of payment being made, but in all cases prior to the issuance or transfer of such Shares.</w:t>
      </w:r>
      <w:r>
        <w:rPr>
          <w:rFonts w:ascii="Times New Roman" w:hAnsi="Times New Roman"/>
          <w:sz w:val="24"/>
        </w:rPr>
        <w:t xml:space="preserve"> </w:t>
      </w:r>
    </w:p>
    <w:p>
      <w:pPr>
        <w:pStyle w:val="TextBody"/>
        <w:bidi w:val="0"/>
        <w:spacing w:lineRule="atLeast" w:line="276" w:before="243" w:after="0"/>
        <w:ind w:left="1420" w:right="1492" w:hanging="0"/>
        <w:jc w:val="left"/>
        <w:rPr>
          <w:rFonts w:ascii="Times New Roman" w:hAnsi="Times New Roman"/>
          <w:sz w:val="24"/>
        </w:rPr>
      </w:pPr>
      <w:r>
        <w:rPr>
          <w:rFonts w:ascii="Times New Roman" w:hAnsi="Times New Roman"/>
          <w:color w:val="000000"/>
          <w:sz w:val="24"/>
        </w:rPr>
        <w:t>(b)The Grantee may pay the Exercise Price (i) in cash, (ii) by delivering shares of Company Stock owned by the Grantee and having a Fair Market Value on the date of exercise at least equal to the Exercise Price or by attestation (on a form prescribed by the Committee) to ownership of shares of Company Stock having a Fair Market Value on the date of exercise at least equal to the Exercise Price, (iii) by payment through a broker in accordance with</w:t>
      </w:r>
      <w:r>
        <w:rPr>
          <w:rFonts w:ascii="Times New Roman" w:hAnsi="Times New Roman"/>
          <w:sz w:val="24"/>
        </w:rPr>
        <w:t xml:space="preserve"> </w:t>
      </w:r>
    </w:p>
    <w:p>
      <w:pPr>
        <w:pStyle w:val="TextBody"/>
        <w:bidi w:val="0"/>
        <w:spacing w:lineRule="atLeast" w:line="273" w:before="0" w:after="0"/>
        <w:ind w:left="1420" w:right="1420" w:hanging="0"/>
        <w:jc w:val="left"/>
        <w:rPr>
          <w:rFonts w:ascii="Times New Roman" w:hAnsi="Times New Roman"/>
          <w:sz w:val="24"/>
        </w:rPr>
      </w:pPr>
      <w:r>
        <w:rPr>
          <w:rFonts w:ascii="Times New Roman" w:hAnsi="Times New Roman"/>
          <w:color w:val="000000"/>
          <w:sz w:val="24"/>
        </w:rPr>
        <w:t>procedures permitted by Regulation T of the Federal Reserve Board, or (iv) by such other</w:t>
      </w:r>
      <w:r>
        <w:rPr>
          <w:rFonts w:ascii="Times New Roman" w:hAnsi="Times New Roman"/>
          <w:sz w:val="24"/>
        </w:rPr>
        <w:t xml:space="preserve"> </w:t>
      </w:r>
    </w:p>
    <w:p>
      <w:pPr>
        <w:pStyle w:val="TextBody"/>
        <w:bidi w:val="0"/>
        <w:spacing w:lineRule="atLeast" w:line="275" w:before="0" w:after="0"/>
        <w:ind w:left="1420" w:right="1492" w:hanging="0"/>
        <w:jc w:val="left"/>
        <w:rPr>
          <w:rFonts w:ascii="Times New Roman" w:hAnsi="Times New Roman"/>
          <w:sz w:val="24"/>
        </w:rPr>
      </w:pPr>
      <w:r>
        <w:rPr>
          <w:rFonts w:ascii="Times New Roman" w:hAnsi="Times New Roman"/>
          <w:color w:val="000000"/>
          <w:sz w:val="24"/>
        </w:rPr>
        <w:t>method as the Committee may approve. The Committee may impose such limitations as it deems appropriate on the use of shares of Company Stock to exercise the Option, and shares of Company Stock used to exercise the Option shall have been held by the Grantee for the requisite period of time necessary to avoid adverse accounting consequences to the Company with respect to the Option.</w:t>
      </w:r>
      <w:r>
        <w:rPr>
          <w:rFonts w:ascii="Times New Roman" w:hAnsi="Times New Roman"/>
          <w:sz w:val="24"/>
        </w:rPr>
        <w:t xml:space="preserve"> </w:t>
      </w:r>
    </w:p>
    <w:p>
      <w:pPr>
        <w:pStyle w:val="TextBody"/>
        <w:bidi w:val="0"/>
        <w:spacing w:lineRule="atLeast" w:line="276" w:before="245" w:after="0"/>
        <w:ind w:left="1420" w:right="1492" w:hanging="0"/>
        <w:jc w:val="left"/>
        <w:rPr>
          <w:rFonts w:ascii="Times New Roman" w:hAnsi="Times New Roman"/>
          <w:sz w:val="24"/>
        </w:rPr>
      </w:pPr>
      <w:r>
        <w:rPr>
          <w:rFonts w:ascii="Times New Roman" w:hAnsi="Times New Roman"/>
          <w:color w:val="000000"/>
          <w:sz w:val="24"/>
        </w:rPr>
        <w:t>(c)The obligation of the Company to deliver Shares upon exercise of the Option shall be subject to all applicable laws, rules, and regulations and such approvals by governmental agencies as may be deemed appropriate by the Committee, including such actions as the Company’s counsel shall deem necessary or appropriate to comply with relevant securities laws and regulations. The Company may require that the Grantee (or other person exercising the Option after the Grantee’s death) represent that the Grantee is purchasing Shares for the Grantee’s own account and not with a view to or for sale in connection with any distribution of the Shares, or such other representation as the Company deems appropriate.</w:t>
      </w:r>
      <w:r>
        <w:rPr>
          <w:rFonts w:ascii="Times New Roman" w:hAnsi="Times New Roman"/>
          <w:sz w:val="24"/>
        </w:rPr>
        <w:t xml:space="preserve"> </w:t>
      </w:r>
    </w:p>
    <w:p>
      <w:pPr>
        <w:pStyle w:val="TextBody"/>
        <w:bidi w:val="0"/>
        <w:spacing w:lineRule="atLeast" w:line="276" w:before="237" w:after="0"/>
        <w:ind w:left="1420" w:right="1420" w:hanging="0"/>
        <w:jc w:val="left"/>
        <w:rPr>
          <w:rFonts w:ascii="Times New Roman" w:hAnsi="Times New Roman"/>
          <w:sz w:val="24"/>
        </w:rPr>
      </w:pPr>
      <w:r>
        <w:rPr>
          <w:rFonts w:ascii="Times New Roman" w:hAnsi="Times New Roman"/>
          <w:color w:val="000000"/>
          <w:sz w:val="24"/>
          <w:u w:val="single"/>
        </w:rPr>
        <w:t>5.Change in Control</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0" w:after="0"/>
        <w:ind w:left="1420" w:right="1492" w:hanging="0"/>
        <w:jc w:val="left"/>
        <w:rPr>
          <w:rFonts w:ascii="Times New Roman" w:hAnsi="Times New Roman"/>
          <w:sz w:val="24"/>
        </w:rPr>
      </w:pPr>
      <w:r>
        <w:rPr>
          <w:rFonts w:ascii="Times New Roman" w:hAnsi="Times New Roman"/>
          <w:color w:val="000000"/>
          <w:sz w:val="24"/>
        </w:rPr>
        <w:t>(a)If a Change in Control before the end of the third Performance Year, vesting of the Option shall cease to be subject to achievement of the Performance Goal and the Option shall vest on each Vesting Date that occurs following the Change in Control if the Grantee continues to be employed by the Employer through the applicable Vesting Date.</w:t>
      </w:r>
      <w:r>
        <w:rPr>
          <w:rFonts w:ascii="Times New Roman" w:hAnsi="Times New Roman"/>
          <w:sz w:val="24"/>
        </w:rPr>
        <w:t xml:space="preserve"> </w:t>
      </w:r>
    </w:p>
    <w:p>
      <w:pPr>
        <w:pStyle w:val="TextBody"/>
        <w:bidi w:val="0"/>
        <w:spacing w:lineRule="atLeast" w:line="276" w:before="243" w:after="0"/>
        <w:ind w:left="1420" w:right="1492" w:hanging="0"/>
        <w:jc w:val="left"/>
        <w:rPr>
          <w:rFonts w:ascii="Times New Roman" w:hAnsi="Times New Roman"/>
          <w:sz w:val="24"/>
        </w:rPr>
      </w:pPr>
      <w:r>
        <w:rPr>
          <w:rFonts w:ascii="Times New Roman" w:hAnsi="Times New Roman"/>
          <w:color w:val="000000"/>
          <w:sz w:val="24"/>
        </w:rPr>
        <w:t>(b)If a Change in Control occurs following the Grantee’s termination of employment on account of Retirement and during the Performance Year in which the Termination Date occurs, the portion of the Option that would have otherwise vested on the Retirement Vesting Date pursuant to Section 3(c)(ii) shall become immediately vested upon the Change in Control, without regard to whether the Performance Goal is met.</w:t>
      </w:r>
      <w:r>
        <w:rPr>
          <w:rFonts w:ascii="Times New Roman" w:hAnsi="Times New Roman"/>
          <w:sz w:val="24"/>
        </w:rPr>
        <w:t xml:space="preserve"> </w:t>
      </w:r>
    </w:p>
    <w:p>
      <w:pPr>
        <w:pStyle w:val="TextBody"/>
        <w:bidi w:val="0"/>
        <w:spacing w:lineRule="atLeast" w:line="276" w:before="237" w:after="438"/>
        <w:ind w:left="1420" w:right="1420" w:hanging="0"/>
        <w:jc w:val="left"/>
        <w:rPr>
          <w:rFonts w:ascii="Times New Roman" w:hAnsi="Times New Roman"/>
          <w:sz w:val="24"/>
        </w:rPr>
      </w:pPr>
      <w:r>
        <w:rPr>
          <w:rFonts w:ascii="Times New Roman" w:hAnsi="Times New Roman"/>
          <w:color w:val="000000"/>
          <w:sz w:val="24"/>
        </w:rPr>
        <w:t>(c)The acceleration, exercise, exchange or other disposition of this Option upon a Change in Control shall be governed by the provisions of Section 15 of the Plan, notwithstanding any other provision in these Grant Conditions (and, for the avoidance of doubt, if the Option is</w:t>
      </w:r>
      <w:r>
        <w:rPr>
          <w:rFonts w:ascii="Times New Roman" w:hAnsi="Times New Roman"/>
          <w:sz w:val="24"/>
        </w:rPr>
        <w:t xml:space="preserve"> </w:t>
      </w:r>
    </w:p>
    <w:p>
      <w:pPr>
        <w:pStyle w:val="TextBody"/>
        <w:bidi w:val="0"/>
        <w:spacing w:lineRule="atLeast" w:line="276" w:before="237" w:after="438"/>
        <w:ind w:left="1420" w:right="1420" w:hanging="0"/>
        <w:jc w:val="left"/>
        <w:rPr/>
      </w:pPr>
      <w:r>
        <w:rPr/>
        <w:t xml:space="preserve">  </w:t>
      </w:r>
    </w:p>
    <w:p>
      <w:pPr>
        <w:pStyle w:val="TextBody"/>
        <w:bidi w:val="0"/>
        <w:spacing w:lineRule="atLeast" w:line="275" w:before="0" w:after="0"/>
        <w:ind w:left="1420" w:right="1420" w:hanging="0"/>
        <w:jc w:val="center"/>
        <w:rPr>
          <w:rFonts w:ascii="Times New Roman" w:hAnsi="Times New Roman"/>
          <w:sz w:val="24"/>
        </w:rPr>
      </w:pPr>
      <w:r>
        <w:rPr>
          <w:rFonts w:ascii="Times New Roman" w:hAnsi="Times New Roman"/>
          <w:color w:val="000000"/>
          <w:sz w:val="24"/>
        </w:rPr>
        <w:t>4</w:t>
      </w:r>
      <w:r>
        <w:rPr>
          <w:rFonts w:ascii="Times New Roman" w:hAnsi="Times New Roman"/>
          <w:sz w:val="24"/>
        </w:rPr>
        <w:t xml:space="preserve"> </w:t>
      </w:r>
    </w:p>
    <w:p>
      <w:pPr>
        <w:pStyle w:val="TextBody"/>
        <w:bidi w:val="0"/>
        <w:spacing w:before="0" w:after="0"/>
        <w:ind w:left="1420" w:right="1420" w:hanging="0"/>
        <w:jc w:val="left"/>
        <w:rPr/>
      </w:pPr>
      <w:r>
        <w:rPr/>
        <w:t xml:space="preserve">  </w:t>
      </w:r>
    </w:p>
    <w:p>
      <w:pPr>
        <w:pStyle w:val="HorizontalLine"/>
        <w:pBdr>
          <w:bottom w:val="double" w:sz="6" w:space="0" w:color="808080"/>
        </w:pBdr>
        <w:bidi w:val="0"/>
        <w:ind w:left="1420" w:right="1420" w:hanging="0"/>
        <w:jc w:val="left"/>
        <w:rPr/>
      </w:pPr>
      <w:r>
        <w:rPr/>
      </w:r>
    </w:p>
    <w:p>
      <w:pPr>
        <w:pStyle w:val="TextBody"/>
        <w:bidi w:val="0"/>
        <w:ind w:left="1420" w:right="1420" w:hanging="0"/>
        <w:jc w:val="left"/>
        <w:rPr/>
      </w:pPr>
      <w:r>
        <w:rPr/>
        <w:t> </w:t>
      </w:r>
      <w:r>
        <w:br w:type="page"/>
      </w:r>
    </w:p>
    <w:p>
      <w:pPr>
        <w:pStyle w:val="TextBody"/>
        <w:bidi w:val="0"/>
        <w:spacing w:lineRule="atLeast" w:line="276" w:before="11" w:after="0"/>
        <w:ind w:left="1420" w:right="1420" w:hanging="0"/>
        <w:jc w:val="left"/>
        <w:rPr>
          <w:rFonts w:ascii="Times New Roman" w:hAnsi="Times New Roman"/>
          <w:sz w:val="24"/>
        </w:rPr>
      </w:pPr>
      <w:r>
        <w:rPr>
          <w:rFonts w:ascii="Times New Roman" w:hAnsi="Times New Roman"/>
          <w:color w:val="000000"/>
          <w:sz w:val="24"/>
        </w:rPr>
        <w:t>not assumed by, or replaced with comparable options or rights by, the surviving corporation (or a parent or subsidiary of the surviving corporation), the unvested portion of the Option shall fully vest and become exercisable immediately prior to the consummation of the Change in Control).</w:t>
      </w:r>
      <w:r>
        <w:rPr>
          <w:rFonts w:ascii="Times New Roman" w:hAnsi="Times New Roman"/>
          <w:sz w:val="24"/>
        </w:rPr>
        <w:t xml:space="preserve"> </w:t>
      </w:r>
    </w:p>
    <w:p>
      <w:pPr>
        <w:pStyle w:val="TextBody"/>
        <w:bidi w:val="0"/>
        <w:spacing w:lineRule="atLeast" w:line="272" w:before="241" w:after="0"/>
        <w:ind w:left="1420" w:right="1420" w:hanging="0"/>
        <w:jc w:val="left"/>
        <w:rPr>
          <w:rFonts w:ascii="Times New Roman" w:hAnsi="Times New Roman"/>
          <w:sz w:val="24"/>
        </w:rPr>
      </w:pPr>
      <w:r>
        <w:rPr>
          <w:rFonts w:ascii="Times New Roman" w:hAnsi="Times New Roman"/>
          <w:color w:val="000000"/>
          <w:sz w:val="24"/>
          <w:u w:val="single"/>
        </w:rPr>
        <w:t>6.Certain Corporate Changes</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0" w:after="0"/>
        <w:ind w:left="1420" w:right="1420" w:firstLine="720"/>
        <w:jc w:val="left"/>
        <w:rPr>
          <w:rFonts w:ascii="Times New Roman" w:hAnsi="Times New Roman"/>
          <w:sz w:val="24"/>
        </w:rPr>
      </w:pPr>
      <w:r>
        <w:rPr>
          <w:rFonts w:ascii="Times New Roman" w:hAnsi="Times New Roman"/>
          <w:color w:val="000000"/>
          <w:sz w:val="24"/>
        </w:rPr>
        <w:t>If any change is made to the Company Stock (whether by reason of merger, consolidation, reorganization, recapitalization, stock dividend, stock split, combination of shares, or exchange of shares or any other change in capital structure made without receipt of consideration), then unless such event or change results in the termination of the Option, the Committee shall adjust, in an equitable manner and as provided in the Plan, the number and class of shares underlying the Option and the Exercise Price to reflect the effect of such event or change in the Company’s capital structure, and the Committee shall adjust the Performance Goal as necessary to reflect the effect of such event or change in the Company’s capital structure.</w:t>
      </w:r>
      <w:r>
        <w:rPr>
          <w:rFonts w:ascii="Times New Roman" w:hAnsi="Times New Roman"/>
          <w:sz w:val="24"/>
        </w:rPr>
        <w:t xml:space="preserve"> </w:t>
      </w:r>
    </w:p>
    <w:p>
      <w:pPr>
        <w:pStyle w:val="TextBody"/>
        <w:bidi w:val="0"/>
        <w:spacing w:lineRule="atLeast" w:line="272" w:before="247" w:after="0"/>
        <w:ind w:left="1420" w:right="1420" w:hanging="0"/>
        <w:jc w:val="left"/>
        <w:rPr>
          <w:rFonts w:ascii="Times New Roman" w:hAnsi="Times New Roman"/>
          <w:sz w:val="24"/>
        </w:rPr>
      </w:pPr>
      <w:r>
        <w:rPr>
          <w:rFonts w:ascii="Times New Roman" w:hAnsi="Times New Roman"/>
          <w:color w:val="000000"/>
          <w:sz w:val="24"/>
          <w:u w:val="single"/>
        </w:rPr>
        <w:t>7.Restrictions on Exercise</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7" w:before="236" w:after="0"/>
        <w:ind w:left="1420" w:right="1564" w:firstLine="720"/>
        <w:jc w:val="left"/>
        <w:rPr>
          <w:rFonts w:ascii="Times New Roman" w:hAnsi="Times New Roman"/>
          <w:sz w:val="24"/>
        </w:rPr>
      </w:pPr>
      <w:r>
        <w:rPr>
          <w:rFonts w:ascii="Times New Roman" w:hAnsi="Times New Roman"/>
          <w:color w:val="000000"/>
          <w:sz w:val="24"/>
        </w:rPr>
        <w:t>Except as the Committee may otherwise permit pursuant to the Plan, only the Grantee may exercise the Option during the Grantee’s lifetime and, after the Grantee’s death, the Option shall be exercisable by the Grantee’s estate, to the extent that the Option is exercisable pursuant to these Grant Conditions.</w:t>
      </w:r>
      <w:r>
        <w:rPr>
          <w:rFonts w:ascii="Times New Roman" w:hAnsi="Times New Roman"/>
          <w:sz w:val="24"/>
        </w:rPr>
        <w:t xml:space="preserve"> </w:t>
      </w:r>
    </w:p>
    <w:p>
      <w:pPr>
        <w:pStyle w:val="TextBody"/>
        <w:bidi w:val="0"/>
        <w:spacing w:lineRule="atLeast" w:line="272" w:before="241" w:after="0"/>
        <w:ind w:left="1420" w:right="1420" w:hanging="0"/>
        <w:jc w:val="left"/>
        <w:rPr>
          <w:rFonts w:ascii="Times New Roman" w:hAnsi="Times New Roman"/>
          <w:sz w:val="24"/>
        </w:rPr>
      </w:pPr>
      <w:r>
        <w:rPr>
          <w:rFonts w:ascii="Times New Roman" w:hAnsi="Times New Roman"/>
          <w:color w:val="000000"/>
          <w:sz w:val="24"/>
          <w:u w:val="single"/>
        </w:rPr>
        <w:t>8.No Right to Continued Employment</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7" w:before="238" w:after="0"/>
        <w:ind w:left="1420" w:right="1420" w:firstLine="720"/>
        <w:jc w:val="left"/>
        <w:rPr>
          <w:rFonts w:ascii="Times New Roman" w:hAnsi="Times New Roman"/>
          <w:sz w:val="24"/>
        </w:rPr>
      </w:pPr>
      <w:r>
        <w:rPr>
          <w:rFonts w:ascii="Times New Roman" w:hAnsi="Times New Roman"/>
          <w:color w:val="000000"/>
          <w:sz w:val="24"/>
        </w:rPr>
        <w:t>Neither the award of the Option, nor any other action taken with respect to the Option, shall confer upon the Grantee any right to continue to be employed by the Employer or shall interfere in any way with the right of the Employer to terminate the Grantee’s employment at any time, consistent with the terms of any written employment agreement between the Grantee and the Employer and applicable law.</w:t>
      </w:r>
      <w:r>
        <w:rPr>
          <w:rFonts w:ascii="Times New Roman" w:hAnsi="Times New Roman"/>
          <w:sz w:val="24"/>
        </w:rPr>
        <w:t xml:space="preserve"> </w:t>
      </w:r>
    </w:p>
    <w:p>
      <w:pPr>
        <w:pStyle w:val="TextBody"/>
        <w:bidi w:val="0"/>
        <w:spacing w:lineRule="atLeast" w:line="272" w:before="241" w:after="0"/>
        <w:ind w:left="1420" w:right="1420" w:hanging="0"/>
        <w:jc w:val="left"/>
        <w:rPr>
          <w:rFonts w:ascii="Times New Roman" w:hAnsi="Times New Roman"/>
          <w:sz w:val="24"/>
        </w:rPr>
      </w:pPr>
      <w:r>
        <w:rPr>
          <w:rFonts w:ascii="Times New Roman" w:hAnsi="Times New Roman"/>
          <w:color w:val="000000"/>
          <w:sz w:val="24"/>
          <w:u w:val="single"/>
        </w:rPr>
        <w:t>9.No Shareholder Rights</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0" w:after="0"/>
        <w:ind w:left="1420" w:right="1420" w:firstLine="720"/>
        <w:jc w:val="left"/>
        <w:rPr>
          <w:rFonts w:ascii="Times New Roman" w:hAnsi="Times New Roman"/>
          <w:sz w:val="24"/>
        </w:rPr>
      </w:pPr>
      <w:r>
        <w:rPr>
          <w:rFonts w:ascii="Times New Roman" w:hAnsi="Times New Roman"/>
          <w:color w:val="000000"/>
          <w:sz w:val="24"/>
        </w:rPr>
        <w:t>Neither the Grantee, nor any person entitled to exercise the Grantee’s rights in the event of the Grantee’s death, shall have any of the rights and privileges of a shareholder with respect to the Shares subject to the Option until certificates for Shares have been issued upon exercise of the Option.</w:t>
      </w:r>
      <w:r>
        <w:rPr>
          <w:rFonts w:ascii="Times New Roman" w:hAnsi="Times New Roman"/>
          <w:sz w:val="24"/>
        </w:rPr>
        <w:t xml:space="preserve"> </w:t>
      </w:r>
    </w:p>
    <w:p>
      <w:pPr>
        <w:pStyle w:val="TextBody"/>
        <w:bidi w:val="0"/>
        <w:spacing w:lineRule="atLeast" w:line="272" w:before="247" w:after="0"/>
        <w:ind w:left="1420" w:right="1420" w:hanging="0"/>
        <w:jc w:val="left"/>
        <w:rPr>
          <w:rFonts w:ascii="Times New Roman" w:hAnsi="Times New Roman"/>
          <w:sz w:val="24"/>
        </w:rPr>
      </w:pPr>
      <w:r>
        <w:rPr>
          <w:rFonts w:ascii="Times New Roman" w:hAnsi="Times New Roman"/>
          <w:color w:val="000000"/>
          <w:sz w:val="24"/>
          <w:u w:val="single"/>
        </w:rPr>
        <w:t>10.Termination or Amendment</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9" w:before="234" w:after="0"/>
        <w:ind w:left="1420" w:right="1420" w:firstLine="720"/>
        <w:jc w:val="left"/>
        <w:rPr>
          <w:rFonts w:ascii="Times New Roman" w:hAnsi="Times New Roman"/>
          <w:sz w:val="24"/>
        </w:rPr>
      </w:pPr>
      <w:r>
        <w:rPr>
          <w:rFonts w:ascii="Times New Roman" w:hAnsi="Times New Roman"/>
          <w:color w:val="000000"/>
          <w:sz w:val="24"/>
        </w:rPr>
        <w:t>These Grant Conditions and the award made hereunder may be terminated or amended by the Committee, in whole or in part, in accordance with the applicable terms of the Plan.</w:t>
      </w:r>
      <w:r>
        <w:rPr>
          <w:rFonts w:ascii="Times New Roman" w:hAnsi="Times New Roman"/>
          <w:sz w:val="24"/>
        </w:rPr>
        <w:t xml:space="preserve"> </w:t>
      </w:r>
    </w:p>
    <w:p>
      <w:pPr>
        <w:pStyle w:val="TextBody"/>
        <w:bidi w:val="0"/>
        <w:spacing w:lineRule="atLeast" w:line="272" w:before="241" w:after="0"/>
        <w:ind w:left="1420" w:right="1420" w:hanging="0"/>
        <w:jc w:val="left"/>
        <w:rPr>
          <w:rFonts w:ascii="Times New Roman" w:hAnsi="Times New Roman"/>
          <w:sz w:val="24"/>
        </w:rPr>
      </w:pPr>
      <w:r>
        <w:rPr>
          <w:rFonts w:ascii="Times New Roman" w:hAnsi="Times New Roman"/>
          <w:color w:val="000000"/>
          <w:sz w:val="24"/>
          <w:u w:val="single"/>
        </w:rPr>
        <w:t>11.Notice</w:t>
      </w:r>
      <w:r>
        <w:rPr>
          <w:rFonts w:ascii="Times New Roman" w:hAnsi="Times New Roman"/>
          <w:color w:val="000000"/>
          <w:sz w:val="24"/>
        </w:rPr>
        <w:t>.</w:t>
      </w:r>
      <w:r>
        <w:rPr>
          <w:rFonts w:ascii="Times New Roman" w:hAnsi="Times New Roman"/>
          <w:sz w:val="24"/>
        </w:rPr>
        <w:t xml:space="preserve"> </w:t>
      </w:r>
    </w:p>
    <w:p>
      <w:pPr>
        <w:pStyle w:val="TextBody"/>
        <w:bidi w:val="0"/>
        <w:spacing w:lineRule="atLeast" w:line="275" w:before="244" w:after="582"/>
        <w:ind w:left="1420" w:right="1564" w:firstLine="720"/>
        <w:jc w:val="left"/>
        <w:rPr>
          <w:rFonts w:ascii="Times New Roman" w:hAnsi="Times New Roman"/>
          <w:sz w:val="24"/>
        </w:rPr>
      </w:pPr>
      <w:r>
        <w:rPr>
          <w:rFonts w:ascii="Times New Roman" w:hAnsi="Times New Roman"/>
          <w:color w:val="000000"/>
          <w:sz w:val="24"/>
        </w:rPr>
        <w:t>Any notice to the Company provided for in these Grant Conditions shall be addressed to it in care of the Company’s Senior Vice President and Chief Human Resources Officer, and any notice to the Grantee shall be addressed to the Grantee at the current address shown on the payroll system of the Company, or to such other address as the Grantee may designate to the</w:t>
      </w:r>
      <w:r>
        <w:rPr>
          <w:rFonts w:ascii="Times New Roman" w:hAnsi="Times New Roman"/>
          <w:sz w:val="24"/>
        </w:rPr>
        <w:t xml:space="preserve"> </w:t>
      </w:r>
    </w:p>
    <w:p>
      <w:pPr>
        <w:pStyle w:val="TextBody"/>
        <w:bidi w:val="0"/>
        <w:spacing w:lineRule="atLeast" w:line="275" w:before="244" w:after="582"/>
        <w:ind w:left="1420" w:right="1420" w:hanging="0"/>
        <w:jc w:val="left"/>
        <w:rPr/>
      </w:pPr>
      <w:r>
        <w:rPr/>
        <w:t xml:space="preserve">  </w:t>
      </w:r>
    </w:p>
    <w:p>
      <w:pPr>
        <w:pStyle w:val="TextBody"/>
        <w:bidi w:val="0"/>
        <w:spacing w:lineRule="atLeast" w:line="272" w:before="0" w:after="0"/>
        <w:ind w:left="1420" w:right="1420" w:hanging="0"/>
        <w:jc w:val="center"/>
        <w:rPr>
          <w:rFonts w:ascii="Times New Roman" w:hAnsi="Times New Roman"/>
          <w:sz w:val="24"/>
        </w:rPr>
      </w:pPr>
      <w:r>
        <w:rPr>
          <w:rFonts w:ascii="Times New Roman" w:hAnsi="Times New Roman"/>
          <w:color w:val="000000"/>
          <w:sz w:val="24"/>
        </w:rPr>
        <w:t>5</w:t>
      </w:r>
      <w:r>
        <w:rPr>
          <w:rFonts w:ascii="Times New Roman" w:hAnsi="Times New Roman"/>
          <w:sz w:val="24"/>
        </w:rPr>
        <w:t xml:space="preserve"> </w:t>
      </w:r>
    </w:p>
    <w:p>
      <w:pPr>
        <w:pStyle w:val="TextBody"/>
        <w:bidi w:val="0"/>
        <w:spacing w:before="0" w:after="0"/>
        <w:ind w:left="1420" w:right="1420" w:hanging="0"/>
        <w:jc w:val="left"/>
        <w:rPr/>
      </w:pPr>
      <w:r>
        <w:rPr/>
        <w:t xml:space="preserve">  </w:t>
      </w:r>
    </w:p>
    <w:p>
      <w:pPr>
        <w:pStyle w:val="HorizontalLine"/>
        <w:pBdr>
          <w:bottom w:val="double" w:sz="6" w:space="0" w:color="808080"/>
        </w:pBdr>
        <w:bidi w:val="0"/>
        <w:ind w:left="1420" w:right="1420" w:hanging="0"/>
        <w:jc w:val="left"/>
        <w:rPr/>
      </w:pPr>
      <w:r>
        <w:rPr/>
      </w:r>
    </w:p>
    <w:p>
      <w:pPr>
        <w:pStyle w:val="TextBody"/>
        <w:bidi w:val="0"/>
        <w:ind w:left="1420" w:right="1420" w:hanging="0"/>
        <w:jc w:val="left"/>
        <w:rPr/>
      </w:pPr>
      <w:r>
        <w:rPr/>
        <w:t> </w:t>
      </w:r>
      <w:r>
        <w:br w:type="page"/>
      </w:r>
    </w:p>
    <w:p>
      <w:pPr>
        <w:pStyle w:val="TextBody"/>
        <w:bidi w:val="0"/>
        <w:spacing w:lineRule="atLeast" w:line="276" w:before="8" w:after="0"/>
        <w:ind w:left="1420" w:right="1492" w:hanging="0"/>
        <w:jc w:val="left"/>
        <w:rPr>
          <w:rFonts w:ascii="Times New Roman" w:hAnsi="Times New Roman"/>
          <w:sz w:val="24"/>
        </w:rPr>
      </w:pPr>
      <w:r>
        <w:rPr>
          <w:rFonts w:ascii="Times New Roman" w:hAnsi="Times New Roman"/>
          <w:color w:val="000000"/>
          <w:sz w:val="24"/>
        </w:rPr>
        <w:t>Company in writing. Any notice provided for hereunder shall be delivered by hand, sent by telecopy or electronic mail, or enclosed in a properly sealed envelope addressed as stated above, registered, and deposited, postage and registry fee prepaid in the United States mail or other mail delivery service. Notice to the Company shall be deemed effective upon receipt. By receipt of these Grant Conditions, the Grantee hereby consents to the delivery of information (including without limitation, information required to be delivered to the Grantee pursuant to the applicable securities laws) regarding the Company, the Plan, and the Option via the Company’s electronic mail system or other electronic delivery system.</w:t>
      </w:r>
      <w:r>
        <w:rPr>
          <w:rFonts w:ascii="Times New Roman" w:hAnsi="Times New Roman"/>
          <w:sz w:val="24"/>
        </w:rPr>
        <w:t xml:space="preserve"> </w:t>
      </w:r>
    </w:p>
    <w:p>
      <w:pPr>
        <w:pStyle w:val="TextBody"/>
        <w:bidi w:val="0"/>
        <w:spacing w:lineRule="atLeast" w:line="276" w:before="243" w:after="0"/>
        <w:ind w:left="1420" w:right="1420" w:hanging="0"/>
        <w:jc w:val="left"/>
        <w:rPr>
          <w:rFonts w:ascii="Times New Roman" w:hAnsi="Times New Roman"/>
          <w:sz w:val="24"/>
        </w:rPr>
      </w:pPr>
      <w:r>
        <w:rPr>
          <w:rFonts w:ascii="Times New Roman" w:hAnsi="Times New Roman"/>
          <w:color w:val="000000"/>
          <w:sz w:val="24"/>
          <w:u w:val="single"/>
        </w:rPr>
        <w:t>12.Incorporation of Plan by Reference</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0" w:after="0"/>
        <w:ind w:left="1420" w:right="1420" w:firstLine="720"/>
        <w:jc w:val="left"/>
        <w:rPr>
          <w:rFonts w:ascii="Times New Roman" w:hAnsi="Times New Roman"/>
          <w:sz w:val="24"/>
        </w:rPr>
      </w:pPr>
      <w:r>
        <w:rPr>
          <w:rFonts w:ascii="Times New Roman" w:hAnsi="Times New Roman"/>
          <w:color w:val="000000"/>
          <w:sz w:val="24"/>
        </w:rPr>
        <w:t>The Stock Option Grant and these Grant Conditions are made pursuant to the terms of the Plan, the terms of which are incorporated herein by reference, and shall in all respects be interpreted in accordance therewith. The decisions of the Committee shall be conclusive upon any question arising hereunder. The Grantee’s receipt of the Option constitutes the Grantee’s acknowledgment that all decisions and determinations of the Committee with respect to the Plan, these Grant Conditions, and/or the Option shall be final and binding on the Grantee, his or her beneficiaries and any other person having or claiming an interest in the Option. The settlement of any award with respect to the Option is subject to the provisions of the Plan and to</w:t>
      </w:r>
      <w:r>
        <w:rPr>
          <w:rFonts w:ascii="Times New Roman" w:hAnsi="Times New Roman"/>
          <w:sz w:val="24"/>
        </w:rPr>
        <w:t xml:space="preserve"> </w:t>
      </w:r>
    </w:p>
    <w:p>
      <w:pPr>
        <w:pStyle w:val="TextBody"/>
        <w:bidi w:val="0"/>
        <w:spacing w:lineRule="atLeast" w:line="275" w:before="0" w:after="0"/>
        <w:ind w:left="1420" w:right="1564" w:hanging="0"/>
        <w:jc w:val="left"/>
        <w:rPr>
          <w:rFonts w:ascii="Times New Roman" w:hAnsi="Times New Roman"/>
          <w:sz w:val="24"/>
        </w:rPr>
      </w:pPr>
      <w:r>
        <w:rPr>
          <w:rFonts w:ascii="Times New Roman" w:hAnsi="Times New Roman"/>
          <w:color w:val="000000"/>
          <w:sz w:val="24"/>
        </w:rPr>
        <w:t>interpretations, regulations and determinations concerning the Plan as established from time to time by the Committee in accordance with the provisions of the Plan. A copy of the Plan will be furnished to each Grantee upon request.</w:t>
      </w:r>
      <w:r>
        <w:rPr>
          <w:rFonts w:ascii="Times New Roman" w:hAnsi="Times New Roman"/>
          <w:sz w:val="24"/>
        </w:rPr>
        <w:t xml:space="preserve"> </w:t>
      </w:r>
    </w:p>
    <w:p>
      <w:pPr>
        <w:pStyle w:val="TextBody"/>
        <w:bidi w:val="0"/>
        <w:spacing w:lineRule="atLeast" w:line="276" w:before="243" w:after="0"/>
        <w:ind w:left="1420" w:right="1420" w:hanging="0"/>
        <w:jc w:val="left"/>
        <w:rPr>
          <w:rFonts w:ascii="Times New Roman" w:hAnsi="Times New Roman"/>
          <w:sz w:val="24"/>
        </w:rPr>
      </w:pPr>
      <w:r>
        <w:rPr>
          <w:rFonts w:ascii="Times New Roman" w:hAnsi="Times New Roman"/>
          <w:color w:val="000000"/>
          <w:sz w:val="24"/>
          <w:u w:val="single"/>
        </w:rPr>
        <w:t>13.Income Taxes; Withholding Taxes</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35" w:after="0"/>
        <w:ind w:left="1420" w:right="1492" w:firstLine="720"/>
        <w:jc w:val="left"/>
        <w:rPr>
          <w:rFonts w:ascii="Times New Roman" w:hAnsi="Times New Roman"/>
          <w:sz w:val="24"/>
        </w:rPr>
      </w:pPr>
      <w:r>
        <w:rPr>
          <w:rFonts w:ascii="Times New Roman" w:hAnsi="Times New Roman"/>
          <w:color w:val="000000"/>
          <w:sz w:val="24"/>
        </w:rPr>
        <w:t>The Grantee is solely responsible for the satisfaction of all taxes and penalties that may arise in connection with the Option or the exercise of the Option pursuant to these Grant Conditions, and all obligations of the Company under these Grant Conditions shall be subject to the rights of the Employer as set forth in the Plan to withhold amounts required to be withheld for any taxes, if applicable. At the time of taxation, the Employer shall have the right to deduct from other compensation, or to withhold shares of Company Stock, in an amount equal to the federal (including FICA), state, local and foreign taxes and other amounts as may be required by law to be withheld with respect to the Option, as approved in advance by the Committee.</w:t>
      </w:r>
      <w:r>
        <w:rPr>
          <w:rFonts w:ascii="Times New Roman" w:hAnsi="Times New Roman"/>
          <w:sz w:val="24"/>
        </w:rPr>
        <w:t xml:space="preserve"> </w:t>
      </w:r>
    </w:p>
    <w:p>
      <w:pPr>
        <w:pStyle w:val="TextBody"/>
        <w:bidi w:val="0"/>
        <w:spacing w:lineRule="atLeast" w:line="276" w:before="242" w:after="0"/>
        <w:ind w:left="1420" w:right="1420" w:hanging="0"/>
        <w:jc w:val="left"/>
        <w:rPr>
          <w:rFonts w:ascii="Times New Roman" w:hAnsi="Times New Roman"/>
          <w:sz w:val="24"/>
        </w:rPr>
      </w:pPr>
      <w:r>
        <w:rPr>
          <w:rFonts w:ascii="Times New Roman" w:hAnsi="Times New Roman"/>
          <w:color w:val="000000"/>
          <w:sz w:val="24"/>
          <w:u w:val="single"/>
        </w:rPr>
        <w:t>14.Company Policies</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43" w:after="0"/>
        <w:ind w:left="1420" w:right="1564" w:firstLine="720"/>
        <w:jc w:val="left"/>
        <w:rPr>
          <w:rFonts w:ascii="Times New Roman" w:hAnsi="Times New Roman"/>
          <w:sz w:val="24"/>
        </w:rPr>
      </w:pPr>
      <w:r>
        <w:rPr>
          <w:rFonts w:ascii="Times New Roman" w:hAnsi="Times New Roman"/>
          <w:color w:val="000000"/>
          <w:sz w:val="24"/>
        </w:rPr>
        <w:t>This Option and all shares issued pursuant to this grant shall be subject to any applicable recoupment or clawback policies and other policies implemented by the Board, as in effect from time to time.</w:t>
      </w:r>
      <w:r>
        <w:rPr>
          <w:rFonts w:ascii="Times New Roman" w:hAnsi="Times New Roman"/>
          <w:sz w:val="24"/>
        </w:rPr>
        <w:t xml:space="preserve"> </w:t>
      </w:r>
    </w:p>
    <w:p>
      <w:pPr>
        <w:pStyle w:val="TextBody"/>
        <w:bidi w:val="0"/>
        <w:spacing w:lineRule="atLeast" w:line="276" w:before="237" w:after="0"/>
        <w:ind w:left="1420" w:right="1420" w:hanging="0"/>
        <w:jc w:val="left"/>
        <w:rPr>
          <w:rFonts w:ascii="Times New Roman" w:hAnsi="Times New Roman"/>
          <w:sz w:val="24"/>
        </w:rPr>
      </w:pPr>
      <w:r>
        <w:rPr>
          <w:rFonts w:ascii="Times New Roman" w:hAnsi="Times New Roman"/>
          <w:color w:val="000000"/>
          <w:sz w:val="24"/>
          <w:u w:val="single"/>
        </w:rPr>
        <w:t>15.Governing Law; Enforcement</w:t>
      </w:r>
      <w:r>
        <w:rPr>
          <w:rFonts w:ascii="Times New Roman" w:hAnsi="Times New Roman"/>
          <w:color w:val="000000"/>
          <w:sz w:val="24"/>
        </w:rPr>
        <w:t>.</w:t>
      </w:r>
      <w:r>
        <w:rPr>
          <w:rFonts w:ascii="Times New Roman" w:hAnsi="Times New Roman"/>
          <w:color w:val="000000"/>
          <w:sz w:val="24"/>
          <w:u w:val="single"/>
        </w:rPr>
        <w:t> </w:t>
      </w:r>
      <w:r>
        <w:rPr>
          <w:rFonts w:ascii="Times New Roman" w:hAnsi="Times New Roman"/>
          <w:sz w:val="24"/>
        </w:rPr>
        <w:t xml:space="preserve"> </w:t>
      </w:r>
    </w:p>
    <w:p>
      <w:pPr>
        <w:pStyle w:val="TextBody"/>
        <w:bidi w:val="0"/>
        <w:spacing w:lineRule="atLeast" w:line="276" w:before="238" w:after="716"/>
        <w:ind w:left="1420" w:right="1636" w:firstLine="720"/>
        <w:jc w:val="left"/>
        <w:rPr>
          <w:rFonts w:ascii="Times New Roman" w:hAnsi="Times New Roman"/>
          <w:sz w:val="24"/>
        </w:rPr>
      </w:pPr>
      <w:r>
        <w:rPr>
          <w:rFonts w:ascii="Times New Roman" w:hAnsi="Times New Roman"/>
          <w:color w:val="000000"/>
          <w:sz w:val="24"/>
        </w:rPr>
        <w:t>The validity, construction, interpretation and effect of the Stock Option Grant and these Grant Conditions shall be governed by, and determined in accordance with, the applicable laws of the Commonwealth of Pennsylvania, excluding any conflicts or choice of law rule or principle. The resolution of any dispute regarding, or the enforcement of, this Stock Option Grant and these Grant Conditions shall take place in a court of competent jurisdiction located</w:t>
      </w:r>
      <w:r>
        <w:rPr>
          <w:rFonts w:ascii="Times New Roman" w:hAnsi="Times New Roman"/>
          <w:sz w:val="24"/>
        </w:rPr>
        <w:t xml:space="preserve"> </w:t>
      </w:r>
    </w:p>
    <w:p>
      <w:pPr>
        <w:pStyle w:val="TextBody"/>
        <w:bidi w:val="0"/>
        <w:spacing w:lineRule="atLeast" w:line="276" w:before="238" w:after="716"/>
        <w:ind w:left="1420" w:right="1420" w:hanging="0"/>
        <w:jc w:val="left"/>
        <w:rPr/>
      </w:pPr>
      <w:r>
        <w:rPr/>
        <w:t xml:space="preserve">  </w:t>
      </w:r>
    </w:p>
    <w:p>
      <w:pPr>
        <w:pStyle w:val="TextBody"/>
        <w:bidi w:val="0"/>
        <w:spacing w:lineRule="atLeast" w:line="275" w:before="0" w:after="0"/>
        <w:ind w:left="1420" w:right="1420" w:hanging="0"/>
        <w:jc w:val="center"/>
        <w:rPr>
          <w:rFonts w:ascii="Times New Roman" w:hAnsi="Times New Roman"/>
          <w:sz w:val="24"/>
        </w:rPr>
      </w:pPr>
      <w:r>
        <w:rPr>
          <w:rFonts w:ascii="Times New Roman" w:hAnsi="Times New Roman"/>
          <w:color w:val="000000"/>
          <w:sz w:val="24"/>
        </w:rPr>
        <w:t>6</w:t>
      </w:r>
      <w:r>
        <w:rPr>
          <w:rFonts w:ascii="Times New Roman" w:hAnsi="Times New Roman"/>
          <w:sz w:val="24"/>
        </w:rPr>
        <w:t xml:space="preserve"> </w:t>
      </w:r>
    </w:p>
    <w:p>
      <w:pPr>
        <w:pStyle w:val="TextBody"/>
        <w:bidi w:val="0"/>
        <w:spacing w:before="0" w:after="0"/>
        <w:ind w:left="1420" w:right="1420" w:hanging="0"/>
        <w:jc w:val="left"/>
        <w:rPr/>
      </w:pPr>
      <w:r>
        <w:rPr/>
        <w:t xml:space="preserve">  </w:t>
      </w:r>
    </w:p>
    <w:p>
      <w:pPr>
        <w:pStyle w:val="TextBody"/>
        <w:bidi w:val="0"/>
        <w:spacing w:lineRule="atLeast" w:line="273" w:before="14" w:after="0"/>
        <w:ind w:left="1420" w:right="1708" w:hanging="0"/>
        <w:jc w:val="left"/>
        <w:rPr>
          <w:rFonts w:ascii="Times New Roman" w:hAnsi="Times New Roman"/>
          <w:sz w:val="24"/>
        </w:rPr>
      </w:pPr>
      <w:r>
        <w:rPr>
          <w:rFonts w:ascii="Times New Roman" w:hAnsi="Times New Roman"/>
          <w:color w:val="000000"/>
          <w:sz w:val="24"/>
        </w:rPr>
        <w:t>within the Commonwealth of Pennsylvania, notwithstanding any dispute resolution terms that may exist under any employment agreement between the Grantee and the Company.</w:t>
      </w:r>
      <w:r>
        <w:rPr>
          <w:rFonts w:ascii="Times New Roman" w:hAnsi="Times New Roman"/>
          <w:sz w:val="24"/>
        </w:rPr>
        <w:t xml:space="preserve"> </w:t>
      </w:r>
    </w:p>
    <w:p>
      <w:pPr>
        <w:pStyle w:val="TextBody"/>
        <w:bidi w:val="0"/>
        <w:spacing w:lineRule="atLeast" w:line="272" w:before="247" w:after="0"/>
        <w:ind w:left="1420" w:right="1420" w:hanging="0"/>
        <w:jc w:val="left"/>
        <w:rPr>
          <w:rFonts w:ascii="Times New Roman" w:hAnsi="Times New Roman"/>
          <w:sz w:val="24"/>
        </w:rPr>
      </w:pPr>
      <w:r>
        <w:rPr>
          <w:rFonts w:ascii="Times New Roman" w:hAnsi="Times New Roman"/>
          <w:color w:val="000000"/>
          <w:sz w:val="24"/>
        </w:rPr>
        <w:t>16.</w:t>
      </w:r>
      <w:r>
        <w:rPr>
          <w:rFonts w:ascii="Times New Roman" w:hAnsi="Times New Roman"/>
          <w:color w:val="000000"/>
          <w:sz w:val="24"/>
          <w:u w:val="single"/>
        </w:rPr>
        <w:t>Assignment</w:t>
      </w:r>
      <w:r>
        <w:rPr>
          <w:rFonts w:ascii="Times New Roman" w:hAnsi="Times New Roman"/>
          <w:color w:val="000000"/>
          <w:sz w:val="24"/>
        </w:rPr>
        <w:t>.</w:t>
      </w:r>
      <w:r>
        <w:rPr>
          <w:rFonts w:ascii="Times New Roman" w:hAnsi="Times New Roman"/>
          <w:sz w:val="24"/>
        </w:rPr>
        <w:t xml:space="preserve"> </w:t>
      </w:r>
    </w:p>
    <w:p>
      <w:pPr>
        <w:pStyle w:val="TextBody"/>
        <w:bidi w:val="0"/>
        <w:spacing w:lineRule="atLeast" w:line="277" w:before="236" w:after="10983"/>
        <w:ind w:left="1420" w:right="1420" w:firstLine="720"/>
        <w:jc w:val="left"/>
        <w:rPr>
          <w:rFonts w:ascii="Times New Roman" w:hAnsi="Times New Roman"/>
          <w:sz w:val="24"/>
        </w:rPr>
      </w:pPr>
      <w:r>
        <w:rPr>
          <w:rFonts w:ascii="Times New Roman" w:hAnsi="Times New Roman"/>
          <w:color w:val="000000"/>
          <w:sz w:val="24"/>
        </w:rPr>
        <w:t>The Stock Option Grant and these Grant Conditions shall bind and inure to the benefit of the successors and assignees of the Company. The Grantee may not sell, assign, transfer, pledge or otherwise dispose of the Option, except to a successor grantee in the event of the Grantee’s death.</w:t>
      </w:r>
      <w:r>
        <w:rPr>
          <w:rFonts w:ascii="Times New Roman" w:hAnsi="Times New Roman"/>
          <w:sz w:val="24"/>
        </w:rPr>
        <w:t xml:space="preserve"> </w:t>
      </w:r>
    </w:p>
    <w:p>
      <w:pPr>
        <w:pStyle w:val="TextBody"/>
        <w:bidi w:val="0"/>
        <w:spacing w:lineRule="atLeast" w:line="277" w:before="236" w:after="10983"/>
        <w:ind w:left="1420" w:right="1420" w:firstLine="720"/>
        <w:jc w:val="left"/>
        <w:rPr>
          <w:rFonts w:cs="Times New Roman"/>
          <w:szCs w:val="24"/>
        </w:rPr>
      </w:pPr>
      <w:r>
        <w:rPr>
          <w:rFonts w:cs="Times New Roman"/>
          <w:color w:val="000000"/>
          <w:szCs w:val="24"/>
        </w:rPr>
        <w:t>﻿</w:t>
      </w:r>
      <w:r>
        <w:rPr>
          <w:rFonts w:cs="Times New Roman"/>
          <w:szCs w:val="24"/>
        </w:rPr>
        <w:t xml:space="preserve"> </w:t>
      </w:r>
    </w:p>
    <w:p>
      <w:pPr>
        <w:pStyle w:val="HorizontalLine"/>
        <w:pBdr>
          <w:bottom w:val="double" w:sz="6" w:space="0" w:color="808080"/>
        </w:pBdr>
        <w:bidi w:val="0"/>
        <w:ind w:left="1420" w:right="1420" w:hanging="0"/>
        <w:jc w:val="left"/>
        <w:rPr/>
      </w:pPr>
      <w:r>
        <w:rPr/>
      </w:r>
    </w:p>
    <w:p>
      <w:pPr>
        <w:pStyle w:val="TextBody"/>
        <w:bidi w:val="0"/>
        <w:ind w:left="1420" w:right="1420" w:hanging="0"/>
        <w:jc w:val="left"/>
        <w:rPr/>
      </w:pPr>
      <w:r>
        <w:rPr/>
        <w:t> </w:t>
      </w:r>
      <w:r>
        <w:br w:type="page"/>
      </w:r>
    </w:p>
    <w:p>
      <w:pPr>
        <w:pStyle w:val="TextBody"/>
        <w:bidi w:val="0"/>
        <w:spacing w:lineRule="atLeast" w:line="272" w:before="3" w:after="0"/>
        <w:ind w:left="1420" w:right="1420" w:hanging="0"/>
        <w:jc w:val="center"/>
        <w:rPr>
          <w:rFonts w:ascii="Times New Roman" w:hAnsi="Times New Roman"/>
          <w:sz w:val="24"/>
        </w:rPr>
      </w:pPr>
      <w:r>
        <w:rPr>
          <w:rFonts w:ascii="Times New Roman" w:hAnsi="Times New Roman"/>
          <w:color w:val="000000"/>
          <w:sz w:val="24"/>
        </w:rPr>
        <w:t>7</w:t>
      </w:r>
      <w:r>
        <w:rPr>
          <w:rFonts w:ascii="Times New Roman" w:hAnsi="Times New Roman"/>
          <w:sz w:val="24"/>
        </w:rPr>
        <w:t xml:space="preserve"> </w:t>
      </w:r>
    </w:p>
    <w:p>
      <w:pPr>
        <w:pStyle w:val="TextBody"/>
        <w:bidi w:val="0"/>
        <w:spacing w:before="0" w:after="0"/>
        <w:ind w:left="1420" w:right="1420" w:hanging="0"/>
        <w:jc w:val="left"/>
        <w:rPr/>
      </w:pPr>
      <w:r>
        <w:rPr/>
        <w:t xml:space="preserve">  </w:t>
      </w:r>
    </w:p>
    <w:p>
      <w:pPr>
        <w:pStyle w:val="TextBody"/>
        <w:bidi w:val="0"/>
        <w:spacing w:lineRule="atLeast" w:line="273" w:before="15" w:after="0"/>
        <w:ind w:left="1420" w:right="1420" w:hanging="0"/>
        <w:jc w:val="center"/>
        <w:rPr>
          <w:rFonts w:ascii="Times New Roman" w:hAnsi="Times New Roman"/>
          <w:color w:val="000000"/>
          <w:sz w:val="24"/>
          <w:u w:val="single"/>
        </w:rPr>
      </w:pPr>
      <w:r>
        <w:rPr>
          <w:rFonts w:ascii="Times New Roman" w:hAnsi="Times New Roman"/>
          <w:color w:val="000000"/>
          <w:sz w:val="24"/>
          <w:u w:val="single"/>
        </w:rPr>
        <w:t xml:space="preserve">Schedule A </w:t>
      </w:r>
    </w:p>
    <w:p>
      <w:pPr>
        <w:pStyle w:val="TextBody"/>
        <w:bidi w:val="0"/>
        <w:spacing w:lineRule="atLeast" w:line="273" w:before="240" w:after="0"/>
        <w:ind w:left="1420" w:right="1420" w:hanging="0"/>
        <w:jc w:val="center"/>
        <w:rPr>
          <w:rFonts w:ascii="Times New Roman" w:hAnsi="Times New Roman"/>
          <w:sz w:val="24"/>
        </w:rPr>
      </w:pPr>
      <w:r>
        <w:rPr>
          <w:rFonts w:ascii="Times New Roman" w:hAnsi="Times New Roman"/>
          <w:color w:val="000000"/>
          <w:sz w:val="24"/>
          <w:u w:val="single"/>
        </w:rPr>
        <w:t>Performance Goal</w:t>
      </w:r>
      <w:r>
        <w:rPr>
          <w:rFonts w:ascii="Times New Roman" w:hAnsi="Times New Roman"/>
          <w:sz w:val="24"/>
        </w:rPr>
        <w:t xml:space="preserve"> </w:t>
      </w:r>
    </w:p>
    <w:p>
      <w:pPr>
        <w:pStyle w:val="TextBody"/>
        <w:bidi w:val="0"/>
        <w:spacing w:lineRule="atLeast" w:line="277" w:before="235" w:after="0"/>
        <w:ind w:left="1420" w:right="1420" w:hanging="0"/>
        <w:jc w:val="left"/>
        <w:rPr>
          <w:rFonts w:ascii="Times New Roman" w:hAnsi="Times New Roman"/>
          <w:sz w:val="24"/>
        </w:rPr>
      </w:pPr>
      <w:r>
        <w:rPr>
          <w:rFonts w:ascii="Times New Roman" w:hAnsi="Times New Roman"/>
          <w:color w:val="000000"/>
          <w:sz w:val="24"/>
        </w:rPr>
        <w:t>Provided the Grantee has remained in the continuous employment of the Employer through the applicable Vesting Date (except as otherwise provided in Section 3), the applicable portion of the Option shall become vested on the Vesting Date as follows:</w:t>
      </w:r>
      <w:r>
        <w:rPr>
          <w:rFonts w:ascii="Times New Roman" w:hAnsi="Times New Roman"/>
          <w:sz w:val="24"/>
        </w:rPr>
        <w:t xml:space="preserve"> </w:t>
      </w:r>
    </w:p>
    <w:p>
      <w:pPr>
        <w:pStyle w:val="TextBody"/>
        <w:bidi w:val="0"/>
        <w:spacing w:lineRule="atLeast" w:line="277" w:before="237" w:after="0"/>
        <w:ind w:left="1420" w:right="1420" w:hanging="0"/>
        <w:jc w:val="left"/>
        <w:rPr>
          <w:rFonts w:ascii="Times New Roman" w:hAnsi="Times New Roman"/>
          <w:sz w:val="24"/>
        </w:rPr>
      </w:pPr>
      <w:r>
        <w:rPr>
          <w:rFonts w:ascii="Times New Roman" w:hAnsi="Times New Roman"/>
          <w:color w:val="000000"/>
          <w:sz w:val="24"/>
        </w:rPr>
        <w:t>For purposes of this Option award, the achievement of the Performance Goal shall be determined as follows:  </w:t>
      </w:r>
      <w:r>
        <w:rPr>
          <w:rFonts w:ascii="Times New Roman" w:hAnsi="Times New Roman"/>
          <w:color w:val="000000"/>
          <w:sz w:val="20"/>
        </w:rPr>
        <w:t>[___________________]</w:t>
      </w:r>
      <w:r>
        <w:rPr>
          <w:rFonts w:ascii="Times New Roman" w:hAnsi="Times New Roman"/>
          <w:sz w:val="24"/>
        </w:rPr>
        <w:t xml:space="preserve"> </w:t>
      </w:r>
    </w:p>
    <w:p>
      <w:pPr>
        <w:pStyle w:val="TextBody"/>
        <w:bidi w:val="0"/>
        <w:spacing w:lineRule="atLeast" w:line="276" w:before="0" w:after="0"/>
        <w:ind w:left="1420" w:right="1420" w:hanging="0"/>
        <w:jc w:val="center"/>
        <w:rPr>
          <w:rFonts w:cs="Times New Roman"/>
          <w:szCs w:val="24"/>
        </w:rPr>
      </w:pPr>
      <w:r>
        <w:rPr>
          <w:rFonts w:cs="Times New Roman"/>
          <w:color w:val="000000"/>
          <w:szCs w:val="24"/>
        </w:rPr>
        <w:t>﻿</w:t>
      </w:r>
      <w:r>
        <w:rPr>
          <w:rFonts w:cs="Times New Roman"/>
          <w:szCs w:val="24"/>
        </w:rPr>
        <w:t xml:space="preserve"> </w:t>
      </w:r>
    </w:p>
    <w:p>
      <w:pPr>
        <w:pStyle w:val="TextBody"/>
        <w:bidi w:val="0"/>
        <w:spacing w:lineRule="atLeast" w:line="276" w:before="0" w:after="0"/>
        <w:ind w:left="1420" w:right="1420" w:hanging="0"/>
        <w:jc w:val="center"/>
        <w:rPr>
          <w:rFonts w:cs="Times New Roman"/>
          <w:szCs w:val="24"/>
        </w:rPr>
      </w:pPr>
      <w:r>
        <w:rPr>
          <w:rFonts w:cs="Times New Roman"/>
          <w:color w:val="000000"/>
          <w:szCs w:val="24"/>
        </w:rPr>
        <w:t>﻿</w:t>
      </w:r>
      <w:r>
        <w:rPr>
          <w:rFonts w:cs="Times New Roman"/>
          <w:szCs w:val="24"/>
        </w:rPr>
        <w:t xml:space="preserve"> </w:t>
      </w:r>
    </w:p>
    <w:p>
      <w:pPr>
        <w:pStyle w:val="TextBody"/>
        <w:bidi w:val="0"/>
        <w:spacing w:lineRule="atLeast" w:line="276" w:before="0" w:after="0"/>
        <w:ind w:left="1420" w:right="1420" w:hanging="0"/>
        <w:jc w:val="center"/>
        <w:rPr>
          <w:rFonts w:cs="Times New Roman"/>
          <w:szCs w:val="24"/>
        </w:rPr>
      </w:pPr>
      <w:r>
        <w:rPr>
          <w:rFonts w:cs="Times New Roman"/>
          <w:color w:val="000000"/>
          <w:szCs w:val="24"/>
        </w:rPr>
        <w:t>﻿</w:t>
      </w:r>
      <w:r>
        <w:rPr>
          <w:rFonts w:cs="Times New Roman"/>
          <w:szCs w:val="24"/>
        </w:rPr>
        <w:t xml:space="preserve"> </w:t>
      </w:r>
    </w:p>
    <w:p>
      <w:pPr>
        <w:pStyle w:val="TextBody"/>
        <w:bidi w:val="0"/>
        <w:spacing w:lineRule="atLeast" w:line="276" w:before="0" w:after="0"/>
        <w:ind w:left="1420" w:right="1420" w:hanging="0"/>
        <w:jc w:val="center"/>
        <w:rPr>
          <w:rFonts w:cs="Times New Roman"/>
          <w:szCs w:val="24"/>
        </w:rPr>
      </w:pPr>
      <w:r>
        <w:rPr>
          <w:rFonts w:cs="Times New Roman"/>
          <w:color w:val="000000"/>
          <w:szCs w:val="24"/>
        </w:rPr>
        <w:t>﻿</w:t>
      </w:r>
      <w:r>
        <w:rPr>
          <w:rFonts w:cs="Times New Roman"/>
          <w:szCs w:val="24"/>
        </w:rPr>
        <w:t xml:space="preserve"> </w:t>
      </w:r>
    </w:p>
    <w:p>
      <w:pPr>
        <w:pStyle w:val="HorizontalLine"/>
        <w:pBdr>
          <w:bottom w:val="double" w:sz="6" w:space="0" w:color="808080"/>
        </w:pBdr>
        <w:bidi w:val="0"/>
        <w:ind w:left="1420" w:right="1420" w:hanging="0"/>
        <w:jc w:val="left"/>
        <w:rPr/>
      </w:pPr>
      <w:r>
        <w:rPr/>
      </w:r>
    </w:p>
    <w:p>
      <w:pPr>
        <w:pStyle w:val="TextBody"/>
        <w:bidi w:val="0"/>
        <w:spacing w:before="0" w:after="0"/>
        <w:ind w:left="1720" w:right="1440" w:hanging="0"/>
        <w:jc w:val="right"/>
        <w:rPr>
          <w:rFonts w:ascii="Times New Roman" w:hAnsi="Times New Roman"/>
          <w:sz w:val="20"/>
        </w:rPr>
      </w:pPr>
      <w:bookmarkStart w:id="67" w:name="wtrg-20241231xex19_1.htm"/>
      <w:bookmarkStart w:id="68" w:name="kswtrg20241231xex19_1"/>
      <w:bookmarkEnd w:id="67"/>
      <w:bookmarkEnd w:id="68"/>
      <w:r>
        <w:rPr>
          <w:rFonts w:ascii="Times New Roman" w:hAnsi="Times New Roman"/>
          <w:b/>
          <w:sz w:val="20"/>
        </w:rPr>
        <w:t>Exhibit 19.1 to 2024 Form 10-K</w:t>
      </w:r>
      <w:r>
        <w:rPr>
          <w:rFonts w:ascii="Times New Roman" w:hAnsi="Times New Roman"/>
          <w:sz w:val="20"/>
        </w:rPr>
        <w:t xml:space="preserve"> </w:t>
      </w:r>
      <w:r>
        <w:br w:type="page"/>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Updated</w:t>
      </w:r>
      <w:r>
        <w:rPr>
          <w:rFonts w:ascii="Times New Roman" w:hAnsi="Times New Roman"/>
          <w:sz w:val="20"/>
        </w:rPr>
        <w:t> </w:t>
      </w:r>
      <w:r>
        <w:rPr>
          <w:rFonts w:ascii="Times New Roman" w:hAnsi="Times New Roman"/>
          <w:b/>
          <w:sz w:val="20"/>
        </w:rPr>
        <w:t>August</w:t>
      </w:r>
      <w:r>
        <w:rPr>
          <w:rFonts w:ascii="Times New Roman" w:hAnsi="Times New Roman"/>
          <w:sz w:val="20"/>
        </w:rPr>
        <w:t> </w:t>
      </w:r>
      <w:r>
        <w:rPr>
          <w:rFonts w:ascii="Times New Roman" w:hAnsi="Times New Roman"/>
          <w:b/>
          <w:sz w:val="20"/>
        </w:rPr>
        <w:t>2024</w:t>
      </w:r>
      <w:r>
        <w:rPr>
          <w:rFonts w:ascii="Times New Roman" w:hAnsi="Times New Roman"/>
          <w:sz w:val="20"/>
        </w:rPr>
        <w:t xml:space="preserve"> </w:t>
      </w:r>
    </w:p>
    <w:p>
      <w:pPr>
        <w:pStyle w:val="TextBody"/>
        <w:pBdr/>
        <w:bidi w:val="0"/>
        <w:spacing w:before="0" w:after="240"/>
        <w:ind w:left="1720" w:right="1440" w:hanging="0"/>
        <w:jc w:val="center"/>
        <w:rPr>
          <w:rFonts w:ascii="Times New Roman" w:hAnsi="Times New Roman"/>
          <w:b/>
          <w:sz w:val="28"/>
        </w:rPr>
      </w:pPr>
      <w:r>
        <w:rPr>
          <w:rFonts w:ascii="Times New Roman" w:hAnsi="Times New Roman"/>
          <w:b/>
          <w:sz w:val="28"/>
        </w:rPr>
        <w:t xml:space="preserve">Essential Utilities, Inc. </w:t>
      </w:r>
    </w:p>
    <w:p>
      <w:pPr>
        <w:pStyle w:val="TextBody"/>
        <w:pBdr/>
        <w:bidi w:val="0"/>
        <w:spacing w:before="0" w:after="240"/>
        <w:ind w:left="1720" w:right="1440" w:hanging="0"/>
        <w:jc w:val="center"/>
        <w:rPr>
          <w:rFonts w:ascii="Times New Roman" w:hAnsi="Times New Roman"/>
          <w:b/>
          <w:sz w:val="28"/>
        </w:rPr>
      </w:pPr>
      <w:r>
        <w:rPr>
          <w:rFonts w:ascii="Times New Roman" w:hAnsi="Times New Roman"/>
          <w:b/>
          <w:sz w:val="28"/>
        </w:rPr>
        <w:t xml:space="preserve">Insider Trading Policy </w:t>
      </w:r>
    </w:p>
    <w:p>
      <w:pPr>
        <w:pStyle w:val="TextBody"/>
        <w:bidi w:val="0"/>
        <w:spacing w:before="0" w:after="240"/>
        <w:ind w:left="1720" w:right="1440" w:hanging="0"/>
        <w:jc w:val="center"/>
        <w:rPr>
          <w:rFonts w:ascii="Times New Roman" w:hAnsi="Times New Roman"/>
          <w:b/>
          <w:sz w:val="24"/>
        </w:rPr>
      </w:pPr>
      <w:r>
        <w:rPr>
          <w:rFonts w:ascii="Times New Roman" w:hAnsi="Times New Roman"/>
          <w:b/>
          <w:sz w:val="24"/>
        </w:rPr>
        <w:t xml:space="preserve">Overview of Policy </w:t>
      </w:r>
    </w:p>
    <w:p>
      <w:pPr>
        <w:pStyle w:val="TextBody"/>
        <w:bidi w:val="0"/>
        <w:spacing w:before="0" w:after="0"/>
        <w:ind w:left="1720" w:right="1440" w:hanging="0"/>
        <w:jc w:val="both"/>
        <w:rPr>
          <w:rFonts w:ascii="Times New Roman" w:hAnsi="Times New Roman"/>
          <w:sz w:val="24"/>
        </w:rPr>
      </w:pPr>
      <w:r>
        <w:rPr>
          <w:rFonts w:ascii="Times New Roman" w:hAnsi="Times New Roman"/>
          <w:sz w:val="24"/>
        </w:rPr>
        <w:t>Essential Utilities, Inc. has adopted the following insider trading policy (this “</w:t>
      </w:r>
      <w:r>
        <w:rPr>
          <w:rFonts w:ascii="Times New Roman" w:hAnsi="Times New Roman"/>
          <w:sz w:val="24"/>
          <w:u w:val="single"/>
        </w:rPr>
        <w:t>Policy</w:t>
      </w:r>
      <w:r>
        <w:rPr>
          <w:rFonts w:ascii="Times New Roman" w:hAnsi="Times New Roman"/>
          <w:sz w:val="24"/>
        </w:rPr>
        <w:t>”) in order to comply with federal and state securities laws governing (a) trading in the Company’s securities while in the possession of “material nonpublic information” concerning the Company, and (b) prohibitions on tipping or disclosing material nonpublic information to outsiders, in order to prevent even the appearance of improper insider trading or tipping.  Essential Utilities, Inc. and its subsidiaries are collectively referred to herein as the “</w:t>
      </w:r>
      <w:r>
        <w:rPr>
          <w:rFonts w:ascii="Times New Roman" w:hAnsi="Times New Roman"/>
          <w:sz w:val="24"/>
          <w:u w:val="single"/>
        </w:rPr>
        <w:t>Company</w:t>
      </w:r>
      <w:r>
        <w:rPr>
          <w:rFonts w:ascii="Times New Roman" w:hAnsi="Times New Roman"/>
          <w:sz w:val="24"/>
        </w:rPr>
        <w:t xml:space="preserve">.” </w:t>
      </w:r>
    </w:p>
    <w:p>
      <w:pPr>
        <w:pStyle w:val="TextBody"/>
        <w:bidi w:val="0"/>
        <w:spacing w:before="0" w:after="0"/>
        <w:ind w:left="1720" w:right="1440" w:hanging="0"/>
        <w:jc w:val="both"/>
        <w:rPr>
          <w:rFonts w:cs="Times New Roman"/>
          <w:szCs w:val="24"/>
        </w:rPr>
      </w:pPr>
      <w:r>
        <w:rPr>
          <w:rFonts w:cs="Times New Roman"/>
          <w:szCs w:val="24"/>
        </w:rPr>
        <w:t xml:space="preserve">﻿ </w:t>
      </w:r>
    </w:p>
    <w:p>
      <w:pPr>
        <w:pStyle w:val="TextBody"/>
        <w:bidi w:val="0"/>
        <w:spacing w:before="0" w:after="240"/>
        <w:ind w:left="1720" w:right="1440" w:hanging="0"/>
        <w:jc w:val="both"/>
        <w:rPr>
          <w:rFonts w:ascii="Times New Roman" w:hAnsi="Times New Roman"/>
          <w:b/>
          <w:sz w:val="24"/>
        </w:rPr>
      </w:pPr>
      <w:r>
        <w:rPr>
          <w:rFonts w:ascii="Times New Roman" w:hAnsi="Times New Roman"/>
          <w:b/>
          <w:sz w:val="24"/>
        </w:rPr>
        <w:t xml:space="preserve">Scope of Policy </w:t>
      </w:r>
    </w:p>
    <w:tbl>
      <w:tblPr>
        <w:tblW w:w="7045" w:type="dxa"/>
        <w:jc w:val="left"/>
        <w:tblInd w:w="1720" w:type="dxa"/>
        <w:tblLayout w:type="fixed"/>
        <w:tblCellMar>
          <w:top w:w="0" w:type="dxa"/>
          <w:left w:w="0" w:type="dxa"/>
          <w:bottom w:w="0" w:type="dxa"/>
          <w:right w:w="0" w:type="dxa"/>
        </w:tblCellMar>
      </w:tblPr>
      <w:tblGrid>
        <w:gridCol w:w="38"/>
        <w:gridCol w:w="269"/>
        <w:gridCol w:w="23"/>
        <w:gridCol w:w="6715"/>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b w:val="false"/>
                <w:i w:val="false"/>
                <w:caps w:val="false"/>
                <w:smallCaps w:val="false"/>
                <w:sz w:val="24"/>
              </w:rPr>
              <w:t>A.</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15"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color w:val="000000"/>
                <w:sz w:val="24"/>
              </w:rPr>
              <w:t>This Policy applies to all directors, and officers of the Company, their family members and members of their households, and entities (such as trusts, partnerships, corporations and investment clubs) over which such directors, officers and employees of the Company have or share voting or investment control (singularly referred to as an “Insider” and collectively referred to as “</w:t>
            </w:r>
            <w:r>
              <w:rPr>
                <w:rFonts w:ascii="Times New Roman" w:hAnsi="Times New Roman"/>
                <w:color w:val="000000"/>
                <w:sz w:val="24"/>
                <w:u w:val="single"/>
              </w:rPr>
              <w:t>Insiders</w:t>
            </w:r>
            <w:r>
              <w:rPr>
                <w:rFonts w:ascii="Times New Roman" w:hAnsi="Times New Roman"/>
                <w:color w:val="000000"/>
                <w:sz w:val="24"/>
              </w:rPr>
              <w:t xml:space="preserve">”).  </w:t>
            </w:r>
          </w:p>
        </w:tc>
      </w:tr>
    </w:tbl>
    <w:tbl>
      <w:tblPr>
        <w:tblW w:w="7045" w:type="dxa"/>
        <w:jc w:val="left"/>
        <w:tblInd w:w="1720" w:type="dxa"/>
        <w:tblLayout w:type="fixed"/>
        <w:tblCellMar>
          <w:top w:w="0" w:type="dxa"/>
          <w:left w:w="0" w:type="dxa"/>
          <w:bottom w:w="0" w:type="dxa"/>
          <w:right w:w="0" w:type="dxa"/>
        </w:tblCellMar>
      </w:tblPr>
      <w:tblGrid>
        <w:gridCol w:w="38"/>
        <w:gridCol w:w="261"/>
        <w:gridCol w:w="23"/>
        <w:gridCol w:w="6723"/>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b w:val="false"/>
                <w:i w:val="false"/>
                <w:caps w:val="false"/>
                <w:smallCaps w:val="false"/>
                <w:sz w:val="24"/>
              </w:rPr>
              <w:t>B.</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23"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color w:val="000000"/>
                <w:sz w:val="24"/>
              </w:rPr>
              <w:t>This Policy also applies to any third parties whom the Compliance Officer, as defined below, may designate as individuals with access to material nonpublic information concerning the Company (the “</w:t>
            </w:r>
            <w:r>
              <w:rPr>
                <w:rFonts w:ascii="Times New Roman" w:hAnsi="Times New Roman"/>
                <w:color w:val="000000"/>
                <w:sz w:val="24"/>
                <w:u w:val="single"/>
              </w:rPr>
              <w:t>Designated Outsiders</w:t>
            </w:r>
            <w:r>
              <w:rPr>
                <w:rFonts w:ascii="Times New Roman" w:hAnsi="Times New Roman"/>
                <w:color w:val="000000"/>
                <w:sz w:val="24"/>
              </w:rPr>
              <w:t xml:space="preserve">”). </w:t>
            </w:r>
          </w:p>
        </w:tc>
      </w:tr>
    </w:tbl>
    <w:tbl>
      <w:tblPr>
        <w:tblW w:w="7045" w:type="dxa"/>
        <w:jc w:val="left"/>
        <w:tblInd w:w="1720" w:type="dxa"/>
        <w:tblLayout w:type="fixed"/>
        <w:tblCellMar>
          <w:top w:w="0" w:type="dxa"/>
          <w:left w:w="0" w:type="dxa"/>
          <w:bottom w:w="0" w:type="dxa"/>
          <w:right w:w="0" w:type="dxa"/>
        </w:tblCellMar>
      </w:tblPr>
      <w:tblGrid>
        <w:gridCol w:w="38"/>
        <w:gridCol w:w="250"/>
        <w:gridCol w:w="23"/>
        <w:gridCol w:w="6734"/>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b w:val="false"/>
                <w:i w:val="false"/>
                <w:caps w:val="false"/>
                <w:smallCaps w:val="false"/>
                <w:sz w:val="24"/>
              </w:rPr>
              <w:t>C.</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34"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This Policy applies to any and all transactions in the Company’s securities, including its common stock and options or other equity awards to purchase or acquire its common stock, and any other type of securities that the Company may issue from time to time, such as preferred stock, promissory notes, convertible debentures and warrants, exchange-traded options and other derivative securities, and rights, whether or not issued by the Company.  For the avoidance of doubt, transactions involving the sale of Company’s equity that may be necessary for personal reasons (such as the need to raise money for an emergency) are subject to this Policy.</w:t>
            </w:r>
          </w:p>
        </w:tc>
      </w:tr>
    </w:tbl>
    <w:tbl>
      <w:tblPr>
        <w:tblW w:w="7045" w:type="dxa"/>
        <w:jc w:val="left"/>
        <w:tblInd w:w="1720" w:type="dxa"/>
        <w:tblLayout w:type="fixed"/>
        <w:tblCellMar>
          <w:top w:w="0" w:type="dxa"/>
          <w:left w:w="0" w:type="dxa"/>
          <w:bottom w:w="0" w:type="dxa"/>
          <w:right w:w="0" w:type="dxa"/>
        </w:tblCellMar>
      </w:tblPr>
      <w:tblGrid>
        <w:gridCol w:w="38"/>
        <w:gridCol w:w="265"/>
        <w:gridCol w:w="23"/>
        <w:gridCol w:w="6719"/>
      </w:tblGrid>
      <w:tr>
        <w:trPr/>
        <w:tc>
          <w:tcPr>
            <w:tcW w:w="38" w:type="dxa"/>
            <w:tcBorders/>
            <w:vAlign w:val="center"/>
          </w:tcPr>
          <w:p>
            <w:pPr>
              <w:pStyle w:val="TableContents"/>
              <w:bidi w:val="0"/>
              <w:spacing w:before="0" w:after="283"/>
              <w:jc w:val="left"/>
              <w:rPr>
                <w:sz w:val="4"/>
                <w:szCs w:val="4"/>
              </w:rPr>
            </w:pPr>
            <w:r>
              <w:rPr>
                <w:sz w:val="4"/>
                <w:szCs w:val="4"/>
              </w:rPr>
            </w:r>
          </w:p>
        </w:tc>
        <w:tc>
          <w:tcPr>
            <w:tcW w:w="265"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b w:val="false"/>
                <w:i w:val="false"/>
                <w:caps w:val="false"/>
                <w:smallCaps w:val="false"/>
                <w:sz w:val="24"/>
              </w:rPr>
              <w:t>D.</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19"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This Policy has been provided to each Insider and to all new Insiders and Designated Outsiders at the start of their respective employment or relationship with the Company.  This Policy continues to apply even after the employment or other relationship between the Company and an Insider or Designated Outsider has terminated. A current or former Insider or Designated Outsider may not effect, recommend or influence a transaction in the Company’s securities until any material nonpublic information obtained during such person’s employment or other relationship with the Company either has become public or is no longer material.</w:t>
            </w:r>
          </w:p>
        </w:tc>
      </w:tr>
    </w:tbl>
    <w:p>
      <w:pPr>
        <w:pStyle w:val="TextBody"/>
        <w:bidi w:val="0"/>
        <w:spacing w:before="0" w:after="0"/>
        <w:ind w:left="1720" w:right="1440" w:hanging="0"/>
        <w:jc w:val="center"/>
        <w:rPr>
          <w:rFonts w:ascii="Times New Roman" w:hAnsi="Times New Roman"/>
          <w:sz w:val="24"/>
        </w:rPr>
      </w:pPr>
      <w:r>
        <w:rPr>
          <w:rFonts w:ascii="Times New Roman" w:hAnsi="Times New Roman"/>
          <w:sz w:val="24"/>
        </w:rPr>
        <w:t xml:space="preserve">1 </w:t>
      </w:r>
    </w:p>
    <w:p>
      <w:pPr>
        <w:pStyle w:val="TextBody"/>
        <w:bidi w:val="0"/>
        <w:spacing w:lineRule="atLeast" w:line="200" w:before="0" w:after="0"/>
        <w:ind w:left="1720" w:right="1440" w:hanging="0"/>
        <w:jc w:val="left"/>
        <w:rPr/>
      </w:pPr>
      <w:r>
        <w:rPr/>
        <w:t xml:space="preserve">  </w:t>
      </w:r>
    </w:p>
    <w:p>
      <w:pPr>
        <w:pStyle w:val="TextBody"/>
        <w:bidi w:val="0"/>
        <w:spacing w:lineRule="atLeast" w:line="200" w:before="0" w:after="0"/>
        <w:ind w:left="1720" w:right="1440" w:hanging="0"/>
        <w:jc w:val="left"/>
        <w:rPr/>
      </w:pPr>
      <w:r>
        <w:rPr/>
        <w:t xml:space="preserve">  </w:t>
      </w:r>
    </w:p>
    <w:p>
      <w:pPr>
        <w:pStyle w:val="HorizontalLine"/>
        <w:pBdr>
          <w:bottom w:val="double" w:sz="6" w:space="0" w:color="808080"/>
        </w:pBdr>
        <w:bidi w:val="0"/>
        <w:ind w:left="1720" w:right="1440" w:hanging="0"/>
        <w:jc w:val="left"/>
        <w:rPr/>
      </w:pPr>
      <w:r>
        <w:rPr/>
      </w:r>
    </w:p>
    <w:p>
      <w:pPr>
        <w:pStyle w:val="TextBody"/>
        <w:bidi w:val="0"/>
        <w:ind w:left="1720" w:right="1440" w:hanging="0"/>
        <w:jc w:val="left"/>
        <w:rPr/>
      </w:pPr>
      <w:r>
        <w:rPr/>
        <w:t> </w:t>
      </w:r>
      <w:r>
        <w:br w:type="page"/>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Exhibit 19.1 to 2024 Form 10-K</w:t>
      </w:r>
      <w:r>
        <w:rPr>
          <w:rFonts w:ascii="Times New Roman" w:hAnsi="Times New Roman"/>
          <w:sz w:val="20"/>
        </w:rPr>
        <w:t xml:space="preserve"> </w:t>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Updated</w:t>
      </w:r>
      <w:r>
        <w:rPr>
          <w:rFonts w:ascii="Times New Roman" w:hAnsi="Times New Roman"/>
          <w:sz w:val="20"/>
        </w:rPr>
        <w:t> </w:t>
      </w:r>
      <w:r>
        <w:rPr>
          <w:rFonts w:ascii="Times New Roman" w:hAnsi="Times New Roman"/>
          <w:b/>
          <w:sz w:val="20"/>
        </w:rPr>
        <w:t>August</w:t>
      </w:r>
      <w:r>
        <w:rPr>
          <w:rFonts w:ascii="Times New Roman" w:hAnsi="Times New Roman"/>
          <w:sz w:val="20"/>
        </w:rPr>
        <w:t> </w:t>
      </w:r>
      <w:r>
        <w:rPr>
          <w:rFonts w:ascii="Times New Roman" w:hAnsi="Times New Roman"/>
          <w:b/>
          <w:sz w:val="20"/>
        </w:rPr>
        <w:t>2024</w:t>
      </w:r>
      <w:r>
        <w:rPr>
          <w:rFonts w:ascii="Times New Roman" w:hAnsi="Times New Roman"/>
          <w:sz w:val="20"/>
        </w:rPr>
        <w:t xml:space="preserve"> </w:t>
      </w:r>
    </w:p>
    <w:p>
      <w:pPr>
        <w:pStyle w:val="TextBody"/>
        <w:bidi w:val="0"/>
        <w:spacing w:before="0" w:after="0"/>
        <w:ind w:left="1720" w:right="1440" w:hanging="0"/>
        <w:jc w:val="left"/>
        <w:rPr/>
      </w:pPr>
      <w:r>
        <w:rPr/>
        <w:t xml:space="preserve">  </w:t>
      </w:r>
    </w:p>
    <w:p>
      <w:pPr>
        <w:pStyle w:val="TextBody"/>
        <w:bidi w:val="0"/>
        <w:spacing w:before="0" w:after="0"/>
        <w:ind w:left="2980" w:right="1440" w:hanging="0"/>
        <w:jc w:val="both"/>
        <w:rPr>
          <w:rFonts w:ascii="Times New Roman" w:hAnsi="Times New Roman"/>
          <w:sz w:val="24"/>
        </w:rPr>
      </w:pPr>
      <w:r>
        <w:rPr>
          <w:rFonts w:ascii="Times New Roman" w:hAnsi="Times New Roman"/>
          <w:sz w:val="24"/>
        </w:rPr>
        <w:t>E.If a person violates the insider trading laws, he or she may have to pay civil fines for up to three times the profit gained or loss avoided by the unlawful trading, as well as criminal fines of up to $5,000,000.  He or she also may have to serve a jail sentence of up to 20 years.  In addition, the Company could be subject to a civil fine of up to the greater of $1,000,000 and three times the profit gained or loss avoided as a result of any unlawful trading violations by an Insider.  The Company could face criminal penalties of up to $25,000,000.  Both the SEC and the Financial Industry Regulatory Authority (“</w:t>
      </w:r>
      <w:r>
        <w:rPr>
          <w:rFonts w:ascii="Times New Roman" w:hAnsi="Times New Roman"/>
          <w:sz w:val="24"/>
          <w:u w:val="single"/>
        </w:rPr>
        <w:t>FINRA</w:t>
      </w:r>
      <w:r>
        <w:rPr>
          <w:rFonts w:ascii="Times New Roman" w:hAnsi="Times New Roman"/>
          <w:sz w:val="24"/>
        </w:rPr>
        <w:t xml:space="preserve">”) are very effective at detecting and pursuing insider trading cases.  The SEC has successfully prosecuted cases against employees trading through foreign accounts, trading by family members and friends, and trading involving only a small number of shares.  Therefore, it is important that each Insider and Designated Outsider understand the breadth of activities that constitute illegal insider trading.  </w:t>
      </w:r>
    </w:p>
    <w:p>
      <w:pPr>
        <w:pStyle w:val="TextBody"/>
        <w:bidi w:val="0"/>
        <w:spacing w:before="0" w:after="0"/>
        <w:ind w:left="2980" w:right="1440" w:hanging="540"/>
        <w:jc w:val="both"/>
        <w:rPr>
          <w:rFonts w:cs="Times New Roman"/>
          <w:szCs w:val="24"/>
        </w:rPr>
      </w:pPr>
      <w:r>
        <w:rPr>
          <w:rFonts w:cs="Times New Roman"/>
          <w:szCs w:val="24"/>
        </w:rPr>
        <w:t xml:space="preserve">﻿ </w:t>
      </w:r>
    </w:p>
    <w:p>
      <w:pPr>
        <w:pStyle w:val="TextBody"/>
        <w:bidi w:val="0"/>
        <w:spacing w:before="0" w:after="240"/>
        <w:ind w:left="1720" w:right="1440" w:hanging="0"/>
        <w:jc w:val="both"/>
        <w:rPr>
          <w:rFonts w:ascii="Times New Roman" w:hAnsi="Times New Roman"/>
          <w:b/>
          <w:sz w:val="24"/>
        </w:rPr>
      </w:pPr>
      <w:r>
        <w:rPr>
          <w:rFonts w:ascii="Times New Roman" w:hAnsi="Times New Roman"/>
          <w:b/>
          <w:sz w:val="24"/>
        </w:rPr>
        <w:t xml:space="preserve">Designation of Certain Persons </w:t>
      </w:r>
    </w:p>
    <w:tbl>
      <w:tblPr>
        <w:tblW w:w="7045" w:type="dxa"/>
        <w:jc w:val="left"/>
        <w:tblInd w:w="1720" w:type="dxa"/>
        <w:tblLayout w:type="fixed"/>
        <w:tblCellMar>
          <w:top w:w="0" w:type="dxa"/>
          <w:left w:w="0" w:type="dxa"/>
          <w:bottom w:w="0" w:type="dxa"/>
          <w:right w:w="0" w:type="dxa"/>
        </w:tblCellMar>
      </w:tblPr>
      <w:tblGrid>
        <w:gridCol w:w="38"/>
        <w:gridCol w:w="264"/>
        <w:gridCol w:w="23"/>
        <w:gridCol w:w="6720"/>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b w:val="false"/>
                <w:i w:val="false"/>
                <w:caps w:val="false"/>
                <w:smallCaps w:val="false"/>
                <w:sz w:val="24"/>
              </w:rPr>
              <w:t>A.</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20"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i/>
                <w:color w:val="000000"/>
                <w:sz w:val="24"/>
              </w:rPr>
              <w:t>Section 16 Individuals</w:t>
            </w:r>
            <w:r>
              <w:rPr>
                <w:rFonts w:ascii="Times New Roman" w:hAnsi="Times New Roman"/>
                <w:color w:val="000000"/>
                <w:sz w:val="24"/>
              </w:rPr>
              <w:t xml:space="preserve">. The Company has identified on </w:t>
            </w:r>
            <w:r>
              <w:rPr>
                <w:rFonts w:ascii="Times New Roman" w:hAnsi="Times New Roman"/>
                <w:i/>
                <w:color w:val="000000"/>
                <w:sz w:val="24"/>
                <w:u w:val="single"/>
              </w:rPr>
              <w:t>Attachment A</w:t>
            </w:r>
            <w:r>
              <w:rPr>
                <w:rFonts w:ascii="Times New Roman" w:hAnsi="Times New Roman"/>
                <w:color w:val="000000"/>
                <w:sz w:val="24"/>
              </w:rPr>
              <w:t xml:space="preserve"> hereto the directors and officers of the Company who are subject to the reporting and liability provisions of Section 16 (“</w:t>
            </w:r>
            <w:r>
              <w:rPr>
                <w:rFonts w:ascii="Times New Roman" w:hAnsi="Times New Roman"/>
                <w:color w:val="000000"/>
                <w:sz w:val="24"/>
                <w:u w:val="single"/>
              </w:rPr>
              <w:t>Section 16</w:t>
            </w:r>
            <w:r>
              <w:rPr>
                <w:rFonts w:ascii="Times New Roman" w:hAnsi="Times New Roman"/>
                <w:color w:val="000000"/>
                <w:sz w:val="24"/>
              </w:rPr>
              <w:t>”) of the Securities Exchange Act of 1934, as amended (the “</w:t>
            </w:r>
            <w:r>
              <w:rPr>
                <w:rFonts w:ascii="Times New Roman" w:hAnsi="Times New Roman"/>
                <w:color w:val="000000"/>
                <w:sz w:val="24"/>
                <w:u w:val="single"/>
              </w:rPr>
              <w:t>Exchange Act</w:t>
            </w:r>
            <w:r>
              <w:rPr>
                <w:rFonts w:ascii="Times New Roman" w:hAnsi="Times New Roman"/>
                <w:color w:val="000000"/>
                <w:sz w:val="24"/>
              </w:rPr>
              <w:t>”), and the rules and regulations promulgated thereunder (collectively, “</w:t>
            </w:r>
            <w:r>
              <w:rPr>
                <w:rFonts w:ascii="Times New Roman" w:hAnsi="Times New Roman"/>
                <w:color w:val="000000"/>
                <w:sz w:val="24"/>
                <w:u w:val="single"/>
              </w:rPr>
              <w:t>Section 16 Individuals</w:t>
            </w:r>
            <w:r>
              <w:rPr>
                <w:rFonts w:ascii="Times New Roman" w:hAnsi="Times New Roman"/>
                <w:color w:val="000000"/>
                <w:sz w:val="24"/>
              </w:rPr>
              <w:t>”).  Section 16 Individuals must obtain prior approval (“</w:t>
            </w:r>
            <w:r>
              <w:rPr>
                <w:rFonts w:ascii="Times New Roman" w:hAnsi="Times New Roman"/>
                <w:color w:val="000000"/>
                <w:sz w:val="24"/>
                <w:u w:val="single"/>
              </w:rPr>
              <w:t>pre-clearance</w:t>
            </w:r>
            <w:r>
              <w:rPr>
                <w:rFonts w:ascii="Times New Roman" w:hAnsi="Times New Roman"/>
                <w:color w:val="000000"/>
                <w:sz w:val="24"/>
              </w:rPr>
              <w:t xml:space="preserve">”) of all trades in the Company’s securities from the Compliance Officer.  The Compliance Officer may amend </w:t>
            </w:r>
            <w:r>
              <w:rPr>
                <w:rFonts w:ascii="Times New Roman" w:hAnsi="Times New Roman"/>
                <w:i/>
                <w:color w:val="000000"/>
                <w:sz w:val="24"/>
                <w:u w:val="single"/>
              </w:rPr>
              <w:t>Attachment A</w:t>
            </w:r>
            <w:r>
              <w:rPr>
                <w:rFonts w:ascii="Times New Roman" w:hAnsi="Times New Roman"/>
                <w:color w:val="000000"/>
                <w:sz w:val="24"/>
              </w:rPr>
              <w:t xml:space="preserve"> from time to time as necessary to reflect the addition, resignation or departure of Section 16 Individuals.</w:t>
            </w:r>
          </w:p>
        </w:tc>
      </w:tr>
    </w:tbl>
    <w:tbl>
      <w:tblPr>
        <w:tblW w:w="7045" w:type="dxa"/>
        <w:jc w:val="left"/>
        <w:tblInd w:w="1720" w:type="dxa"/>
        <w:tblLayout w:type="fixed"/>
        <w:tblCellMar>
          <w:top w:w="0" w:type="dxa"/>
          <w:left w:w="0" w:type="dxa"/>
          <w:bottom w:w="0" w:type="dxa"/>
          <w:right w:w="0" w:type="dxa"/>
        </w:tblCellMar>
      </w:tblPr>
      <w:tblGrid>
        <w:gridCol w:w="38"/>
        <w:gridCol w:w="237"/>
        <w:gridCol w:w="23"/>
        <w:gridCol w:w="6747"/>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b w:val="false"/>
                <w:i w:val="false"/>
                <w:caps w:val="false"/>
                <w:smallCaps w:val="false"/>
                <w:sz w:val="24"/>
              </w:rPr>
              <w:t>E.</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47"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i/>
                <w:color w:val="000000"/>
                <w:sz w:val="24"/>
              </w:rPr>
              <w:t>Other</w:t>
            </w:r>
            <w:r>
              <w:rPr>
                <w:rFonts w:ascii="Times New Roman" w:hAnsi="Times New Roman"/>
                <w:color w:val="000000"/>
                <w:sz w:val="24"/>
              </w:rPr>
              <w:t> </w:t>
            </w:r>
            <w:r>
              <w:rPr>
                <w:rFonts w:ascii="Times New Roman" w:hAnsi="Times New Roman"/>
                <w:i/>
                <w:color w:val="000000"/>
                <w:sz w:val="24"/>
              </w:rPr>
              <w:t>Persons</w:t>
            </w:r>
            <w:r>
              <w:rPr>
                <w:rFonts w:ascii="Times New Roman" w:hAnsi="Times New Roman"/>
                <w:color w:val="000000"/>
                <w:sz w:val="24"/>
              </w:rPr>
              <w:t xml:space="preserve">. The Company has designated those persons listed on </w:t>
            </w:r>
            <w:r>
              <w:rPr>
                <w:rFonts w:ascii="Times New Roman" w:hAnsi="Times New Roman"/>
                <w:i/>
                <w:color w:val="000000"/>
                <w:sz w:val="24"/>
                <w:u w:val="single"/>
              </w:rPr>
              <w:t>Attachment</w:t>
            </w:r>
            <w:r>
              <w:rPr>
                <w:rFonts w:ascii="Times New Roman" w:hAnsi="Times New Roman"/>
                <w:sz w:val="24"/>
              </w:rPr>
              <w:t> </w:t>
            </w:r>
            <w:r>
              <w:rPr>
                <w:rFonts w:ascii="Times New Roman" w:hAnsi="Times New Roman"/>
                <w:i/>
                <w:color w:val="000000"/>
                <w:sz w:val="24"/>
                <w:u w:val="single"/>
              </w:rPr>
              <w:t>B</w:t>
            </w:r>
            <w:r>
              <w:rPr>
                <w:rFonts w:ascii="Times New Roman" w:hAnsi="Times New Roman"/>
                <w:color w:val="000000"/>
                <w:sz w:val="24"/>
              </w:rPr>
              <w:t xml:space="preserve"> hereto as “</w:t>
            </w:r>
            <w:r>
              <w:rPr>
                <w:rFonts w:ascii="Times New Roman" w:hAnsi="Times New Roman"/>
                <w:color w:val="000000"/>
                <w:sz w:val="24"/>
                <w:u w:val="single"/>
              </w:rPr>
              <w:t>Other Persons</w:t>
            </w:r>
            <w:r>
              <w:rPr>
                <w:rFonts w:ascii="Times New Roman" w:hAnsi="Times New Roman"/>
                <w:color w:val="000000"/>
                <w:sz w:val="24"/>
              </w:rPr>
              <w:t xml:space="preserve">” who, because of their position with the Company and their access to material nonpublic information, must obtain pre-clearance of all trades in the Company’s securities from the Compliance Officer.  The Compliance Officer may amend </w:t>
            </w:r>
            <w:r>
              <w:rPr>
                <w:rFonts w:ascii="Times New Roman" w:hAnsi="Times New Roman"/>
                <w:i/>
                <w:color w:val="000000"/>
                <w:sz w:val="24"/>
                <w:u w:val="single"/>
              </w:rPr>
              <w:t>Attachment B</w:t>
            </w:r>
            <w:r>
              <w:rPr>
                <w:rFonts w:ascii="Times New Roman" w:hAnsi="Times New Roman"/>
                <w:color w:val="000000"/>
                <w:sz w:val="24"/>
              </w:rPr>
              <w:t xml:space="preserve"> from time to time as necessary to reflect the addition, resignation or departure of Other Persons.</w:t>
            </w:r>
          </w:p>
        </w:tc>
      </w:tr>
    </w:tbl>
    <w:p>
      <w:pPr>
        <w:pStyle w:val="TextBody"/>
        <w:bidi w:val="0"/>
        <w:spacing w:before="0" w:after="240"/>
        <w:ind w:left="1720" w:right="1440" w:hanging="0"/>
        <w:jc w:val="both"/>
        <w:rPr>
          <w:rFonts w:ascii="Times New Roman" w:hAnsi="Times New Roman"/>
          <w:b/>
          <w:sz w:val="24"/>
        </w:rPr>
      </w:pPr>
      <w:r>
        <w:rPr>
          <w:rFonts w:ascii="Times New Roman" w:hAnsi="Times New Roman"/>
          <w:b/>
          <w:color w:val="000000"/>
          <w:sz w:val="24"/>
        </w:rPr>
        <w:t>Compliance Officer</w:t>
      </w:r>
      <w:r>
        <w:rPr>
          <w:rFonts w:ascii="Times New Roman" w:hAnsi="Times New Roman"/>
          <w:b/>
          <w:sz w:val="24"/>
        </w:rPr>
        <w:t xml:space="preserve"> </w:t>
      </w:r>
    </w:p>
    <w:p>
      <w:pPr>
        <w:pStyle w:val="TextBody"/>
        <w:bidi w:val="0"/>
        <w:spacing w:before="0" w:after="0"/>
        <w:ind w:left="1720" w:right="1440" w:hanging="0"/>
        <w:jc w:val="both"/>
        <w:rPr>
          <w:rFonts w:ascii="Times New Roman" w:hAnsi="Times New Roman"/>
          <w:sz w:val="24"/>
        </w:rPr>
      </w:pPr>
      <w:r>
        <w:rPr>
          <w:rFonts w:ascii="Times New Roman" w:hAnsi="Times New Roman"/>
          <w:color w:val="000000"/>
          <w:sz w:val="24"/>
        </w:rPr>
        <w:t>The Company has designated Christopher P. Luning, the General Counsel of Essential Utilities, Inc., as its Compliance Officer for purposes of this Policy (the “</w:t>
      </w:r>
      <w:r>
        <w:rPr>
          <w:rFonts w:ascii="Times New Roman" w:hAnsi="Times New Roman"/>
          <w:color w:val="000000"/>
          <w:sz w:val="24"/>
          <w:u w:val="single"/>
        </w:rPr>
        <w:t>Compliance Officer</w:t>
      </w:r>
      <w:r>
        <w:rPr>
          <w:rFonts w:ascii="Times New Roman" w:hAnsi="Times New Roman"/>
          <w:color w:val="000000"/>
          <w:sz w:val="24"/>
        </w:rPr>
        <w:t>”).  The Compliance Officer may designate one or more individuals who may perform the Compliance Officer’s duties in the event that the Compliance Officer is unable or unavailable to perform such duties.  The duties of the Compliance Officer will include, but not be limited to, the following:</w:t>
      </w:r>
      <w:r>
        <w:rPr>
          <w:rFonts w:ascii="Times New Roman" w:hAnsi="Times New Roman"/>
          <w:sz w:val="24"/>
        </w:rPr>
        <w:t xml:space="preserve"> </w:t>
      </w:r>
    </w:p>
    <w:p>
      <w:pPr>
        <w:pStyle w:val="TextBody"/>
        <w:bidi w:val="0"/>
        <w:spacing w:before="0" w:after="0"/>
        <w:ind w:left="1720" w:right="1440" w:hanging="0"/>
        <w:jc w:val="both"/>
        <w:rPr>
          <w:rFonts w:cs="Times New Roman"/>
          <w:szCs w:val="24"/>
        </w:rPr>
      </w:pPr>
      <w:r>
        <w:rPr>
          <w:rFonts w:cs="Times New Roman"/>
          <w:color w:val="000000"/>
          <w:szCs w:val="24"/>
        </w:rPr>
        <w:t>﻿</w:t>
      </w:r>
      <w:r>
        <w:rPr>
          <w:rFonts w:cs="Times New Roman"/>
          <w:szCs w:val="24"/>
        </w:rPr>
        <w:t xml:space="preserve"> </w:t>
      </w:r>
    </w:p>
    <w:tbl>
      <w:tblPr>
        <w:tblW w:w="7045" w:type="dxa"/>
        <w:jc w:val="left"/>
        <w:tblInd w:w="1720" w:type="dxa"/>
        <w:tblLayout w:type="fixed"/>
        <w:tblCellMar>
          <w:top w:w="0" w:type="dxa"/>
          <w:left w:w="0" w:type="dxa"/>
          <w:bottom w:w="0" w:type="dxa"/>
          <w:right w:w="0" w:type="dxa"/>
        </w:tblCellMar>
      </w:tblPr>
      <w:tblGrid>
        <w:gridCol w:w="38"/>
        <w:gridCol w:w="288"/>
        <w:gridCol w:w="23"/>
        <w:gridCol w:w="6696"/>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sz w:val="24"/>
              </w:rPr>
              <w:t>(1)</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696"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 xml:space="preserve">Administering this Policy and monitoring and enforcing compliance with all provisions and procedures of this Policy. </w:t>
            </w:r>
          </w:p>
        </w:tc>
      </w:tr>
    </w:tbl>
    <w:tbl>
      <w:tblPr>
        <w:tblW w:w="6926" w:type="dxa"/>
        <w:jc w:val="left"/>
        <w:tblInd w:w="1720" w:type="dxa"/>
        <w:tblLayout w:type="fixed"/>
        <w:tblCellMar>
          <w:top w:w="0" w:type="dxa"/>
          <w:left w:w="0" w:type="dxa"/>
          <w:bottom w:w="0" w:type="dxa"/>
          <w:right w:w="0" w:type="dxa"/>
        </w:tblCellMar>
      </w:tblPr>
      <w:tblGrid>
        <w:gridCol w:w="38"/>
        <w:gridCol w:w="350"/>
        <w:gridCol w:w="23"/>
        <w:gridCol w:w="6515"/>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sz w:val="24"/>
              </w:rPr>
              <w:t>(2)</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515"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 xml:space="preserve">Responding to all inquiries relating to this Policy and its procedures. </w:t>
            </w:r>
          </w:p>
        </w:tc>
      </w:tr>
    </w:tbl>
    <w:p>
      <w:pPr>
        <w:pStyle w:val="TextBody"/>
        <w:bidi w:val="0"/>
        <w:spacing w:before="0" w:after="0"/>
        <w:ind w:left="1720" w:right="1440" w:hanging="0"/>
        <w:jc w:val="center"/>
        <w:rPr>
          <w:rFonts w:ascii="Times New Roman" w:hAnsi="Times New Roman"/>
          <w:sz w:val="24"/>
        </w:rPr>
      </w:pPr>
      <w:r>
        <w:rPr>
          <w:rFonts w:ascii="Times New Roman" w:hAnsi="Times New Roman"/>
          <w:sz w:val="24"/>
        </w:rPr>
        <w:t xml:space="preserve">2 </w:t>
      </w:r>
    </w:p>
    <w:p>
      <w:pPr>
        <w:pStyle w:val="TextBody"/>
        <w:bidi w:val="0"/>
        <w:spacing w:lineRule="atLeast" w:line="200" w:before="0" w:after="0"/>
        <w:ind w:left="1720" w:right="1440" w:hanging="0"/>
        <w:jc w:val="left"/>
        <w:rPr/>
      </w:pPr>
      <w:r>
        <w:rPr/>
        <w:t xml:space="preserve">  </w:t>
      </w:r>
    </w:p>
    <w:p>
      <w:pPr>
        <w:pStyle w:val="TextBody"/>
        <w:bidi w:val="0"/>
        <w:spacing w:lineRule="atLeast" w:line="200" w:before="0" w:after="0"/>
        <w:ind w:left="1720" w:right="1440" w:hanging="0"/>
        <w:jc w:val="left"/>
        <w:rPr/>
      </w:pPr>
      <w:r>
        <w:rPr/>
        <w:t xml:space="preserve">  </w:t>
      </w:r>
    </w:p>
    <w:p>
      <w:pPr>
        <w:pStyle w:val="HorizontalLine"/>
        <w:pBdr>
          <w:bottom w:val="double" w:sz="6" w:space="0" w:color="808080"/>
        </w:pBdr>
        <w:bidi w:val="0"/>
        <w:ind w:left="1720" w:right="1440" w:hanging="0"/>
        <w:jc w:val="left"/>
        <w:rPr/>
      </w:pPr>
      <w:r>
        <w:rPr/>
      </w:r>
    </w:p>
    <w:p>
      <w:pPr>
        <w:pStyle w:val="TextBody"/>
        <w:bidi w:val="0"/>
        <w:ind w:left="1720" w:right="1440" w:hanging="0"/>
        <w:jc w:val="left"/>
        <w:rPr/>
      </w:pPr>
      <w:r>
        <w:rPr/>
        <w:t> </w:t>
      </w:r>
      <w:r>
        <w:br w:type="page"/>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Exhibit 19.1 to 2024 Form 10-K</w:t>
      </w:r>
      <w:r>
        <w:rPr>
          <w:rFonts w:ascii="Times New Roman" w:hAnsi="Times New Roman"/>
          <w:sz w:val="20"/>
        </w:rPr>
        <w:t xml:space="preserve"> </w:t>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Updated</w:t>
      </w:r>
      <w:r>
        <w:rPr>
          <w:rFonts w:ascii="Times New Roman" w:hAnsi="Times New Roman"/>
          <w:sz w:val="20"/>
        </w:rPr>
        <w:t> </w:t>
      </w:r>
      <w:r>
        <w:rPr>
          <w:rFonts w:ascii="Times New Roman" w:hAnsi="Times New Roman"/>
          <w:b/>
          <w:sz w:val="20"/>
        </w:rPr>
        <w:t>August</w:t>
      </w:r>
      <w:r>
        <w:rPr>
          <w:rFonts w:ascii="Times New Roman" w:hAnsi="Times New Roman"/>
          <w:sz w:val="20"/>
        </w:rPr>
        <w:t> </w:t>
      </w:r>
      <w:r>
        <w:rPr>
          <w:rFonts w:ascii="Times New Roman" w:hAnsi="Times New Roman"/>
          <w:b/>
          <w:sz w:val="20"/>
        </w:rPr>
        <w:t>2024</w:t>
      </w:r>
      <w:r>
        <w:rPr>
          <w:rFonts w:ascii="Times New Roman" w:hAnsi="Times New Roman"/>
          <w:sz w:val="20"/>
        </w:rPr>
        <w:t xml:space="preserve"> </w:t>
      </w:r>
    </w:p>
    <w:p>
      <w:pPr>
        <w:pStyle w:val="TextBody"/>
        <w:bidi w:val="0"/>
        <w:spacing w:before="0" w:after="0"/>
        <w:ind w:left="1720" w:right="1440" w:hanging="0"/>
        <w:jc w:val="left"/>
        <w:rPr/>
      </w:pPr>
      <w:r>
        <w:rPr/>
        <w:t xml:space="preserve">  </w:t>
      </w:r>
    </w:p>
    <w:tbl>
      <w:tblPr>
        <w:tblW w:w="7045" w:type="dxa"/>
        <w:jc w:val="left"/>
        <w:tblInd w:w="1720" w:type="dxa"/>
        <w:tblLayout w:type="fixed"/>
        <w:tblCellMar>
          <w:top w:w="0" w:type="dxa"/>
          <w:left w:w="0" w:type="dxa"/>
          <w:bottom w:w="0" w:type="dxa"/>
          <w:right w:w="0" w:type="dxa"/>
        </w:tblCellMar>
      </w:tblPr>
      <w:tblGrid>
        <w:gridCol w:w="38"/>
        <w:gridCol w:w="254"/>
        <w:gridCol w:w="23"/>
        <w:gridCol w:w="6730"/>
      </w:tblGrid>
      <w:tr>
        <w:trPr/>
        <w:tc>
          <w:tcPr>
            <w:tcW w:w="38" w:type="dxa"/>
            <w:tcBorders/>
            <w:vAlign w:val="center"/>
          </w:tcPr>
          <w:p>
            <w:pPr>
              <w:pStyle w:val="TableContents"/>
              <w:bidi w:val="0"/>
              <w:spacing w:before="0" w:after="283"/>
              <w:jc w:val="left"/>
              <w:rPr>
                <w:sz w:val="4"/>
                <w:szCs w:val="4"/>
              </w:rPr>
            </w:pPr>
            <w:r>
              <w:rPr>
                <w:sz w:val="4"/>
                <w:szCs w:val="4"/>
              </w:rPr>
            </w:r>
          </w:p>
        </w:tc>
        <w:tc>
          <w:tcPr>
            <w:tcW w:w="254"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sz w:val="24"/>
              </w:rPr>
              <w:t>(3)</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30"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Designating and announcing special trading Black-Out Periods during which no Insiders may trade in the Company’s securities, and determining whether such Black-Out Periods apply to Designated Outsiders.  </w:t>
            </w:r>
          </w:p>
        </w:tc>
      </w:tr>
    </w:tbl>
    <w:tbl>
      <w:tblPr>
        <w:tblW w:w="7045" w:type="dxa"/>
        <w:jc w:val="left"/>
        <w:tblInd w:w="1720" w:type="dxa"/>
        <w:tblLayout w:type="fixed"/>
        <w:tblCellMar>
          <w:top w:w="0" w:type="dxa"/>
          <w:left w:w="0" w:type="dxa"/>
          <w:bottom w:w="0" w:type="dxa"/>
          <w:right w:w="0" w:type="dxa"/>
        </w:tblCellMar>
      </w:tblPr>
      <w:tblGrid>
        <w:gridCol w:w="38"/>
        <w:gridCol w:w="245"/>
        <w:gridCol w:w="23"/>
        <w:gridCol w:w="6739"/>
      </w:tblGrid>
      <w:tr>
        <w:trPr/>
        <w:tc>
          <w:tcPr>
            <w:tcW w:w="38" w:type="dxa"/>
            <w:tcBorders/>
            <w:vAlign w:val="center"/>
          </w:tcPr>
          <w:p>
            <w:pPr>
              <w:pStyle w:val="TableContents"/>
              <w:bidi w:val="0"/>
              <w:spacing w:before="0" w:after="283"/>
              <w:jc w:val="left"/>
              <w:rPr>
                <w:sz w:val="4"/>
                <w:szCs w:val="4"/>
              </w:rPr>
            </w:pPr>
            <w:r>
              <w:rPr>
                <w:sz w:val="4"/>
                <w:szCs w:val="4"/>
              </w:rPr>
            </w:r>
          </w:p>
        </w:tc>
        <w:tc>
          <w:tcPr>
            <w:tcW w:w="245"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sz w:val="24"/>
              </w:rPr>
              <w:t>(4)</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39"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 xml:space="preserve">Providing copies of this Policy and other appropriate materials to all current and new directors, officers and employees of the Company, and such other persons whom the Compliance Officer determines have access to material nonpublic information concerning the Company. </w:t>
            </w:r>
          </w:p>
        </w:tc>
      </w:tr>
    </w:tbl>
    <w:tbl>
      <w:tblPr>
        <w:tblW w:w="7045" w:type="dxa"/>
        <w:jc w:val="left"/>
        <w:tblInd w:w="1720" w:type="dxa"/>
        <w:tblLayout w:type="fixed"/>
        <w:tblCellMar>
          <w:top w:w="0" w:type="dxa"/>
          <w:left w:w="0" w:type="dxa"/>
          <w:bottom w:w="0" w:type="dxa"/>
          <w:right w:w="0" w:type="dxa"/>
        </w:tblCellMar>
      </w:tblPr>
      <w:tblGrid>
        <w:gridCol w:w="38"/>
        <w:gridCol w:w="230"/>
        <w:gridCol w:w="23"/>
        <w:gridCol w:w="6754"/>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sz w:val="24"/>
              </w:rPr>
              <w:t>(5)</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54"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color w:val="000000"/>
                <w:sz w:val="24"/>
              </w:rPr>
              <w:t>Administering the Company’s compliance with all federal and state insider trading laws and regulations, including, without limitation, Sections 10(b), 16, 20A and 21A of the Exchange Act and the rules and regulations promulgated thereunder, and Rule 144 under the Securities Act of 1933, as amended; and overseeing the preparation and filing of all reports required by the Securities and Exchange Commission (the “</w:t>
            </w:r>
            <w:r>
              <w:rPr>
                <w:rFonts w:ascii="Times New Roman" w:hAnsi="Times New Roman"/>
                <w:color w:val="000000"/>
                <w:sz w:val="24"/>
                <w:u w:val="single"/>
              </w:rPr>
              <w:t>SEC</w:t>
            </w:r>
            <w:r>
              <w:rPr>
                <w:rFonts w:ascii="Times New Roman" w:hAnsi="Times New Roman"/>
                <w:color w:val="000000"/>
                <w:sz w:val="24"/>
              </w:rPr>
              <w:t>”) relating to trading in the Company’s securities by Section 16 Individuals.  </w:t>
            </w:r>
          </w:p>
        </w:tc>
      </w:tr>
    </w:tbl>
    <w:tbl>
      <w:tblPr>
        <w:tblW w:w="7045" w:type="dxa"/>
        <w:jc w:val="left"/>
        <w:tblInd w:w="1720" w:type="dxa"/>
        <w:tblLayout w:type="fixed"/>
        <w:tblCellMar>
          <w:top w:w="0" w:type="dxa"/>
          <w:left w:w="0" w:type="dxa"/>
          <w:bottom w:w="0" w:type="dxa"/>
          <w:right w:w="0" w:type="dxa"/>
        </w:tblCellMar>
      </w:tblPr>
      <w:tblGrid>
        <w:gridCol w:w="38"/>
        <w:gridCol w:w="288"/>
        <w:gridCol w:w="23"/>
        <w:gridCol w:w="6696"/>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sz w:val="24"/>
              </w:rPr>
              <w:t>(6)</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696"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Periodically reminding all Section 16 Individuals regarding their obligations to report trades in the Company’s securities.</w:t>
            </w:r>
          </w:p>
        </w:tc>
      </w:tr>
    </w:tbl>
    <w:tbl>
      <w:tblPr>
        <w:tblW w:w="7045" w:type="dxa"/>
        <w:jc w:val="left"/>
        <w:tblInd w:w="1720" w:type="dxa"/>
        <w:tblLayout w:type="fixed"/>
        <w:tblCellMar>
          <w:top w:w="0" w:type="dxa"/>
          <w:left w:w="0" w:type="dxa"/>
          <w:bottom w:w="0" w:type="dxa"/>
          <w:right w:w="0" w:type="dxa"/>
        </w:tblCellMar>
      </w:tblPr>
      <w:tblGrid>
        <w:gridCol w:w="38"/>
        <w:gridCol w:w="287"/>
        <w:gridCol w:w="23"/>
        <w:gridCol w:w="6697"/>
      </w:tblGrid>
      <w:tr>
        <w:trPr/>
        <w:tc>
          <w:tcPr>
            <w:tcW w:w="38" w:type="dxa"/>
            <w:tcBorders/>
            <w:vAlign w:val="center"/>
          </w:tcPr>
          <w:p>
            <w:pPr>
              <w:pStyle w:val="TableContents"/>
              <w:bidi w:val="0"/>
              <w:spacing w:before="0" w:after="283"/>
              <w:jc w:val="left"/>
              <w:rPr>
                <w:sz w:val="4"/>
                <w:szCs w:val="4"/>
              </w:rPr>
            </w:pPr>
            <w:r>
              <w:rPr>
                <w:sz w:val="4"/>
                <w:szCs w:val="4"/>
              </w:rPr>
            </w:r>
          </w:p>
        </w:tc>
        <w:tc>
          <w:tcPr>
            <w:tcW w:w="287"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sz w:val="24"/>
              </w:rPr>
              <w:t>(7)</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697"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Reminding, on a quarterly basis, all Insiders and Designated Outsiders of the dates that Trading Windows begin and end.</w:t>
            </w:r>
          </w:p>
        </w:tc>
      </w:tr>
    </w:tbl>
    <w:tbl>
      <w:tblPr>
        <w:tblW w:w="7045" w:type="dxa"/>
        <w:jc w:val="left"/>
        <w:tblInd w:w="1720" w:type="dxa"/>
        <w:tblLayout w:type="fixed"/>
        <w:tblCellMar>
          <w:top w:w="0" w:type="dxa"/>
          <w:left w:w="0" w:type="dxa"/>
          <w:bottom w:w="0" w:type="dxa"/>
          <w:right w:w="0" w:type="dxa"/>
        </w:tblCellMar>
      </w:tblPr>
      <w:tblGrid>
        <w:gridCol w:w="38"/>
        <w:gridCol w:w="289"/>
        <w:gridCol w:w="23"/>
        <w:gridCol w:w="6695"/>
      </w:tblGrid>
      <w:tr>
        <w:trPr/>
        <w:tc>
          <w:tcPr>
            <w:tcW w:w="38" w:type="dxa"/>
            <w:tcBorders/>
            <w:vAlign w:val="center"/>
          </w:tcPr>
          <w:p>
            <w:pPr>
              <w:pStyle w:val="TableContents"/>
              <w:bidi w:val="0"/>
              <w:spacing w:before="0" w:after="283"/>
              <w:jc w:val="left"/>
              <w:rPr>
                <w:sz w:val="4"/>
                <w:szCs w:val="4"/>
              </w:rPr>
            </w:pPr>
            <w:r>
              <w:rPr>
                <w:sz w:val="4"/>
                <w:szCs w:val="4"/>
              </w:rPr>
            </w:r>
          </w:p>
        </w:tc>
        <w:tc>
          <w:tcPr>
            <w:tcW w:w="289"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sz w:val="24"/>
              </w:rPr>
              <w:t>(8)</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695"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 xml:space="preserve">Revising this Policy as necessary to reflect changes in applicable federal and state insider trading laws and regulations. </w:t>
            </w:r>
          </w:p>
        </w:tc>
      </w:tr>
    </w:tbl>
    <w:tbl>
      <w:tblPr>
        <w:tblW w:w="7045" w:type="dxa"/>
        <w:jc w:val="left"/>
        <w:tblInd w:w="1720" w:type="dxa"/>
        <w:tblLayout w:type="fixed"/>
        <w:tblCellMar>
          <w:top w:w="0" w:type="dxa"/>
          <w:left w:w="0" w:type="dxa"/>
          <w:bottom w:w="0" w:type="dxa"/>
          <w:right w:w="0" w:type="dxa"/>
        </w:tblCellMar>
      </w:tblPr>
      <w:tblGrid>
        <w:gridCol w:w="38"/>
        <w:gridCol w:w="250"/>
        <w:gridCol w:w="23"/>
        <w:gridCol w:w="6734"/>
      </w:tblGrid>
      <w:tr>
        <w:trPr/>
        <w:tc>
          <w:tcPr>
            <w:tcW w:w="38" w:type="dxa"/>
            <w:tcBorders/>
            <w:vAlign w:val="center"/>
          </w:tcPr>
          <w:p>
            <w:pPr>
              <w:pStyle w:val="TableContents"/>
              <w:bidi w:val="0"/>
              <w:spacing w:before="0" w:after="283"/>
              <w:jc w:val="left"/>
              <w:rPr>
                <w:sz w:val="4"/>
                <w:szCs w:val="4"/>
              </w:rPr>
            </w:pPr>
            <w:r>
              <w:rPr>
                <w:sz w:val="4"/>
                <w:szCs w:val="4"/>
              </w:rPr>
            </w:r>
          </w:p>
        </w:tc>
        <w:tc>
          <w:tcPr>
            <w:tcW w:w="250"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sz w:val="24"/>
              </w:rPr>
              <w:t>(9)</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34"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Maintaining, with the Company’s records, originals or copies of all documents required by the provisions of this Policy or the procedures set forth herein, and copies of all required SEC reports relating trading by Section 16 Individuals.  </w:t>
            </w:r>
          </w:p>
        </w:tc>
      </w:tr>
    </w:tbl>
    <w:tbl>
      <w:tblPr>
        <w:tblW w:w="7045" w:type="dxa"/>
        <w:jc w:val="left"/>
        <w:tblInd w:w="1720" w:type="dxa"/>
        <w:tblLayout w:type="fixed"/>
        <w:tblCellMar>
          <w:top w:w="0" w:type="dxa"/>
          <w:left w:w="0" w:type="dxa"/>
          <w:bottom w:w="0" w:type="dxa"/>
          <w:right w:w="0" w:type="dxa"/>
        </w:tblCellMar>
      </w:tblPr>
      <w:tblGrid>
        <w:gridCol w:w="38"/>
        <w:gridCol w:w="359"/>
        <w:gridCol w:w="23"/>
        <w:gridCol w:w="6625"/>
      </w:tblGrid>
      <w:tr>
        <w:trPr/>
        <w:tc>
          <w:tcPr>
            <w:tcW w:w="38" w:type="dxa"/>
            <w:tcBorders/>
            <w:vAlign w:val="center"/>
          </w:tcPr>
          <w:p>
            <w:pPr>
              <w:pStyle w:val="TableContents"/>
              <w:bidi w:val="0"/>
              <w:spacing w:before="0" w:after="283"/>
              <w:jc w:val="left"/>
              <w:rPr>
                <w:sz w:val="4"/>
                <w:szCs w:val="4"/>
              </w:rPr>
            </w:pPr>
            <w:r>
              <w:rPr>
                <w:sz w:val="4"/>
                <w:szCs w:val="4"/>
              </w:rPr>
            </w:r>
          </w:p>
        </w:tc>
        <w:tc>
          <w:tcPr>
            <w:tcW w:w="359"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sz w:val="24"/>
              </w:rPr>
              <w:t>(10)</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625"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Performing periodic cross-checks of available materials, which may include Forms 3, 4 and 5, officer’s and director’s questionnaires, and reports received from the Company’s transfer agent, to determine trading activity by officers, directors and others who have, or may have, access to material nonpublic information.</w:t>
            </w:r>
          </w:p>
        </w:tc>
      </w:tr>
    </w:tbl>
    <w:tbl>
      <w:tblPr>
        <w:tblW w:w="7045" w:type="dxa"/>
        <w:jc w:val="left"/>
        <w:tblInd w:w="1720" w:type="dxa"/>
        <w:tblLayout w:type="fixed"/>
        <w:tblCellMar>
          <w:top w:w="0" w:type="dxa"/>
          <w:left w:w="0" w:type="dxa"/>
          <w:bottom w:w="0" w:type="dxa"/>
          <w:right w:w="0" w:type="dxa"/>
        </w:tblCellMar>
      </w:tblPr>
      <w:tblGrid>
        <w:gridCol w:w="38"/>
        <w:gridCol w:w="376"/>
        <w:gridCol w:w="23"/>
        <w:gridCol w:w="6608"/>
      </w:tblGrid>
      <w:tr>
        <w:trPr/>
        <w:tc>
          <w:tcPr>
            <w:tcW w:w="38" w:type="dxa"/>
            <w:tcBorders/>
            <w:vAlign w:val="center"/>
          </w:tcPr>
          <w:p>
            <w:pPr>
              <w:pStyle w:val="TableContents"/>
              <w:bidi w:val="0"/>
              <w:spacing w:before="0" w:after="283"/>
              <w:jc w:val="left"/>
              <w:rPr>
                <w:sz w:val="4"/>
                <w:szCs w:val="4"/>
              </w:rPr>
            </w:pPr>
            <w:r>
              <w:rPr>
                <w:sz w:val="4"/>
                <w:szCs w:val="4"/>
              </w:rPr>
            </w:r>
          </w:p>
        </w:tc>
        <w:tc>
          <w:tcPr>
            <w:tcW w:w="376"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sz w:val="24"/>
              </w:rPr>
              <w:t>(11)</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608"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Maintaining the accuracy of the list of Section 16 Individuals and Other Persons, and updating them periodically as necessary to reflect additions to or deletions from each such category of individuals.</w:t>
            </w:r>
          </w:p>
        </w:tc>
      </w:tr>
    </w:tbl>
    <w:tbl>
      <w:tblPr>
        <w:tblW w:w="6401" w:type="dxa"/>
        <w:jc w:val="left"/>
        <w:tblInd w:w="1720" w:type="dxa"/>
        <w:tblLayout w:type="fixed"/>
        <w:tblCellMar>
          <w:top w:w="0" w:type="dxa"/>
          <w:left w:w="0" w:type="dxa"/>
          <w:bottom w:w="0" w:type="dxa"/>
          <w:right w:w="0" w:type="dxa"/>
        </w:tblCellMar>
      </w:tblPr>
      <w:tblGrid>
        <w:gridCol w:w="38"/>
        <w:gridCol w:w="470"/>
        <w:gridCol w:w="23"/>
        <w:gridCol w:w="5870"/>
      </w:tblGrid>
      <w:tr>
        <w:trPr/>
        <w:tc>
          <w:tcPr>
            <w:tcW w:w="38" w:type="dxa"/>
            <w:tcBorders/>
            <w:vAlign w:val="center"/>
          </w:tcPr>
          <w:p>
            <w:pPr>
              <w:pStyle w:val="TableContents"/>
              <w:bidi w:val="0"/>
              <w:spacing w:before="0" w:after="283"/>
              <w:jc w:val="left"/>
              <w:rPr>
                <w:sz w:val="4"/>
                <w:szCs w:val="4"/>
              </w:rPr>
            </w:pPr>
            <w:r>
              <w:rPr>
                <w:sz w:val="4"/>
                <w:szCs w:val="4"/>
              </w:rPr>
            </w:r>
          </w:p>
        </w:tc>
        <w:tc>
          <w:tcPr>
            <w:tcW w:w="470"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sz w:val="24"/>
              </w:rPr>
              <w:t>(12)</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5870"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Working with outside counsel in furtherance of the foregoing.</w:t>
            </w:r>
          </w:p>
        </w:tc>
      </w:tr>
    </w:tbl>
    <w:p>
      <w:pPr>
        <w:pStyle w:val="TextBody"/>
        <w:bidi w:val="0"/>
        <w:spacing w:before="0" w:after="0"/>
        <w:ind w:left="1720" w:right="1440" w:hanging="0"/>
        <w:jc w:val="center"/>
        <w:rPr>
          <w:rFonts w:ascii="Times New Roman" w:hAnsi="Times New Roman"/>
          <w:sz w:val="24"/>
        </w:rPr>
      </w:pPr>
      <w:r>
        <w:rPr>
          <w:rFonts w:ascii="Times New Roman" w:hAnsi="Times New Roman"/>
          <w:sz w:val="24"/>
        </w:rPr>
        <w:t xml:space="preserve">3 </w:t>
      </w:r>
    </w:p>
    <w:p>
      <w:pPr>
        <w:pStyle w:val="TextBody"/>
        <w:bidi w:val="0"/>
        <w:spacing w:lineRule="atLeast" w:line="200" w:before="0" w:after="0"/>
        <w:ind w:left="1720" w:right="1440" w:hanging="0"/>
        <w:jc w:val="left"/>
        <w:rPr/>
      </w:pPr>
      <w:r>
        <w:rPr/>
        <w:t xml:space="preserve">  </w:t>
      </w:r>
    </w:p>
    <w:p>
      <w:pPr>
        <w:pStyle w:val="TextBody"/>
        <w:bidi w:val="0"/>
        <w:spacing w:lineRule="atLeast" w:line="200" w:before="0" w:after="0"/>
        <w:ind w:left="1720" w:right="1440" w:hanging="0"/>
        <w:jc w:val="left"/>
        <w:rPr/>
      </w:pPr>
      <w:r>
        <w:rPr/>
        <w:t xml:space="preserve">  </w:t>
      </w:r>
    </w:p>
    <w:p>
      <w:pPr>
        <w:pStyle w:val="HorizontalLine"/>
        <w:pBdr>
          <w:bottom w:val="double" w:sz="6" w:space="0" w:color="808080"/>
        </w:pBdr>
        <w:bidi w:val="0"/>
        <w:ind w:left="1720" w:right="1440" w:hanging="0"/>
        <w:jc w:val="left"/>
        <w:rPr/>
      </w:pPr>
      <w:r>
        <w:rPr/>
      </w:r>
    </w:p>
    <w:p>
      <w:pPr>
        <w:pStyle w:val="TextBody"/>
        <w:bidi w:val="0"/>
        <w:ind w:left="1720" w:right="1440" w:hanging="0"/>
        <w:jc w:val="left"/>
        <w:rPr/>
      </w:pPr>
      <w:r>
        <w:rPr/>
        <w:t> </w:t>
      </w:r>
      <w:r>
        <w:br w:type="page"/>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Exhibit 19.1 to 2024 Form 10-K</w:t>
      </w:r>
      <w:r>
        <w:rPr>
          <w:rFonts w:ascii="Times New Roman" w:hAnsi="Times New Roman"/>
          <w:sz w:val="20"/>
        </w:rPr>
        <w:t xml:space="preserve"> </w:t>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Updated</w:t>
      </w:r>
      <w:r>
        <w:rPr>
          <w:rFonts w:ascii="Times New Roman" w:hAnsi="Times New Roman"/>
          <w:sz w:val="20"/>
        </w:rPr>
        <w:t> </w:t>
      </w:r>
      <w:r>
        <w:rPr>
          <w:rFonts w:ascii="Times New Roman" w:hAnsi="Times New Roman"/>
          <w:b/>
          <w:sz w:val="20"/>
        </w:rPr>
        <w:t>August</w:t>
      </w:r>
      <w:r>
        <w:rPr>
          <w:rFonts w:ascii="Times New Roman" w:hAnsi="Times New Roman"/>
          <w:sz w:val="20"/>
        </w:rPr>
        <w:t> </w:t>
      </w:r>
      <w:r>
        <w:rPr>
          <w:rFonts w:ascii="Times New Roman" w:hAnsi="Times New Roman"/>
          <w:b/>
          <w:sz w:val="20"/>
        </w:rPr>
        <w:t>2024</w:t>
      </w:r>
      <w:r>
        <w:rPr>
          <w:rFonts w:ascii="Times New Roman" w:hAnsi="Times New Roman"/>
          <w:sz w:val="20"/>
        </w:rPr>
        <w:t xml:space="preserve"> </w:t>
      </w:r>
    </w:p>
    <w:p>
      <w:pPr>
        <w:pStyle w:val="TextBody"/>
        <w:bidi w:val="0"/>
        <w:spacing w:before="0" w:after="240"/>
        <w:ind w:left="1720" w:right="1440" w:hanging="0"/>
        <w:jc w:val="both"/>
        <w:rPr>
          <w:rFonts w:ascii="Times New Roman" w:hAnsi="Times New Roman"/>
          <w:b/>
          <w:sz w:val="24"/>
        </w:rPr>
      </w:pPr>
      <w:r>
        <w:rPr>
          <w:rFonts w:ascii="Times New Roman" w:hAnsi="Times New Roman"/>
          <w:b/>
          <w:sz w:val="24"/>
        </w:rPr>
        <w:t xml:space="preserve">General Policies </w:t>
      </w:r>
    </w:p>
    <w:tbl>
      <w:tblPr>
        <w:tblW w:w="7045" w:type="dxa"/>
        <w:jc w:val="left"/>
        <w:tblInd w:w="1720" w:type="dxa"/>
        <w:tblLayout w:type="fixed"/>
        <w:tblCellMar>
          <w:top w:w="0" w:type="dxa"/>
          <w:left w:w="0" w:type="dxa"/>
          <w:bottom w:w="0" w:type="dxa"/>
          <w:right w:w="0" w:type="dxa"/>
        </w:tblCellMar>
      </w:tblPr>
      <w:tblGrid>
        <w:gridCol w:w="38"/>
        <w:gridCol w:w="271"/>
        <w:gridCol w:w="23"/>
        <w:gridCol w:w="6713"/>
      </w:tblGrid>
      <w:tr>
        <w:trPr/>
        <w:tc>
          <w:tcPr>
            <w:tcW w:w="38" w:type="dxa"/>
            <w:tcBorders/>
            <w:vAlign w:val="center"/>
          </w:tcPr>
          <w:p>
            <w:pPr>
              <w:pStyle w:val="TableContents"/>
              <w:bidi w:val="0"/>
              <w:spacing w:before="0" w:after="283"/>
              <w:jc w:val="left"/>
              <w:rPr>
                <w:sz w:val="4"/>
                <w:szCs w:val="4"/>
              </w:rPr>
            </w:pPr>
            <w:r>
              <w:rPr>
                <w:sz w:val="4"/>
                <w:szCs w:val="4"/>
              </w:rPr>
            </w:r>
          </w:p>
        </w:tc>
        <w:tc>
          <w:tcPr>
            <w:tcW w:w="271"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b w:val="false"/>
                <w:i w:val="false"/>
                <w:caps w:val="false"/>
                <w:smallCaps w:val="false"/>
                <w:sz w:val="24"/>
              </w:rPr>
              <w:t>A.</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13"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It is the policy of the Company to prohibit the unauthorized disclosure of any nonpublic information acquired in the workplace and the misuse of material nonpublic information in securities trading.  The Company will cooperate fully with the SEC and other regulatory authorities in investigating possible violations of this Policy.</w:t>
            </w:r>
          </w:p>
        </w:tc>
      </w:tr>
    </w:tbl>
    <w:tbl>
      <w:tblPr>
        <w:tblW w:w="7045" w:type="dxa"/>
        <w:jc w:val="left"/>
        <w:tblInd w:w="1720" w:type="dxa"/>
        <w:tblLayout w:type="fixed"/>
        <w:tblCellMar>
          <w:top w:w="0" w:type="dxa"/>
          <w:left w:w="0" w:type="dxa"/>
          <w:bottom w:w="0" w:type="dxa"/>
          <w:right w:w="0" w:type="dxa"/>
        </w:tblCellMar>
      </w:tblPr>
      <w:tblGrid>
        <w:gridCol w:w="38"/>
        <w:gridCol w:w="225"/>
        <w:gridCol w:w="23"/>
        <w:gridCol w:w="6759"/>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b w:val="false"/>
                <w:i w:val="false"/>
                <w:caps w:val="false"/>
                <w:smallCaps w:val="false"/>
                <w:sz w:val="24"/>
              </w:rPr>
              <w:t>F.</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59"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In addition to any legal ramifications under applicable state and federal securities laws, Insiders who violate this Policy shall be subject to disciplinary action by the Company, which may include ineligibility for future participation in the Company’s equity incentive plans and/or termination of employment or other relationship with the Company.</w:t>
            </w:r>
          </w:p>
        </w:tc>
      </w:tr>
    </w:tbl>
    <w:tbl>
      <w:tblPr>
        <w:tblW w:w="7045" w:type="dxa"/>
        <w:jc w:val="left"/>
        <w:tblInd w:w="1720" w:type="dxa"/>
        <w:tblLayout w:type="fixed"/>
        <w:tblCellMar>
          <w:top w:w="0" w:type="dxa"/>
          <w:left w:w="0" w:type="dxa"/>
          <w:bottom w:w="0" w:type="dxa"/>
          <w:right w:w="0" w:type="dxa"/>
        </w:tblCellMar>
      </w:tblPr>
      <w:tblGrid>
        <w:gridCol w:w="38"/>
        <w:gridCol w:w="264"/>
        <w:gridCol w:w="23"/>
        <w:gridCol w:w="6720"/>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b w:val="false"/>
                <w:i w:val="false"/>
                <w:caps w:val="false"/>
                <w:smallCaps w:val="false"/>
                <w:sz w:val="24"/>
              </w:rPr>
              <w:t>G.</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20"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color w:val="000000"/>
                <w:sz w:val="24"/>
              </w:rPr>
              <w:t>This Policy and the guidelines described herein also apply to material nonpublic information relating to other companies, including the Company’s customers, clients and suppliers (“</w:t>
            </w:r>
            <w:r>
              <w:rPr>
                <w:rFonts w:ascii="Times New Roman" w:hAnsi="Times New Roman"/>
                <w:color w:val="000000"/>
                <w:sz w:val="24"/>
                <w:u w:val="single"/>
              </w:rPr>
              <w:t>business partners</w:t>
            </w:r>
            <w:r>
              <w:rPr>
                <w:rFonts w:ascii="Times New Roman" w:hAnsi="Times New Roman"/>
                <w:color w:val="000000"/>
                <w:sz w:val="24"/>
              </w:rPr>
              <w:t>”), when that information is obtained in the course of employment with, or the performance of services on behalf of, the Company.  Civil and criminal penalties, and termination of employment, may result from trading on inside information regarding the Company’s business partners.  All officers, directors, employees, consultants and contractors should treat material nonpublic information about the Company’s business partners with the same care required with respect to information related directly to the Company.</w:t>
            </w:r>
          </w:p>
        </w:tc>
      </w:tr>
    </w:tbl>
    <w:p>
      <w:pPr>
        <w:pStyle w:val="TextBody"/>
        <w:bidi w:val="0"/>
        <w:spacing w:before="0" w:after="240"/>
        <w:ind w:left="1720" w:right="1440" w:hanging="0"/>
        <w:jc w:val="both"/>
        <w:rPr>
          <w:rFonts w:ascii="Times New Roman" w:hAnsi="Times New Roman"/>
          <w:b/>
          <w:sz w:val="24"/>
        </w:rPr>
      </w:pPr>
      <w:r>
        <w:rPr>
          <w:rFonts w:ascii="Times New Roman" w:hAnsi="Times New Roman"/>
          <w:b/>
          <w:color w:val="000000"/>
          <w:sz w:val="24"/>
        </w:rPr>
        <w:t>Specific Policies</w:t>
      </w:r>
      <w:r>
        <w:rPr>
          <w:rFonts w:ascii="Times New Roman" w:hAnsi="Times New Roman"/>
          <w:b/>
          <w:sz w:val="24"/>
        </w:rPr>
        <w:t xml:space="preserve"> </w:t>
      </w:r>
    </w:p>
    <w:tbl>
      <w:tblPr>
        <w:tblW w:w="4766" w:type="dxa"/>
        <w:jc w:val="left"/>
        <w:tblInd w:w="1720" w:type="dxa"/>
        <w:tblLayout w:type="fixed"/>
        <w:tblCellMar>
          <w:top w:w="0" w:type="dxa"/>
          <w:left w:w="0" w:type="dxa"/>
          <w:bottom w:w="0" w:type="dxa"/>
          <w:right w:w="0" w:type="dxa"/>
        </w:tblCellMar>
      </w:tblPr>
      <w:tblGrid>
        <w:gridCol w:w="38"/>
        <w:gridCol w:w="320"/>
        <w:gridCol w:w="23"/>
        <w:gridCol w:w="4385"/>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bidi w:val="0"/>
              <w:spacing w:before="0" w:after="240"/>
              <w:ind w:left="0" w:right="0" w:hanging="0"/>
              <w:jc w:val="both"/>
              <w:rPr>
                <w:rFonts w:ascii="Times New Roman" w:hAnsi="Times New Roman"/>
                <w:sz w:val="24"/>
              </w:rPr>
            </w:pPr>
            <w:r>
              <w:rPr>
                <w:rFonts w:ascii="Times New Roman" w:hAnsi="Times New Roman"/>
                <w:b w:val="false"/>
                <w:i w:val="false"/>
                <w:caps w:val="false"/>
                <w:smallCaps w:val="false"/>
                <w:sz w:val="24"/>
              </w:rPr>
              <w:t>A.</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385" w:type="dxa"/>
            <w:tcBorders/>
          </w:tcPr>
          <w:p>
            <w:pPr>
              <w:pStyle w:val="TableContents"/>
              <w:bidi w:val="0"/>
              <w:spacing w:before="0" w:after="240"/>
              <w:ind w:left="0" w:right="0" w:hanging="0"/>
              <w:jc w:val="both"/>
              <w:rPr>
                <w:rFonts w:ascii="Times New Roman" w:hAnsi="Times New Roman"/>
                <w:sz w:val="24"/>
              </w:rPr>
            </w:pPr>
            <w:r>
              <w:rPr>
                <w:rFonts w:ascii="Times New Roman" w:hAnsi="Times New Roman"/>
                <w:i/>
                <w:color w:val="000000"/>
                <w:sz w:val="24"/>
              </w:rPr>
              <w:t>Trading on Material Nonpublic Information</w:t>
            </w:r>
            <w:r>
              <w:rPr>
                <w:rFonts w:ascii="Times New Roman" w:hAnsi="Times New Roman"/>
                <w:color w:val="000000"/>
                <w:sz w:val="24"/>
              </w:rPr>
              <w:t>.  </w:t>
            </w:r>
          </w:p>
        </w:tc>
      </w:tr>
    </w:tbl>
    <w:tbl>
      <w:tblPr>
        <w:tblW w:w="7045" w:type="dxa"/>
        <w:jc w:val="left"/>
        <w:tblInd w:w="1720" w:type="dxa"/>
        <w:tblLayout w:type="fixed"/>
        <w:tblCellMar>
          <w:top w:w="0" w:type="dxa"/>
          <w:left w:w="0" w:type="dxa"/>
          <w:bottom w:w="0" w:type="dxa"/>
          <w:right w:w="0" w:type="dxa"/>
        </w:tblCellMar>
      </w:tblPr>
      <w:tblGrid>
        <w:gridCol w:w="38"/>
        <w:gridCol w:w="222"/>
        <w:gridCol w:w="23"/>
        <w:gridCol w:w="6762"/>
      </w:tblGrid>
      <w:tr>
        <w:trPr/>
        <w:tc>
          <w:tcPr>
            <w:tcW w:w="38" w:type="dxa"/>
            <w:tcBorders/>
            <w:vAlign w:val="center"/>
          </w:tcPr>
          <w:p>
            <w:pPr>
              <w:pStyle w:val="TableContents"/>
              <w:bidi w:val="0"/>
              <w:spacing w:before="0" w:after="283"/>
              <w:jc w:val="left"/>
              <w:rPr>
                <w:sz w:val="4"/>
                <w:szCs w:val="4"/>
              </w:rPr>
            </w:pPr>
            <w:r>
              <w:rPr>
                <w:sz w:val="4"/>
                <w:szCs w:val="4"/>
              </w:rPr>
            </w:r>
          </w:p>
        </w:tc>
        <w:tc>
          <w:tcPr>
            <w:tcW w:w="222" w:type="dxa"/>
            <w:tcBorders/>
          </w:tcPr>
          <w:p>
            <w:pPr>
              <w:pStyle w:val="TableContents"/>
              <w:bidi w:val="0"/>
              <w:spacing w:before="0" w:after="240"/>
              <w:ind w:left="0" w:right="0" w:hanging="0"/>
              <w:jc w:val="both"/>
              <w:rPr>
                <w:rFonts w:ascii="Times New Roman" w:hAnsi="Times New Roman"/>
                <w:sz w:val="24"/>
              </w:rPr>
            </w:pPr>
            <w:r>
              <w:rPr>
                <w:rFonts w:ascii="Times New Roman" w:hAnsi="Times New Roman"/>
                <w:sz w:val="24"/>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762" w:type="dxa"/>
            <w:tcBorders/>
          </w:tcPr>
          <w:p>
            <w:pPr>
              <w:pStyle w:val="TableContents"/>
              <w:bidi w:val="0"/>
              <w:spacing w:before="0" w:after="240"/>
              <w:ind w:left="0" w:right="0" w:hanging="0"/>
              <w:jc w:val="both"/>
              <w:rPr>
                <w:rFonts w:ascii="Times New Roman" w:hAnsi="Times New Roman"/>
                <w:sz w:val="24"/>
              </w:rPr>
            </w:pPr>
            <w:r>
              <w:rPr>
                <w:rFonts w:ascii="Times New Roman" w:hAnsi="Times New Roman"/>
                <w:color w:val="000000"/>
                <w:sz w:val="24"/>
              </w:rPr>
              <w:t>No Insider shall engage in any transaction involving a purchase, sale or gift of the Company’s securities, including any offer to purchase, offer to sell or offer to gift, during any period commencing with the date that he or she possesses material nonpublic information concerning the Company, and ending at the close of trading on the second full Trading Day following the date of widespread public dissemination of that information, or at such time as such nonpublic information is no longer material. As used herein, the term “</w:t>
            </w:r>
            <w:r>
              <w:rPr>
                <w:rFonts w:ascii="Times New Roman" w:hAnsi="Times New Roman"/>
                <w:color w:val="000000"/>
                <w:sz w:val="24"/>
                <w:u w:val="single"/>
              </w:rPr>
              <w:t>Trading Day</w:t>
            </w:r>
            <w:r>
              <w:rPr>
                <w:rFonts w:ascii="Times New Roman" w:hAnsi="Times New Roman"/>
                <w:color w:val="000000"/>
                <w:sz w:val="24"/>
              </w:rPr>
              <w:t>” shall mean a day on which any securities exchange on which any of the Company’s securities are traded is open for trading, commencing at the time trading begins on such day. This restriction on trading does not apply to transactions made under a trading plan adopted pursuant to Rule 10b5-1(c) (17 C.F.R. § 240.10b5-1(c)) under the Exchange Act and acknowledged and confirmed in writing by the Company (an “</w:t>
            </w:r>
            <w:r>
              <w:rPr>
                <w:rFonts w:ascii="Times New Roman" w:hAnsi="Times New Roman"/>
                <w:color w:val="000000"/>
                <w:sz w:val="24"/>
                <w:u w:val="single"/>
              </w:rPr>
              <w:t>authorized trading plan</w:t>
            </w:r>
            <w:r>
              <w:rPr>
                <w:rFonts w:ascii="Times New Roman" w:hAnsi="Times New Roman"/>
                <w:color w:val="000000"/>
                <w:sz w:val="24"/>
              </w:rPr>
              <w:t>”).</w:t>
            </w:r>
          </w:p>
        </w:tc>
      </w:tr>
    </w:tbl>
    <w:p>
      <w:pPr>
        <w:pStyle w:val="TextBody"/>
        <w:bidi w:val="0"/>
        <w:spacing w:before="0" w:after="0"/>
        <w:ind w:left="1720" w:right="1440" w:hanging="0"/>
        <w:jc w:val="center"/>
        <w:rPr>
          <w:rFonts w:ascii="Times New Roman" w:hAnsi="Times New Roman"/>
          <w:sz w:val="24"/>
        </w:rPr>
      </w:pPr>
      <w:r>
        <w:rPr>
          <w:rFonts w:ascii="Times New Roman" w:hAnsi="Times New Roman"/>
          <w:sz w:val="24"/>
        </w:rPr>
        <w:t xml:space="preserve">4 </w:t>
      </w:r>
    </w:p>
    <w:p>
      <w:pPr>
        <w:pStyle w:val="TextBody"/>
        <w:bidi w:val="0"/>
        <w:spacing w:lineRule="atLeast" w:line="200" w:before="0" w:after="0"/>
        <w:ind w:left="1720" w:right="1440" w:hanging="0"/>
        <w:jc w:val="left"/>
        <w:rPr/>
      </w:pPr>
      <w:r>
        <w:rPr/>
        <w:t xml:space="preserve">  </w:t>
      </w:r>
    </w:p>
    <w:p>
      <w:pPr>
        <w:pStyle w:val="TextBody"/>
        <w:bidi w:val="0"/>
        <w:spacing w:lineRule="atLeast" w:line="200" w:before="0" w:after="0"/>
        <w:ind w:left="1720" w:right="1440" w:hanging="0"/>
        <w:jc w:val="left"/>
        <w:rPr/>
      </w:pPr>
      <w:r>
        <w:rPr/>
        <w:t xml:space="preserve">  </w:t>
      </w:r>
    </w:p>
    <w:p>
      <w:pPr>
        <w:pStyle w:val="HorizontalLine"/>
        <w:pBdr>
          <w:bottom w:val="double" w:sz="6" w:space="0" w:color="808080"/>
        </w:pBdr>
        <w:bidi w:val="0"/>
        <w:ind w:left="1720" w:right="1440" w:hanging="0"/>
        <w:jc w:val="left"/>
        <w:rPr/>
      </w:pPr>
      <w:r>
        <w:rPr/>
      </w:r>
    </w:p>
    <w:p>
      <w:pPr>
        <w:pStyle w:val="TextBody"/>
        <w:bidi w:val="0"/>
        <w:ind w:left="1720" w:right="1440" w:hanging="0"/>
        <w:jc w:val="left"/>
        <w:rPr/>
      </w:pPr>
      <w:r>
        <w:rPr/>
        <w:t> </w:t>
      </w:r>
      <w:r>
        <w:br w:type="page"/>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Exhibit 19.1 to 2024 Form 10-K</w:t>
      </w:r>
      <w:r>
        <w:rPr>
          <w:rFonts w:ascii="Times New Roman" w:hAnsi="Times New Roman"/>
          <w:sz w:val="20"/>
        </w:rPr>
        <w:t xml:space="preserve"> </w:t>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Updated</w:t>
      </w:r>
      <w:r>
        <w:rPr>
          <w:rFonts w:ascii="Times New Roman" w:hAnsi="Times New Roman"/>
          <w:sz w:val="20"/>
        </w:rPr>
        <w:t> </w:t>
      </w:r>
      <w:r>
        <w:rPr>
          <w:rFonts w:ascii="Times New Roman" w:hAnsi="Times New Roman"/>
          <w:b/>
          <w:sz w:val="20"/>
        </w:rPr>
        <w:t>August</w:t>
      </w:r>
      <w:r>
        <w:rPr>
          <w:rFonts w:ascii="Times New Roman" w:hAnsi="Times New Roman"/>
          <w:sz w:val="20"/>
        </w:rPr>
        <w:t> </w:t>
      </w:r>
      <w:r>
        <w:rPr>
          <w:rFonts w:ascii="Times New Roman" w:hAnsi="Times New Roman"/>
          <w:b/>
          <w:sz w:val="20"/>
        </w:rPr>
        <w:t>2024</w:t>
      </w:r>
      <w:r>
        <w:rPr>
          <w:rFonts w:ascii="Times New Roman" w:hAnsi="Times New Roman"/>
          <w:sz w:val="20"/>
        </w:rPr>
        <w:t xml:space="preserve"> </w:t>
      </w:r>
    </w:p>
    <w:p>
      <w:pPr>
        <w:pStyle w:val="TextBody"/>
        <w:bidi w:val="0"/>
        <w:spacing w:before="0" w:after="0"/>
        <w:ind w:left="1720" w:right="1440" w:hanging="0"/>
        <w:jc w:val="left"/>
        <w:rPr/>
      </w:pPr>
      <w:r>
        <w:rPr/>
        <w:t xml:space="preserve">  </w:t>
      </w:r>
    </w:p>
    <w:tbl>
      <w:tblPr>
        <w:tblW w:w="7045" w:type="dxa"/>
        <w:jc w:val="left"/>
        <w:tblInd w:w="1720" w:type="dxa"/>
        <w:tblLayout w:type="fixed"/>
        <w:tblCellMar>
          <w:top w:w="0" w:type="dxa"/>
          <w:left w:w="0" w:type="dxa"/>
          <w:bottom w:w="0" w:type="dxa"/>
          <w:right w:w="0" w:type="dxa"/>
        </w:tblCellMar>
      </w:tblPr>
      <w:tblGrid>
        <w:gridCol w:w="38"/>
        <w:gridCol w:w="241"/>
        <w:gridCol w:w="23"/>
        <w:gridCol w:w="6743"/>
      </w:tblGrid>
      <w:tr>
        <w:trPr/>
        <w:tc>
          <w:tcPr>
            <w:tcW w:w="38" w:type="dxa"/>
            <w:tcBorders/>
            <w:vAlign w:val="center"/>
          </w:tcPr>
          <w:p>
            <w:pPr>
              <w:pStyle w:val="TableContents"/>
              <w:bidi w:val="0"/>
              <w:spacing w:before="0" w:after="283"/>
              <w:jc w:val="left"/>
              <w:rPr>
                <w:sz w:val="4"/>
                <w:szCs w:val="4"/>
              </w:rPr>
            </w:pPr>
            <w:r>
              <w:rPr>
                <w:sz w:val="4"/>
                <w:szCs w:val="4"/>
              </w:rPr>
            </w:r>
          </w:p>
        </w:tc>
        <w:tc>
          <w:tcPr>
            <w:tcW w:w="241" w:type="dxa"/>
            <w:tcBorders/>
          </w:tcPr>
          <w:p>
            <w:pPr>
              <w:pStyle w:val="TableContents"/>
              <w:bidi w:val="0"/>
              <w:spacing w:before="0" w:after="240"/>
              <w:ind w:left="0" w:right="0" w:hanging="0"/>
              <w:jc w:val="both"/>
              <w:rPr>
                <w:rFonts w:ascii="Times New Roman" w:hAnsi="Times New Roman"/>
                <w:sz w:val="24"/>
              </w:rPr>
            </w:pPr>
            <w:r>
              <w:rPr>
                <w:rFonts w:ascii="Times New Roman" w:hAnsi="Times New Roman"/>
                <w:sz w:val="24"/>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6743" w:type="dxa"/>
            <w:tcBorders/>
          </w:tcPr>
          <w:p>
            <w:pPr>
              <w:pStyle w:val="TableContents"/>
              <w:bidi w:val="0"/>
              <w:spacing w:before="0" w:after="240"/>
              <w:ind w:left="0" w:right="0" w:hanging="0"/>
              <w:jc w:val="both"/>
              <w:rPr>
                <w:rFonts w:ascii="Times New Roman" w:hAnsi="Times New Roman"/>
                <w:color w:val="000000"/>
                <w:sz w:val="24"/>
              </w:rPr>
            </w:pPr>
            <w:r>
              <w:rPr>
                <w:rFonts w:ascii="Times New Roman" w:hAnsi="Times New Roman"/>
                <w:color w:val="000000"/>
                <w:sz w:val="24"/>
              </w:rPr>
              <w:t>Pursuant to federal and state securities laws, Insiders and Designated Outsiders may be subject to criminal and civil fines and penalties as well as imprisonment for engaging in transactions in the Company’s securities at a time when they have knowledge of material nonpublic information regarding the Company.</w:t>
            </w:r>
          </w:p>
        </w:tc>
      </w:tr>
    </w:tbl>
    <w:p>
      <w:pPr>
        <w:pStyle w:val="TextBody"/>
        <w:bidi w:val="0"/>
        <w:spacing w:before="0" w:after="0"/>
        <w:ind w:left="1720" w:right="1440" w:hanging="0"/>
        <w:jc w:val="both"/>
        <w:rPr>
          <w:rFonts w:cs="Times New Roman"/>
          <w:szCs w:val="24"/>
        </w:rPr>
      </w:pPr>
      <w:r>
        <w:rPr>
          <w:rFonts w:cs="Times New Roman"/>
          <w:color w:val="000000"/>
          <w:szCs w:val="24"/>
        </w:rPr>
        <w:t>﻿</w:t>
      </w:r>
      <w:r>
        <w:rPr>
          <w:rFonts w:cs="Times New Roman"/>
          <w:szCs w:val="24"/>
        </w:rPr>
        <w:t xml:space="preserve"> </w:t>
      </w:r>
    </w:p>
    <w:tbl>
      <w:tblPr>
        <w:tblW w:w="1331" w:type="dxa"/>
        <w:jc w:val="left"/>
        <w:tblInd w:w="1720" w:type="dxa"/>
        <w:tblLayout w:type="fixed"/>
        <w:tblCellMar>
          <w:top w:w="0" w:type="dxa"/>
          <w:left w:w="0" w:type="dxa"/>
          <w:bottom w:w="0" w:type="dxa"/>
          <w:right w:w="0" w:type="dxa"/>
        </w:tblCellMar>
      </w:tblPr>
      <w:tblGrid>
        <w:gridCol w:w="38"/>
        <w:gridCol w:w="320"/>
        <w:gridCol w:w="23"/>
        <w:gridCol w:w="950"/>
      </w:tblGrid>
      <w:tr>
        <w:trPr/>
        <w:tc>
          <w:tcPr>
            <w:tcW w:w="38" w:type="dxa"/>
            <w:tcBorders/>
            <w:vAlign w:val="center"/>
          </w:tcPr>
          <w:p>
            <w:pPr>
              <w:pStyle w:val="TableContents"/>
              <w:bidi w:val="0"/>
              <w:spacing w:before="0" w:after="283"/>
              <w:jc w:val="left"/>
              <w:rPr>
                <w:sz w:val="4"/>
                <w:szCs w:val="4"/>
              </w:rPr>
            </w:pPr>
            <w:r>
              <w:rPr>
                <w:sz w:val="4"/>
                <w:szCs w:val="4"/>
              </w:rPr>
            </w:r>
          </w:p>
        </w:tc>
        <w:tc>
          <w:tcPr>
            <w:tcW w:w="320" w:type="dxa"/>
            <w:tcBorders/>
          </w:tcPr>
          <w:p>
            <w:pPr>
              <w:pStyle w:val="TableContents"/>
              <w:bidi w:val="0"/>
              <w:spacing w:before="0" w:after="240"/>
              <w:ind w:left="0" w:right="0" w:hanging="0"/>
              <w:jc w:val="both"/>
              <w:rPr>
                <w:rFonts w:ascii="Times New Roman" w:hAnsi="Times New Roman"/>
                <w:sz w:val="24"/>
              </w:rPr>
            </w:pPr>
            <w:r>
              <w:rPr>
                <w:rFonts w:ascii="Times New Roman" w:hAnsi="Times New Roman"/>
                <w:b w:val="false"/>
                <w:i w:val="false"/>
                <w:caps w:val="false"/>
                <w:smallCaps w:val="false"/>
                <w:sz w:val="24"/>
              </w:rPr>
              <w:t>H.</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950" w:type="dxa"/>
            <w:tcBorders/>
          </w:tcPr>
          <w:p>
            <w:pPr>
              <w:pStyle w:val="TableContents"/>
              <w:bidi w:val="0"/>
              <w:spacing w:before="0" w:after="240"/>
              <w:ind w:left="0" w:right="0" w:hanging="0"/>
              <w:jc w:val="both"/>
              <w:rPr>
                <w:rFonts w:ascii="Times New Roman" w:hAnsi="Times New Roman"/>
                <w:sz w:val="24"/>
              </w:rPr>
            </w:pPr>
            <w:r>
              <w:rPr>
                <w:rFonts w:ascii="Times New Roman" w:hAnsi="Times New Roman"/>
                <w:i/>
                <w:color w:val="000000"/>
                <w:sz w:val="24"/>
              </w:rPr>
              <w:t>Tipping</w:t>
            </w:r>
            <w:r>
              <w:rPr>
                <w:rFonts w:ascii="Times New Roman" w:hAnsi="Times New Roman"/>
                <w:color w:val="000000"/>
                <w:sz w:val="24"/>
              </w:rPr>
              <w:t>.  </w:t>
            </w:r>
          </w:p>
        </w:tc>
      </w:tr>
    </w:tbl>
    <w:tbl>
      <w:tblPr>
        <w:tblW w:w="7045" w:type="dxa"/>
        <w:jc w:val="left"/>
        <w:tblInd w:w="1720" w:type="dxa"/>
        <w:tblLayout w:type="fixed"/>
        <w:tblCellMar>
          <w:top w:w="0" w:type="dxa"/>
          <w:left w:w="0" w:type="dxa"/>
          <w:bottom w:w="0" w:type="dxa"/>
          <w:right w:w="0" w:type="dxa"/>
        </w:tblCellMar>
      </w:tblPr>
      <w:tblGrid>
        <w:gridCol w:w="38"/>
        <w:gridCol w:w="232"/>
        <w:gridCol w:w="23"/>
        <w:gridCol w:w="6752"/>
      </w:tblGrid>
      <w:tr>
        <w:trPr/>
        <w:tc>
          <w:tcPr>
            <w:tcW w:w="38" w:type="dxa"/>
            <w:tcBorders/>
            <w:vAlign w:val="center"/>
          </w:tcPr>
          <w:p>
            <w:pPr>
              <w:pStyle w:val="TableContents"/>
              <w:bidi w:val="0"/>
              <w:spacing w:before="0" w:after="283"/>
              <w:jc w:val="left"/>
              <w:rPr>
                <w:sz w:val="4"/>
                <w:szCs w:val="4"/>
              </w:rPr>
            </w:pPr>
            <w:r>
              <w:rPr>
                <w:sz w:val="4"/>
                <w:szCs w:val="4"/>
              </w:rPr>
            </w:r>
          </w:p>
        </w:tc>
        <w:tc>
          <w:tcPr>
            <w:tcW w:w="232"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sz w:val="24"/>
              </w:rPr>
              <w:t>(1)</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52"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No Insider shall disclose or “tip” material nonpublic information to any other person (including family members) where such information may be used by such person to his or her profit by trading in the securities of companies to which such information relates, nor shall such Insider or related person make recommendations or express opinions on the basis of material nonpublic information as to trading in the Company’s securities.</w:t>
            </w:r>
          </w:p>
        </w:tc>
      </w:tr>
    </w:tbl>
    <w:tbl>
      <w:tblPr>
        <w:tblW w:w="7045" w:type="dxa"/>
        <w:jc w:val="left"/>
        <w:tblInd w:w="1720" w:type="dxa"/>
        <w:tblLayout w:type="fixed"/>
        <w:tblCellMar>
          <w:top w:w="0" w:type="dxa"/>
          <w:left w:w="0" w:type="dxa"/>
          <w:bottom w:w="0" w:type="dxa"/>
          <w:right w:w="0" w:type="dxa"/>
        </w:tblCellMar>
      </w:tblPr>
      <w:tblGrid>
        <w:gridCol w:w="38"/>
        <w:gridCol w:w="229"/>
        <w:gridCol w:w="23"/>
        <w:gridCol w:w="6755"/>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sz w:val="24"/>
              </w:rPr>
              <w:t>(2)</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55"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Insiders may be liable for improper transactions by any person (commonly referred to as a “tippee”) to whom they have disclosed material nonpublic information or to whom they have made recommendations or expressed opinions on the basis of such information as to trading in the Company’s securities, even if the disclosing Insider did not profit financially from the trading. The SEC, the major securities exchanges and FINRA use sophisticated electronic surveillance techniques to uncover insider trading and tipping.</w:t>
            </w:r>
          </w:p>
        </w:tc>
      </w:tr>
    </w:tbl>
    <w:tbl>
      <w:tblPr>
        <w:tblW w:w="7045" w:type="dxa"/>
        <w:jc w:val="left"/>
        <w:tblInd w:w="1720" w:type="dxa"/>
        <w:tblLayout w:type="fixed"/>
        <w:tblCellMar>
          <w:top w:w="0" w:type="dxa"/>
          <w:left w:w="0" w:type="dxa"/>
          <w:bottom w:w="0" w:type="dxa"/>
          <w:right w:w="0" w:type="dxa"/>
        </w:tblCellMar>
      </w:tblPr>
      <w:tblGrid>
        <w:gridCol w:w="38"/>
        <w:gridCol w:w="158"/>
        <w:gridCol w:w="23"/>
        <w:gridCol w:w="6826"/>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40"/>
              <w:ind w:left="0" w:right="0" w:hanging="0"/>
              <w:jc w:val="both"/>
              <w:rPr>
                <w:rFonts w:ascii="Times New Roman" w:hAnsi="Times New Roman"/>
                <w:sz w:val="24"/>
              </w:rPr>
            </w:pPr>
            <w:r>
              <w:rPr>
                <w:rFonts w:ascii="Times New Roman" w:hAnsi="Times New Roman"/>
                <w:b w:val="false"/>
                <w:i w:val="false"/>
                <w:caps w:val="false"/>
                <w:smallCaps w:val="false"/>
                <w:sz w:val="24"/>
              </w:rPr>
              <w:t>I.</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826" w:type="dxa"/>
            <w:tcBorders/>
          </w:tcPr>
          <w:p>
            <w:pPr>
              <w:pStyle w:val="TableContents"/>
              <w:bidi w:val="0"/>
              <w:spacing w:before="0" w:after="240"/>
              <w:ind w:left="0" w:right="0" w:hanging="0"/>
              <w:jc w:val="both"/>
              <w:rPr>
                <w:rFonts w:ascii="Times New Roman" w:hAnsi="Times New Roman"/>
                <w:sz w:val="24"/>
              </w:rPr>
            </w:pPr>
            <w:r>
              <w:rPr>
                <w:rFonts w:ascii="Times New Roman" w:hAnsi="Times New Roman"/>
                <w:i/>
                <w:color w:val="000000"/>
                <w:sz w:val="24"/>
              </w:rPr>
              <w:t>Confidentiality of Nonpublic Information</w:t>
            </w:r>
            <w:r>
              <w:rPr>
                <w:rFonts w:ascii="Times New Roman" w:hAnsi="Times New Roman"/>
                <w:color w:val="000000"/>
                <w:sz w:val="24"/>
              </w:rPr>
              <w:t>. Nonpublic information relating to the Company is the property of the Company and the unauthorized disclosure of such information is forbidden.  No Insider shall disclose nonpublic information to any other person (including other employees of the Company) other than those who need to know such information to carry out the Company’s business.  In the event any officer, director or employee of the Company, or any Designated Outsider receives any inquiry from outside the Company, such as from a stock analyst, for information (particularly financial results and/or projections) that may be material nonpublic information, the inquiry should be referred to the Compliance Officer, who will coordinate and oversee the release of such information to the investing public, analysts and others in compliance with applicable laws and regulations.</w:t>
            </w:r>
          </w:p>
        </w:tc>
      </w:tr>
    </w:tbl>
    <w:p>
      <w:pPr>
        <w:pStyle w:val="TextBody"/>
        <w:bidi w:val="0"/>
        <w:spacing w:before="0" w:after="0"/>
        <w:ind w:left="1720" w:right="1440" w:hanging="0"/>
        <w:jc w:val="center"/>
        <w:rPr>
          <w:rFonts w:ascii="Times New Roman" w:hAnsi="Times New Roman"/>
          <w:sz w:val="24"/>
        </w:rPr>
      </w:pPr>
      <w:r>
        <w:rPr>
          <w:rFonts w:ascii="Times New Roman" w:hAnsi="Times New Roman"/>
          <w:sz w:val="24"/>
        </w:rPr>
        <w:t xml:space="preserve">5 </w:t>
      </w:r>
    </w:p>
    <w:p>
      <w:pPr>
        <w:pStyle w:val="TextBody"/>
        <w:bidi w:val="0"/>
        <w:spacing w:lineRule="atLeast" w:line="200" w:before="0" w:after="0"/>
        <w:ind w:left="1720" w:right="1440" w:hanging="0"/>
        <w:jc w:val="left"/>
        <w:rPr/>
      </w:pPr>
      <w:r>
        <w:rPr/>
        <w:t xml:space="preserve">  </w:t>
      </w:r>
    </w:p>
    <w:p>
      <w:pPr>
        <w:pStyle w:val="TextBody"/>
        <w:bidi w:val="0"/>
        <w:spacing w:lineRule="atLeast" w:line="200" w:before="0" w:after="0"/>
        <w:ind w:left="1720" w:right="1440" w:hanging="0"/>
        <w:jc w:val="left"/>
        <w:rPr/>
      </w:pPr>
      <w:r>
        <w:rPr/>
        <w:t xml:space="preserve">  </w:t>
      </w:r>
    </w:p>
    <w:p>
      <w:pPr>
        <w:pStyle w:val="HorizontalLine"/>
        <w:pBdr>
          <w:bottom w:val="double" w:sz="6" w:space="0" w:color="808080"/>
        </w:pBdr>
        <w:bidi w:val="0"/>
        <w:ind w:left="1720" w:right="1440" w:hanging="0"/>
        <w:jc w:val="left"/>
        <w:rPr/>
      </w:pPr>
      <w:r>
        <w:rPr/>
      </w:r>
    </w:p>
    <w:p>
      <w:pPr>
        <w:pStyle w:val="TextBody"/>
        <w:bidi w:val="0"/>
        <w:ind w:left="1720" w:right="1440" w:hanging="0"/>
        <w:jc w:val="left"/>
        <w:rPr/>
      </w:pPr>
      <w:r>
        <w:rPr/>
        <w:t> </w:t>
      </w:r>
      <w:r>
        <w:br w:type="page"/>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Exhibit 19.1 to 2024 Form 10-K</w:t>
      </w:r>
      <w:r>
        <w:rPr>
          <w:rFonts w:ascii="Times New Roman" w:hAnsi="Times New Roman"/>
          <w:sz w:val="20"/>
        </w:rPr>
        <w:t xml:space="preserve"> </w:t>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Updated</w:t>
      </w:r>
      <w:r>
        <w:rPr>
          <w:rFonts w:ascii="Times New Roman" w:hAnsi="Times New Roman"/>
          <w:sz w:val="20"/>
        </w:rPr>
        <w:t> </w:t>
      </w:r>
      <w:r>
        <w:rPr>
          <w:rFonts w:ascii="Times New Roman" w:hAnsi="Times New Roman"/>
          <w:b/>
          <w:sz w:val="20"/>
        </w:rPr>
        <w:t>August</w:t>
      </w:r>
      <w:r>
        <w:rPr>
          <w:rFonts w:ascii="Times New Roman" w:hAnsi="Times New Roman"/>
          <w:sz w:val="20"/>
        </w:rPr>
        <w:t> </w:t>
      </w:r>
      <w:r>
        <w:rPr>
          <w:rFonts w:ascii="Times New Roman" w:hAnsi="Times New Roman"/>
          <w:b/>
          <w:sz w:val="20"/>
        </w:rPr>
        <w:t>2024</w:t>
      </w:r>
      <w:r>
        <w:rPr>
          <w:rFonts w:ascii="Times New Roman" w:hAnsi="Times New Roman"/>
          <w:sz w:val="20"/>
        </w:rPr>
        <w:t xml:space="preserve"> </w:t>
      </w:r>
    </w:p>
    <w:p>
      <w:pPr>
        <w:pStyle w:val="TextBody"/>
        <w:bidi w:val="0"/>
        <w:spacing w:before="0" w:after="240"/>
        <w:ind w:left="1720" w:right="1440" w:hanging="0"/>
        <w:jc w:val="both"/>
        <w:rPr>
          <w:rFonts w:ascii="Times New Roman" w:hAnsi="Times New Roman"/>
          <w:b/>
          <w:sz w:val="24"/>
        </w:rPr>
      </w:pPr>
      <w:r>
        <w:rPr>
          <w:rFonts w:ascii="Times New Roman" w:hAnsi="Times New Roman"/>
          <w:b/>
          <w:sz w:val="24"/>
        </w:rPr>
        <w:t xml:space="preserve">Trading Guidelines and Requirements </w:t>
      </w:r>
    </w:p>
    <w:tbl>
      <w:tblPr>
        <w:tblW w:w="7045" w:type="dxa"/>
        <w:jc w:val="left"/>
        <w:tblInd w:w="1720" w:type="dxa"/>
        <w:tblLayout w:type="fixed"/>
        <w:tblCellMar>
          <w:top w:w="0" w:type="dxa"/>
          <w:left w:w="0" w:type="dxa"/>
          <w:bottom w:w="0" w:type="dxa"/>
          <w:right w:w="0" w:type="dxa"/>
        </w:tblCellMar>
      </w:tblPr>
      <w:tblGrid>
        <w:gridCol w:w="38"/>
        <w:gridCol w:w="261"/>
        <w:gridCol w:w="23"/>
        <w:gridCol w:w="6723"/>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b w:val="false"/>
                <w:i w:val="false"/>
                <w:caps w:val="false"/>
                <w:smallCaps w:val="false"/>
                <w:sz w:val="24"/>
              </w:rPr>
              <w:t>A.</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23"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i/>
                <w:color w:val="000000"/>
                <w:sz w:val="24"/>
              </w:rPr>
              <w:t>Black-Out Period</w:t>
            </w:r>
            <w:r>
              <w:rPr>
                <w:rFonts w:ascii="Times New Roman" w:hAnsi="Times New Roman"/>
                <w:color w:val="000000"/>
                <w:sz w:val="24"/>
              </w:rPr>
              <w:t>.  The period beginning at the close of trading (or 11:59 p.m., if such day is not a Trading Day) on the 15th day of the third calendar month of each fiscal quarter and ending at the close of trading on the second Trading Day following the date of public disclosure of the Company’s financial results for that quarter (the “</w:t>
            </w:r>
            <w:r>
              <w:rPr>
                <w:rFonts w:ascii="Times New Roman" w:hAnsi="Times New Roman"/>
                <w:color w:val="000000"/>
                <w:sz w:val="24"/>
                <w:u w:val="single"/>
              </w:rPr>
              <w:t>Financial Black-Out Period</w:t>
            </w:r>
            <w:r>
              <w:rPr>
                <w:rFonts w:ascii="Times New Roman" w:hAnsi="Times New Roman"/>
                <w:color w:val="000000"/>
                <w:sz w:val="24"/>
              </w:rPr>
              <w:t>”) is a particularly sensitive period of time for transactions in the Company’s securities from the perspective of compliance with applicable securities laws.  This sensitivity is due to the fact that officers, directors and certain employees of the Company will, during the Financial Black-Out Period, often possess material nonpublic information about the expected financial results for the quarter during that period.  All Section 16 Individuals and all Other Persons are prohibited from trading in the Company’s securities during a Financial Black-Out Period.  In addition, there may be other time periods when material nonpublic information regarding the Company may be pending. While such information is pending, the Company may impose a special “black-out” period during which the same prohibitions shall apply (a “</w:t>
            </w:r>
            <w:r>
              <w:rPr>
                <w:rFonts w:ascii="Times New Roman" w:hAnsi="Times New Roman"/>
                <w:color w:val="000000"/>
                <w:sz w:val="24"/>
                <w:u w:val="single"/>
              </w:rPr>
              <w:t>Special Black-Out Period</w:t>
            </w:r>
            <w:r>
              <w:rPr>
                <w:rFonts w:ascii="Times New Roman" w:hAnsi="Times New Roman"/>
                <w:color w:val="000000"/>
                <w:sz w:val="24"/>
              </w:rPr>
              <w:t>”, and together with Financial Black-Out Periods, the “</w:t>
            </w:r>
            <w:r>
              <w:rPr>
                <w:rFonts w:ascii="Times New Roman" w:hAnsi="Times New Roman"/>
                <w:color w:val="000000"/>
                <w:sz w:val="24"/>
                <w:u w:val="single"/>
              </w:rPr>
              <w:t>Black-Out Periods</w:t>
            </w:r>
            <w:r>
              <w:rPr>
                <w:rFonts w:ascii="Times New Roman" w:hAnsi="Times New Roman"/>
                <w:color w:val="000000"/>
                <w:sz w:val="24"/>
              </w:rPr>
              <w:t>”).  Persons restricted from trading during Special Black-Out Periods will be notified of the prohibition.  These restrictions on trading do not apply to transactions made under an authorized trading plan. The prohibition against trading during Black-Out Periods encompasses the fulfillment of “limit orders” by a broker, and the broker with whom any such limit order is placed must be so instructed at the time it is placed.  The restrictions on trading during Black-Out Periods continue to apply even after the employment or other relationship between the Company and an Insider, particularly Section 16 Individuals or Other Persons, has terminated, and such restrictions shall apply until the end of any Black-Out Period applicable at the final date of employment or other relationship. </w:t>
            </w:r>
          </w:p>
        </w:tc>
      </w:tr>
    </w:tbl>
    <w:tbl>
      <w:tblPr>
        <w:tblW w:w="2051" w:type="dxa"/>
        <w:jc w:val="left"/>
        <w:tblInd w:w="1720" w:type="dxa"/>
        <w:tblLayout w:type="fixed"/>
        <w:tblCellMar>
          <w:top w:w="0" w:type="dxa"/>
          <w:left w:w="0" w:type="dxa"/>
          <w:bottom w:w="0" w:type="dxa"/>
          <w:right w:w="0" w:type="dxa"/>
        </w:tblCellMar>
      </w:tblPr>
      <w:tblGrid>
        <w:gridCol w:w="38"/>
        <w:gridCol w:w="230"/>
        <w:gridCol w:w="23"/>
        <w:gridCol w:w="176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b w:val="false"/>
                <w:i w:val="false"/>
                <w:caps w:val="false"/>
                <w:smallCaps w:val="false"/>
                <w:sz w:val="24"/>
              </w:rPr>
              <w:t>J.</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1760"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i/>
                <w:color w:val="000000"/>
                <w:sz w:val="24"/>
              </w:rPr>
              <w:t>Trading Window.</w:t>
            </w:r>
            <w:r>
              <w:rPr>
                <w:rFonts w:ascii="Times New Roman" w:hAnsi="Times New Roman"/>
                <w:color w:val="000000"/>
                <w:sz w:val="24"/>
              </w:rPr>
              <w:t> </w:t>
            </w:r>
          </w:p>
        </w:tc>
      </w:tr>
    </w:tbl>
    <w:tbl>
      <w:tblPr>
        <w:tblW w:w="7045" w:type="dxa"/>
        <w:jc w:val="left"/>
        <w:tblInd w:w="1720" w:type="dxa"/>
        <w:tblLayout w:type="fixed"/>
        <w:tblCellMar>
          <w:top w:w="0" w:type="dxa"/>
          <w:left w:w="0" w:type="dxa"/>
          <w:bottom w:w="0" w:type="dxa"/>
          <w:right w:w="0" w:type="dxa"/>
        </w:tblCellMar>
      </w:tblPr>
      <w:tblGrid>
        <w:gridCol w:w="38"/>
        <w:gridCol w:w="225"/>
        <w:gridCol w:w="23"/>
        <w:gridCol w:w="6759"/>
      </w:tblGrid>
      <w:tr>
        <w:trPr/>
        <w:tc>
          <w:tcPr>
            <w:tcW w:w="38" w:type="dxa"/>
            <w:tcBorders/>
            <w:vAlign w:val="center"/>
          </w:tcPr>
          <w:p>
            <w:pPr>
              <w:pStyle w:val="TableContents"/>
              <w:bidi w:val="0"/>
              <w:spacing w:before="0" w:after="283"/>
              <w:jc w:val="left"/>
              <w:rPr>
                <w:sz w:val="4"/>
                <w:szCs w:val="4"/>
              </w:rPr>
            </w:pPr>
            <w:r>
              <w:rPr>
                <w:sz w:val="4"/>
                <w:szCs w:val="4"/>
              </w:rPr>
            </w:r>
          </w:p>
        </w:tc>
        <w:tc>
          <w:tcPr>
            <w:tcW w:w="225" w:type="dxa"/>
            <w:tcBorders/>
          </w:tcPr>
          <w:p>
            <w:pPr>
              <w:pStyle w:val="TableContents"/>
              <w:bidi w:val="0"/>
              <w:spacing w:before="0" w:after="240"/>
              <w:ind w:left="0" w:right="0" w:hanging="0"/>
              <w:jc w:val="both"/>
              <w:rPr>
                <w:rFonts w:ascii="Times New Roman" w:hAnsi="Times New Roman"/>
                <w:sz w:val="24"/>
              </w:rPr>
            </w:pPr>
            <w:r>
              <w:rPr>
                <w:rFonts w:ascii="Times New Roman" w:hAnsi="Times New Roman"/>
                <w:sz w:val="24"/>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759" w:type="dxa"/>
            <w:tcBorders/>
          </w:tcPr>
          <w:p>
            <w:pPr>
              <w:pStyle w:val="TableContents"/>
              <w:bidi w:val="0"/>
              <w:spacing w:before="0" w:after="240"/>
              <w:ind w:left="0" w:right="0" w:hanging="0"/>
              <w:jc w:val="both"/>
              <w:rPr>
                <w:rFonts w:ascii="Times New Roman" w:hAnsi="Times New Roman"/>
                <w:sz w:val="24"/>
              </w:rPr>
            </w:pPr>
            <w:r>
              <w:rPr>
                <w:rFonts w:ascii="Times New Roman" w:hAnsi="Times New Roman"/>
                <w:color w:val="000000"/>
                <w:sz w:val="24"/>
              </w:rPr>
              <w:t xml:space="preserve">To ensure compliance with this Policy and applicable federal and state securities laws, the Company requires that all Section 16 Individuals and all Other Persons refrain from conducting transactions involving the purchase,  sale or gift of the Company’s securities other than during the period </w:t>
            </w:r>
            <w:bookmarkStart w:id="69" w:name="_Hlk32240261"/>
            <w:bookmarkEnd w:id="69"/>
            <w:r>
              <w:rPr>
                <w:rFonts w:ascii="Times New Roman" w:hAnsi="Times New Roman"/>
                <w:color w:val="000000"/>
                <w:sz w:val="24"/>
              </w:rPr>
              <w:t>commencing at the open of market on the third Trading Day following the date of public disclosure of the financial results for a particular fiscal quarter or year and continuing until the close of trading (or 11:59 p.m., if such day is not a Trading Day) on the 15th day of the third calendar month of the next fiscal quarter (the “</w:t>
            </w:r>
            <w:r>
              <w:rPr>
                <w:rFonts w:ascii="Times New Roman" w:hAnsi="Times New Roman"/>
                <w:color w:val="000000"/>
                <w:sz w:val="24"/>
                <w:u w:val="single"/>
              </w:rPr>
              <w:t>Trading Window</w:t>
            </w:r>
            <w:r>
              <w:rPr>
                <w:rFonts w:ascii="Times New Roman" w:hAnsi="Times New Roman"/>
                <w:color w:val="000000"/>
                <w:sz w:val="24"/>
              </w:rPr>
              <w:t>”).  This restriction on trading does not apply to transactions made under an authorized trading plan.</w:t>
            </w:r>
          </w:p>
        </w:tc>
      </w:tr>
    </w:tbl>
    <w:p>
      <w:pPr>
        <w:pStyle w:val="TextBody"/>
        <w:bidi w:val="0"/>
        <w:spacing w:before="0" w:after="0"/>
        <w:ind w:left="1720" w:right="1440" w:hanging="0"/>
        <w:jc w:val="center"/>
        <w:rPr>
          <w:rFonts w:ascii="Times New Roman" w:hAnsi="Times New Roman"/>
          <w:sz w:val="24"/>
        </w:rPr>
      </w:pPr>
      <w:r>
        <w:rPr>
          <w:rFonts w:ascii="Times New Roman" w:hAnsi="Times New Roman"/>
          <w:sz w:val="24"/>
        </w:rPr>
        <w:t xml:space="preserve">6 </w:t>
      </w:r>
    </w:p>
    <w:p>
      <w:pPr>
        <w:pStyle w:val="TextBody"/>
        <w:bidi w:val="0"/>
        <w:spacing w:lineRule="atLeast" w:line="200" w:before="0" w:after="0"/>
        <w:ind w:left="1720" w:right="1440" w:hanging="0"/>
        <w:jc w:val="left"/>
        <w:rPr/>
      </w:pPr>
      <w:r>
        <w:rPr/>
        <w:t xml:space="preserve">  </w:t>
      </w:r>
    </w:p>
    <w:p>
      <w:pPr>
        <w:pStyle w:val="TextBody"/>
        <w:bidi w:val="0"/>
        <w:spacing w:lineRule="atLeast" w:line="200" w:before="0" w:after="0"/>
        <w:ind w:left="1720" w:right="1440" w:hanging="0"/>
        <w:jc w:val="left"/>
        <w:rPr/>
      </w:pPr>
      <w:r>
        <w:rPr/>
        <w:t xml:space="preserve">  </w:t>
      </w:r>
    </w:p>
    <w:p>
      <w:pPr>
        <w:pStyle w:val="HorizontalLine"/>
        <w:pBdr>
          <w:bottom w:val="double" w:sz="6" w:space="0" w:color="808080"/>
        </w:pBdr>
        <w:bidi w:val="0"/>
        <w:ind w:left="1720" w:right="1440" w:hanging="0"/>
        <w:jc w:val="left"/>
        <w:rPr/>
      </w:pPr>
      <w:r>
        <w:rPr/>
      </w:r>
    </w:p>
    <w:p>
      <w:pPr>
        <w:pStyle w:val="TextBody"/>
        <w:bidi w:val="0"/>
        <w:ind w:left="1720" w:right="1440" w:hanging="0"/>
        <w:jc w:val="left"/>
        <w:rPr/>
      </w:pPr>
      <w:r>
        <w:rPr/>
        <w:t> </w:t>
      </w:r>
      <w:r>
        <w:br w:type="page"/>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Exhibit 19.1 to 2024 Form 10-K</w:t>
      </w:r>
      <w:r>
        <w:rPr>
          <w:rFonts w:ascii="Times New Roman" w:hAnsi="Times New Roman"/>
          <w:sz w:val="20"/>
        </w:rPr>
        <w:t xml:space="preserve"> </w:t>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Updated</w:t>
      </w:r>
      <w:r>
        <w:rPr>
          <w:rFonts w:ascii="Times New Roman" w:hAnsi="Times New Roman"/>
          <w:sz w:val="20"/>
        </w:rPr>
        <w:t> </w:t>
      </w:r>
      <w:r>
        <w:rPr>
          <w:rFonts w:ascii="Times New Roman" w:hAnsi="Times New Roman"/>
          <w:b/>
          <w:sz w:val="20"/>
        </w:rPr>
        <w:t>August</w:t>
      </w:r>
      <w:r>
        <w:rPr>
          <w:rFonts w:ascii="Times New Roman" w:hAnsi="Times New Roman"/>
          <w:sz w:val="20"/>
        </w:rPr>
        <w:t> </w:t>
      </w:r>
      <w:r>
        <w:rPr>
          <w:rFonts w:ascii="Times New Roman" w:hAnsi="Times New Roman"/>
          <w:b/>
          <w:sz w:val="20"/>
        </w:rPr>
        <w:t>2024</w:t>
      </w:r>
      <w:r>
        <w:rPr>
          <w:rFonts w:ascii="Times New Roman" w:hAnsi="Times New Roman"/>
          <w:sz w:val="20"/>
        </w:rPr>
        <w:t xml:space="preserve"> </w:t>
      </w:r>
    </w:p>
    <w:p>
      <w:pPr>
        <w:pStyle w:val="TextBody"/>
        <w:bidi w:val="0"/>
        <w:spacing w:before="0" w:after="0"/>
        <w:ind w:left="1720" w:right="1440" w:hanging="0"/>
        <w:jc w:val="left"/>
        <w:rPr/>
      </w:pPr>
      <w:r>
        <w:rPr/>
        <w:t xml:space="preserve">  </w:t>
      </w:r>
    </w:p>
    <w:tbl>
      <w:tblPr>
        <w:tblW w:w="7045" w:type="dxa"/>
        <w:jc w:val="left"/>
        <w:tblInd w:w="1720" w:type="dxa"/>
        <w:tblLayout w:type="fixed"/>
        <w:tblCellMar>
          <w:top w:w="0" w:type="dxa"/>
          <w:left w:w="0" w:type="dxa"/>
          <w:bottom w:w="0" w:type="dxa"/>
          <w:right w:w="0" w:type="dxa"/>
        </w:tblCellMar>
      </w:tblPr>
      <w:tblGrid>
        <w:gridCol w:w="38"/>
        <w:gridCol w:w="223"/>
        <w:gridCol w:w="23"/>
        <w:gridCol w:w="6761"/>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sz w:val="24"/>
              </w:rPr>
              <w:t>(2)</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61"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 xml:space="preserve">From time to time within any Trading Window, the Company may also prohibit Section 16 Individuals and Other Persons, and potentially a larger group of employees, consultants and contractors, from trading the Company’s securities because of material developments known to the Company and not yet disclosed to the public.  In such event, such persons may not engage in any transaction involving the purchase, sale or gift of the Company’s securities during the applicable period and should not disclose to others the fact of such suspension of trading.  This restriction on trading does not apply to transactions made under an authorized trading plan.  The Company will re-open any such closed Trading Window at the beginning of the third Trading Day following the date of widespread public dissemination of the relevant information, or at such time as such information is no longer material. </w:t>
            </w:r>
          </w:p>
        </w:tc>
      </w:tr>
    </w:tbl>
    <w:tbl>
      <w:tblPr>
        <w:tblW w:w="7045" w:type="dxa"/>
        <w:jc w:val="left"/>
        <w:tblInd w:w="1720" w:type="dxa"/>
        <w:tblLayout w:type="fixed"/>
        <w:tblCellMar>
          <w:top w:w="0" w:type="dxa"/>
          <w:left w:w="0" w:type="dxa"/>
          <w:bottom w:w="0" w:type="dxa"/>
          <w:right w:w="0" w:type="dxa"/>
        </w:tblCellMar>
      </w:tblPr>
      <w:tblGrid>
        <w:gridCol w:w="38"/>
        <w:gridCol w:w="223"/>
        <w:gridCol w:w="23"/>
        <w:gridCol w:w="6761"/>
      </w:tblGrid>
      <w:tr>
        <w:trPr/>
        <w:tc>
          <w:tcPr>
            <w:tcW w:w="38" w:type="dxa"/>
            <w:tcBorders/>
            <w:vAlign w:val="center"/>
          </w:tcPr>
          <w:p>
            <w:pPr>
              <w:pStyle w:val="TableContents"/>
              <w:bidi w:val="0"/>
              <w:spacing w:before="0" w:after="283"/>
              <w:jc w:val="left"/>
              <w:rPr>
                <w:sz w:val="4"/>
                <w:szCs w:val="4"/>
              </w:rPr>
            </w:pPr>
            <w:r>
              <w:rPr>
                <w:sz w:val="4"/>
                <w:szCs w:val="4"/>
              </w:rPr>
            </w:r>
          </w:p>
        </w:tc>
        <w:tc>
          <w:tcPr>
            <w:tcW w:w="223"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sz w:val="24"/>
              </w:rPr>
              <w:t>(3)</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61" w:type="dxa"/>
            <w:tcBorders/>
          </w:tcPr>
          <w:p>
            <w:pPr>
              <w:pStyle w:val="TableContents"/>
              <w:pBdr/>
              <w:bidi w:val="0"/>
              <w:spacing w:before="0" w:after="240"/>
              <w:ind w:left="0" w:right="0" w:hanging="0"/>
              <w:jc w:val="both"/>
              <w:rPr>
                <w:rFonts w:ascii="Times New Roman" w:hAnsi="Times New Roman"/>
                <w:color w:val="000000"/>
                <w:sz w:val="24"/>
              </w:rPr>
            </w:pPr>
            <w:r>
              <w:rPr>
                <w:rFonts w:ascii="Times New Roman" w:hAnsi="Times New Roman"/>
                <w:color w:val="000000"/>
                <w:sz w:val="24"/>
              </w:rPr>
              <w:t>It should be noted that, even during the Trading Window, no person possessing material nonpublic information concerning the Company, whether or not subject to the Black-Out Period and Trading Window provisions of this Policy, and whether or not the Company has recommended a suspension of trading to that person, should engage in any transactions in the Company’s securities until such information has been known publicly for at least two full Trading Days. This restriction on trading does not apply to transactions made under an authorized trading plan.  Trading in the Company’s securities during the Trading Window should not be considered a “safe harbor,” and all directors, officers and other persons subject to this Policy should use their individual good judgment in applying the guidelines set forth in this Policy whenever considering engaging in transactions in the Company’s securities.</w:t>
            </w:r>
          </w:p>
        </w:tc>
      </w:tr>
    </w:tbl>
    <w:p>
      <w:pPr>
        <w:pStyle w:val="TextBody"/>
        <w:bidi w:val="0"/>
        <w:spacing w:before="0" w:after="0"/>
        <w:ind w:left="1720" w:right="1440" w:hanging="0"/>
        <w:jc w:val="center"/>
        <w:rPr>
          <w:rFonts w:ascii="Times New Roman" w:hAnsi="Times New Roman"/>
          <w:sz w:val="24"/>
        </w:rPr>
      </w:pPr>
      <w:r>
        <w:rPr>
          <w:rFonts w:ascii="Times New Roman" w:hAnsi="Times New Roman"/>
          <w:sz w:val="24"/>
        </w:rPr>
        <w:t xml:space="preserve">7 </w:t>
      </w:r>
    </w:p>
    <w:p>
      <w:pPr>
        <w:pStyle w:val="TextBody"/>
        <w:bidi w:val="0"/>
        <w:spacing w:lineRule="atLeast" w:line="200" w:before="0" w:after="0"/>
        <w:ind w:left="1720" w:right="1440" w:hanging="0"/>
        <w:jc w:val="left"/>
        <w:rPr/>
      </w:pPr>
      <w:r>
        <w:rPr/>
        <w:t xml:space="preserve">  </w:t>
      </w:r>
    </w:p>
    <w:p>
      <w:pPr>
        <w:pStyle w:val="TextBody"/>
        <w:bidi w:val="0"/>
        <w:spacing w:lineRule="atLeast" w:line="200" w:before="0" w:after="0"/>
        <w:ind w:left="1720" w:right="1440" w:hanging="0"/>
        <w:jc w:val="left"/>
        <w:rPr/>
      </w:pPr>
      <w:r>
        <w:rPr/>
        <w:t xml:space="preserve">  </w:t>
      </w:r>
    </w:p>
    <w:p>
      <w:pPr>
        <w:pStyle w:val="HorizontalLine"/>
        <w:pBdr>
          <w:bottom w:val="double" w:sz="6" w:space="0" w:color="808080"/>
        </w:pBdr>
        <w:bidi w:val="0"/>
        <w:ind w:left="1720" w:right="1440" w:hanging="0"/>
        <w:jc w:val="left"/>
        <w:rPr/>
      </w:pPr>
      <w:r>
        <w:rPr/>
      </w:r>
    </w:p>
    <w:p>
      <w:pPr>
        <w:pStyle w:val="TextBody"/>
        <w:bidi w:val="0"/>
        <w:ind w:left="1720" w:right="1440" w:hanging="0"/>
        <w:jc w:val="left"/>
        <w:rPr/>
      </w:pPr>
      <w:r>
        <w:rPr/>
        <w:t> </w:t>
      </w:r>
      <w:r>
        <w:br w:type="page"/>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Exhibit 19.1 to 2024 Form 10-K</w:t>
      </w:r>
      <w:r>
        <w:rPr>
          <w:rFonts w:ascii="Times New Roman" w:hAnsi="Times New Roman"/>
          <w:sz w:val="20"/>
        </w:rPr>
        <w:t xml:space="preserve"> </w:t>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Updated</w:t>
      </w:r>
      <w:r>
        <w:rPr>
          <w:rFonts w:ascii="Times New Roman" w:hAnsi="Times New Roman"/>
          <w:sz w:val="20"/>
        </w:rPr>
        <w:t> </w:t>
      </w:r>
      <w:r>
        <w:rPr>
          <w:rFonts w:ascii="Times New Roman" w:hAnsi="Times New Roman"/>
          <w:b/>
          <w:sz w:val="20"/>
        </w:rPr>
        <w:t>August</w:t>
      </w:r>
      <w:r>
        <w:rPr>
          <w:rFonts w:ascii="Times New Roman" w:hAnsi="Times New Roman"/>
          <w:sz w:val="20"/>
        </w:rPr>
        <w:t> </w:t>
      </w:r>
      <w:r>
        <w:rPr>
          <w:rFonts w:ascii="Times New Roman" w:hAnsi="Times New Roman"/>
          <w:b/>
          <w:sz w:val="20"/>
        </w:rPr>
        <w:t>2024</w:t>
      </w:r>
      <w:r>
        <w:rPr>
          <w:rFonts w:ascii="Times New Roman" w:hAnsi="Times New Roman"/>
          <w:sz w:val="20"/>
        </w:rPr>
        <w:t xml:space="preserve"> </w:t>
      </w:r>
    </w:p>
    <w:p>
      <w:pPr>
        <w:pStyle w:val="TextBody"/>
        <w:bidi w:val="0"/>
        <w:spacing w:before="0" w:after="0"/>
        <w:ind w:left="1720" w:right="1440" w:hanging="0"/>
        <w:jc w:val="left"/>
        <w:rPr/>
      </w:pPr>
      <w:r>
        <w:rPr/>
        <w:t xml:space="preserve">  </w:t>
      </w:r>
    </w:p>
    <w:tbl>
      <w:tblPr>
        <w:tblW w:w="7045" w:type="dxa"/>
        <w:jc w:val="left"/>
        <w:tblInd w:w="1720" w:type="dxa"/>
        <w:tblLayout w:type="fixed"/>
        <w:tblCellMar>
          <w:top w:w="0" w:type="dxa"/>
          <w:left w:w="0" w:type="dxa"/>
          <w:bottom w:w="0" w:type="dxa"/>
          <w:right w:w="0" w:type="dxa"/>
        </w:tblCellMar>
      </w:tblPr>
      <w:tblGrid>
        <w:gridCol w:w="38"/>
        <w:gridCol w:w="261"/>
        <w:gridCol w:w="23"/>
        <w:gridCol w:w="6723"/>
      </w:tblGrid>
      <w:tr>
        <w:trPr/>
        <w:tc>
          <w:tcPr>
            <w:tcW w:w="38" w:type="dxa"/>
            <w:tcBorders/>
            <w:vAlign w:val="center"/>
          </w:tcPr>
          <w:p>
            <w:pPr>
              <w:pStyle w:val="TableContents"/>
              <w:bidi w:val="0"/>
              <w:spacing w:before="0" w:after="283"/>
              <w:jc w:val="left"/>
              <w:rPr>
                <w:sz w:val="4"/>
                <w:szCs w:val="4"/>
              </w:rPr>
            </w:pPr>
            <w:r>
              <w:rPr>
                <w:sz w:val="4"/>
                <w:szCs w:val="4"/>
              </w:rPr>
            </w:r>
          </w:p>
        </w:tc>
        <w:tc>
          <w:tcPr>
            <w:tcW w:w="261"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b w:val="false"/>
                <w:i w:val="false"/>
                <w:caps w:val="false"/>
                <w:smallCaps w:val="false"/>
                <w:sz w:val="24"/>
              </w:rPr>
              <w:t>K.</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23"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i/>
                <w:color w:val="000000"/>
                <w:sz w:val="24"/>
              </w:rPr>
              <w:t>Pre-Clearance of Trades</w:t>
            </w:r>
            <w:r>
              <w:rPr>
                <w:rFonts w:ascii="Times New Roman" w:hAnsi="Times New Roman"/>
                <w:color w:val="000000"/>
                <w:sz w:val="24"/>
              </w:rPr>
              <w:t xml:space="preserve">. The Company has determined that all Section 16 Individuals and Other Persons must refrain from trading in the Company’s securities, even during the Trading Window and regardless of whether he or she has material nonpublic information, without first complying with the Company’s “pre-clearance” process and receiving the prior written consent of the Compliance Officer.  Prior to commencing any trade in the Company’s securities, each Section 16 Individual and Other Person must contact the Compliance Officer to request pre-clearance of such trade.  The Compliance Officer will consult as necessary or desirable with senior management of and/or outside counsel to the Company before clearing any such proposed trade.  A request for pre-clearance must be received at least two full business days before the date of the proposed transaction.  All trades in the Company’s securities by the Compliance Officer that are subject to the pre-clearance provisions of this paragraph must be pre-cleared by the Company’s Chief Financial Officer, pursuant to the same procedures applicable to other Insiders, as set forth in this paragraph.  Any Insider wishing to establish a proposed Rule 10b5-1 trading plan must obtain the Compliance Officer’s authorization of such plan before it is adopted.  Thereafter, all trades made by a broker under an authorized trading plan are not subject to these pre-clearance procedures, but each authorized trading plan must provide that the Compliance Officer or designee be notified  of any transactions made under such authorized trading plan.  </w:t>
            </w:r>
          </w:p>
        </w:tc>
      </w:tr>
    </w:tbl>
    <w:tbl>
      <w:tblPr>
        <w:tblW w:w="7045" w:type="dxa"/>
        <w:jc w:val="left"/>
        <w:tblInd w:w="1720" w:type="dxa"/>
        <w:tblLayout w:type="fixed"/>
        <w:tblCellMar>
          <w:top w:w="0" w:type="dxa"/>
          <w:left w:w="0" w:type="dxa"/>
          <w:bottom w:w="0" w:type="dxa"/>
          <w:right w:w="0" w:type="dxa"/>
        </w:tblCellMar>
      </w:tblPr>
      <w:tblGrid>
        <w:gridCol w:w="38"/>
        <w:gridCol w:w="237"/>
        <w:gridCol w:w="23"/>
        <w:gridCol w:w="6747"/>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b w:val="false"/>
                <w:i w:val="false"/>
                <w:caps w:val="false"/>
                <w:smallCaps w:val="false"/>
                <w:sz w:val="24"/>
              </w:rPr>
              <w:t>L.</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747" w:type="dxa"/>
            <w:tcBorders/>
          </w:tcPr>
          <w:p>
            <w:pPr>
              <w:pStyle w:val="TableContents"/>
              <w:pBdr/>
              <w:bidi w:val="0"/>
              <w:spacing w:before="0" w:after="240"/>
              <w:ind w:left="0" w:right="0" w:hanging="0"/>
              <w:jc w:val="both"/>
              <w:rPr>
                <w:rFonts w:ascii="Times New Roman" w:hAnsi="Times New Roman"/>
                <w:sz w:val="24"/>
              </w:rPr>
            </w:pPr>
            <w:r>
              <w:rPr>
                <w:rFonts w:ascii="Times New Roman" w:hAnsi="Times New Roman"/>
                <w:i/>
                <w:color w:val="000000"/>
                <w:sz w:val="24"/>
              </w:rPr>
              <w:t>Individual Responsibility</w:t>
            </w:r>
            <w:r>
              <w:rPr>
                <w:rFonts w:ascii="Times New Roman" w:hAnsi="Times New Roman"/>
                <w:color w:val="000000"/>
                <w:sz w:val="24"/>
              </w:rPr>
              <w:t>. Every Insider and Designated Outsider has the individual responsibility to comply with this Policy. An Insider or Designated Outsider may, from time to time, have to forego a proposed transaction in the Company’s securities even if he or she planned to execute the transaction before learning of the material nonpublic information and even though the Insider or Designated Insider believes he or she may suffer an economic loss or forego anticipated profit by waiting.</w:t>
            </w:r>
          </w:p>
        </w:tc>
      </w:tr>
    </w:tbl>
    <w:p>
      <w:pPr>
        <w:pStyle w:val="TextBody"/>
        <w:bidi w:val="0"/>
        <w:spacing w:before="0" w:after="240"/>
        <w:ind w:left="1720" w:right="1440" w:hanging="0"/>
        <w:jc w:val="both"/>
        <w:rPr>
          <w:rFonts w:ascii="Times New Roman" w:hAnsi="Times New Roman"/>
          <w:b/>
          <w:sz w:val="24"/>
        </w:rPr>
      </w:pPr>
      <w:r>
        <w:rPr>
          <w:rFonts w:ascii="Times New Roman" w:hAnsi="Times New Roman"/>
          <w:b/>
          <w:color w:val="000000"/>
          <w:sz w:val="24"/>
        </w:rPr>
        <w:t>Definition of Material Nonpublic Information</w:t>
      </w:r>
      <w:r>
        <w:rPr>
          <w:rFonts w:ascii="Times New Roman" w:hAnsi="Times New Roman"/>
          <w:b/>
          <w:sz w:val="24"/>
        </w:rPr>
        <w:t xml:space="preserve"> </w:t>
      </w:r>
    </w:p>
    <w:p>
      <w:pPr>
        <w:pStyle w:val="TextBody"/>
        <w:bidi w:val="0"/>
        <w:spacing w:before="0" w:after="0"/>
        <w:ind w:left="1720" w:right="1440" w:hanging="0"/>
        <w:jc w:val="both"/>
        <w:rPr>
          <w:rFonts w:ascii="Times New Roman" w:hAnsi="Times New Roman"/>
          <w:sz w:val="24"/>
        </w:rPr>
      </w:pPr>
      <w:r>
        <w:rPr>
          <w:rFonts w:ascii="Times New Roman" w:hAnsi="Times New Roman"/>
          <w:color w:val="000000"/>
          <w:sz w:val="24"/>
        </w:rPr>
        <w:t>Information about the Company is “material” if it would be expected to affect the investment or voting decisions of a reasonable investor, or if the disclosure of the information would be expected to significantly alter the total mix of the information in the marketplace about the Company.  In simple terms, material information concerning the Company is any type of information which could reasonably be expected to affect the market price of the Company’s securities.  While it is not possible to identify all types of information that would be deemed “material,” and the following list is therefore not exclusive, the following types of information ordinarily would be considered material:</w:t>
      </w:r>
      <w:r>
        <w:rPr>
          <w:rFonts w:ascii="Times New Roman" w:hAnsi="Times New Roman"/>
          <w:sz w:val="24"/>
        </w:rPr>
        <w:t xml:space="preserve"> </w:t>
      </w:r>
    </w:p>
    <w:p>
      <w:pPr>
        <w:pStyle w:val="TextBody"/>
        <w:bidi w:val="0"/>
        <w:spacing w:before="0" w:after="0"/>
        <w:ind w:left="1720" w:right="1440" w:hanging="0"/>
        <w:jc w:val="both"/>
        <w:rPr>
          <w:rFonts w:cs="Times New Roman"/>
          <w:szCs w:val="24"/>
        </w:rPr>
      </w:pPr>
      <w:r>
        <w:rPr>
          <w:rFonts w:cs="Times New Roman"/>
          <w:color w:val="000000"/>
          <w:szCs w:val="24"/>
        </w:rPr>
        <w:t>﻿</w:t>
      </w:r>
      <w:r>
        <w:rPr>
          <w:rFonts w:cs="Times New Roman"/>
          <w:szCs w:val="24"/>
        </w:rPr>
        <w:t xml:space="preserve"> </w:t>
      </w:r>
    </w:p>
    <w:tbl>
      <w:tblPr>
        <w:tblW w:w="7045" w:type="dxa"/>
        <w:jc w:val="left"/>
        <w:tblInd w:w="1720" w:type="dxa"/>
        <w:tblLayout w:type="fixed"/>
        <w:tblCellMar>
          <w:top w:w="0" w:type="dxa"/>
          <w:left w:w="0" w:type="dxa"/>
          <w:bottom w:w="0" w:type="dxa"/>
          <w:right w:w="0" w:type="dxa"/>
        </w:tblCellMar>
      </w:tblPr>
      <w:tblGrid>
        <w:gridCol w:w="38"/>
        <w:gridCol w:w="119"/>
        <w:gridCol w:w="23"/>
        <w:gridCol w:w="6865"/>
      </w:tblGrid>
      <w:tr>
        <w:trPr/>
        <w:tc>
          <w:tcPr>
            <w:tcW w:w="38" w:type="dxa"/>
            <w:tcBorders/>
            <w:vAlign w:val="center"/>
          </w:tcPr>
          <w:p>
            <w:pPr>
              <w:pStyle w:val="TableContents"/>
              <w:bidi w:val="0"/>
              <w:spacing w:before="0" w:after="283"/>
              <w:jc w:val="left"/>
              <w:rPr>
                <w:sz w:val="4"/>
                <w:szCs w:val="4"/>
              </w:rPr>
            </w:pPr>
            <w:r>
              <w:rPr>
                <w:sz w:val="4"/>
                <w:szCs w:val="4"/>
              </w:rPr>
            </w:r>
          </w:p>
        </w:tc>
        <w:tc>
          <w:tcPr>
            <w:tcW w:w="119" w:type="dxa"/>
            <w:tcBorders/>
          </w:tcPr>
          <w:p>
            <w:pPr>
              <w:pStyle w:val="TableContents"/>
              <w:bidi w:val="0"/>
              <w:spacing w:before="0" w:after="0"/>
              <w:ind w:left="0" w:right="0" w:hanging="0"/>
              <w:jc w:val="both"/>
              <w:rPr>
                <w:rFonts w:ascii="Times New Roman" w:hAnsi="Times New Roman"/>
                <w:sz w:val="24"/>
              </w:rPr>
            </w:pPr>
            <w:r>
              <w:rPr>
                <w:rFonts w:ascii="Symbol" w:hAnsi="Symbol"/>
                <w:sz w:val="16"/>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865" w:type="dxa"/>
            <w:tcBorders/>
          </w:tcPr>
          <w:p>
            <w:pPr>
              <w:pStyle w:val="TableContents"/>
              <w:bidi w:val="0"/>
              <w:spacing w:before="0" w:after="0"/>
              <w:ind w:left="0" w:right="0" w:hanging="0"/>
              <w:jc w:val="both"/>
              <w:rPr>
                <w:rFonts w:ascii="Times New Roman" w:hAnsi="Times New Roman"/>
                <w:color w:val="000000"/>
                <w:sz w:val="24"/>
              </w:rPr>
            </w:pPr>
            <w:r>
              <w:rPr>
                <w:rFonts w:ascii="Times New Roman" w:hAnsi="Times New Roman"/>
                <w:color w:val="000000"/>
                <w:sz w:val="24"/>
              </w:rPr>
              <w:t xml:space="preserve">Financial performance, especially quarterly and year-end earnings, significant changes in financial performance or liquidity, or a proposed bankruptcy filing </w:t>
            </w:r>
          </w:p>
        </w:tc>
      </w:tr>
    </w:tbl>
    <w:tbl>
      <w:tblPr>
        <w:tblW w:w="4136" w:type="dxa"/>
        <w:jc w:val="left"/>
        <w:tblInd w:w="1720" w:type="dxa"/>
        <w:tblLayout w:type="fixed"/>
        <w:tblCellMar>
          <w:top w:w="0" w:type="dxa"/>
          <w:left w:w="0" w:type="dxa"/>
          <w:bottom w:w="0" w:type="dxa"/>
          <w:right w:w="0" w:type="dxa"/>
        </w:tblCellMar>
      </w:tblPr>
      <w:tblGrid>
        <w:gridCol w:w="38"/>
        <w:gridCol w:w="155"/>
        <w:gridCol w:w="23"/>
        <w:gridCol w:w="392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0"/>
              <w:ind w:left="0" w:right="0" w:hanging="0"/>
              <w:jc w:val="both"/>
              <w:rPr>
                <w:rFonts w:ascii="Times New Roman" w:hAnsi="Times New Roman"/>
                <w:sz w:val="24"/>
              </w:rPr>
            </w:pPr>
            <w:r>
              <w:rPr>
                <w:rFonts w:ascii="Symbol" w:hAnsi="Symbol"/>
                <w:sz w:val="16"/>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920" w:type="dxa"/>
            <w:tcBorders/>
          </w:tcPr>
          <w:p>
            <w:pPr>
              <w:pStyle w:val="TableContents"/>
              <w:bidi w:val="0"/>
              <w:spacing w:before="0" w:after="0"/>
              <w:ind w:left="0" w:right="0" w:hanging="0"/>
              <w:jc w:val="both"/>
              <w:rPr>
                <w:rFonts w:ascii="Times New Roman" w:hAnsi="Times New Roman"/>
                <w:color w:val="000000"/>
                <w:sz w:val="24"/>
              </w:rPr>
            </w:pPr>
            <w:r>
              <w:rPr>
                <w:rFonts w:ascii="Times New Roman" w:hAnsi="Times New Roman"/>
                <w:color w:val="000000"/>
                <w:sz w:val="24"/>
              </w:rPr>
              <w:t xml:space="preserve">Company projections and strategic plans </w:t>
            </w:r>
          </w:p>
        </w:tc>
      </w:tr>
    </w:tbl>
    <w:tbl>
      <w:tblPr>
        <w:tblW w:w="7045" w:type="dxa"/>
        <w:jc w:val="left"/>
        <w:tblInd w:w="1720" w:type="dxa"/>
        <w:tblLayout w:type="fixed"/>
        <w:tblCellMar>
          <w:top w:w="0" w:type="dxa"/>
          <w:left w:w="0" w:type="dxa"/>
          <w:bottom w:w="0" w:type="dxa"/>
          <w:right w:w="0" w:type="dxa"/>
        </w:tblCellMar>
      </w:tblPr>
      <w:tblGrid>
        <w:gridCol w:w="38"/>
        <w:gridCol w:w="122"/>
        <w:gridCol w:w="23"/>
        <w:gridCol w:w="6862"/>
      </w:tblGrid>
      <w:tr>
        <w:trPr/>
        <w:tc>
          <w:tcPr>
            <w:tcW w:w="38" w:type="dxa"/>
            <w:tcBorders/>
            <w:vAlign w:val="center"/>
          </w:tcPr>
          <w:p>
            <w:pPr>
              <w:pStyle w:val="TableContents"/>
              <w:bidi w:val="0"/>
              <w:spacing w:before="0" w:after="283"/>
              <w:jc w:val="left"/>
              <w:rPr>
                <w:sz w:val="4"/>
                <w:szCs w:val="4"/>
              </w:rPr>
            </w:pPr>
            <w:r>
              <w:rPr>
                <w:sz w:val="4"/>
                <w:szCs w:val="4"/>
              </w:rPr>
            </w:r>
          </w:p>
        </w:tc>
        <w:tc>
          <w:tcPr>
            <w:tcW w:w="122" w:type="dxa"/>
            <w:tcBorders/>
          </w:tcPr>
          <w:p>
            <w:pPr>
              <w:pStyle w:val="TableContents"/>
              <w:bidi w:val="0"/>
              <w:spacing w:before="0" w:after="0"/>
              <w:ind w:left="0" w:right="0" w:hanging="0"/>
              <w:jc w:val="both"/>
              <w:rPr>
                <w:rFonts w:ascii="Times New Roman" w:hAnsi="Times New Roman"/>
                <w:sz w:val="24"/>
              </w:rPr>
            </w:pPr>
            <w:r>
              <w:rPr>
                <w:rFonts w:ascii="Symbol" w:hAnsi="Symbol"/>
                <w:sz w:val="16"/>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862" w:type="dxa"/>
            <w:tcBorders/>
          </w:tcPr>
          <w:p>
            <w:pPr>
              <w:pStyle w:val="TableContents"/>
              <w:bidi w:val="0"/>
              <w:spacing w:before="0" w:after="0"/>
              <w:ind w:left="0" w:right="0" w:hanging="0"/>
              <w:jc w:val="both"/>
              <w:rPr>
                <w:rFonts w:ascii="Times New Roman" w:hAnsi="Times New Roman"/>
                <w:color w:val="000000"/>
                <w:sz w:val="24"/>
              </w:rPr>
            </w:pPr>
            <w:r>
              <w:rPr>
                <w:rFonts w:ascii="Times New Roman" w:hAnsi="Times New Roman"/>
                <w:color w:val="000000"/>
                <w:sz w:val="24"/>
              </w:rPr>
              <w:t xml:space="preserve">Material potential mergers and acquisitions, the sale of Company assets, divisions or subsidiaries, or a proposed joint venture or exchange offer </w:t>
            </w:r>
          </w:p>
        </w:tc>
      </w:tr>
    </w:tbl>
    <w:p>
      <w:pPr>
        <w:pStyle w:val="TextBody"/>
        <w:bidi w:val="0"/>
        <w:spacing w:before="0" w:after="0"/>
        <w:ind w:left="1720" w:right="1440" w:hanging="0"/>
        <w:jc w:val="center"/>
        <w:rPr>
          <w:rFonts w:ascii="Times New Roman" w:hAnsi="Times New Roman"/>
          <w:sz w:val="24"/>
        </w:rPr>
      </w:pPr>
      <w:r>
        <w:rPr>
          <w:rFonts w:ascii="Times New Roman" w:hAnsi="Times New Roman"/>
          <w:sz w:val="24"/>
        </w:rPr>
        <w:t xml:space="preserve">8 </w:t>
      </w:r>
    </w:p>
    <w:p>
      <w:pPr>
        <w:pStyle w:val="TextBody"/>
        <w:bidi w:val="0"/>
        <w:spacing w:lineRule="atLeast" w:line="200" w:before="0" w:after="0"/>
        <w:ind w:left="1720" w:right="1440" w:hanging="0"/>
        <w:jc w:val="left"/>
        <w:rPr/>
      </w:pPr>
      <w:r>
        <w:rPr/>
        <w:t xml:space="preserve">  </w:t>
      </w:r>
    </w:p>
    <w:p>
      <w:pPr>
        <w:pStyle w:val="TextBody"/>
        <w:bidi w:val="0"/>
        <w:spacing w:lineRule="atLeast" w:line="200" w:before="0" w:after="0"/>
        <w:ind w:left="1720" w:right="1440" w:hanging="0"/>
        <w:jc w:val="left"/>
        <w:rPr/>
      </w:pPr>
      <w:r>
        <w:rPr/>
        <w:t xml:space="preserve">  </w:t>
      </w:r>
    </w:p>
    <w:p>
      <w:pPr>
        <w:pStyle w:val="HorizontalLine"/>
        <w:pBdr>
          <w:bottom w:val="double" w:sz="6" w:space="0" w:color="808080"/>
        </w:pBdr>
        <w:bidi w:val="0"/>
        <w:ind w:left="1720" w:right="1440" w:hanging="0"/>
        <w:jc w:val="left"/>
        <w:rPr/>
      </w:pPr>
      <w:r>
        <w:rPr/>
      </w:r>
    </w:p>
    <w:p>
      <w:pPr>
        <w:pStyle w:val="TextBody"/>
        <w:bidi w:val="0"/>
        <w:ind w:left="1720" w:right="1440" w:hanging="0"/>
        <w:jc w:val="left"/>
        <w:rPr/>
      </w:pPr>
      <w:r>
        <w:rPr/>
        <w:t> </w:t>
      </w:r>
      <w:r>
        <w:br w:type="page"/>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Exhibit 19.1 to 2024 Form 10-K</w:t>
      </w:r>
      <w:r>
        <w:rPr>
          <w:rFonts w:ascii="Times New Roman" w:hAnsi="Times New Roman"/>
          <w:sz w:val="20"/>
        </w:rPr>
        <w:t xml:space="preserve"> </w:t>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Updated</w:t>
      </w:r>
      <w:r>
        <w:rPr>
          <w:rFonts w:ascii="Times New Roman" w:hAnsi="Times New Roman"/>
          <w:sz w:val="20"/>
        </w:rPr>
        <w:t> </w:t>
      </w:r>
      <w:r>
        <w:rPr>
          <w:rFonts w:ascii="Times New Roman" w:hAnsi="Times New Roman"/>
          <w:b/>
          <w:sz w:val="20"/>
        </w:rPr>
        <w:t>August</w:t>
      </w:r>
      <w:r>
        <w:rPr>
          <w:rFonts w:ascii="Times New Roman" w:hAnsi="Times New Roman"/>
          <w:sz w:val="20"/>
        </w:rPr>
        <w:t> </w:t>
      </w:r>
      <w:r>
        <w:rPr>
          <w:rFonts w:ascii="Times New Roman" w:hAnsi="Times New Roman"/>
          <w:b/>
          <w:sz w:val="20"/>
        </w:rPr>
        <w:t>2024</w:t>
      </w:r>
      <w:r>
        <w:rPr>
          <w:rFonts w:ascii="Times New Roman" w:hAnsi="Times New Roman"/>
          <w:sz w:val="20"/>
        </w:rPr>
        <w:t xml:space="preserve"> </w:t>
      </w:r>
    </w:p>
    <w:p>
      <w:pPr>
        <w:pStyle w:val="TextBody"/>
        <w:bidi w:val="0"/>
        <w:spacing w:before="0" w:after="0"/>
        <w:ind w:left="1720" w:right="1440" w:hanging="0"/>
        <w:jc w:val="left"/>
        <w:rPr/>
      </w:pPr>
      <w:r>
        <w:rPr/>
        <w:t xml:space="preserve">  </w:t>
      </w:r>
    </w:p>
    <w:tbl>
      <w:tblPr>
        <w:tblW w:w="7045" w:type="dxa"/>
        <w:jc w:val="left"/>
        <w:tblInd w:w="1720" w:type="dxa"/>
        <w:tblLayout w:type="fixed"/>
        <w:tblCellMar>
          <w:top w:w="0" w:type="dxa"/>
          <w:left w:w="0" w:type="dxa"/>
          <w:bottom w:w="0" w:type="dxa"/>
          <w:right w:w="0" w:type="dxa"/>
        </w:tblCellMar>
      </w:tblPr>
      <w:tblGrid>
        <w:gridCol w:w="38"/>
        <w:gridCol w:w="148"/>
        <w:gridCol w:w="23"/>
        <w:gridCol w:w="6836"/>
      </w:tblGrid>
      <w:tr>
        <w:trPr/>
        <w:tc>
          <w:tcPr>
            <w:tcW w:w="38" w:type="dxa"/>
            <w:tcBorders/>
            <w:vAlign w:val="center"/>
          </w:tcPr>
          <w:p>
            <w:pPr>
              <w:pStyle w:val="TableContents"/>
              <w:bidi w:val="0"/>
              <w:spacing w:before="0" w:after="283"/>
              <w:jc w:val="left"/>
              <w:rPr>
                <w:sz w:val="4"/>
                <w:szCs w:val="4"/>
              </w:rPr>
            </w:pPr>
            <w:r>
              <w:rPr>
                <w:sz w:val="4"/>
                <w:szCs w:val="4"/>
              </w:rPr>
            </w:r>
          </w:p>
        </w:tc>
        <w:tc>
          <w:tcPr>
            <w:tcW w:w="148" w:type="dxa"/>
            <w:tcBorders/>
          </w:tcPr>
          <w:p>
            <w:pPr>
              <w:pStyle w:val="TableContents"/>
              <w:bidi w:val="0"/>
              <w:spacing w:before="0" w:after="0"/>
              <w:ind w:left="0" w:right="0" w:hanging="0"/>
              <w:jc w:val="both"/>
              <w:rPr>
                <w:rFonts w:ascii="Times New Roman" w:hAnsi="Times New Roman"/>
                <w:sz w:val="24"/>
              </w:rPr>
            </w:pPr>
            <w:r>
              <w:rPr>
                <w:rFonts w:ascii="Symbol" w:hAnsi="Symbol"/>
                <w:sz w:val="16"/>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836" w:type="dxa"/>
            <w:tcBorders/>
          </w:tcPr>
          <w:p>
            <w:pPr>
              <w:pStyle w:val="TableContents"/>
              <w:bidi w:val="0"/>
              <w:spacing w:before="0" w:after="0"/>
              <w:ind w:left="0" w:right="0" w:hanging="0"/>
              <w:jc w:val="both"/>
              <w:rPr>
                <w:rFonts w:ascii="Times New Roman" w:hAnsi="Times New Roman"/>
                <w:color w:val="000000"/>
                <w:sz w:val="24"/>
              </w:rPr>
            </w:pPr>
            <w:r>
              <w:rPr>
                <w:rFonts w:ascii="Times New Roman" w:hAnsi="Times New Roman"/>
                <w:color w:val="000000"/>
                <w:sz w:val="24"/>
              </w:rPr>
              <w:t xml:space="preserve">New major contracts, projects, customers, or finance sources, or the loss thereof </w:t>
            </w:r>
          </w:p>
        </w:tc>
      </w:tr>
    </w:tbl>
    <w:tbl>
      <w:tblPr>
        <w:tblW w:w="7045" w:type="dxa"/>
        <w:jc w:val="left"/>
        <w:tblInd w:w="1720" w:type="dxa"/>
        <w:tblLayout w:type="fixed"/>
        <w:tblCellMar>
          <w:top w:w="0" w:type="dxa"/>
          <w:left w:w="0" w:type="dxa"/>
          <w:bottom w:w="0" w:type="dxa"/>
          <w:right w:w="0" w:type="dxa"/>
        </w:tblCellMar>
      </w:tblPr>
      <w:tblGrid>
        <w:gridCol w:w="38"/>
        <w:gridCol w:w="134"/>
        <w:gridCol w:w="23"/>
        <w:gridCol w:w="6850"/>
      </w:tblGrid>
      <w:tr>
        <w:trPr/>
        <w:tc>
          <w:tcPr>
            <w:tcW w:w="38" w:type="dxa"/>
            <w:tcBorders/>
            <w:vAlign w:val="center"/>
          </w:tcPr>
          <w:p>
            <w:pPr>
              <w:pStyle w:val="TableContents"/>
              <w:bidi w:val="0"/>
              <w:spacing w:before="0" w:after="283"/>
              <w:jc w:val="left"/>
              <w:rPr>
                <w:sz w:val="4"/>
                <w:szCs w:val="4"/>
              </w:rPr>
            </w:pPr>
            <w:r>
              <w:rPr>
                <w:sz w:val="4"/>
                <w:szCs w:val="4"/>
              </w:rPr>
            </w:r>
          </w:p>
        </w:tc>
        <w:tc>
          <w:tcPr>
            <w:tcW w:w="134" w:type="dxa"/>
            <w:tcBorders/>
          </w:tcPr>
          <w:p>
            <w:pPr>
              <w:pStyle w:val="TableContents"/>
              <w:bidi w:val="0"/>
              <w:spacing w:before="0" w:after="0"/>
              <w:ind w:left="0" w:right="0" w:hanging="0"/>
              <w:jc w:val="both"/>
              <w:rPr>
                <w:rFonts w:ascii="Times New Roman" w:hAnsi="Times New Roman"/>
                <w:sz w:val="24"/>
              </w:rPr>
            </w:pPr>
            <w:r>
              <w:rPr>
                <w:rFonts w:ascii="Symbol" w:hAnsi="Symbol"/>
                <w:sz w:val="16"/>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850" w:type="dxa"/>
            <w:tcBorders/>
          </w:tcPr>
          <w:p>
            <w:pPr>
              <w:pStyle w:val="TableContents"/>
              <w:bidi w:val="0"/>
              <w:spacing w:before="0" w:after="0"/>
              <w:ind w:left="0" w:right="0" w:hanging="0"/>
              <w:jc w:val="both"/>
              <w:rPr>
                <w:rFonts w:ascii="Times New Roman" w:hAnsi="Times New Roman"/>
                <w:color w:val="000000"/>
                <w:sz w:val="24"/>
              </w:rPr>
            </w:pPr>
            <w:r>
              <w:rPr>
                <w:rFonts w:ascii="Times New Roman" w:hAnsi="Times New Roman"/>
                <w:color w:val="000000"/>
                <w:sz w:val="24"/>
              </w:rPr>
              <w:t xml:space="preserve">Significant changes or developments in products, research, technologies, services or lines of business </w:t>
            </w:r>
          </w:p>
        </w:tc>
      </w:tr>
    </w:tbl>
    <w:tbl>
      <w:tblPr>
        <w:tblW w:w="2876" w:type="dxa"/>
        <w:jc w:val="left"/>
        <w:tblInd w:w="1720" w:type="dxa"/>
        <w:tblLayout w:type="fixed"/>
        <w:tblCellMar>
          <w:top w:w="0" w:type="dxa"/>
          <w:left w:w="0" w:type="dxa"/>
          <w:bottom w:w="0" w:type="dxa"/>
          <w:right w:w="0" w:type="dxa"/>
        </w:tblCellMar>
      </w:tblPr>
      <w:tblGrid>
        <w:gridCol w:w="38"/>
        <w:gridCol w:w="155"/>
        <w:gridCol w:w="23"/>
        <w:gridCol w:w="266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0"/>
              <w:ind w:left="0" w:right="0" w:hanging="0"/>
              <w:jc w:val="both"/>
              <w:rPr>
                <w:rFonts w:ascii="Times New Roman" w:hAnsi="Times New Roman"/>
                <w:sz w:val="24"/>
              </w:rPr>
            </w:pPr>
            <w:r>
              <w:rPr>
                <w:rFonts w:ascii="Symbol" w:hAnsi="Symbol"/>
                <w:sz w:val="16"/>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2660" w:type="dxa"/>
            <w:tcBorders/>
          </w:tcPr>
          <w:p>
            <w:pPr>
              <w:pStyle w:val="TableContents"/>
              <w:bidi w:val="0"/>
              <w:spacing w:before="0" w:after="0"/>
              <w:ind w:left="0" w:right="0" w:hanging="0"/>
              <w:jc w:val="both"/>
              <w:rPr>
                <w:rFonts w:ascii="Times New Roman" w:hAnsi="Times New Roman"/>
                <w:color w:val="000000"/>
                <w:sz w:val="24"/>
              </w:rPr>
            </w:pPr>
            <w:r>
              <w:rPr>
                <w:rFonts w:ascii="Times New Roman" w:hAnsi="Times New Roman"/>
                <w:color w:val="000000"/>
                <w:sz w:val="24"/>
              </w:rPr>
              <w:t xml:space="preserve">Significant pricing changes </w:t>
            </w:r>
          </w:p>
        </w:tc>
      </w:tr>
    </w:tbl>
    <w:tbl>
      <w:tblPr>
        <w:tblW w:w="7045" w:type="dxa"/>
        <w:jc w:val="left"/>
        <w:tblInd w:w="1720" w:type="dxa"/>
        <w:tblLayout w:type="fixed"/>
        <w:tblCellMar>
          <w:top w:w="0" w:type="dxa"/>
          <w:left w:w="0" w:type="dxa"/>
          <w:bottom w:w="0" w:type="dxa"/>
          <w:right w:w="0" w:type="dxa"/>
        </w:tblCellMar>
      </w:tblPr>
      <w:tblGrid>
        <w:gridCol w:w="38"/>
        <w:gridCol w:w="113"/>
        <w:gridCol w:w="23"/>
        <w:gridCol w:w="6871"/>
      </w:tblGrid>
      <w:tr>
        <w:trPr/>
        <w:tc>
          <w:tcPr>
            <w:tcW w:w="38" w:type="dxa"/>
            <w:tcBorders/>
            <w:vAlign w:val="center"/>
          </w:tcPr>
          <w:p>
            <w:pPr>
              <w:pStyle w:val="TableContents"/>
              <w:bidi w:val="0"/>
              <w:spacing w:before="0" w:after="283"/>
              <w:jc w:val="left"/>
              <w:rPr>
                <w:sz w:val="4"/>
                <w:szCs w:val="4"/>
              </w:rPr>
            </w:pPr>
            <w:r>
              <w:rPr>
                <w:sz w:val="4"/>
                <w:szCs w:val="4"/>
              </w:rPr>
            </w:r>
          </w:p>
        </w:tc>
        <w:tc>
          <w:tcPr>
            <w:tcW w:w="113" w:type="dxa"/>
            <w:tcBorders/>
          </w:tcPr>
          <w:p>
            <w:pPr>
              <w:pStyle w:val="TableContents"/>
              <w:bidi w:val="0"/>
              <w:spacing w:before="0" w:after="0"/>
              <w:ind w:left="0" w:right="0" w:hanging="0"/>
              <w:jc w:val="both"/>
              <w:rPr>
                <w:rFonts w:ascii="Times New Roman" w:hAnsi="Times New Roman"/>
                <w:sz w:val="24"/>
              </w:rPr>
            </w:pPr>
            <w:r>
              <w:rPr>
                <w:rFonts w:ascii="Symbol" w:hAnsi="Symbol"/>
                <w:sz w:val="16"/>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871" w:type="dxa"/>
            <w:tcBorders/>
          </w:tcPr>
          <w:p>
            <w:pPr>
              <w:pStyle w:val="TableContents"/>
              <w:bidi w:val="0"/>
              <w:spacing w:before="0" w:after="0"/>
              <w:ind w:left="0" w:right="0" w:hanging="0"/>
              <w:jc w:val="both"/>
              <w:rPr>
                <w:rFonts w:ascii="Times New Roman" w:hAnsi="Times New Roman"/>
                <w:color w:val="000000"/>
                <w:sz w:val="24"/>
              </w:rPr>
            </w:pPr>
            <w:r>
              <w:rPr>
                <w:rFonts w:ascii="Times New Roman" w:hAnsi="Times New Roman"/>
                <w:color w:val="000000"/>
                <w:sz w:val="24"/>
              </w:rPr>
              <w:t xml:space="preserve">Stock splits, stock buy-backs, public or private securities/debt offerings, additional borrowings or credit facilities or other financing transactions, or changes in the Company’s dividend policies or amounts </w:t>
            </w:r>
          </w:p>
        </w:tc>
      </w:tr>
    </w:tbl>
    <w:tbl>
      <w:tblPr>
        <w:tblW w:w="4286" w:type="dxa"/>
        <w:jc w:val="left"/>
        <w:tblInd w:w="1720" w:type="dxa"/>
        <w:tblLayout w:type="fixed"/>
        <w:tblCellMar>
          <w:top w:w="0" w:type="dxa"/>
          <w:left w:w="0" w:type="dxa"/>
          <w:bottom w:w="0" w:type="dxa"/>
          <w:right w:w="0" w:type="dxa"/>
        </w:tblCellMar>
      </w:tblPr>
      <w:tblGrid>
        <w:gridCol w:w="38"/>
        <w:gridCol w:w="155"/>
        <w:gridCol w:w="23"/>
        <w:gridCol w:w="4070"/>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0"/>
              <w:ind w:left="0" w:right="0" w:hanging="0"/>
              <w:jc w:val="both"/>
              <w:rPr>
                <w:rFonts w:ascii="Times New Roman" w:hAnsi="Times New Roman"/>
                <w:sz w:val="24"/>
              </w:rPr>
            </w:pPr>
            <w:r>
              <w:rPr>
                <w:rFonts w:ascii="Symbol" w:hAnsi="Symbol"/>
                <w:sz w:val="16"/>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4070" w:type="dxa"/>
            <w:tcBorders/>
          </w:tcPr>
          <w:p>
            <w:pPr>
              <w:pStyle w:val="TableContents"/>
              <w:bidi w:val="0"/>
              <w:spacing w:before="0" w:after="0"/>
              <w:ind w:left="0" w:right="0" w:hanging="0"/>
              <w:jc w:val="both"/>
              <w:rPr>
                <w:rFonts w:ascii="Times New Roman" w:hAnsi="Times New Roman"/>
                <w:color w:val="000000"/>
                <w:sz w:val="24"/>
              </w:rPr>
            </w:pPr>
            <w:r>
              <w:rPr>
                <w:rFonts w:ascii="Times New Roman" w:hAnsi="Times New Roman"/>
                <w:color w:val="000000"/>
                <w:sz w:val="24"/>
              </w:rPr>
              <w:t xml:space="preserve">Significant changes in senior management </w:t>
            </w:r>
          </w:p>
        </w:tc>
      </w:tr>
    </w:tbl>
    <w:tbl>
      <w:tblPr>
        <w:tblW w:w="4151" w:type="dxa"/>
        <w:jc w:val="left"/>
        <w:tblInd w:w="1720" w:type="dxa"/>
        <w:tblLayout w:type="fixed"/>
        <w:tblCellMar>
          <w:top w:w="0" w:type="dxa"/>
          <w:left w:w="0" w:type="dxa"/>
          <w:bottom w:w="0" w:type="dxa"/>
          <w:right w:w="0" w:type="dxa"/>
        </w:tblCellMar>
      </w:tblPr>
      <w:tblGrid>
        <w:gridCol w:w="38"/>
        <w:gridCol w:w="155"/>
        <w:gridCol w:w="23"/>
        <w:gridCol w:w="393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0"/>
              <w:ind w:left="0" w:right="0" w:hanging="0"/>
              <w:jc w:val="both"/>
              <w:rPr>
                <w:rFonts w:ascii="Times New Roman" w:hAnsi="Times New Roman"/>
                <w:sz w:val="24"/>
              </w:rPr>
            </w:pPr>
            <w:r>
              <w:rPr>
                <w:rFonts w:ascii="Symbol" w:hAnsi="Symbol"/>
                <w:sz w:val="16"/>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3935" w:type="dxa"/>
            <w:tcBorders/>
          </w:tcPr>
          <w:p>
            <w:pPr>
              <w:pStyle w:val="TableContents"/>
              <w:bidi w:val="0"/>
              <w:spacing w:before="0" w:after="0"/>
              <w:ind w:left="0" w:right="0" w:hanging="0"/>
              <w:jc w:val="both"/>
              <w:rPr>
                <w:rFonts w:ascii="Times New Roman" w:hAnsi="Times New Roman"/>
                <w:color w:val="000000"/>
                <w:sz w:val="24"/>
              </w:rPr>
            </w:pPr>
            <w:r>
              <w:rPr>
                <w:rFonts w:ascii="Times New Roman" w:hAnsi="Times New Roman"/>
                <w:color w:val="000000"/>
                <w:sz w:val="24"/>
              </w:rPr>
              <w:t xml:space="preserve">Significant labor disputes or negotiations </w:t>
            </w:r>
          </w:p>
        </w:tc>
      </w:tr>
    </w:tbl>
    <w:tbl>
      <w:tblPr>
        <w:tblW w:w="6881" w:type="dxa"/>
        <w:jc w:val="left"/>
        <w:tblInd w:w="1720" w:type="dxa"/>
        <w:tblLayout w:type="fixed"/>
        <w:tblCellMar>
          <w:top w:w="0" w:type="dxa"/>
          <w:left w:w="0" w:type="dxa"/>
          <w:bottom w:w="0" w:type="dxa"/>
          <w:right w:w="0" w:type="dxa"/>
        </w:tblCellMar>
      </w:tblPr>
      <w:tblGrid>
        <w:gridCol w:w="38"/>
        <w:gridCol w:w="155"/>
        <w:gridCol w:w="23"/>
        <w:gridCol w:w="6665"/>
      </w:tblGrid>
      <w:tr>
        <w:trPr/>
        <w:tc>
          <w:tcPr>
            <w:tcW w:w="3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0"/>
              <w:ind w:left="0" w:right="0" w:hanging="0"/>
              <w:jc w:val="both"/>
              <w:rPr>
                <w:rFonts w:ascii="Times New Roman" w:hAnsi="Times New Roman"/>
                <w:sz w:val="24"/>
              </w:rPr>
            </w:pPr>
            <w:r>
              <w:rPr>
                <w:rFonts w:ascii="Symbol" w:hAnsi="Symbol"/>
                <w:sz w:val="16"/>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665" w:type="dxa"/>
            <w:tcBorders/>
          </w:tcPr>
          <w:p>
            <w:pPr>
              <w:pStyle w:val="TableContents"/>
              <w:bidi w:val="0"/>
              <w:spacing w:before="0" w:after="0"/>
              <w:ind w:left="0" w:right="0" w:hanging="0"/>
              <w:jc w:val="both"/>
              <w:rPr>
                <w:rFonts w:ascii="Times New Roman" w:hAnsi="Times New Roman"/>
                <w:color w:val="000000"/>
                <w:sz w:val="24"/>
              </w:rPr>
            </w:pPr>
            <w:r>
              <w:rPr>
                <w:rFonts w:ascii="Times New Roman" w:hAnsi="Times New Roman"/>
                <w:color w:val="000000"/>
                <w:sz w:val="24"/>
              </w:rPr>
              <w:t>Actual or threatened major litigation or the resolution of such litigation</w:t>
            </w:r>
          </w:p>
        </w:tc>
      </w:tr>
    </w:tbl>
    <w:tbl>
      <w:tblPr>
        <w:tblW w:w="7045" w:type="dxa"/>
        <w:jc w:val="left"/>
        <w:tblInd w:w="1720" w:type="dxa"/>
        <w:tblLayout w:type="fixed"/>
        <w:tblCellMar>
          <w:top w:w="0" w:type="dxa"/>
          <w:left w:w="0" w:type="dxa"/>
          <w:bottom w:w="0" w:type="dxa"/>
          <w:right w:w="0" w:type="dxa"/>
        </w:tblCellMar>
      </w:tblPr>
      <w:tblGrid>
        <w:gridCol w:w="38"/>
        <w:gridCol w:w="144"/>
        <w:gridCol w:w="23"/>
        <w:gridCol w:w="6840"/>
      </w:tblGrid>
      <w:tr>
        <w:trPr/>
        <w:tc>
          <w:tcPr>
            <w:tcW w:w="38" w:type="dxa"/>
            <w:tcBorders/>
            <w:vAlign w:val="center"/>
          </w:tcPr>
          <w:p>
            <w:pPr>
              <w:pStyle w:val="TableContents"/>
              <w:bidi w:val="0"/>
              <w:spacing w:before="0" w:after="283"/>
              <w:jc w:val="left"/>
              <w:rPr>
                <w:sz w:val="4"/>
                <w:szCs w:val="4"/>
              </w:rPr>
            </w:pPr>
            <w:r>
              <w:rPr>
                <w:sz w:val="4"/>
                <w:szCs w:val="4"/>
              </w:rPr>
            </w:r>
          </w:p>
        </w:tc>
        <w:tc>
          <w:tcPr>
            <w:tcW w:w="144" w:type="dxa"/>
            <w:tcBorders/>
          </w:tcPr>
          <w:p>
            <w:pPr>
              <w:pStyle w:val="TableContents"/>
              <w:bidi w:val="0"/>
              <w:spacing w:before="0" w:after="0"/>
              <w:ind w:left="0" w:right="0" w:hanging="0"/>
              <w:jc w:val="both"/>
              <w:rPr>
                <w:rFonts w:ascii="Times New Roman" w:hAnsi="Times New Roman"/>
                <w:sz w:val="24"/>
              </w:rPr>
            </w:pPr>
            <w:r>
              <w:rPr>
                <w:rFonts w:ascii="Symbol" w:hAnsi="Symbol"/>
                <w:sz w:val="16"/>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840" w:type="dxa"/>
            <w:tcBorders/>
          </w:tcPr>
          <w:p>
            <w:pPr>
              <w:pStyle w:val="TableContents"/>
              <w:bidi w:val="0"/>
              <w:spacing w:before="0" w:after="0"/>
              <w:ind w:left="0" w:right="0" w:hanging="0"/>
              <w:jc w:val="both"/>
              <w:rPr>
                <w:rFonts w:ascii="Times New Roman" w:hAnsi="Times New Roman"/>
                <w:color w:val="000000"/>
                <w:sz w:val="24"/>
              </w:rPr>
            </w:pPr>
            <w:r>
              <w:rPr>
                <w:rFonts w:ascii="Times New Roman" w:hAnsi="Times New Roman"/>
                <w:color w:val="000000"/>
                <w:sz w:val="24"/>
              </w:rPr>
              <w:t>Changes in auditors or auditor notification that its audit report may not be relied upon</w:t>
            </w:r>
          </w:p>
        </w:tc>
      </w:tr>
    </w:tbl>
    <w:p>
      <w:pPr>
        <w:pStyle w:val="TextBody"/>
        <w:bidi w:val="0"/>
        <w:spacing w:before="0" w:after="0"/>
        <w:ind w:left="1720" w:right="1440" w:hanging="0"/>
        <w:jc w:val="both"/>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720" w:right="1440" w:hanging="0"/>
        <w:jc w:val="both"/>
        <w:rPr>
          <w:rFonts w:ascii="Times New Roman" w:hAnsi="Times New Roman"/>
          <w:sz w:val="24"/>
        </w:rPr>
      </w:pPr>
      <w:r>
        <w:rPr>
          <w:rFonts w:ascii="Times New Roman" w:hAnsi="Times New Roman"/>
          <w:color w:val="000000"/>
          <w:sz w:val="24"/>
        </w:rPr>
        <w:t>Both positive and negative information can be material.  Because trading that receives scrutiny will be evaluated after the fact with the benefit of hindsight, questions concerning the materiality of particular information should be resolved in favor of materiality, and trading should be avoided when in doubt.</w:t>
      </w:r>
      <w:r>
        <w:rPr>
          <w:rFonts w:ascii="Times New Roman" w:hAnsi="Times New Roman"/>
          <w:sz w:val="24"/>
        </w:rPr>
        <w:t xml:space="preserve"> </w:t>
      </w:r>
    </w:p>
    <w:p>
      <w:pPr>
        <w:pStyle w:val="TextBody"/>
        <w:bidi w:val="0"/>
        <w:spacing w:before="0" w:after="0"/>
        <w:ind w:left="1720" w:right="1440" w:hanging="0"/>
        <w:jc w:val="both"/>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720" w:right="1440" w:hanging="0"/>
        <w:jc w:val="both"/>
        <w:rPr>
          <w:rFonts w:ascii="Times New Roman" w:hAnsi="Times New Roman"/>
          <w:sz w:val="24"/>
        </w:rPr>
      </w:pPr>
      <w:r>
        <w:rPr>
          <w:rFonts w:ascii="Times New Roman" w:hAnsi="Times New Roman"/>
          <w:color w:val="000000"/>
          <w:sz w:val="24"/>
        </w:rPr>
        <w:t xml:space="preserve">Material information is “nonpublic” until the point at which it has been widely disseminated to the public through major newswire services, national news services or financial news services, or through an SEC filing, and sufficient time thereafter has passed for the public to fully absorb such information. For the purposes of this Policy, information will be considered public, </w:t>
      </w:r>
      <w:r>
        <w:rPr>
          <w:rFonts w:ascii="Times New Roman" w:hAnsi="Times New Roman"/>
          <w:color w:val="000000"/>
          <w:sz w:val="24"/>
          <w:u w:val="single"/>
        </w:rPr>
        <w:t>i.e.</w:t>
      </w:r>
      <w:r>
        <w:rPr>
          <w:rFonts w:ascii="Times New Roman" w:hAnsi="Times New Roman"/>
          <w:color w:val="000000"/>
          <w:sz w:val="24"/>
        </w:rPr>
        <w:t>, no longer “nonpublic”, after the close of trading on the second full Trading Day following the Company’s widespread public release of the information.</w:t>
      </w:r>
      <w:r>
        <w:rPr>
          <w:rFonts w:ascii="Times New Roman" w:hAnsi="Times New Roman"/>
          <w:sz w:val="24"/>
        </w:rPr>
        <w:t xml:space="preserve"> </w:t>
      </w:r>
    </w:p>
    <w:p>
      <w:pPr>
        <w:pStyle w:val="TextBody"/>
        <w:bidi w:val="0"/>
        <w:spacing w:before="0" w:after="0"/>
        <w:ind w:left="1720" w:right="1440" w:hanging="0"/>
        <w:jc w:val="both"/>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720" w:right="1440" w:hanging="0"/>
        <w:jc w:val="both"/>
        <w:rPr>
          <w:rFonts w:ascii="Times New Roman" w:hAnsi="Times New Roman"/>
          <w:sz w:val="24"/>
        </w:rPr>
      </w:pPr>
      <w:r>
        <w:rPr>
          <w:rFonts w:ascii="Times New Roman" w:hAnsi="Times New Roman"/>
          <w:color w:val="000000"/>
          <w:sz w:val="24"/>
        </w:rPr>
        <w:t>Any Insider or Designated Outsider who is unsure whether the information that he or she possesses is material or nonpublic must consult the Compliance Officer for guidance before trading in any Company securities.</w:t>
      </w:r>
      <w:r>
        <w:rPr>
          <w:rFonts w:ascii="Times New Roman" w:hAnsi="Times New Roman"/>
          <w:sz w:val="24"/>
        </w:rPr>
        <w:t xml:space="preserve"> </w:t>
      </w:r>
    </w:p>
    <w:p>
      <w:pPr>
        <w:pStyle w:val="TextBody"/>
        <w:bidi w:val="0"/>
        <w:spacing w:before="0" w:after="0"/>
        <w:ind w:left="1720" w:right="1440" w:hanging="0"/>
        <w:jc w:val="both"/>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720" w:right="1440" w:hanging="0"/>
        <w:jc w:val="center"/>
        <w:rPr>
          <w:rFonts w:ascii="Times New Roman" w:hAnsi="Times New Roman"/>
          <w:sz w:val="24"/>
        </w:rPr>
      </w:pPr>
      <w:r>
        <w:rPr>
          <w:rFonts w:ascii="Times New Roman" w:hAnsi="Times New Roman"/>
          <w:sz w:val="24"/>
        </w:rPr>
        <w:t xml:space="preserve">9 </w:t>
      </w:r>
    </w:p>
    <w:p>
      <w:pPr>
        <w:pStyle w:val="TextBody"/>
        <w:bidi w:val="0"/>
        <w:spacing w:lineRule="atLeast" w:line="200" w:before="0" w:after="0"/>
        <w:ind w:left="1720" w:right="1440" w:hanging="0"/>
        <w:jc w:val="left"/>
        <w:rPr/>
      </w:pPr>
      <w:r>
        <w:rPr/>
        <w:t xml:space="preserve">  </w:t>
      </w:r>
    </w:p>
    <w:p>
      <w:pPr>
        <w:pStyle w:val="TextBody"/>
        <w:bidi w:val="0"/>
        <w:spacing w:lineRule="atLeast" w:line="200" w:before="0" w:after="0"/>
        <w:ind w:left="1720" w:right="1440" w:hanging="0"/>
        <w:jc w:val="left"/>
        <w:rPr/>
      </w:pPr>
      <w:r>
        <w:rPr/>
        <w:t xml:space="preserve">  </w:t>
      </w:r>
    </w:p>
    <w:p>
      <w:pPr>
        <w:pStyle w:val="HorizontalLine"/>
        <w:pBdr>
          <w:bottom w:val="double" w:sz="6" w:space="0" w:color="808080"/>
        </w:pBdr>
        <w:bidi w:val="0"/>
        <w:ind w:left="1720" w:right="1440" w:hanging="0"/>
        <w:jc w:val="left"/>
        <w:rPr/>
      </w:pPr>
      <w:r>
        <w:rPr/>
      </w:r>
    </w:p>
    <w:p>
      <w:pPr>
        <w:pStyle w:val="TextBody"/>
        <w:bidi w:val="0"/>
        <w:ind w:left="1720" w:right="1440" w:hanging="0"/>
        <w:jc w:val="left"/>
        <w:rPr/>
      </w:pPr>
      <w:r>
        <w:rPr/>
        <w:t> </w:t>
      </w:r>
      <w:r>
        <w:br w:type="page"/>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Exhibit 19.1 to 2024 Form 10-K</w:t>
      </w:r>
      <w:r>
        <w:rPr>
          <w:rFonts w:ascii="Times New Roman" w:hAnsi="Times New Roman"/>
          <w:sz w:val="20"/>
        </w:rPr>
        <w:t xml:space="preserve"> </w:t>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Updated</w:t>
      </w:r>
      <w:r>
        <w:rPr>
          <w:rFonts w:ascii="Times New Roman" w:hAnsi="Times New Roman"/>
          <w:sz w:val="20"/>
        </w:rPr>
        <w:t> </w:t>
      </w:r>
      <w:r>
        <w:rPr>
          <w:rFonts w:ascii="Times New Roman" w:hAnsi="Times New Roman"/>
          <w:b/>
          <w:sz w:val="20"/>
        </w:rPr>
        <w:t>August</w:t>
      </w:r>
      <w:r>
        <w:rPr>
          <w:rFonts w:ascii="Times New Roman" w:hAnsi="Times New Roman"/>
          <w:sz w:val="20"/>
        </w:rPr>
        <w:t> </w:t>
      </w:r>
      <w:r>
        <w:rPr>
          <w:rFonts w:ascii="Times New Roman" w:hAnsi="Times New Roman"/>
          <w:b/>
          <w:sz w:val="20"/>
        </w:rPr>
        <w:t>2024</w:t>
      </w:r>
      <w:r>
        <w:rPr>
          <w:rFonts w:ascii="Times New Roman" w:hAnsi="Times New Roman"/>
          <w:sz w:val="20"/>
        </w:rPr>
        <w:t xml:space="preserve"> </w:t>
      </w:r>
    </w:p>
    <w:p>
      <w:pPr>
        <w:pStyle w:val="TextBody"/>
        <w:bidi w:val="0"/>
        <w:spacing w:before="0" w:after="0"/>
        <w:ind w:left="1720" w:right="1440" w:hanging="0"/>
        <w:jc w:val="both"/>
        <w:rPr>
          <w:rFonts w:ascii="Times New Roman" w:hAnsi="Times New Roman"/>
          <w:sz w:val="24"/>
        </w:rPr>
      </w:pPr>
      <w:r>
        <w:rPr>
          <w:rFonts w:ascii="Times New Roman" w:hAnsi="Times New Roman"/>
          <w:b/>
          <w:sz w:val="24"/>
        </w:rPr>
        <w:t>Unauthorized Disclosure; Prohibition on Commenting on the Company on Electronic Bulletin Boards, Internet Chat Rooms,</w:t>
      </w:r>
      <w:r>
        <w:rPr>
          <w:rFonts w:ascii="Times New Roman" w:hAnsi="Times New Roman"/>
          <w:sz w:val="24"/>
        </w:rPr>
        <w:t xml:space="preserve"> </w:t>
      </w:r>
      <w:r>
        <w:rPr>
          <w:rFonts w:ascii="Times New Roman" w:hAnsi="Times New Roman"/>
          <w:b/>
          <w:sz w:val="24"/>
        </w:rPr>
        <w:t>Websites</w:t>
      </w:r>
      <w:r>
        <w:rPr>
          <w:rFonts w:ascii="Times New Roman" w:hAnsi="Times New Roman"/>
          <w:sz w:val="24"/>
        </w:rPr>
        <w:t xml:space="preserve"> </w:t>
      </w:r>
      <w:r>
        <w:rPr>
          <w:rFonts w:ascii="Times New Roman" w:hAnsi="Times New Roman"/>
          <w:b/>
          <w:sz w:val="24"/>
        </w:rPr>
        <w:t>or Social Media</w:t>
      </w:r>
      <w:r>
        <w:rPr>
          <w:rFonts w:ascii="Times New Roman" w:hAnsi="Times New Roman"/>
          <w:sz w:val="24"/>
        </w:rPr>
        <w:t xml:space="preserve"> </w:t>
      </w:r>
    </w:p>
    <w:p>
      <w:pPr>
        <w:pStyle w:val="TextBody"/>
        <w:bidi w:val="0"/>
        <w:spacing w:before="0" w:after="0"/>
        <w:ind w:left="1720" w:right="1440" w:hanging="0"/>
        <w:jc w:val="both"/>
        <w:rPr>
          <w:rFonts w:cs="Times New Roman"/>
          <w:szCs w:val="24"/>
        </w:rPr>
      </w:pPr>
      <w:r>
        <w:rPr>
          <w:rFonts w:cs="Times New Roman"/>
          <w:szCs w:val="24"/>
        </w:rPr>
        <w:t xml:space="preserve">﻿ </w:t>
      </w:r>
    </w:p>
    <w:p>
      <w:pPr>
        <w:pStyle w:val="TextBody"/>
        <w:bidi w:val="0"/>
        <w:spacing w:before="0" w:after="0"/>
        <w:ind w:left="1720" w:right="1440" w:hanging="0"/>
        <w:jc w:val="both"/>
        <w:rPr>
          <w:rFonts w:ascii="Times New Roman" w:hAnsi="Times New Roman"/>
          <w:sz w:val="24"/>
        </w:rPr>
      </w:pPr>
      <w:r>
        <w:rPr>
          <w:rFonts w:ascii="Times New Roman" w:hAnsi="Times New Roman"/>
          <w:sz w:val="24"/>
        </w:rPr>
        <w:t xml:space="preserve">While the Company encourages its shareholders and potential investors to obtain information about the Company, the Company believes that that information should come from its publicly filed SEC reports, press releases and external website or from designated Company spokespersons, or from other public disclosures made by the Company, rather than from speculation or unauthorized disclosures by directors, officers or employees of the Company.  For this reason, the Company has designated certain members of management to respond to inquiries regarding the Company’s business and prospects.  This centralization of communication is designed to ensure that the information the Company discloses is accurate and considered in light of previous disclosures.  Formal announcements are generally reviewed by management and legal counsel before they are made public.  Any communications that do not go through this review process create an increased risk of liability to the Company, as well as to the individuals responsible for the communications. </w:t>
      </w:r>
    </w:p>
    <w:p>
      <w:pPr>
        <w:pStyle w:val="TextBody"/>
        <w:bidi w:val="0"/>
        <w:spacing w:before="0" w:after="0"/>
        <w:ind w:left="1720" w:right="1440" w:hanging="0"/>
        <w:jc w:val="both"/>
        <w:rPr>
          <w:rFonts w:cs="Times New Roman"/>
          <w:szCs w:val="24"/>
        </w:rPr>
      </w:pPr>
      <w:r>
        <w:rPr>
          <w:rFonts w:cs="Times New Roman"/>
          <w:szCs w:val="24"/>
        </w:rPr>
        <w:t xml:space="preserve">﻿ </w:t>
      </w:r>
    </w:p>
    <w:p>
      <w:pPr>
        <w:pStyle w:val="TextBody"/>
        <w:bidi w:val="0"/>
        <w:spacing w:before="0" w:after="0"/>
        <w:ind w:left="1720" w:right="1440" w:hanging="0"/>
        <w:jc w:val="both"/>
        <w:rPr>
          <w:rFonts w:ascii="Times New Roman" w:hAnsi="Times New Roman"/>
          <w:sz w:val="24"/>
        </w:rPr>
      </w:pPr>
      <w:r>
        <w:rPr>
          <w:rFonts w:ascii="Times New Roman" w:hAnsi="Times New Roman"/>
          <w:sz w:val="24"/>
        </w:rPr>
        <w:t xml:space="preserve">In addition, communications about companies and their business prospects through the use of social media (such as X (formerly known as Twitter), Facebook, Instagram),  electronic bulletin boards, chat rooms and other electronic discussions on the Internet are communications about the Company, and use of such forums to express views or impart information about the Company and its business can significantly harm the Company and expose the disclosing person to liability, including insider trading liability.  Inappropriate communications disseminated through these methods may pose an inherently greater risk than more traditional forms of communication due to the size of the audience they reach.  These forums have the potential to move a stock price significantly and very rapidly—yet the information disseminated often is unreliable, and in some cases may be deliberately false.  The SEC has investigated and prosecuted a number of fraudulent schemes involving the use of social media, electronic bulletin boards and chat rooms.  An Insider may encounter information about the Company that he or she believes is inaccurate or harmful to the Company, or other information that he or she believes is true or beneficial to the Company.  Although the Insider may be tempted to deny or confirm such information, any sort of response, even if it presents accurate information, could be considered improper disclosure and could result in legal liability to the Insider and to the Company. </w:t>
      </w:r>
    </w:p>
    <w:p>
      <w:pPr>
        <w:pStyle w:val="TextBody"/>
        <w:bidi w:val="0"/>
        <w:spacing w:before="0" w:after="0"/>
        <w:ind w:left="1720" w:right="1440" w:hanging="0"/>
        <w:jc w:val="both"/>
        <w:rPr>
          <w:rFonts w:cs="Times New Roman"/>
          <w:szCs w:val="24"/>
        </w:rPr>
      </w:pPr>
      <w:r>
        <w:rPr>
          <w:rFonts w:cs="Times New Roman"/>
          <w:szCs w:val="24"/>
        </w:rPr>
        <w:t xml:space="preserve">﻿ </w:t>
      </w:r>
    </w:p>
    <w:p>
      <w:pPr>
        <w:pStyle w:val="TextBody"/>
        <w:bidi w:val="0"/>
        <w:spacing w:before="0" w:after="0"/>
        <w:ind w:left="1720" w:right="1440" w:hanging="0"/>
        <w:jc w:val="both"/>
        <w:rPr>
          <w:rFonts w:ascii="Times New Roman" w:hAnsi="Times New Roman"/>
          <w:sz w:val="24"/>
        </w:rPr>
      </w:pPr>
      <w:r>
        <w:rPr>
          <w:rFonts w:ascii="Times New Roman" w:hAnsi="Times New Roman"/>
          <w:sz w:val="24"/>
        </w:rPr>
        <w:t xml:space="preserve">The Company is committed to preventing inadvertent disclosures of material nonpublic information, preventing unwitting participation in Internet-based securities fraud, and avoiding even the appearance of impropriety by persons associated with the Company.  Accordingly, this Policy prohibits each Insider from making any comments or postings about the Company or its business on any social media sites, Internet bulletin boards, chat rooms or websites, or responding to such comments or postings about the Company or its business made by others.  This restriction applies whether or not the Insider identifies himself or herself as associated with the Company.  </w:t>
      </w:r>
    </w:p>
    <w:p>
      <w:pPr>
        <w:pStyle w:val="TextBody"/>
        <w:bidi w:val="0"/>
        <w:spacing w:before="0" w:after="0"/>
        <w:ind w:left="1720" w:right="1440" w:hanging="0"/>
        <w:jc w:val="both"/>
        <w:rPr>
          <w:rFonts w:cs="Times New Roman"/>
          <w:szCs w:val="24"/>
        </w:rPr>
      </w:pPr>
      <w:r>
        <w:rPr>
          <w:rFonts w:cs="Times New Roman"/>
          <w:szCs w:val="24"/>
        </w:rPr>
        <w:t xml:space="preserve">﻿ </w:t>
      </w:r>
    </w:p>
    <w:p>
      <w:pPr>
        <w:pStyle w:val="TextBody"/>
        <w:bidi w:val="0"/>
        <w:spacing w:before="0" w:after="0"/>
        <w:ind w:left="1720" w:right="1440" w:hanging="0"/>
        <w:jc w:val="center"/>
        <w:rPr>
          <w:rFonts w:ascii="Times New Roman" w:hAnsi="Times New Roman"/>
          <w:sz w:val="24"/>
        </w:rPr>
      </w:pPr>
      <w:r>
        <w:rPr>
          <w:rFonts w:ascii="Times New Roman" w:hAnsi="Times New Roman"/>
          <w:sz w:val="24"/>
        </w:rPr>
        <w:t xml:space="preserve">10 </w:t>
      </w:r>
    </w:p>
    <w:p>
      <w:pPr>
        <w:pStyle w:val="TextBody"/>
        <w:bidi w:val="0"/>
        <w:spacing w:lineRule="atLeast" w:line="200" w:before="0" w:after="0"/>
        <w:ind w:left="1720" w:right="1440" w:hanging="0"/>
        <w:jc w:val="left"/>
        <w:rPr/>
      </w:pPr>
      <w:r>
        <w:rPr/>
        <w:t xml:space="preserve">  </w:t>
      </w:r>
    </w:p>
    <w:p>
      <w:pPr>
        <w:pStyle w:val="TextBody"/>
        <w:bidi w:val="0"/>
        <w:spacing w:lineRule="atLeast" w:line="200" w:before="0" w:after="0"/>
        <w:ind w:left="1720" w:right="1440" w:hanging="0"/>
        <w:jc w:val="left"/>
        <w:rPr/>
      </w:pPr>
      <w:r>
        <w:rPr/>
        <w:t xml:space="preserve">  </w:t>
      </w:r>
    </w:p>
    <w:p>
      <w:pPr>
        <w:pStyle w:val="HorizontalLine"/>
        <w:pBdr>
          <w:bottom w:val="double" w:sz="6" w:space="0" w:color="808080"/>
        </w:pBdr>
        <w:bidi w:val="0"/>
        <w:ind w:left="1720" w:right="1440" w:hanging="0"/>
        <w:jc w:val="left"/>
        <w:rPr/>
      </w:pPr>
      <w:r>
        <w:rPr/>
      </w:r>
    </w:p>
    <w:p>
      <w:pPr>
        <w:pStyle w:val="TextBody"/>
        <w:bidi w:val="0"/>
        <w:ind w:left="1720" w:right="1440" w:hanging="0"/>
        <w:jc w:val="left"/>
        <w:rPr/>
      </w:pPr>
      <w:r>
        <w:rPr/>
        <w:t> </w:t>
      </w:r>
      <w:r>
        <w:br w:type="page"/>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Exhibit 19.1 to 2024 Form 10-K</w:t>
      </w:r>
      <w:r>
        <w:rPr>
          <w:rFonts w:ascii="Times New Roman" w:hAnsi="Times New Roman"/>
          <w:sz w:val="20"/>
        </w:rPr>
        <w:t xml:space="preserve"> </w:t>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Updated</w:t>
      </w:r>
      <w:r>
        <w:rPr>
          <w:rFonts w:ascii="Times New Roman" w:hAnsi="Times New Roman"/>
          <w:sz w:val="20"/>
        </w:rPr>
        <w:t> </w:t>
      </w:r>
      <w:r>
        <w:rPr>
          <w:rFonts w:ascii="Times New Roman" w:hAnsi="Times New Roman"/>
          <w:b/>
          <w:sz w:val="20"/>
        </w:rPr>
        <w:t>August</w:t>
      </w:r>
      <w:r>
        <w:rPr>
          <w:rFonts w:ascii="Times New Roman" w:hAnsi="Times New Roman"/>
          <w:sz w:val="20"/>
        </w:rPr>
        <w:t> </w:t>
      </w:r>
      <w:r>
        <w:rPr>
          <w:rFonts w:ascii="Times New Roman" w:hAnsi="Times New Roman"/>
          <w:b/>
          <w:sz w:val="20"/>
        </w:rPr>
        <w:t>2024</w:t>
      </w:r>
      <w:r>
        <w:rPr>
          <w:rFonts w:ascii="Times New Roman" w:hAnsi="Times New Roman"/>
          <w:sz w:val="20"/>
        </w:rPr>
        <w:t xml:space="preserve"> </w:t>
      </w:r>
    </w:p>
    <w:p>
      <w:pPr>
        <w:pStyle w:val="TextBody"/>
        <w:bidi w:val="0"/>
        <w:spacing w:before="0" w:after="240"/>
        <w:ind w:left="1720" w:right="1440" w:hanging="0"/>
        <w:jc w:val="both"/>
        <w:rPr>
          <w:rFonts w:ascii="Times New Roman" w:hAnsi="Times New Roman"/>
          <w:b/>
          <w:sz w:val="24"/>
        </w:rPr>
      </w:pPr>
      <w:r>
        <w:rPr>
          <w:rFonts w:ascii="Times New Roman" w:hAnsi="Times New Roman"/>
          <w:b/>
          <w:sz w:val="24"/>
        </w:rPr>
        <w:t xml:space="preserve">Hedging Transactions Prohibited </w:t>
      </w:r>
    </w:p>
    <w:p>
      <w:pPr>
        <w:pStyle w:val="TextBody"/>
        <w:bidi w:val="0"/>
        <w:spacing w:before="0" w:after="0"/>
        <w:ind w:left="1720" w:right="1440" w:hanging="0"/>
        <w:jc w:val="both"/>
        <w:rPr>
          <w:rFonts w:ascii="Times New Roman" w:hAnsi="Times New Roman"/>
          <w:sz w:val="24"/>
        </w:rPr>
      </w:pPr>
      <w:r>
        <w:rPr>
          <w:rFonts w:ascii="Times New Roman" w:hAnsi="Times New Roman"/>
          <w:sz w:val="24"/>
        </w:rPr>
        <w:t xml:space="preserve">A short sale is a sale of securities not owned by the seller or, if owned, not delivered.  Because of the potentially speculative nature of such transactions, this Policy prohibits all Insiders from engaging in any of the following transactions at any time (even if the individual involved is not in the possession of material, non-public information): </w:t>
      </w:r>
    </w:p>
    <w:p>
      <w:pPr>
        <w:pStyle w:val="TextBody"/>
        <w:bidi w:val="0"/>
        <w:spacing w:before="0" w:after="0"/>
        <w:ind w:left="1720" w:right="1440" w:hanging="0"/>
        <w:jc w:val="both"/>
        <w:rPr>
          <w:rFonts w:cs="Times New Roman"/>
          <w:szCs w:val="24"/>
        </w:rPr>
      </w:pPr>
      <w:r>
        <w:rPr>
          <w:rFonts w:cs="Times New Roman"/>
          <w:szCs w:val="24"/>
        </w:rPr>
        <w:t xml:space="preserve">﻿ </w:t>
      </w:r>
    </w:p>
    <w:tbl>
      <w:tblPr>
        <w:tblW w:w="7045" w:type="dxa"/>
        <w:jc w:val="left"/>
        <w:tblInd w:w="1720" w:type="dxa"/>
        <w:tblLayout w:type="fixed"/>
        <w:tblCellMar>
          <w:top w:w="0" w:type="dxa"/>
          <w:left w:w="0" w:type="dxa"/>
          <w:bottom w:w="0" w:type="dxa"/>
          <w:right w:w="0" w:type="dxa"/>
        </w:tblCellMar>
      </w:tblPr>
      <w:tblGrid>
        <w:gridCol w:w="38"/>
        <w:gridCol w:w="156"/>
        <w:gridCol w:w="23"/>
        <w:gridCol w:w="6828"/>
      </w:tblGrid>
      <w:tr>
        <w:trPr/>
        <w:tc>
          <w:tcPr>
            <w:tcW w:w="38" w:type="dxa"/>
            <w:tcBorders/>
            <w:vAlign w:val="center"/>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828" w:type="dxa"/>
            <w:tcBorders/>
          </w:tcPr>
          <w:p>
            <w:pPr>
              <w:pStyle w:val="TableContents"/>
              <w:bidi w:val="0"/>
              <w:spacing w:before="0" w:after="0"/>
              <w:ind w:left="0" w:right="0" w:hanging="0"/>
              <w:jc w:val="both"/>
              <w:rPr>
                <w:rFonts w:ascii="Times New Roman" w:hAnsi="Times New Roman"/>
                <w:color w:val="000000"/>
                <w:sz w:val="24"/>
              </w:rPr>
            </w:pPr>
            <w:r>
              <w:rPr>
                <w:rFonts w:ascii="Times New Roman" w:hAnsi="Times New Roman"/>
                <w:color w:val="000000"/>
                <w:sz w:val="24"/>
              </w:rPr>
              <w:t>Short sales of the Company’s securities, including without limitation “sales against the box” (sales with delayed delivery); and</w:t>
            </w:r>
          </w:p>
        </w:tc>
      </w:tr>
    </w:tbl>
    <w:p>
      <w:pPr>
        <w:pStyle w:val="TextBody"/>
        <w:bidi w:val="0"/>
        <w:spacing w:before="0" w:after="0"/>
        <w:ind w:left="2440" w:right="1440" w:hanging="720"/>
        <w:jc w:val="both"/>
        <w:rPr>
          <w:rFonts w:cs="Times New Roman"/>
          <w:szCs w:val="24"/>
        </w:rPr>
      </w:pPr>
      <w:r>
        <w:rPr>
          <w:rFonts w:cs="Times New Roman"/>
          <w:color w:val="000000"/>
          <w:szCs w:val="24"/>
        </w:rPr>
        <w:t>﻿</w:t>
      </w:r>
      <w:r>
        <w:rPr>
          <w:rFonts w:cs="Times New Roman"/>
          <w:szCs w:val="24"/>
        </w:rPr>
        <w:t xml:space="preserve"> </w:t>
      </w:r>
    </w:p>
    <w:tbl>
      <w:tblPr>
        <w:tblW w:w="7045" w:type="dxa"/>
        <w:jc w:val="left"/>
        <w:tblInd w:w="1720" w:type="dxa"/>
        <w:tblLayout w:type="fixed"/>
        <w:tblCellMar>
          <w:top w:w="0" w:type="dxa"/>
          <w:left w:w="0" w:type="dxa"/>
          <w:bottom w:w="0" w:type="dxa"/>
          <w:right w:w="0" w:type="dxa"/>
        </w:tblCellMar>
      </w:tblPr>
      <w:tblGrid>
        <w:gridCol w:w="38"/>
        <w:gridCol w:w="130"/>
        <w:gridCol w:w="23"/>
        <w:gridCol w:w="6854"/>
      </w:tblGrid>
      <w:tr>
        <w:trPr/>
        <w:tc>
          <w:tcPr>
            <w:tcW w:w="38" w:type="dxa"/>
            <w:tcBorders/>
            <w:vAlign w:val="center"/>
          </w:tcPr>
          <w:p>
            <w:pPr>
              <w:pStyle w:val="TableContents"/>
              <w:bidi w:val="0"/>
              <w:spacing w:before="0" w:after="283"/>
              <w:jc w:val="left"/>
              <w:rPr>
                <w:sz w:val="4"/>
                <w:szCs w:val="4"/>
              </w:rPr>
            </w:pPr>
            <w:r>
              <w:rPr>
                <w:sz w:val="4"/>
                <w:szCs w:val="4"/>
              </w:rPr>
            </w:r>
          </w:p>
        </w:tc>
        <w:tc>
          <w:tcPr>
            <w:tcW w:w="130" w:type="dxa"/>
            <w:tcBorders/>
          </w:tcPr>
          <w:p>
            <w:pPr>
              <w:pStyle w:val="TableContents"/>
              <w:bidi w:val="0"/>
              <w:spacing w:before="0" w:after="0"/>
              <w:ind w:left="0" w:right="0" w:hanging="0"/>
              <w:jc w:val="both"/>
              <w:rPr>
                <w:rFonts w:ascii="Times New Roman" w:hAnsi="Times New Roman"/>
                <w:sz w:val="24"/>
              </w:rPr>
            </w:pPr>
            <w:r>
              <w:rPr>
                <w:rFonts w:ascii="Symbol" w:hAnsi="Symbol"/>
                <w:sz w:val="24"/>
              </w:rPr>
              <w:t>·</w:t>
            </w:r>
            <w:r>
              <w:rPr>
                <w:rFonts w:ascii="Times New Roman" w:hAnsi="Times New Roman"/>
                <w:sz w:val="24"/>
              </w:rPr>
              <w:t xml:space="preserve"> </w:t>
            </w:r>
          </w:p>
        </w:tc>
        <w:tc>
          <w:tcPr>
            <w:tcW w:w="23" w:type="dxa"/>
            <w:tcBorders/>
            <w:vAlign w:val="center"/>
          </w:tcPr>
          <w:p>
            <w:pPr>
              <w:pStyle w:val="TableContents"/>
              <w:bidi w:val="0"/>
              <w:spacing w:before="0" w:after="283"/>
              <w:jc w:val="left"/>
              <w:rPr>
                <w:sz w:val="4"/>
                <w:szCs w:val="4"/>
              </w:rPr>
            </w:pPr>
            <w:r>
              <w:rPr>
                <w:sz w:val="4"/>
                <w:szCs w:val="4"/>
              </w:rPr>
            </w:r>
          </w:p>
        </w:tc>
        <w:tc>
          <w:tcPr>
            <w:tcW w:w="6854" w:type="dxa"/>
            <w:tcBorders/>
          </w:tcPr>
          <w:p>
            <w:pPr>
              <w:pStyle w:val="TableContents"/>
              <w:bidi w:val="0"/>
              <w:spacing w:before="0" w:after="0"/>
              <w:ind w:left="0" w:right="0" w:hanging="0"/>
              <w:jc w:val="both"/>
              <w:rPr>
                <w:rFonts w:ascii="Times New Roman" w:hAnsi="Times New Roman"/>
                <w:color w:val="000000"/>
                <w:sz w:val="24"/>
              </w:rPr>
            </w:pPr>
            <w:r>
              <w:rPr>
                <w:rFonts w:ascii="Times New Roman" w:hAnsi="Times New Roman"/>
                <w:color w:val="000000"/>
                <w:sz w:val="24"/>
              </w:rPr>
              <w:t>Buying or selling puts, calls or other derivative securities relating to the Company’s securities.  A put is an option or right to sell a specific stock at a specific price prior to a set date, and a call is an option or right to buy a specific stock at a specific price prior to a set date.  Call options are purchased when a person believes that the price of a stock will rise, whereas put options are purchased when a person believes that the price of a stock will fall.  Other derivative securities may take various forms, but to the extent they derive a substantial portion of their value from the price of the Company’s securities, trading in them is prohibited.</w:t>
            </w:r>
          </w:p>
        </w:tc>
      </w:tr>
    </w:tbl>
    <w:p>
      <w:pPr>
        <w:pStyle w:val="TextBody"/>
        <w:bidi w:val="0"/>
        <w:spacing w:before="0" w:after="0"/>
        <w:ind w:left="1720" w:right="1440" w:hanging="0"/>
        <w:jc w:val="both"/>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240"/>
        <w:ind w:left="1720" w:right="1440" w:hanging="0"/>
        <w:jc w:val="both"/>
        <w:rPr>
          <w:rFonts w:ascii="Times New Roman" w:hAnsi="Times New Roman"/>
          <w:b/>
          <w:sz w:val="24"/>
        </w:rPr>
      </w:pPr>
      <w:r>
        <w:rPr>
          <w:rFonts w:ascii="Times New Roman" w:hAnsi="Times New Roman"/>
          <w:b/>
          <w:color w:val="000000"/>
          <w:sz w:val="24"/>
        </w:rPr>
        <w:t>Restrictions on Pledging of Company Stock</w:t>
      </w:r>
      <w:r>
        <w:rPr>
          <w:rFonts w:ascii="Times New Roman" w:hAnsi="Times New Roman"/>
          <w:b/>
          <w:sz w:val="24"/>
        </w:rPr>
        <w:t xml:space="preserve"> </w:t>
      </w:r>
    </w:p>
    <w:p>
      <w:pPr>
        <w:pStyle w:val="TextBody"/>
        <w:bidi w:val="0"/>
        <w:spacing w:before="0" w:after="0"/>
        <w:ind w:left="1720" w:right="1440" w:hanging="0"/>
        <w:jc w:val="both"/>
        <w:rPr>
          <w:rFonts w:ascii="Times New Roman" w:hAnsi="Times New Roman"/>
          <w:sz w:val="24"/>
        </w:rPr>
      </w:pPr>
      <w:r>
        <w:rPr>
          <w:rFonts w:ascii="Times New Roman" w:hAnsi="Times New Roman"/>
          <w:color w:val="000000"/>
          <w:sz w:val="24"/>
        </w:rPr>
        <w:t>All Section 16 Individuals are prohibited from pledging the Company’s securities as collateral for a loan.</w:t>
      </w:r>
      <w:r>
        <w:rPr>
          <w:rFonts w:ascii="Times New Roman" w:hAnsi="Times New Roman"/>
          <w:sz w:val="24"/>
        </w:rPr>
        <w:t xml:space="preserve"> </w:t>
      </w:r>
    </w:p>
    <w:p>
      <w:pPr>
        <w:pStyle w:val="TextBody"/>
        <w:pBdr/>
        <w:bidi w:val="0"/>
        <w:spacing w:before="0" w:after="240"/>
        <w:ind w:left="1720" w:right="1440" w:hanging="0"/>
        <w:jc w:val="both"/>
        <w:rPr>
          <w:rFonts w:cs="Times New Roman"/>
          <w:bCs/>
          <w:szCs w:val="24"/>
        </w:rPr>
      </w:pPr>
      <w:r>
        <w:rPr>
          <w:rFonts w:cs="Times New Roman"/>
          <w:bCs/>
          <w:color w:val="000000"/>
          <w:szCs w:val="24"/>
        </w:rPr>
        <w:t>﻿</w:t>
      </w:r>
      <w:r>
        <w:rPr>
          <w:rFonts w:cs="Times New Roman"/>
          <w:bCs/>
          <w:szCs w:val="24"/>
        </w:rPr>
        <w:t xml:space="preserve"> </w:t>
      </w:r>
    </w:p>
    <w:p>
      <w:pPr>
        <w:pStyle w:val="TextBody"/>
        <w:pBdr/>
        <w:bidi w:val="0"/>
        <w:spacing w:before="0" w:after="240"/>
        <w:ind w:left="1720" w:right="1440" w:hanging="0"/>
        <w:jc w:val="both"/>
        <w:rPr>
          <w:rFonts w:ascii="Times New Roman" w:hAnsi="Times New Roman"/>
          <w:b/>
          <w:sz w:val="24"/>
        </w:rPr>
      </w:pPr>
      <w:r>
        <w:rPr>
          <w:rFonts w:ascii="Times New Roman" w:hAnsi="Times New Roman"/>
          <w:b/>
          <w:color w:val="000000"/>
          <w:sz w:val="24"/>
        </w:rPr>
        <w:t>Additional Considerations</w:t>
      </w:r>
      <w:r>
        <w:rPr>
          <w:rFonts w:ascii="Times New Roman" w:hAnsi="Times New Roman"/>
          <w:b/>
          <w:sz w:val="24"/>
        </w:rPr>
        <w:t xml:space="preserve"> </w:t>
      </w:r>
    </w:p>
    <w:p>
      <w:pPr>
        <w:pStyle w:val="TextBody"/>
        <w:bidi w:val="0"/>
        <w:spacing w:before="0" w:after="0"/>
        <w:ind w:left="1720" w:right="1440" w:hanging="0"/>
        <w:jc w:val="both"/>
        <w:rPr>
          <w:rFonts w:ascii="Times New Roman" w:hAnsi="Times New Roman"/>
          <w:color w:val="000000"/>
          <w:sz w:val="24"/>
        </w:rPr>
      </w:pPr>
      <w:r>
        <w:rPr>
          <w:rFonts w:ascii="Times New Roman" w:hAnsi="Times New Roman"/>
          <w:color w:val="000000"/>
          <w:sz w:val="24"/>
        </w:rPr>
        <w:t xml:space="preserve">For purposes of this Policy, the Company considers the exercise of stock options for cash under the Company’s equity incentive plans (but not the sale of any shares issued upon such exercise and not a cashless exercise that is accomplished by a sale of a portion of the shares issued upon exercise), disposition to the Company of shares underlying stock awards in satisfaction of tax obligations and establishing payroll withholding to purchase securities under a Company-sponsored 401(k) plan or employee stock purchase plan to be exempt from this Policy, because there is no market-based transaction in these contexts.  </w:t>
      </w:r>
    </w:p>
    <w:p>
      <w:pPr>
        <w:pStyle w:val="TextBody"/>
        <w:bidi w:val="0"/>
        <w:spacing w:before="0" w:after="0"/>
        <w:ind w:left="1720" w:right="1440" w:hanging="0"/>
        <w:jc w:val="both"/>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720" w:right="1440" w:hanging="0"/>
        <w:jc w:val="both"/>
        <w:rPr>
          <w:rFonts w:ascii="Times New Roman" w:hAnsi="Times New Roman"/>
          <w:color w:val="000000"/>
          <w:sz w:val="24"/>
        </w:rPr>
      </w:pPr>
      <w:r>
        <w:rPr>
          <w:rFonts w:ascii="Times New Roman" w:hAnsi="Times New Roman"/>
          <w:color w:val="000000"/>
          <w:sz w:val="24"/>
        </w:rPr>
        <w:t xml:space="preserve">With respect to gift transactions, the Company encourages all Insiders, and requires all Section 16 Individuals and Other Persons, to consult with the Compliance Officer with respect to the “bona fide” nature of proposed gift transactions, and to seek pre-clearance with respect to such transactions.  </w:t>
      </w:r>
    </w:p>
    <w:p>
      <w:pPr>
        <w:pStyle w:val="TextBody"/>
        <w:bidi w:val="0"/>
        <w:spacing w:before="0" w:after="0"/>
        <w:ind w:left="1720" w:right="1440" w:hanging="0"/>
        <w:jc w:val="both"/>
        <w:rPr>
          <w:rFonts w:cs="Times New Roman"/>
          <w:szCs w:val="24"/>
        </w:rPr>
      </w:pPr>
      <w:r>
        <w:rPr>
          <w:rFonts w:cs="Times New Roman"/>
          <w:color w:val="000000"/>
          <w:szCs w:val="24"/>
        </w:rPr>
        <w:t>﻿</w:t>
      </w:r>
      <w:r>
        <w:rPr>
          <w:rFonts w:cs="Times New Roman"/>
          <w:szCs w:val="24"/>
        </w:rPr>
        <w:t xml:space="preserve"> </w:t>
      </w:r>
    </w:p>
    <w:p>
      <w:pPr>
        <w:pStyle w:val="TextBody"/>
        <w:bidi w:val="0"/>
        <w:spacing w:before="0" w:after="0"/>
        <w:ind w:left="1720" w:right="1440" w:hanging="0"/>
        <w:jc w:val="both"/>
        <w:rPr>
          <w:rFonts w:ascii="Times New Roman" w:hAnsi="Times New Roman"/>
          <w:color w:val="000000"/>
          <w:sz w:val="24"/>
        </w:rPr>
      </w:pPr>
      <w:r>
        <w:rPr>
          <w:rFonts w:ascii="Times New Roman" w:hAnsi="Times New Roman"/>
          <w:color w:val="000000"/>
          <w:sz w:val="24"/>
        </w:rPr>
        <w:t xml:space="preserve">Section 16 Individuals must also comply with the reporting obligations and limitations on “short-swing” transactions set forth in Section 16 under the Securities Exchange Act.  The practical effect of these provisions is that such persons who purchase and sell (or sell and purchase) the Company’s securities within a six-month period must disgorge all profits derived therefrom to the Company whether or not they then had knowledge of any material nonpublic information concerning the Company.  Under these provisions, and so long as certain other criteria are met, neither the receipt of an option under the Company’s equity incentive plans, </w:t>
      </w:r>
    </w:p>
    <w:p>
      <w:pPr>
        <w:pStyle w:val="TextBody"/>
        <w:bidi w:val="0"/>
        <w:spacing w:before="0" w:after="0"/>
        <w:ind w:left="1720" w:right="1440" w:hanging="0"/>
        <w:jc w:val="center"/>
        <w:rPr>
          <w:rFonts w:ascii="Times New Roman" w:hAnsi="Times New Roman"/>
          <w:sz w:val="24"/>
        </w:rPr>
      </w:pPr>
      <w:r>
        <w:rPr>
          <w:rFonts w:ascii="Times New Roman" w:hAnsi="Times New Roman"/>
          <w:sz w:val="24"/>
        </w:rPr>
        <w:t xml:space="preserve">11 </w:t>
      </w:r>
    </w:p>
    <w:p>
      <w:pPr>
        <w:pStyle w:val="TextBody"/>
        <w:bidi w:val="0"/>
        <w:spacing w:lineRule="atLeast" w:line="200" w:before="0" w:after="0"/>
        <w:ind w:left="1720" w:right="1440" w:hanging="0"/>
        <w:jc w:val="left"/>
        <w:rPr/>
      </w:pPr>
      <w:r>
        <w:rPr/>
        <w:t xml:space="preserve">  </w:t>
      </w:r>
    </w:p>
    <w:p>
      <w:pPr>
        <w:pStyle w:val="TextBody"/>
        <w:bidi w:val="0"/>
        <w:spacing w:lineRule="atLeast" w:line="200" w:before="0" w:after="0"/>
        <w:ind w:left="1720" w:right="1440" w:hanging="0"/>
        <w:jc w:val="left"/>
        <w:rPr/>
      </w:pPr>
      <w:r>
        <w:rPr/>
        <w:t xml:space="preserve">  </w:t>
      </w:r>
    </w:p>
    <w:p>
      <w:pPr>
        <w:pStyle w:val="HorizontalLine"/>
        <w:pBdr>
          <w:bottom w:val="double" w:sz="6" w:space="0" w:color="808080"/>
        </w:pBdr>
        <w:bidi w:val="0"/>
        <w:ind w:left="1720" w:right="1440" w:hanging="0"/>
        <w:jc w:val="left"/>
        <w:rPr/>
      </w:pPr>
      <w:r>
        <w:rPr/>
      </w:r>
    </w:p>
    <w:p>
      <w:pPr>
        <w:pStyle w:val="TextBody"/>
        <w:bidi w:val="0"/>
        <w:ind w:left="1720" w:right="1440" w:hanging="0"/>
        <w:jc w:val="left"/>
        <w:rPr/>
      </w:pPr>
      <w:r>
        <w:rPr/>
        <w:t> </w:t>
      </w:r>
      <w:r>
        <w:br w:type="page"/>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Exhibit 19.1 to 2024 Form 10-K</w:t>
      </w:r>
      <w:r>
        <w:rPr>
          <w:rFonts w:ascii="Times New Roman" w:hAnsi="Times New Roman"/>
          <w:sz w:val="20"/>
        </w:rPr>
        <w:t xml:space="preserve"> </w:t>
      </w:r>
    </w:p>
    <w:p>
      <w:pPr>
        <w:pStyle w:val="TextBody"/>
        <w:bidi w:val="0"/>
        <w:spacing w:before="0" w:after="0"/>
        <w:ind w:left="1720" w:right="1440" w:hanging="0"/>
        <w:jc w:val="right"/>
        <w:rPr>
          <w:rFonts w:ascii="Times New Roman" w:hAnsi="Times New Roman"/>
          <w:sz w:val="20"/>
        </w:rPr>
      </w:pPr>
      <w:r>
        <w:rPr>
          <w:rFonts w:ascii="Times New Roman" w:hAnsi="Times New Roman"/>
          <w:b/>
          <w:sz w:val="20"/>
        </w:rPr>
        <w:t>Updated</w:t>
      </w:r>
      <w:r>
        <w:rPr>
          <w:rFonts w:ascii="Times New Roman" w:hAnsi="Times New Roman"/>
          <w:sz w:val="20"/>
        </w:rPr>
        <w:t> </w:t>
      </w:r>
      <w:r>
        <w:rPr>
          <w:rFonts w:ascii="Times New Roman" w:hAnsi="Times New Roman"/>
          <w:b/>
          <w:sz w:val="20"/>
        </w:rPr>
        <w:t>August</w:t>
      </w:r>
      <w:r>
        <w:rPr>
          <w:rFonts w:ascii="Times New Roman" w:hAnsi="Times New Roman"/>
          <w:sz w:val="20"/>
        </w:rPr>
        <w:t> </w:t>
      </w:r>
      <w:r>
        <w:rPr>
          <w:rFonts w:ascii="Times New Roman" w:hAnsi="Times New Roman"/>
          <w:b/>
          <w:sz w:val="20"/>
        </w:rPr>
        <w:t>2024</w:t>
      </w:r>
      <w:r>
        <w:rPr>
          <w:rFonts w:ascii="Times New Roman" w:hAnsi="Times New Roman"/>
          <w:sz w:val="20"/>
        </w:rPr>
        <w:t xml:space="preserve"> </w:t>
      </w:r>
    </w:p>
    <w:p>
      <w:pPr>
        <w:pStyle w:val="TextBody"/>
        <w:bidi w:val="0"/>
        <w:spacing w:before="0" w:after="0"/>
        <w:ind w:left="1720" w:right="1440" w:hanging="0"/>
        <w:jc w:val="both"/>
        <w:rPr>
          <w:rFonts w:ascii="Times New Roman" w:hAnsi="Times New Roman"/>
          <w:sz w:val="24"/>
        </w:rPr>
      </w:pPr>
      <w:r>
        <w:rPr>
          <w:rFonts w:ascii="Times New Roman" w:hAnsi="Times New Roman"/>
          <w:sz w:val="24"/>
        </w:rPr>
        <w:t xml:space="preserve">nor the exercise of that option, is deemed a purchase under Section 16; however, the sale of any shares of common stock received upon any such exercise would be a sale under Section 16.  Because of the strict liability provisions of Section 16, we recommend that each Section 16 Individual discuss any proposed transaction with the Compliance Officer. </w:t>
      </w:r>
    </w:p>
    <w:p>
      <w:pPr>
        <w:pStyle w:val="TextBody"/>
        <w:bidi w:val="0"/>
        <w:spacing w:before="0" w:after="0"/>
        <w:ind w:left="1720" w:right="1440" w:hanging="0"/>
        <w:jc w:val="both"/>
        <w:rPr>
          <w:rFonts w:cs="Times New Roman"/>
          <w:szCs w:val="24"/>
        </w:rPr>
      </w:pPr>
      <w:r>
        <w:rPr>
          <w:rFonts w:cs="Times New Roman"/>
          <w:szCs w:val="24"/>
        </w:rPr>
        <w:t xml:space="preserve">﻿ </w:t>
      </w:r>
    </w:p>
    <w:p>
      <w:pPr>
        <w:pStyle w:val="TextBody"/>
        <w:bidi w:val="0"/>
        <w:spacing w:before="0" w:after="0"/>
        <w:ind w:left="1720" w:right="1440" w:hanging="0"/>
        <w:jc w:val="both"/>
        <w:rPr>
          <w:rFonts w:ascii="Times New Roman" w:hAnsi="Times New Roman"/>
          <w:sz w:val="24"/>
        </w:rPr>
      </w:pPr>
      <w:r>
        <w:rPr>
          <w:rFonts w:ascii="Times New Roman" w:hAnsi="Times New Roman"/>
          <w:b/>
          <w:sz w:val="24"/>
        </w:rPr>
        <w:t>Company Assistance</w:t>
      </w:r>
      <w:r>
        <w:rPr>
          <w:rFonts w:ascii="Times New Roman" w:hAnsi="Times New Roman"/>
          <w:sz w:val="24"/>
        </w:rPr>
        <w:t xml:space="preserve"> </w:t>
      </w:r>
    </w:p>
    <w:p>
      <w:pPr>
        <w:pStyle w:val="TextBody"/>
        <w:bidi w:val="0"/>
        <w:spacing w:before="0" w:after="0"/>
        <w:ind w:left="1720" w:right="1440" w:hanging="0"/>
        <w:jc w:val="both"/>
        <w:rPr>
          <w:rFonts w:cs="Times New Roman"/>
          <w:szCs w:val="24"/>
        </w:rPr>
      </w:pPr>
      <w:r>
        <w:rPr>
          <w:rFonts w:cs="Times New Roman"/>
          <w:szCs w:val="24"/>
        </w:rPr>
        <w:t xml:space="preserve">﻿ </w:t>
      </w:r>
    </w:p>
    <w:p>
      <w:pPr>
        <w:pStyle w:val="TextBody"/>
        <w:bidi w:val="0"/>
        <w:spacing w:before="0" w:after="0"/>
        <w:ind w:left="1720" w:right="1440" w:hanging="0"/>
        <w:jc w:val="both"/>
        <w:rPr>
          <w:rFonts w:ascii="Times New Roman" w:hAnsi="Times New Roman"/>
          <w:sz w:val="24"/>
        </w:rPr>
      </w:pPr>
      <w:r>
        <w:rPr>
          <w:rFonts w:ascii="Times New Roman" w:hAnsi="Times New Roman"/>
          <w:sz w:val="24"/>
        </w:rPr>
        <w:t xml:space="preserve">Strict compliance with this Policy is of the utmost importance for each Insider, Designated Outsider and for the Company.  If any Insider or Designated Outsider has any questions about this Policy or its application to any proposed transaction, he or she may obtain additional guidance from the Compliance Officer.  It is not prudent for any person to try to resolve uncertainties on his or her own, as the rules relating to insider trading are often complex, not always intuitive and carry severe consequences if violated.  </w:t>
      </w:r>
    </w:p>
    <w:p>
      <w:pPr>
        <w:pStyle w:val="TextBody"/>
        <w:bidi w:val="0"/>
        <w:spacing w:before="0" w:after="0"/>
        <w:ind w:left="1720" w:right="1440" w:hanging="0"/>
        <w:jc w:val="both"/>
        <w:rPr>
          <w:rFonts w:cs="Times New Roman"/>
          <w:szCs w:val="24"/>
        </w:rPr>
      </w:pPr>
      <w:r>
        <w:rPr>
          <w:rFonts w:cs="Times New Roman"/>
          <w:szCs w:val="24"/>
        </w:rPr>
        <w:t xml:space="preserve">﻿ </w:t>
      </w:r>
    </w:p>
    <w:p>
      <w:pPr>
        <w:pStyle w:val="TextBody"/>
        <w:bidi w:val="0"/>
        <w:spacing w:before="0" w:after="0"/>
        <w:ind w:left="1720" w:right="1440" w:hanging="0"/>
        <w:jc w:val="both"/>
        <w:rPr>
          <w:rFonts w:ascii="Times New Roman" w:hAnsi="Times New Roman"/>
          <w:sz w:val="24"/>
        </w:rPr>
      </w:pPr>
      <w:r>
        <w:rPr>
          <w:rFonts w:ascii="Times New Roman" w:hAnsi="Times New Roman"/>
          <w:b/>
          <w:sz w:val="24"/>
        </w:rPr>
        <w:t>Annual Compliance</w:t>
      </w:r>
      <w:r>
        <w:rPr>
          <w:rFonts w:ascii="Times New Roman" w:hAnsi="Times New Roman"/>
          <w:sz w:val="24"/>
        </w:rPr>
        <w:t xml:space="preserve"> </w:t>
      </w:r>
    </w:p>
    <w:p>
      <w:pPr>
        <w:pStyle w:val="TextBody"/>
        <w:bidi w:val="0"/>
        <w:spacing w:before="0" w:after="0"/>
        <w:ind w:left="1720" w:right="1440" w:hanging="0"/>
        <w:jc w:val="both"/>
        <w:rPr>
          <w:rFonts w:cs="Times New Roman"/>
          <w:szCs w:val="24"/>
        </w:rPr>
      </w:pPr>
      <w:r>
        <w:rPr>
          <w:rFonts w:cs="Times New Roman"/>
          <w:szCs w:val="24"/>
        </w:rPr>
        <w:t xml:space="preserve">﻿ </w:t>
      </w:r>
    </w:p>
    <w:p>
      <w:pPr>
        <w:pStyle w:val="TextBody"/>
        <w:bidi w:val="0"/>
        <w:spacing w:before="0" w:after="0"/>
        <w:ind w:left="1720" w:right="1440" w:hanging="0"/>
        <w:jc w:val="both"/>
        <w:rPr>
          <w:rFonts w:ascii="Times New Roman" w:hAnsi="Times New Roman"/>
          <w:sz w:val="24"/>
        </w:rPr>
      </w:pPr>
      <w:r>
        <w:rPr>
          <w:rFonts w:ascii="Times New Roman" w:hAnsi="Times New Roman"/>
          <w:sz w:val="24"/>
        </w:rPr>
        <w:t xml:space="preserve">Certain Insiders and Designated Outsiders including, without limitation, Section 16 Individuals and Other Persons listed on the Attachments to this Policy, are required to certify compliance with this Policy on an annual basis.  </w:t>
      </w:r>
    </w:p>
    <w:p>
      <w:pPr>
        <w:pStyle w:val="TextBody"/>
        <w:bidi w:val="0"/>
        <w:spacing w:before="0" w:after="0"/>
        <w:ind w:left="1720" w:right="1440" w:hanging="0"/>
        <w:jc w:val="both"/>
        <w:rPr>
          <w:rFonts w:cs="Times New Roman"/>
          <w:szCs w:val="24"/>
        </w:rPr>
      </w:pPr>
      <w:r>
        <w:rPr>
          <w:rFonts w:cs="Times New Roman"/>
          <w:szCs w:val="24"/>
        </w:rPr>
        <w:t xml:space="preserve">﻿ </w:t>
      </w:r>
    </w:p>
    <w:p>
      <w:pPr>
        <w:pStyle w:val="TextBody"/>
        <w:bidi w:val="0"/>
        <w:spacing w:before="0" w:after="0"/>
        <w:ind w:left="1720" w:right="1440" w:hanging="0"/>
        <w:jc w:val="both"/>
        <w:rPr>
          <w:rFonts w:cs="Times New Roman"/>
          <w:szCs w:val="24"/>
        </w:rPr>
      </w:pPr>
      <w:r>
        <w:rPr>
          <w:rFonts w:cs="Times New Roman"/>
          <w:szCs w:val="24"/>
        </w:rPr>
        <w:t xml:space="preserve">﻿ </w:t>
      </w:r>
    </w:p>
    <w:p>
      <w:pPr>
        <w:pStyle w:val="TextBody"/>
        <w:bidi w:val="0"/>
        <w:spacing w:before="0" w:after="0"/>
        <w:ind w:left="1720" w:right="1440" w:hanging="0"/>
        <w:jc w:val="both"/>
        <w:rPr>
          <w:rFonts w:cs="Times New Roman"/>
          <w:szCs w:val="24"/>
        </w:rPr>
      </w:pPr>
      <w:r>
        <w:rPr>
          <w:rFonts w:cs="Times New Roman"/>
          <w:szCs w:val="24"/>
        </w:rPr>
        <w:t xml:space="preserve">﻿ </w:t>
      </w:r>
    </w:p>
    <w:p>
      <w:pPr>
        <w:pStyle w:val="TextBody"/>
        <w:bidi w:val="0"/>
        <w:spacing w:before="0" w:after="0"/>
        <w:ind w:left="1720" w:right="1440" w:hanging="0"/>
        <w:jc w:val="both"/>
        <w:rPr>
          <w:rFonts w:cs="Times New Roman"/>
          <w:szCs w:val="24"/>
        </w:rPr>
      </w:pPr>
      <w:r>
        <w:rPr>
          <w:rFonts w:cs="Times New Roman"/>
          <w:szCs w:val="24"/>
        </w:rPr>
        <w:t xml:space="preserve">﻿ </w:t>
      </w:r>
    </w:p>
    <w:p>
      <w:pPr>
        <w:pStyle w:val="TextBody"/>
        <w:bidi w:val="0"/>
        <w:spacing w:before="0" w:after="0"/>
        <w:ind w:left="1720" w:right="1440" w:hanging="0"/>
        <w:jc w:val="both"/>
        <w:rPr>
          <w:rFonts w:cs="Times New Roman"/>
          <w:szCs w:val="24"/>
        </w:rPr>
      </w:pPr>
      <w:r>
        <w:rPr>
          <w:rFonts w:cs="Times New Roman"/>
          <w:szCs w:val="24"/>
        </w:rPr>
        <w:t xml:space="preserve">﻿ </w:t>
      </w:r>
    </w:p>
    <w:p>
      <w:pPr>
        <w:pStyle w:val="TextBody"/>
        <w:bidi w:val="0"/>
        <w:spacing w:before="0" w:after="0"/>
        <w:ind w:left="1720" w:right="1440" w:hanging="0"/>
        <w:jc w:val="both"/>
        <w:rPr>
          <w:rFonts w:cs="Times New Roman"/>
          <w:szCs w:val="24"/>
        </w:rPr>
      </w:pPr>
      <w:r>
        <w:rPr>
          <w:rFonts w:cs="Times New Roman"/>
          <w:szCs w:val="24"/>
        </w:rPr>
        <w:t xml:space="preserve">﻿ </w:t>
      </w:r>
    </w:p>
    <w:p>
      <w:pPr>
        <w:pStyle w:val="TextBody"/>
        <w:bidi w:val="0"/>
        <w:spacing w:before="0" w:after="0"/>
        <w:ind w:left="1720" w:right="1440" w:hanging="0"/>
        <w:jc w:val="both"/>
        <w:rPr>
          <w:rFonts w:cs="Times New Roman"/>
          <w:szCs w:val="24"/>
        </w:rPr>
      </w:pPr>
      <w:r>
        <w:rPr>
          <w:rFonts w:cs="Times New Roman"/>
          <w:szCs w:val="24"/>
        </w:rPr>
        <w:t xml:space="preserve">﻿ </w:t>
      </w:r>
    </w:p>
    <w:p>
      <w:pPr>
        <w:pStyle w:val="TextBody"/>
        <w:bidi w:val="0"/>
        <w:spacing w:before="0" w:after="0"/>
        <w:ind w:left="1720" w:right="1440" w:hanging="0"/>
        <w:jc w:val="both"/>
        <w:rPr>
          <w:rFonts w:cs="Times New Roman"/>
          <w:szCs w:val="24"/>
        </w:rPr>
      </w:pPr>
      <w:r>
        <w:rPr>
          <w:rFonts w:cs="Times New Roman"/>
          <w:szCs w:val="24"/>
        </w:rPr>
        <w:t xml:space="preserve">﻿ </w:t>
      </w:r>
    </w:p>
    <w:p>
      <w:pPr>
        <w:pStyle w:val="TextBody"/>
        <w:bidi w:val="0"/>
        <w:spacing w:before="0" w:after="0"/>
        <w:ind w:left="1720" w:right="1440" w:hanging="0"/>
        <w:jc w:val="both"/>
        <w:rPr>
          <w:rFonts w:ascii="Times New Roman" w:hAnsi="Times New Roman"/>
          <w:sz w:val="24"/>
        </w:rPr>
      </w:pPr>
      <w:r>
        <w:rPr>
          <w:rFonts w:ascii="Times New Roman" w:hAnsi="Times New Roman"/>
          <w:sz w:val="24"/>
        </w:rPr>
        <w:t xml:space="preserve">This Policy is effective March 22, 2015, as amended May 15, 2017, October 1, 2018,  May  5, 2020, August 4, 2022, December 16, 2022, January, 2024, and August 9, 2024.  </w:t>
      </w:r>
    </w:p>
    <w:p>
      <w:pPr>
        <w:pStyle w:val="TextBody"/>
        <w:bidi w:val="0"/>
        <w:spacing w:before="0" w:after="0"/>
        <w:ind w:left="1720" w:right="1440" w:hanging="0"/>
        <w:jc w:val="center"/>
        <w:rPr>
          <w:rFonts w:cs="Times New Roman"/>
          <w:szCs w:val="24"/>
        </w:rPr>
      </w:pPr>
      <w:r>
        <w:rPr>
          <w:rFonts w:cs="Times New Roman"/>
          <w:bCs/>
          <w:szCs w:val="24"/>
        </w:rPr>
        <w:t>﻿</w:t>
      </w:r>
      <w:r>
        <w:rPr>
          <w:rFonts w:cs="Times New Roman"/>
          <w:szCs w:val="24"/>
        </w:rPr>
        <w:t xml:space="preserve"> </w:t>
      </w:r>
    </w:p>
    <w:p>
      <w:pPr>
        <w:pStyle w:val="TextBody"/>
        <w:bidi w:val="0"/>
        <w:spacing w:before="0" w:after="0"/>
        <w:ind w:left="1720" w:right="1440" w:hanging="0"/>
        <w:jc w:val="both"/>
        <w:rPr>
          <w:rFonts w:cs="Times New Roman"/>
          <w:szCs w:val="24"/>
        </w:rPr>
      </w:pPr>
      <w:r>
        <w:rPr>
          <w:rFonts w:cs="Times New Roman"/>
          <w:bCs/>
          <w:szCs w:val="24"/>
        </w:rPr>
        <w:t>﻿</w:t>
      </w:r>
      <w:r>
        <w:rPr>
          <w:rFonts w:cs="Times New Roman"/>
          <w:szCs w:val="24"/>
        </w:rPr>
        <w:t xml:space="preserve"> </w:t>
      </w:r>
    </w:p>
    <w:p>
      <w:pPr>
        <w:pStyle w:val="TextBody"/>
        <w:bidi w:val="0"/>
        <w:spacing w:before="0" w:after="0"/>
        <w:ind w:left="1720" w:right="1440" w:hanging="0"/>
        <w:jc w:val="center"/>
        <w:rPr>
          <w:rFonts w:ascii="Times New Roman" w:hAnsi="Times New Roman"/>
          <w:sz w:val="24"/>
        </w:rPr>
      </w:pPr>
      <w:r>
        <w:rPr>
          <w:rFonts w:ascii="Times New Roman" w:hAnsi="Times New Roman"/>
          <w:sz w:val="24"/>
        </w:rPr>
        <w:t xml:space="preserve">12 </w:t>
      </w:r>
    </w:p>
    <w:p>
      <w:pPr>
        <w:pStyle w:val="TextBody"/>
        <w:bidi w:val="0"/>
        <w:spacing w:lineRule="atLeast" w:line="200" w:before="0" w:after="0"/>
        <w:ind w:left="1720" w:right="1440" w:hanging="0"/>
        <w:jc w:val="left"/>
        <w:rPr/>
      </w:pPr>
      <w:r>
        <w:rPr/>
        <w:t xml:space="preserve">  </w:t>
      </w:r>
    </w:p>
    <w:p>
      <w:pPr>
        <w:pStyle w:val="TextBody"/>
        <w:bidi w:val="0"/>
        <w:spacing w:lineRule="atLeast" w:line="200" w:before="0" w:after="0"/>
        <w:ind w:left="1720" w:right="1440" w:hanging="0"/>
        <w:jc w:val="left"/>
        <w:rPr/>
      </w:pPr>
      <w:r>
        <w:rPr/>
        <w:t xml:space="preserve">  </w:t>
      </w:r>
    </w:p>
    <w:p>
      <w:pPr>
        <w:pStyle w:val="HorizontalLine"/>
        <w:pBdr>
          <w:bottom w:val="double" w:sz="6" w:space="0" w:color="808080"/>
        </w:pBdr>
        <w:bidi w:val="0"/>
        <w:ind w:left="1720" w:right="1440" w:hanging="0"/>
        <w:jc w:val="left"/>
        <w:rPr/>
      </w:pPr>
      <w:r>
        <w:rPr/>
      </w:r>
    </w:p>
    <w:p>
      <w:pPr>
        <w:pStyle w:val="TextBody"/>
        <w:bidi w:val="0"/>
        <w:spacing w:lineRule="auto" w:line="192" w:before="0" w:after="0"/>
        <w:ind w:left="1440" w:right="1440" w:hanging="0"/>
        <w:jc w:val="right"/>
        <w:rPr>
          <w:rFonts w:ascii="Times New Roman" w:hAnsi="Times New Roman"/>
          <w:sz w:val="22"/>
        </w:rPr>
      </w:pPr>
      <w:bookmarkStart w:id="70" w:name="wtrg-20241231xex21_1.htm"/>
      <w:bookmarkStart w:id="71" w:name="kswtrg20241231xex21_1"/>
      <w:bookmarkEnd w:id="70"/>
      <w:bookmarkEnd w:id="71"/>
      <w:r>
        <w:rPr>
          <w:rFonts w:ascii="Times New Roman" w:hAnsi="Times New Roman"/>
          <w:sz w:val="22"/>
        </w:rPr>
        <w:t xml:space="preserve">Exhibit 21.1 </w:t>
      </w:r>
      <w:r>
        <w:br w:type="page"/>
      </w:r>
    </w:p>
    <w:p>
      <w:pPr>
        <w:pStyle w:val="TextBody"/>
        <w:bidi w:val="0"/>
        <w:spacing w:lineRule="auto" w:line="192" w:before="0" w:after="0"/>
        <w:ind w:left="1440" w:right="1440" w:hanging="0"/>
        <w:jc w:val="both"/>
        <w:rPr>
          <w:rFonts w:cs="Times New Roman"/>
          <w:szCs w:val="22"/>
        </w:rPr>
      </w:pPr>
      <w:r>
        <w:rPr>
          <w:rFonts w:cs="Times New Roman"/>
          <w:szCs w:val="22"/>
        </w:rPr>
        <w:t xml:space="preserve">﻿ </w:t>
      </w:r>
    </w:p>
    <w:p>
      <w:pPr>
        <w:pStyle w:val="TextBody"/>
        <w:bidi w:val="0"/>
        <w:spacing w:lineRule="auto" w:line="192" w:before="0" w:after="0"/>
        <w:ind w:left="1440" w:right="1440" w:hanging="0"/>
        <w:jc w:val="center"/>
        <w:rPr>
          <w:rFonts w:ascii="Times New Roman" w:hAnsi="Times New Roman"/>
          <w:sz w:val="22"/>
        </w:rPr>
      </w:pPr>
      <w:r>
        <w:rPr>
          <w:rFonts w:ascii="Times New Roman" w:hAnsi="Times New Roman"/>
          <w:sz w:val="22"/>
        </w:rPr>
        <w:t xml:space="preserve">ESSENTIAL UTILITIES, INC. AND SUBSIDIARIES </w:t>
      </w:r>
    </w:p>
    <w:p>
      <w:pPr>
        <w:pStyle w:val="TextBody"/>
        <w:bidi w:val="0"/>
        <w:spacing w:lineRule="auto" w:line="192" w:before="0" w:after="0"/>
        <w:ind w:left="1440" w:right="1440" w:hanging="0"/>
        <w:jc w:val="both"/>
        <w:rPr>
          <w:rFonts w:cs="Times New Roman"/>
          <w:szCs w:val="22"/>
        </w:rPr>
      </w:pPr>
      <w:r>
        <w:rPr>
          <w:rFonts w:cs="Times New Roman"/>
          <w:szCs w:val="22"/>
        </w:rPr>
        <w:t xml:space="preserve">﻿ </w:t>
      </w:r>
    </w:p>
    <w:p>
      <w:pPr>
        <w:pStyle w:val="TextBody"/>
        <w:bidi w:val="0"/>
        <w:spacing w:lineRule="auto" w:line="192" w:before="0" w:after="0"/>
        <w:ind w:left="1440" w:right="1440" w:hanging="0"/>
        <w:jc w:val="both"/>
        <w:rPr>
          <w:rFonts w:cs="Times New Roman"/>
          <w:szCs w:val="22"/>
        </w:rPr>
      </w:pPr>
      <w:r>
        <w:rPr>
          <w:rFonts w:cs="Times New Roman"/>
          <w:szCs w:val="22"/>
        </w:rPr>
        <w:t xml:space="preserve">﻿ </w:t>
      </w:r>
    </w:p>
    <w:p>
      <w:pPr>
        <w:pStyle w:val="TextBody"/>
        <w:bidi w:val="0"/>
        <w:spacing w:lineRule="auto" w:line="192" w:before="0" w:after="0"/>
        <w:ind w:left="1440" w:right="1440" w:hanging="0"/>
        <w:jc w:val="both"/>
        <w:rPr>
          <w:rFonts w:cs="Times New Roman"/>
          <w:szCs w:val="22"/>
        </w:rPr>
      </w:pPr>
      <w:r>
        <w:rPr>
          <w:rFonts w:cs="Times New Roman"/>
          <w:szCs w:val="22"/>
        </w:rPr>
        <w:t xml:space="preserve">﻿ </w:t>
      </w:r>
    </w:p>
    <w:p>
      <w:pPr>
        <w:pStyle w:val="TextBody"/>
        <w:bidi w:val="0"/>
        <w:spacing w:lineRule="auto" w:line="192" w:before="0" w:after="0"/>
        <w:ind w:left="1440" w:right="1440" w:hanging="0"/>
        <w:jc w:val="both"/>
        <w:rPr>
          <w:rFonts w:ascii="Times New Roman" w:hAnsi="Times New Roman"/>
          <w:sz w:val="22"/>
        </w:rPr>
      </w:pPr>
      <w:r>
        <w:rPr>
          <w:rFonts w:ascii="Times New Roman" w:hAnsi="Times New Roman"/>
          <w:sz w:val="22"/>
        </w:rPr>
        <w:t xml:space="preserve">The following table lists the significant subsidiaries and other active subsidiaries of Essential Utilities, Inc. at December 31, 2024: </w:t>
      </w:r>
    </w:p>
    <w:p>
      <w:pPr>
        <w:pStyle w:val="TextBody"/>
        <w:bidi w:val="0"/>
        <w:spacing w:lineRule="auto" w:line="192" w:before="0" w:after="0"/>
        <w:ind w:left="1440" w:right="1440" w:hanging="0"/>
        <w:jc w:val="both"/>
        <w:rPr>
          <w:rFonts w:cs="Times New Roman"/>
          <w:szCs w:val="22"/>
        </w:rPr>
      </w:pPr>
      <w:r>
        <w:rPr>
          <w:rFonts w:cs="Times New Roman"/>
          <w:szCs w:val="22"/>
        </w:rPr>
        <w:t xml:space="preserve">﻿ </w:t>
      </w:r>
    </w:p>
    <w:p>
      <w:pPr>
        <w:pStyle w:val="TextBody"/>
        <w:bidi w:val="0"/>
        <w:spacing w:lineRule="auto" w:line="192" w:before="0" w:after="0"/>
        <w:ind w:left="1440" w:right="1440" w:hanging="0"/>
        <w:jc w:val="both"/>
        <w:rPr>
          <w:rFonts w:cs="Times New Roman"/>
          <w:szCs w:val="22"/>
        </w:rPr>
      </w:pPr>
      <w:r>
        <w:rPr>
          <w:rFonts w:cs="Times New Roman"/>
          <w:szCs w:val="22"/>
        </w:rPr>
        <w:t xml:space="preserve">﻿ </w:t>
      </w:r>
    </w:p>
    <w:p>
      <w:pPr>
        <w:pStyle w:val="TextBody"/>
        <w:bidi w:val="0"/>
        <w:spacing w:lineRule="auto" w:line="240" w:before="0" w:after="0"/>
        <w:ind w:left="1440" w:right="1440" w:hanging="0"/>
        <w:jc w:val="left"/>
        <w:rPr>
          <w:rFonts w:ascii="Times New Roman" w:hAnsi="Times New Roman"/>
          <w:sz w:val="22"/>
        </w:rPr>
      </w:pPr>
      <w:r>
        <w:rPr>
          <w:rFonts w:ascii="Times New Roman" w:hAnsi="Times New Roman"/>
          <w:sz w:val="22"/>
        </w:rPr>
        <w:t>Aqua Pennsylvania, Inc.  (Pennsylvania)</w:t>
      </w:r>
      <w:r>
        <w:rPr>
          <w:rFonts w:ascii="Times New Roman" w:hAnsi="Times New Roman"/>
          <w:sz w:val="22"/>
        </w:rPr>
        <w:t xml:space="preserve"> </w:t>
      </w:r>
    </w:p>
    <w:p>
      <w:pPr>
        <w:pStyle w:val="TextBody"/>
        <w:bidi w:val="0"/>
        <w:spacing w:lineRule="auto" w:line="240" w:before="0" w:after="0"/>
        <w:ind w:left="1440" w:right="1440" w:hanging="0"/>
        <w:jc w:val="left"/>
        <w:rPr>
          <w:rFonts w:ascii="Times New Roman" w:hAnsi="Times New Roman"/>
          <w:sz w:val="22"/>
        </w:rPr>
      </w:pPr>
      <w:r>
        <w:rPr>
          <w:rFonts w:ascii="Times New Roman" w:hAnsi="Times New Roman"/>
          <w:sz w:val="22"/>
        </w:rPr>
        <w:t>Aqua Resources, Inc. (Delaware)</w:t>
      </w:r>
      <w:r>
        <w:rPr>
          <w:rFonts w:ascii="Times New Roman" w:hAnsi="Times New Roman"/>
          <w:sz w:val="22"/>
        </w:rPr>
        <w:t xml:space="preserve"> </w:t>
      </w:r>
    </w:p>
    <w:p>
      <w:pPr>
        <w:pStyle w:val="TextBody"/>
        <w:bidi w:val="0"/>
        <w:spacing w:lineRule="auto" w:line="240" w:before="0" w:after="0"/>
        <w:ind w:left="1440" w:right="1440" w:hanging="0"/>
        <w:jc w:val="left"/>
        <w:rPr>
          <w:rFonts w:ascii="Times New Roman" w:hAnsi="Times New Roman"/>
          <w:sz w:val="22"/>
        </w:rPr>
      </w:pPr>
      <w:r>
        <w:rPr>
          <w:rFonts w:ascii="Times New Roman" w:hAnsi="Times New Roman"/>
          <w:sz w:val="22"/>
        </w:rPr>
        <w:t>Essential Utilities Services, Inc. (Pennsylvania)</w:t>
      </w:r>
      <w:r>
        <w:rPr>
          <w:rFonts w:ascii="Times New Roman" w:hAnsi="Times New Roman"/>
          <w:sz w:val="22"/>
        </w:rPr>
        <w:t xml:space="preserve"> </w:t>
      </w:r>
    </w:p>
    <w:p>
      <w:pPr>
        <w:pStyle w:val="TextBody"/>
        <w:bidi w:val="0"/>
        <w:spacing w:lineRule="auto" w:line="240" w:before="0" w:after="0"/>
        <w:ind w:left="1440" w:right="1440" w:hanging="0"/>
        <w:jc w:val="left"/>
        <w:rPr>
          <w:rFonts w:ascii="Times New Roman" w:hAnsi="Times New Roman"/>
          <w:sz w:val="22"/>
        </w:rPr>
      </w:pPr>
      <w:r>
        <w:rPr>
          <w:rFonts w:ascii="Times New Roman" w:hAnsi="Times New Roman"/>
          <w:sz w:val="22"/>
        </w:rPr>
        <w:t>Aqua Services, Inc.  (Pennsylvania)</w:t>
      </w:r>
      <w:r>
        <w:rPr>
          <w:rFonts w:ascii="Times New Roman" w:hAnsi="Times New Roman"/>
          <w:sz w:val="22"/>
        </w:rPr>
        <w:t xml:space="preserve"> </w:t>
      </w:r>
    </w:p>
    <w:p>
      <w:pPr>
        <w:pStyle w:val="TextBody"/>
        <w:bidi w:val="0"/>
        <w:spacing w:lineRule="auto" w:line="240" w:before="0" w:after="0"/>
        <w:ind w:left="1440" w:right="1440" w:hanging="0"/>
        <w:jc w:val="left"/>
        <w:rPr>
          <w:rFonts w:ascii="Times New Roman" w:hAnsi="Times New Roman"/>
          <w:sz w:val="22"/>
        </w:rPr>
      </w:pPr>
      <w:r>
        <w:rPr>
          <w:rFonts w:ascii="Times New Roman" w:hAnsi="Times New Roman"/>
          <w:sz w:val="22"/>
        </w:rPr>
        <w:t>Aqua Infrastructure, LLC (Pennsylvania)</w:t>
      </w:r>
      <w:r>
        <w:rPr>
          <w:rFonts w:ascii="Times New Roman" w:hAnsi="Times New Roman"/>
          <w:sz w:val="22"/>
        </w:rPr>
        <w:t xml:space="preserve"> </w:t>
      </w:r>
    </w:p>
    <w:p>
      <w:pPr>
        <w:pStyle w:val="TextBody"/>
        <w:bidi w:val="0"/>
        <w:spacing w:lineRule="auto" w:line="240" w:before="0" w:after="0"/>
        <w:ind w:left="1440" w:right="1440" w:hanging="0"/>
        <w:jc w:val="left"/>
        <w:rPr>
          <w:rFonts w:ascii="Times New Roman" w:hAnsi="Times New Roman"/>
          <w:sz w:val="22"/>
        </w:rPr>
      </w:pPr>
      <w:r>
        <w:rPr>
          <w:rFonts w:ascii="Times New Roman" w:hAnsi="Times New Roman"/>
          <w:sz w:val="22"/>
        </w:rPr>
        <w:t>Aqua Ohio, Inc. (Ohio)</w:t>
      </w:r>
      <w:r>
        <w:rPr>
          <w:rFonts w:ascii="Times New Roman" w:hAnsi="Times New Roman"/>
          <w:sz w:val="22"/>
        </w:rPr>
        <w:t xml:space="preserve"> </w:t>
      </w:r>
    </w:p>
    <w:p>
      <w:pPr>
        <w:pStyle w:val="TextBody"/>
        <w:bidi w:val="0"/>
        <w:spacing w:lineRule="auto" w:line="240" w:before="0" w:after="0"/>
        <w:ind w:left="1440" w:right="1440" w:hanging="0"/>
        <w:jc w:val="left"/>
        <w:rPr>
          <w:rFonts w:ascii="Times New Roman" w:hAnsi="Times New Roman"/>
          <w:sz w:val="22"/>
        </w:rPr>
      </w:pPr>
      <w:r>
        <w:rPr>
          <w:rFonts w:ascii="Times New Roman" w:hAnsi="Times New Roman"/>
          <w:sz w:val="22"/>
        </w:rPr>
        <w:t>Aqua Illinois, Inc. (Illinois)</w:t>
      </w:r>
      <w:r>
        <w:rPr>
          <w:rFonts w:ascii="Times New Roman" w:hAnsi="Times New Roman"/>
          <w:sz w:val="22"/>
        </w:rPr>
        <w:t xml:space="preserve"> </w:t>
      </w:r>
    </w:p>
    <w:p>
      <w:pPr>
        <w:pStyle w:val="TextBody"/>
        <w:bidi w:val="0"/>
        <w:spacing w:lineRule="auto" w:line="240" w:before="0" w:after="0"/>
        <w:ind w:left="1440" w:right="1440" w:hanging="0"/>
        <w:jc w:val="left"/>
        <w:rPr>
          <w:rFonts w:ascii="Times New Roman" w:hAnsi="Times New Roman"/>
          <w:sz w:val="22"/>
        </w:rPr>
      </w:pPr>
      <w:r>
        <w:rPr>
          <w:rFonts w:ascii="Times New Roman" w:hAnsi="Times New Roman"/>
          <w:sz w:val="22"/>
        </w:rPr>
        <w:t>Aqua New Jersey, Inc. (New Jersey)</w:t>
      </w:r>
      <w:r>
        <w:rPr>
          <w:rFonts w:ascii="Times New Roman" w:hAnsi="Times New Roman"/>
          <w:sz w:val="22"/>
        </w:rPr>
        <w:t xml:space="preserve"> </w:t>
      </w:r>
    </w:p>
    <w:p>
      <w:pPr>
        <w:pStyle w:val="TextBody"/>
        <w:bidi w:val="0"/>
        <w:spacing w:lineRule="auto" w:line="240" w:before="0" w:after="0"/>
        <w:ind w:left="1440" w:right="1440" w:hanging="0"/>
        <w:jc w:val="left"/>
        <w:rPr>
          <w:rFonts w:ascii="Times New Roman" w:hAnsi="Times New Roman"/>
          <w:sz w:val="22"/>
        </w:rPr>
      </w:pPr>
      <w:r>
        <w:rPr>
          <w:rFonts w:ascii="Times New Roman" w:hAnsi="Times New Roman"/>
          <w:sz w:val="22"/>
        </w:rPr>
        <w:t>Aqua North Carolina, Inc. (North Carolina)</w:t>
      </w:r>
      <w:r>
        <w:rPr>
          <w:rFonts w:ascii="Times New Roman" w:hAnsi="Times New Roman"/>
          <w:sz w:val="22"/>
        </w:rPr>
        <w:t xml:space="preserve"> </w:t>
      </w:r>
    </w:p>
    <w:p>
      <w:pPr>
        <w:pStyle w:val="TextBody"/>
        <w:bidi w:val="0"/>
        <w:spacing w:lineRule="auto" w:line="240" w:before="0" w:after="0"/>
        <w:ind w:left="1440" w:right="1440" w:hanging="0"/>
        <w:jc w:val="left"/>
        <w:rPr>
          <w:rFonts w:ascii="Times New Roman" w:hAnsi="Times New Roman"/>
          <w:sz w:val="22"/>
        </w:rPr>
      </w:pPr>
      <w:r>
        <w:rPr>
          <w:rFonts w:ascii="Times New Roman" w:hAnsi="Times New Roman"/>
          <w:sz w:val="22"/>
        </w:rPr>
        <w:t>Aqua Texas, Inc. (Texas)</w:t>
      </w:r>
      <w:r>
        <w:rPr>
          <w:rFonts w:ascii="Times New Roman" w:hAnsi="Times New Roman"/>
          <w:sz w:val="22"/>
        </w:rPr>
        <w:t xml:space="preserve"> </w:t>
      </w:r>
    </w:p>
    <w:p>
      <w:pPr>
        <w:pStyle w:val="TextBody"/>
        <w:bidi w:val="0"/>
        <w:spacing w:lineRule="auto" w:line="240" w:before="0" w:after="0"/>
        <w:ind w:left="1440" w:right="1440" w:hanging="0"/>
        <w:jc w:val="left"/>
        <w:rPr>
          <w:rFonts w:ascii="Times New Roman" w:hAnsi="Times New Roman"/>
          <w:sz w:val="22"/>
        </w:rPr>
      </w:pPr>
      <w:r>
        <w:rPr>
          <w:rFonts w:ascii="Times New Roman" w:hAnsi="Times New Roman"/>
          <w:sz w:val="22"/>
        </w:rPr>
        <w:t>Aqua Indiana, Inc. (Indiana)</w:t>
      </w:r>
      <w:r>
        <w:rPr>
          <w:rFonts w:ascii="Times New Roman" w:hAnsi="Times New Roman"/>
          <w:sz w:val="22"/>
        </w:rPr>
        <w:t xml:space="preserve"> </w:t>
      </w:r>
    </w:p>
    <w:p>
      <w:pPr>
        <w:pStyle w:val="TextBody"/>
        <w:bidi w:val="0"/>
        <w:spacing w:lineRule="auto" w:line="240" w:before="0" w:after="0"/>
        <w:ind w:left="1440" w:right="1440" w:hanging="0"/>
        <w:jc w:val="left"/>
        <w:rPr>
          <w:rFonts w:ascii="Times New Roman" w:hAnsi="Times New Roman"/>
          <w:sz w:val="22"/>
        </w:rPr>
      </w:pPr>
      <w:r>
        <w:rPr>
          <w:rFonts w:ascii="Times New Roman" w:hAnsi="Times New Roman"/>
          <w:sz w:val="22"/>
        </w:rPr>
        <w:t>Aqua Virginia, Inc. (Virginia)</w:t>
      </w:r>
      <w:r>
        <w:rPr>
          <w:rFonts w:ascii="Times New Roman" w:hAnsi="Times New Roman"/>
          <w:sz w:val="22"/>
        </w:rPr>
        <w:t xml:space="preserve"> </w:t>
      </w:r>
    </w:p>
    <w:p>
      <w:pPr>
        <w:pStyle w:val="TextBody"/>
        <w:bidi w:val="0"/>
        <w:spacing w:lineRule="auto" w:line="240" w:before="0" w:after="0"/>
        <w:ind w:left="1440" w:right="1440" w:hanging="0"/>
        <w:jc w:val="left"/>
        <w:rPr>
          <w:rFonts w:ascii="Times New Roman" w:hAnsi="Times New Roman"/>
          <w:sz w:val="22"/>
        </w:rPr>
      </w:pPr>
      <w:r>
        <w:rPr>
          <w:rFonts w:ascii="Times New Roman" w:hAnsi="Times New Roman"/>
          <w:sz w:val="22"/>
        </w:rPr>
        <w:t>Aqua Water Holdings, Inc. (Pennsylvania)</w:t>
      </w:r>
      <w:r>
        <w:rPr>
          <w:rFonts w:ascii="Times New Roman" w:hAnsi="Times New Roman"/>
          <w:sz w:val="22"/>
        </w:rPr>
        <w:t xml:space="preserve"> </w:t>
      </w:r>
    </w:p>
    <w:p>
      <w:pPr>
        <w:pStyle w:val="TextBody"/>
        <w:bidi w:val="0"/>
        <w:spacing w:lineRule="auto" w:line="240" w:before="0" w:after="0"/>
        <w:ind w:left="3720" w:right="1440" w:hanging="0"/>
        <w:jc w:val="both"/>
        <w:rPr>
          <w:rFonts w:ascii="Times New Roman" w:hAnsi="Times New Roman"/>
          <w:sz w:val="22"/>
        </w:rPr>
      </w:pPr>
      <w:r>
        <w:rPr>
          <w:rFonts w:ascii="Times New Roman" w:hAnsi="Times New Roman"/>
          <w:sz w:val="22"/>
        </w:rPr>
        <w:t xml:space="preserve">LDC Funding, LLC (Delaware) </w:t>
      </w:r>
    </w:p>
    <w:p>
      <w:pPr>
        <w:pStyle w:val="TextBody"/>
        <w:bidi w:val="0"/>
        <w:spacing w:lineRule="auto" w:line="240" w:before="0" w:after="0"/>
        <w:ind w:left="3720" w:right="1440" w:hanging="0"/>
        <w:jc w:val="both"/>
        <w:rPr>
          <w:rFonts w:cs="Times New Roman"/>
          <w:szCs w:val="22"/>
        </w:rPr>
      </w:pPr>
      <w:r>
        <w:rPr>
          <w:rFonts w:cs="Times New Roman"/>
          <w:szCs w:val="22"/>
        </w:rPr>
        <w:t xml:space="preserve">﻿ </w:t>
      </w:r>
    </w:p>
    <w:p>
      <w:pPr>
        <w:pStyle w:val="TextBody"/>
        <w:bidi w:val="0"/>
        <w:spacing w:lineRule="auto" w:line="240" w:before="0" w:after="0"/>
        <w:ind w:left="1440" w:right="1440" w:hanging="0"/>
        <w:jc w:val="both"/>
        <w:rPr>
          <w:rFonts w:cs="Times New Roman"/>
          <w:szCs w:val="22"/>
        </w:rPr>
      </w:pPr>
      <w:r>
        <w:rPr>
          <w:rFonts w:cs="Times New Roman"/>
          <w:szCs w:val="22"/>
        </w:rPr>
        <w:t xml:space="preserve">﻿ </w:t>
      </w:r>
    </w:p>
    <w:p>
      <w:pPr>
        <w:pStyle w:val="TextBody"/>
        <w:bidi w:val="0"/>
        <w:spacing w:lineRule="auto" w:line="240" w:before="0" w:after="0"/>
        <w:ind w:left="3720" w:right="1440" w:hanging="0"/>
        <w:jc w:val="both"/>
        <w:rPr>
          <w:rFonts w:cs="Times New Roman"/>
          <w:szCs w:val="22"/>
        </w:rPr>
      </w:pPr>
      <w:r>
        <w:rPr>
          <w:rFonts w:cs="Times New Roman"/>
          <w:szCs w:val="22"/>
        </w:rPr>
        <w:t xml:space="preserve">﻿ </w:t>
      </w:r>
    </w:p>
    <w:p>
      <w:pPr>
        <w:pStyle w:val="TextBody"/>
        <w:bidi w:val="0"/>
        <w:spacing w:lineRule="auto" w:line="240" w:before="0" w:after="0"/>
        <w:ind w:left="1440" w:right="1440" w:hanging="0"/>
        <w:jc w:val="both"/>
        <w:rPr>
          <w:rFonts w:cs="Times New Roman"/>
          <w:szCs w:val="22"/>
        </w:rPr>
      </w:pPr>
      <w:r>
        <w:rPr>
          <w:rFonts w:cs="Times New Roman"/>
          <w:szCs w:val="22"/>
        </w:rPr>
        <w:t xml:space="preserve">﻿ </w:t>
      </w:r>
    </w:p>
    <w:p>
      <w:pPr>
        <w:pStyle w:val="TextBody"/>
        <w:bidi w:val="0"/>
        <w:spacing w:lineRule="auto" w:line="240" w:before="0" w:after="0"/>
        <w:ind w:left="1440" w:right="1440" w:hanging="0"/>
        <w:jc w:val="left"/>
        <w:rPr>
          <w:rFonts w:cs="Times New Roman"/>
          <w:szCs w:val="20"/>
        </w:rPr>
      </w:pPr>
      <w:r>
        <w:rPr>
          <w:rFonts w:cs="Times New Roman"/>
          <w:szCs w:val="20"/>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192" w:before="0" w:after="0"/>
        <w:ind w:left="1440" w:right="1440" w:hanging="0"/>
        <w:jc w:val="right"/>
        <w:rPr>
          <w:rFonts w:ascii="Times New Roman" w:hAnsi="Times New Roman"/>
          <w:sz w:val="22"/>
        </w:rPr>
      </w:pPr>
      <w:bookmarkStart w:id="72" w:name="wtrg-20241231xex23_1.htm"/>
      <w:bookmarkStart w:id="73" w:name="kswtrg20241231xex23_1"/>
      <w:bookmarkEnd w:id="72"/>
      <w:bookmarkEnd w:id="73"/>
      <w:r>
        <w:rPr>
          <w:rFonts w:ascii="Times New Roman" w:hAnsi="Times New Roman"/>
          <w:sz w:val="22"/>
        </w:rPr>
        <w:t xml:space="preserve">Exhibit 23.1 </w:t>
      </w:r>
      <w:r>
        <w:br w:type="page"/>
      </w:r>
    </w:p>
    <w:p>
      <w:pPr>
        <w:pStyle w:val="TextBody"/>
        <w:bidi w:val="0"/>
        <w:spacing w:lineRule="auto" w:line="192" w:before="0" w:after="0"/>
        <w:ind w:left="1440" w:right="1440" w:hanging="0"/>
        <w:jc w:val="both"/>
        <w:rPr>
          <w:rFonts w:cs="Times New Roman"/>
          <w:szCs w:val="22"/>
        </w:rPr>
      </w:pPr>
      <w:r>
        <w:rPr>
          <w:rFonts w:cs="Times New Roman"/>
          <w:szCs w:val="22"/>
        </w:rPr>
        <w:t xml:space="preserve">﻿ </w:t>
      </w:r>
    </w:p>
    <w:p>
      <w:pPr>
        <w:pStyle w:val="TextBody"/>
        <w:bidi w:val="0"/>
        <w:spacing w:lineRule="auto" w:line="192" w:before="0" w:after="0"/>
        <w:ind w:left="1440" w:right="1440" w:hanging="0"/>
        <w:jc w:val="center"/>
        <w:rPr>
          <w:rFonts w:ascii="Times New Roman" w:hAnsi="Times New Roman"/>
          <w:sz w:val="22"/>
        </w:rPr>
      </w:pPr>
      <w:r>
        <w:rPr>
          <w:rFonts w:ascii="Times New Roman" w:hAnsi="Times New Roman"/>
          <w:sz w:val="22"/>
        </w:rPr>
        <w:t xml:space="preserve">CONSENT OF INDEPENDENT REGISTERED PUBLIC ACCOUNTING FIRM </w:t>
      </w:r>
    </w:p>
    <w:p>
      <w:pPr>
        <w:pStyle w:val="TextBody"/>
        <w:bidi w:val="0"/>
        <w:spacing w:lineRule="auto" w:line="192" w:before="0" w:after="0"/>
        <w:ind w:left="1440" w:right="1440" w:hanging="0"/>
        <w:jc w:val="both"/>
        <w:rPr>
          <w:rFonts w:cs="Times New Roman"/>
          <w:szCs w:val="22"/>
        </w:rPr>
      </w:pPr>
      <w:r>
        <w:rPr>
          <w:rFonts w:cs="Times New Roman"/>
          <w:szCs w:val="22"/>
          <w:u w:val="single"/>
        </w:rPr>
        <w:t>﻿</w:t>
      </w:r>
      <w:r>
        <w:rPr>
          <w:rFonts w:cs="Times New Roman"/>
          <w:szCs w:val="22"/>
        </w:rPr>
        <w:t xml:space="preserve"> </w:t>
      </w:r>
    </w:p>
    <w:p>
      <w:pPr>
        <w:pStyle w:val="TextBody"/>
        <w:bidi w:val="0"/>
        <w:spacing w:lineRule="auto" w:line="240" w:before="0" w:after="120"/>
        <w:ind w:left="1440" w:right="1440" w:hanging="0"/>
        <w:jc w:val="left"/>
        <w:rPr>
          <w:rFonts w:ascii="Times New Roman" w:hAnsi="Times New Roman"/>
          <w:sz w:val="22"/>
        </w:rPr>
      </w:pPr>
      <w:r>
        <w:rPr>
          <w:rFonts w:ascii="Times New Roman" w:hAnsi="Times New Roman"/>
          <w:sz w:val="22"/>
        </w:rPr>
        <w:t xml:space="preserve">We hereby consent to the incorporation by reference in the Registration Statements on Form S-3 (Nos. 333-271878, and 333-277563), on Form S-4 (No. 333-202393), and on Form S-8 (Nos. 033-52557, 03353689, 333-26613, 333-70859, 333-81085, 333-61768, 333-107673, 333-113502, 333-116776,  333126042, 333-148206, 333-156047, 333-159897, and 333-181389) of Essential Utilities, Inc. of our report dated February 27,  2025 relating to the financial statements, financial statement schedule and the effectiveness of internal control over financial reporting, which appears in this Form 10-K. </w:t>
      </w:r>
    </w:p>
    <w:p>
      <w:pPr>
        <w:pStyle w:val="TextBody"/>
        <w:bidi w:val="0"/>
        <w:spacing w:lineRule="auto" w:line="192" w:before="0" w:after="0"/>
        <w:ind w:left="1440" w:right="1440" w:hanging="0"/>
        <w:jc w:val="both"/>
        <w:rPr>
          <w:rFonts w:cs="Times New Roman"/>
          <w:szCs w:val="22"/>
        </w:rPr>
      </w:pPr>
      <w:r>
        <w:rPr>
          <w:rFonts w:cs="Times New Roman"/>
          <w:szCs w:val="22"/>
        </w:rPr>
        <w:t xml:space="preserve">﻿ </w:t>
      </w:r>
    </w:p>
    <w:p>
      <w:pPr>
        <w:pStyle w:val="TextBody"/>
        <w:bidi w:val="0"/>
        <w:spacing w:lineRule="auto" w:line="192" w:before="0" w:after="0"/>
        <w:ind w:left="1440" w:right="1440" w:hanging="0"/>
        <w:jc w:val="both"/>
        <w:rPr>
          <w:rFonts w:cs="Times New Roman"/>
          <w:szCs w:val="2"/>
        </w:rPr>
      </w:pPr>
      <w:r>
        <w:rPr>
          <w:rFonts w:cs="Times New Roman"/>
          <w:szCs w:val="2"/>
        </w:rPr>
        <w:t xml:space="preserve">﻿ </w:t>
      </w:r>
    </w:p>
    <w:tbl>
      <w:tblPr>
        <w:tblW w:w="3438" w:type="dxa"/>
        <w:jc w:val="left"/>
        <w:tblInd w:w="1440" w:type="dxa"/>
        <w:tblLayout w:type="fixed"/>
        <w:tblCellMar>
          <w:top w:w="0" w:type="dxa"/>
          <w:left w:w="0" w:type="dxa"/>
          <w:bottom w:w="0" w:type="dxa"/>
          <w:right w:w="0" w:type="dxa"/>
        </w:tblCellMar>
      </w:tblPr>
      <w:tblGrid>
        <w:gridCol w:w="418"/>
        <w:gridCol w:w="656"/>
        <w:gridCol w:w="656"/>
        <w:gridCol w:w="656"/>
        <w:gridCol w:w="677"/>
        <w:gridCol w:w="60"/>
        <w:gridCol w:w="60"/>
        <w:gridCol w:w="60"/>
        <w:gridCol w:w="60"/>
        <w:gridCol w:w="60"/>
        <w:gridCol w:w="75"/>
      </w:tblGrid>
      <w:tr>
        <w:trPr/>
        <w:tc>
          <w:tcPr>
            <w:tcW w:w="418" w:type="dxa"/>
            <w:tcBorders/>
            <w:vAlign w:val="bottom"/>
          </w:tcPr>
          <w:p>
            <w:pPr>
              <w:pStyle w:val="TableContents"/>
              <w:bidi w:val="0"/>
              <w:spacing w:lineRule="auto" w:line="240" w:before="0" w:after="0"/>
              <w:ind w:left="0" w:right="0" w:hanging="0"/>
              <w:jc w:val="left"/>
              <w:rPr>
                <w:rFonts w:cs="Times New Roman"/>
                <w:szCs w:val="2"/>
              </w:rPr>
            </w:pPr>
            <w:r>
              <w:rPr>
                <w:rFonts w:cs="Times New Roman"/>
                <w:szCs w:val="2"/>
              </w:rPr>
              <w:t>﻿</w:t>
            </w:r>
          </w:p>
        </w:tc>
        <w:tc>
          <w:tcPr>
            <w:tcW w:w="656" w:type="dxa"/>
            <w:tcBorders/>
            <w:vAlign w:val="bottom"/>
          </w:tcPr>
          <w:p>
            <w:pPr>
              <w:pStyle w:val="TableContents"/>
              <w:bidi w:val="0"/>
              <w:spacing w:lineRule="auto" w:line="240" w:before="0" w:after="0"/>
              <w:ind w:left="0" w:right="0" w:hanging="0"/>
              <w:jc w:val="left"/>
              <w:rPr/>
            </w:pPr>
            <w:r>
              <w:rPr/>
              <w:t> </w:t>
            </w:r>
          </w:p>
        </w:tc>
        <w:tc>
          <w:tcPr>
            <w:tcW w:w="656" w:type="dxa"/>
            <w:tcBorders/>
            <w:vAlign w:val="bottom"/>
          </w:tcPr>
          <w:p>
            <w:pPr>
              <w:pStyle w:val="TableContents"/>
              <w:bidi w:val="0"/>
              <w:spacing w:lineRule="auto" w:line="240" w:before="0" w:after="0"/>
              <w:ind w:left="0" w:right="0" w:hanging="0"/>
              <w:jc w:val="left"/>
              <w:rPr/>
            </w:pPr>
            <w:r>
              <w:rPr/>
              <w:t> </w:t>
            </w:r>
          </w:p>
        </w:tc>
        <w:tc>
          <w:tcPr>
            <w:tcW w:w="656" w:type="dxa"/>
            <w:tcBorders/>
            <w:vAlign w:val="bottom"/>
          </w:tcPr>
          <w:p>
            <w:pPr>
              <w:pStyle w:val="TableContents"/>
              <w:bidi w:val="0"/>
              <w:spacing w:lineRule="auto" w:line="240" w:before="0" w:after="0"/>
              <w:ind w:left="0" w:right="0" w:hanging="0"/>
              <w:jc w:val="left"/>
              <w:rPr/>
            </w:pPr>
            <w:r>
              <w:rPr/>
              <w:t> </w:t>
            </w:r>
          </w:p>
        </w:tc>
        <w:tc>
          <w:tcPr>
            <w:tcW w:w="677"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418" w:type="dxa"/>
            <w:tcBorders/>
            <w:vAlign w:val="bottom"/>
          </w:tcPr>
          <w:p>
            <w:pPr>
              <w:pStyle w:val="TableContents"/>
              <w:bidi w:val="0"/>
              <w:spacing w:lineRule="auto" w:line="240" w:before="0" w:after="0"/>
              <w:ind w:left="0" w:right="0" w:hanging="0"/>
              <w:jc w:val="left"/>
              <w:rPr>
                <w:rFonts w:cs="Arial"/>
                <w:color w:val="000000"/>
                <w:szCs w:val="20"/>
              </w:rPr>
            </w:pPr>
            <w:r>
              <w:rPr>
                <w:rFonts w:cs="Arial"/>
                <w:color w:val="000000"/>
                <w:szCs w:val="20"/>
              </w:rPr>
              <w:t>﻿</w:t>
            </w:r>
          </w:p>
        </w:tc>
        <w:tc>
          <w:tcPr>
            <w:tcW w:w="656" w:type="dxa"/>
            <w:tcBorders/>
            <w:vAlign w:val="bottom"/>
          </w:tcPr>
          <w:p>
            <w:pPr>
              <w:pStyle w:val="TableContents"/>
              <w:bidi w:val="0"/>
              <w:spacing w:lineRule="auto" w:line="240" w:before="0" w:after="0"/>
              <w:ind w:left="0" w:right="0" w:hanging="0"/>
              <w:jc w:val="left"/>
              <w:rPr/>
            </w:pPr>
            <w:r>
              <w:rPr/>
              <w:t> </w:t>
            </w:r>
          </w:p>
        </w:tc>
        <w:tc>
          <w:tcPr>
            <w:tcW w:w="656" w:type="dxa"/>
            <w:tcBorders/>
            <w:vAlign w:val="bottom"/>
          </w:tcPr>
          <w:p>
            <w:pPr>
              <w:pStyle w:val="TableContents"/>
              <w:bidi w:val="0"/>
              <w:spacing w:lineRule="auto" w:line="240" w:before="0" w:after="0"/>
              <w:ind w:left="0" w:right="0" w:hanging="0"/>
              <w:jc w:val="left"/>
              <w:rPr/>
            </w:pPr>
            <w:r>
              <w:rPr/>
              <w:t> </w:t>
            </w:r>
          </w:p>
        </w:tc>
        <w:tc>
          <w:tcPr>
            <w:tcW w:w="656" w:type="dxa"/>
            <w:tcBorders/>
            <w:vAlign w:val="bottom"/>
          </w:tcPr>
          <w:p>
            <w:pPr>
              <w:pStyle w:val="TableContents"/>
              <w:bidi w:val="0"/>
              <w:spacing w:lineRule="auto" w:line="240" w:before="0" w:after="0"/>
              <w:ind w:left="0" w:right="0" w:hanging="0"/>
              <w:jc w:val="left"/>
              <w:rPr/>
            </w:pPr>
            <w:r>
              <w:rPr/>
              <w:t> </w:t>
            </w:r>
          </w:p>
        </w:tc>
        <w:tc>
          <w:tcPr>
            <w:tcW w:w="677"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063" w:type="dxa"/>
            <w:gridSpan w:val="5"/>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/s/ PricewaterhouseCoopers LLP</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3063" w:type="dxa"/>
            <w:gridSpan w:val="5"/>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Philadelphia, Pennsylvania</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bl>
    <w:p>
      <w:pPr>
        <w:pStyle w:val="TextBody"/>
        <w:bidi w:val="0"/>
        <w:spacing w:lineRule="auto" w:line="192" w:before="0" w:after="0"/>
        <w:ind w:left="1440" w:right="1440" w:hanging="0"/>
        <w:jc w:val="both"/>
        <w:rPr>
          <w:rFonts w:cs="Times New Roman"/>
          <w:szCs w:val="2"/>
        </w:rPr>
      </w:pPr>
      <w:r>
        <w:rPr>
          <w:rFonts w:cs="Times New Roman"/>
          <w:szCs w:val="2"/>
        </w:rPr>
        <w:t xml:space="preserve">﻿ </w:t>
      </w:r>
    </w:p>
    <w:p>
      <w:pPr>
        <w:pStyle w:val="TextBody"/>
        <w:bidi w:val="0"/>
        <w:spacing w:lineRule="auto" w:line="240" w:before="0" w:after="0"/>
        <w:ind w:left="1440" w:right="1440" w:hanging="0"/>
        <w:jc w:val="left"/>
        <w:rPr>
          <w:rFonts w:ascii="Times New Roman" w:hAnsi="Times New Roman"/>
          <w:sz w:val="22"/>
        </w:rPr>
      </w:pPr>
      <w:r>
        <w:rPr>
          <w:rFonts w:ascii="Times New Roman" w:hAnsi="Times New Roman"/>
          <w:sz w:val="22"/>
        </w:rPr>
        <w:t xml:space="preserve">February 27,  2025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1440" w:right="1440" w:hanging="0"/>
        <w:jc w:val="right"/>
        <w:rPr>
          <w:rFonts w:ascii="Times New Roman" w:hAnsi="Times New Roman"/>
          <w:sz w:val="22"/>
        </w:rPr>
      </w:pPr>
      <w:bookmarkStart w:id="74" w:name="wtrg-20241231xex31_1.htm"/>
      <w:bookmarkStart w:id="75" w:name="kswtrg20241231xex31_1"/>
      <w:bookmarkEnd w:id="74"/>
      <w:bookmarkEnd w:id="75"/>
      <w:r>
        <w:rPr>
          <w:rFonts w:ascii="Times New Roman" w:hAnsi="Times New Roman"/>
          <w:sz w:val="22"/>
        </w:rPr>
        <w:t xml:space="preserve">Exhibit 31.1 </w:t>
      </w:r>
      <w:r>
        <w:br w:type="page"/>
      </w:r>
    </w:p>
    <w:p>
      <w:pPr>
        <w:pStyle w:val="TextBody"/>
        <w:bidi w:val="0"/>
        <w:spacing w:lineRule="auto" w:line="240" w:before="0" w:after="0"/>
        <w:ind w:left="1440" w:right="1440" w:hanging="0"/>
        <w:jc w:val="center"/>
        <w:rPr>
          <w:rFonts w:cs="Times New Roman"/>
          <w:szCs w:val="22"/>
        </w:rPr>
      </w:pPr>
      <w:r>
        <w:rPr>
          <w:rFonts w:cs="Times New Roman"/>
          <w:szCs w:val="22"/>
        </w:rPr>
        <w:t xml:space="preserve">﻿ </w:t>
      </w:r>
    </w:p>
    <w:p>
      <w:pPr>
        <w:pStyle w:val="TextBody"/>
        <w:bidi w:val="0"/>
        <w:spacing w:lineRule="auto" w:line="240" w:before="0" w:after="0"/>
        <w:ind w:left="1440" w:right="1440" w:hanging="0"/>
        <w:jc w:val="center"/>
        <w:rPr>
          <w:rFonts w:ascii="Times New Roman" w:hAnsi="Times New Roman"/>
          <w:sz w:val="22"/>
        </w:rPr>
      </w:pPr>
      <w:r>
        <w:rPr>
          <w:rFonts w:ascii="Times New Roman" w:hAnsi="Times New Roman"/>
          <w:sz w:val="22"/>
        </w:rPr>
        <w:t xml:space="preserve">CERTIFICATION OF CHIEF EXECUTIVE OFFICER, PURSUANT TO RULE 13A-14(A) AS ADOPTED UNDER THE SECURITIES AND EXCHANGE ACT OF 1934 </w:t>
      </w:r>
    </w:p>
    <w:p>
      <w:pPr>
        <w:pStyle w:val="TextBody"/>
        <w:bidi w:val="0"/>
        <w:spacing w:lineRule="auto" w:line="240" w:before="0" w:after="0"/>
        <w:ind w:left="1440" w:right="1440" w:hanging="0"/>
        <w:jc w:val="left"/>
        <w:rPr>
          <w:rFonts w:cs="Times New Roman"/>
          <w:szCs w:val="22"/>
        </w:rPr>
      </w:pPr>
      <w:r>
        <w:rPr>
          <w:rFonts w:cs="Times New Roman"/>
          <w:szCs w:val="22"/>
        </w:rPr>
        <w:t xml:space="preserve">﻿ </w:t>
      </w:r>
    </w:p>
    <w:p>
      <w:pPr>
        <w:pStyle w:val="TextBody"/>
        <w:bidi w:val="0"/>
        <w:spacing w:lineRule="auto" w:line="240" w:before="0" w:after="0"/>
        <w:ind w:left="1440" w:right="1440" w:hanging="0"/>
        <w:jc w:val="left"/>
        <w:rPr>
          <w:rFonts w:ascii="Times New Roman" w:hAnsi="Times New Roman"/>
          <w:sz w:val="22"/>
        </w:rPr>
      </w:pPr>
      <w:r>
        <w:rPr>
          <w:rFonts w:ascii="Times New Roman" w:hAnsi="Times New Roman"/>
          <w:sz w:val="22"/>
        </w:rPr>
        <w:t xml:space="preserve">I, Christopher H. Franklin, certify that: </w:t>
      </w:r>
    </w:p>
    <w:p>
      <w:pPr>
        <w:pStyle w:val="TextBody"/>
        <w:bidi w:val="0"/>
        <w:spacing w:lineRule="auto" w:line="240" w:before="0" w:after="0"/>
        <w:ind w:left="1440" w:right="1440" w:hanging="0"/>
        <w:jc w:val="left"/>
        <w:rPr>
          <w:rFonts w:cs="Times New Roman"/>
          <w:szCs w:val="22"/>
        </w:rPr>
      </w:pP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258"/>
        <w:gridCol w:w="23"/>
        <w:gridCol w:w="7006"/>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7006"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 have reviewed this annual report on Form 10-K of Essential Utilities, Inc.;</w:t>
            </w:r>
          </w:p>
        </w:tc>
      </w:tr>
    </w:tbl>
    <w:p>
      <w:pPr>
        <w:pStyle w:val="TextBody"/>
        <w:bidi w:val="0"/>
        <w:spacing w:lineRule="auto" w:line="240"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165"/>
        <w:gridCol w:w="23"/>
        <w:gridCol w:w="7099"/>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7099"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169"/>
        <w:gridCol w:w="23"/>
        <w:gridCol w:w="7095"/>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709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164"/>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173"/>
        <w:gridCol w:w="23"/>
        <w:gridCol w:w="7091"/>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091"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ind w:left="180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177"/>
        <w:gridCol w:w="23"/>
        <w:gridCol w:w="7087"/>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87"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ind w:left="180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180"/>
        <w:gridCol w:w="23"/>
        <w:gridCol w:w="7084"/>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c) </w:t>
            </w:r>
          </w:p>
        </w:tc>
        <w:tc>
          <w:tcPr>
            <w:tcW w:w="23" w:type="dxa"/>
            <w:tcBorders/>
            <w:vAlign w:val="center"/>
          </w:tcPr>
          <w:p>
            <w:pPr>
              <w:pStyle w:val="TableContents"/>
              <w:bidi w:val="0"/>
              <w:spacing w:before="0" w:after="283"/>
              <w:jc w:val="left"/>
              <w:rPr>
                <w:sz w:val="4"/>
                <w:szCs w:val="4"/>
              </w:rPr>
            </w:pPr>
            <w:r>
              <w:rPr>
                <w:sz w:val="4"/>
                <w:szCs w:val="4"/>
              </w:rPr>
            </w:r>
          </w:p>
        </w:tc>
        <w:tc>
          <w:tcPr>
            <w:tcW w:w="7084"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ind w:left="180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177"/>
        <w:gridCol w:w="23"/>
        <w:gridCol w:w="7087"/>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d) </w:t>
            </w:r>
          </w:p>
        </w:tc>
        <w:tc>
          <w:tcPr>
            <w:tcW w:w="23" w:type="dxa"/>
            <w:tcBorders/>
            <w:vAlign w:val="center"/>
          </w:tcPr>
          <w:p>
            <w:pPr>
              <w:pStyle w:val="TableContents"/>
              <w:bidi w:val="0"/>
              <w:spacing w:before="0" w:after="283"/>
              <w:jc w:val="left"/>
              <w:rPr>
                <w:sz w:val="4"/>
                <w:szCs w:val="4"/>
              </w:rPr>
            </w:pPr>
            <w:r>
              <w:rPr>
                <w:sz w:val="4"/>
                <w:szCs w:val="4"/>
              </w:rPr>
            </w:r>
          </w:p>
        </w:tc>
        <w:tc>
          <w:tcPr>
            <w:tcW w:w="7087"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168"/>
        <w:gridCol w:w="23"/>
        <w:gridCol w:w="709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7096"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181"/>
        <w:gridCol w:w="23"/>
        <w:gridCol w:w="7083"/>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083"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203"/>
        <w:gridCol w:w="23"/>
        <w:gridCol w:w="7061"/>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61"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5760" w:right="1440" w:hanging="0"/>
        <w:jc w:val="left"/>
        <w:rPr>
          <w:rFonts w:cs="Times New Roman"/>
          <w:szCs w:val="2"/>
        </w:rPr>
      </w:pPr>
      <w:r>
        <w:rPr>
          <w:rFonts w:cs="Times New Roman"/>
          <w:color w:val="000000"/>
          <w:szCs w:val="2"/>
        </w:rPr>
        <w:t>﻿</w:t>
      </w:r>
      <w:r>
        <w:rPr>
          <w:rFonts w:cs="Times New Roman"/>
          <w:szCs w:val="2"/>
        </w:rPr>
        <w:t xml:space="preserve"> </w:t>
      </w:r>
    </w:p>
    <w:p>
      <w:pPr>
        <w:pStyle w:val="TextBody"/>
        <w:bidi w:val="0"/>
        <w:spacing w:lineRule="auto" w:line="240" w:before="0" w:after="0"/>
        <w:ind w:left="1440" w:right="1440" w:hanging="0"/>
        <w:jc w:val="left"/>
        <w:rPr>
          <w:rFonts w:cs="Times New Roman"/>
          <w:szCs w:val="2"/>
        </w:rPr>
      </w:pPr>
      <w:r>
        <w:rPr>
          <w:rFonts w:cs="Times New Roman"/>
          <w:color w:val="000000"/>
          <w:szCs w:val="2"/>
        </w:rPr>
        <w:t>﻿</w:t>
      </w:r>
      <w:r>
        <w:rPr>
          <w:rFonts w:cs="Times New Roman"/>
          <w:szCs w:val="2"/>
        </w:rPr>
        <w:t xml:space="preserve"> </w:t>
      </w:r>
    </w:p>
    <w:tbl>
      <w:tblPr>
        <w:tblW w:w="4983" w:type="dxa"/>
        <w:jc w:val="left"/>
        <w:tblInd w:w="1440" w:type="dxa"/>
        <w:tblLayout w:type="fixed"/>
        <w:tblCellMar>
          <w:top w:w="0" w:type="dxa"/>
          <w:left w:w="0" w:type="dxa"/>
          <w:bottom w:w="0" w:type="dxa"/>
          <w:right w:w="0" w:type="dxa"/>
        </w:tblCellMar>
      </w:tblPr>
      <w:tblGrid>
        <w:gridCol w:w="626"/>
        <w:gridCol w:w="990"/>
        <w:gridCol w:w="990"/>
        <w:gridCol w:w="990"/>
        <w:gridCol w:w="1012"/>
        <w:gridCol w:w="60"/>
        <w:gridCol w:w="60"/>
        <w:gridCol w:w="60"/>
        <w:gridCol w:w="60"/>
        <w:gridCol w:w="60"/>
        <w:gridCol w:w="75"/>
      </w:tblGrid>
      <w:tr>
        <w:trPr/>
        <w:tc>
          <w:tcPr>
            <w:tcW w:w="626" w:type="dxa"/>
            <w:tcBorders/>
            <w:vAlign w:val="bottom"/>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990" w:type="dxa"/>
            <w:tcBorders/>
            <w:vAlign w:val="bottom"/>
          </w:tcPr>
          <w:p>
            <w:pPr>
              <w:pStyle w:val="TableContents"/>
              <w:bidi w:val="0"/>
              <w:spacing w:lineRule="auto" w:line="240" w:before="0" w:after="0"/>
              <w:ind w:left="0" w:right="0" w:hanging="0"/>
              <w:jc w:val="left"/>
              <w:rPr/>
            </w:pPr>
            <w:r>
              <w:rPr/>
              <w:t> </w:t>
            </w:r>
          </w:p>
        </w:tc>
        <w:tc>
          <w:tcPr>
            <w:tcW w:w="990" w:type="dxa"/>
            <w:tcBorders/>
            <w:vAlign w:val="bottom"/>
          </w:tcPr>
          <w:p>
            <w:pPr>
              <w:pStyle w:val="TableContents"/>
              <w:bidi w:val="0"/>
              <w:spacing w:lineRule="auto" w:line="240" w:before="0" w:after="0"/>
              <w:ind w:left="0" w:right="0" w:hanging="0"/>
              <w:jc w:val="left"/>
              <w:rPr/>
            </w:pPr>
            <w:r>
              <w:rPr/>
              <w:t> </w:t>
            </w:r>
          </w:p>
        </w:tc>
        <w:tc>
          <w:tcPr>
            <w:tcW w:w="990" w:type="dxa"/>
            <w:tcBorders/>
            <w:vAlign w:val="bottom"/>
          </w:tcPr>
          <w:p>
            <w:pPr>
              <w:pStyle w:val="TableContents"/>
              <w:bidi w:val="0"/>
              <w:spacing w:lineRule="auto" w:line="240" w:before="0" w:after="0"/>
              <w:ind w:left="0" w:right="0" w:hanging="0"/>
              <w:jc w:val="left"/>
              <w:rPr/>
            </w:pPr>
            <w:r>
              <w:rPr/>
              <w:t> </w:t>
            </w:r>
          </w:p>
        </w:tc>
        <w:tc>
          <w:tcPr>
            <w:tcW w:w="10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626"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990" w:type="dxa"/>
            <w:tcBorders/>
            <w:vAlign w:val="bottom"/>
          </w:tcPr>
          <w:p>
            <w:pPr>
              <w:pStyle w:val="TableContents"/>
              <w:bidi w:val="0"/>
              <w:spacing w:lineRule="auto" w:line="240" w:before="0" w:after="0"/>
              <w:ind w:left="0" w:right="0" w:hanging="0"/>
              <w:jc w:val="left"/>
              <w:rPr/>
            </w:pPr>
            <w:r>
              <w:rPr/>
              <w:t> </w:t>
            </w:r>
          </w:p>
        </w:tc>
        <w:tc>
          <w:tcPr>
            <w:tcW w:w="990" w:type="dxa"/>
            <w:tcBorders/>
            <w:vAlign w:val="bottom"/>
          </w:tcPr>
          <w:p>
            <w:pPr>
              <w:pStyle w:val="TableContents"/>
              <w:bidi w:val="0"/>
              <w:spacing w:lineRule="auto" w:line="240" w:before="0" w:after="0"/>
              <w:ind w:left="0" w:right="0" w:hanging="0"/>
              <w:jc w:val="left"/>
              <w:rPr/>
            </w:pPr>
            <w:r>
              <w:rPr/>
              <w:t> </w:t>
            </w:r>
          </w:p>
        </w:tc>
        <w:tc>
          <w:tcPr>
            <w:tcW w:w="990" w:type="dxa"/>
            <w:tcBorders/>
            <w:vAlign w:val="bottom"/>
          </w:tcPr>
          <w:p>
            <w:pPr>
              <w:pStyle w:val="TableContents"/>
              <w:bidi w:val="0"/>
              <w:spacing w:lineRule="auto" w:line="240" w:before="0" w:after="0"/>
              <w:ind w:left="0" w:right="0" w:hanging="0"/>
              <w:jc w:val="left"/>
              <w:rPr/>
            </w:pPr>
            <w:r>
              <w:rPr/>
              <w:t> </w:t>
            </w:r>
          </w:p>
        </w:tc>
        <w:tc>
          <w:tcPr>
            <w:tcW w:w="10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4608"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/s/ Christopher H. Franklin</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4608" w:type="dxa"/>
            <w:gridSpan w:val="5"/>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Christopher H. Franklin</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4608" w:type="dxa"/>
            <w:gridSpan w:val="5"/>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Chairman, President and Chief Executive Officer</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bl>
    <w:p>
      <w:pPr>
        <w:pStyle w:val="TextBody"/>
        <w:bidi w:val="0"/>
        <w:spacing w:lineRule="auto" w:line="240" w:before="0" w:after="0"/>
        <w:ind w:left="1440" w:right="1440" w:hanging="0"/>
        <w:jc w:val="left"/>
        <w:rPr>
          <w:rFonts w:ascii="Times New Roman" w:hAnsi="Times New Roman"/>
          <w:sz w:val="22"/>
        </w:rPr>
      </w:pPr>
      <w:r>
        <w:rPr>
          <w:rFonts w:ascii="Times New Roman" w:hAnsi="Times New Roman"/>
          <w:color w:val="000000"/>
          <w:sz w:val="22"/>
        </w:rPr>
        <w:t>February 27,  2025</w:t>
      </w:r>
      <w:r>
        <w:rPr>
          <w:rFonts w:ascii="Times New Roman" w:hAnsi="Times New Roman"/>
          <w:sz w:val="22"/>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4320" w:right="1440" w:firstLine="720"/>
        <w:jc w:val="right"/>
        <w:rPr>
          <w:rFonts w:ascii="Times New Roman" w:hAnsi="Times New Roman"/>
          <w:sz w:val="22"/>
        </w:rPr>
      </w:pPr>
      <w:bookmarkStart w:id="76" w:name="wtrg-20241231xex31_2.htm"/>
      <w:bookmarkStart w:id="77" w:name="kswtrg20241231xex31_2"/>
      <w:bookmarkEnd w:id="76"/>
      <w:bookmarkEnd w:id="77"/>
      <w:r>
        <w:rPr>
          <w:rFonts w:ascii="Times New Roman" w:hAnsi="Times New Roman"/>
          <w:sz w:val="22"/>
        </w:rPr>
        <w:t xml:space="preserve">Exhibit 31.2 </w:t>
      </w:r>
      <w:r>
        <w:br w:type="page"/>
      </w:r>
    </w:p>
    <w:p>
      <w:pPr>
        <w:pStyle w:val="TextBody"/>
        <w:bidi w:val="0"/>
        <w:spacing w:lineRule="auto" w:line="240" w:before="0" w:after="0"/>
        <w:ind w:left="4320" w:right="1440" w:firstLine="720"/>
        <w:jc w:val="center"/>
        <w:rPr>
          <w:rFonts w:cs="Times New Roman"/>
          <w:szCs w:val="22"/>
        </w:rPr>
      </w:pPr>
      <w:r>
        <w:rPr>
          <w:rFonts w:cs="Times New Roman"/>
          <w:szCs w:val="22"/>
        </w:rPr>
        <w:t xml:space="preserve">﻿ </w:t>
      </w:r>
    </w:p>
    <w:p>
      <w:pPr>
        <w:pStyle w:val="TextBody"/>
        <w:bidi w:val="0"/>
        <w:spacing w:lineRule="auto" w:line="240" w:before="0" w:after="0"/>
        <w:ind w:left="1440" w:right="1440" w:hanging="0"/>
        <w:jc w:val="center"/>
        <w:rPr>
          <w:rFonts w:ascii="Times New Roman" w:hAnsi="Times New Roman"/>
          <w:sz w:val="22"/>
        </w:rPr>
      </w:pPr>
      <w:r>
        <w:rPr>
          <w:rFonts w:ascii="Times New Roman" w:hAnsi="Times New Roman"/>
          <w:sz w:val="22"/>
        </w:rPr>
        <w:t xml:space="preserve">CERTIFICATION OF CHIEF FINANCIAL OFFICER, PURSUANT TO RULE 13A-14(A) AS ADOPTED UNDER THE SECURITIES AND EXCHANGE ACT OF 1934 </w:t>
      </w:r>
    </w:p>
    <w:p>
      <w:pPr>
        <w:pStyle w:val="TextBody"/>
        <w:bidi w:val="0"/>
        <w:spacing w:lineRule="auto" w:line="240" w:before="0" w:after="0"/>
        <w:ind w:left="4320" w:right="1440" w:firstLine="720"/>
        <w:jc w:val="center"/>
        <w:rPr>
          <w:rFonts w:cs="Times New Roman"/>
          <w:szCs w:val="22"/>
        </w:rPr>
      </w:pPr>
      <w:r>
        <w:rPr>
          <w:rFonts w:cs="Times New Roman"/>
          <w:szCs w:val="22"/>
        </w:rPr>
        <w:t xml:space="preserve">﻿ </w:t>
      </w:r>
    </w:p>
    <w:p>
      <w:pPr>
        <w:pStyle w:val="TextBody"/>
        <w:bidi w:val="0"/>
        <w:spacing w:lineRule="auto" w:line="240" w:before="0" w:after="0"/>
        <w:ind w:left="1440" w:right="1440" w:hanging="0"/>
        <w:jc w:val="left"/>
        <w:rPr>
          <w:rFonts w:ascii="Times New Roman" w:hAnsi="Times New Roman"/>
          <w:sz w:val="22"/>
        </w:rPr>
      </w:pPr>
      <w:r>
        <w:rPr>
          <w:rFonts w:ascii="Times New Roman" w:hAnsi="Times New Roman"/>
          <w:sz w:val="22"/>
        </w:rPr>
        <w:t xml:space="preserve">I, Daniel J. Schuller, certify that: </w:t>
      </w:r>
    </w:p>
    <w:p>
      <w:pPr>
        <w:pStyle w:val="TextBody"/>
        <w:bidi w:val="0"/>
        <w:spacing w:lineRule="auto" w:line="240" w:before="0" w:after="0"/>
        <w:ind w:left="1440" w:right="1440" w:hanging="0"/>
        <w:jc w:val="left"/>
        <w:rPr>
          <w:rFonts w:cs="Times New Roman"/>
          <w:szCs w:val="22"/>
        </w:rPr>
      </w:pP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258"/>
        <w:gridCol w:w="23"/>
        <w:gridCol w:w="7006"/>
      </w:tblGrid>
      <w:tr>
        <w:trPr/>
        <w:tc>
          <w:tcPr>
            <w:tcW w:w="38" w:type="dxa"/>
            <w:tcBorders/>
            <w:vAlign w:val="center"/>
          </w:tcPr>
          <w:p>
            <w:pPr>
              <w:pStyle w:val="TableContents"/>
              <w:bidi w:val="0"/>
              <w:spacing w:before="0" w:after="283"/>
              <w:jc w:val="left"/>
              <w:rPr>
                <w:sz w:val="4"/>
                <w:szCs w:val="4"/>
              </w:rPr>
            </w:pPr>
            <w:r>
              <w:rPr>
                <w:sz w:val="4"/>
                <w:szCs w:val="4"/>
              </w:rPr>
            </w:r>
          </w:p>
        </w:tc>
        <w:tc>
          <w:tcPr>
            <w:tcW w:w="258"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7006"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I have reviewed this annual report on Form 10-K of Essential Utilities, Inc.;</w:t>
            </w:r>
          </w:p>
        </w:tc>
      </w:tr>
    </w:tbl>
    <w:p>
      <w:pPr>
        <w:pStyle w:val="TextBody"/>
        <w:bidi w:val="0"/>
        <w:spacing w:lineRule="auto" w:line="240"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165"/>
        <w:gridCol w:w="23"/>
        <w:gridCol w:w="7099"/>
      </w:tblGrid>
      <w:tr>
        <w:trPr/>
        <w:tc>
          <w:tcPr>
            <w:tcW w:w="38" w:type="dxa"/>
            <w:tcBorders/>
            <w:vAlign w:val="center"/>
          </w:tcPr>
          <w:p>
            <w:pPr>
              <w:pStyle w:val="TableContents"/>
              <w:bidi w:val="0"/>
              <w:spacing w:before="0" w:after="283"/>
              <w:jc w:val="left"/>
              <w:rPr>
                <w:sz w:val="4"/>
                <w:szCs w:val="4"/>
              </w:rPr>
            </w:pPr>
            <w:r>
              <w:rPr>
                <w:sz w:val="4"/>
                <w:szCs w:val="4"/>
              </w:rPr>
            </w:r>
          </w:p>
        </w:tc>
        <w:tc>
          <w:tcPr>
            <w:tcW w:w="165"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7099"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169"/>
        <w:gridCol w:w="23"/>
        <w:gridCol w:w="7095"/>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3. </w:t>
            </w:r>
          </w:p>
        </w:tc>
        <w:tc>
          <w:tcPr>
            <w:tcW w:w="23" w:type="dxa"/>
            <w:tcBorders/>
            <w:vAlign w:val="center"/>
          </w:tcPr>
          <w:p>
            <w:pPr>
              <w:pStyle w:val="TableContents"/>
              <w:bidi w:val="0"/>
              <w:spacing w:before="0" w:after="283"/>
              <w:jc w:val="left"/>
              <w:rPr>
                <w:sz w:val="4"/>
                <w:szCs w:val="4"/>
              </w:rPr>
            </w:pPr>
            <w:r>
              <w:rPr>
                <w:sz w:val="4"/>
                <w:szCs w:val="4"/>
              </w:rPr>
            </w:r>
          </w:p>
        </w:tc>
        <w:tc>
          <w:tcPr>
            <w:tcW w:w="7095"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164"/>
        <w:gridCol w:w="23"/>
        <w:gridCol w:w="7100"/>
      </w:tblGrid>
      <w:tr>
        <w:trPr/>
        <w:tc>
          <w:tcPr>
            <w:tcW w:w="38" w:type="dxa"/>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4. </w:t>
            </w:r>
          </w:p>
        </w:tc>
        <w:tc>
          <w:tcPr>
            <w:tcW w:w="23" w:type="dxa"/>
            <w:tcBorders/>
            <w:vAlign w:val="center"/>
          </w:tcPr>
          <w:p>
            <w:pPr>
              <w:pStyle w:val="TableContents"/>
              <w:bidi w:val="0"/>
              <w:spacing w:before="0" w:after="283"/>
              <w:jc w:val="left"/>
              <w:rPr>
                <w:sz w:val="4"/>
                <w:szCs w:val="4"/>
              </w:rPr>
            </w:pPr>
            <w:r>
              <w:rPr>
                <w:sz w:val="4"/>
                <w:szCs w:val="4"/>
              </w:rPr>
            </w:r>
          </w:p>
        </w:tc>
        <w:tc>
          <w:tcPr>
            <w:tcW w:w="7100"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173"/>
        <w:gridCol w:w="23"/>
        <w:gridCol w:w="7091"/>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091"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177"/>
        <w:gridCol w:w="23"/>
        <w:gridCol w:w="7087"/>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87"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180"/>
        <w:gridCol w:w="23"/>
        <w:gridCol w:w="7084"/>
      </w:tblGrid>
      <w:tr>
        <w:trPr/>
        <w:tc>
          <w:tcPr>
            <w:tcW w:w="38" w:type="dxa"/>
            <w:tcBorders/>
            <w:vAlign w:val="center"/>
          </w:tcPr>
          <w:p>
            <w:pPr>
              <w:pStyle w:val="TableContents"/>
              <w:bidi w:val="0"/>
              <w:spacing w:before="0" w:after="283"/>
              <w:jc w:val="left"/>
              <w:rPr>
                <w:sz w:val="4"/>
                <w:szCs w:val="4"/>
              </w:rPr>
            </w:pPr>
            <w:r>
              <w:rPr>
                <w:sz w:val="4"/>
                <w:szCs w:val="4"/>
              </w:rPr>
            </w:r>
          </w:p>
        </w:tc>
        <w:tc>
          <w:tcPr>
            <w:tcW w:w="180"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c) </w:t>
            </w:r>
          </w:p>
        </w:tc>
        <w:tc>
          <w:tcPr>
            <w:tcW w:w="23" w:type="dxa"/>
            <w:tcBorders/>
            <w:vAlign w:val="center"/>
          </w:tcPr>
          <w:p>
            <w:pPr>
              <w:pStyle w:val="TableContents"/>
              <w:bidi w:val="0"/>
              <w:spacing w:before="0" w:after="283"/>
              <w:jc w:val="left"/>
              <w:rPr>
                <w:sz w:val="4"/>
                <w:szCs w:val="4"/>
              </w:rPr>
            </w:pPr>
            <w:r>
              <w:rPr>
                <w:sz w:val="4"/>
                <w:szCs w:val="4"/>
              </w:rPr>
            </w:r>
          </w:p>
        </w:tc>
        <w:tc>
          <w:tcPr>
            <w:tcW w:w="7084"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177"/>
        <w:gridCol w:w="23"/>
        <w:gridCol w:w="7087"/>
      </w:tblGrid>
      <w:tr>
        <w:trPr/>
        <w:tc>
          <w:tcPr>
            <w:tcW w:w="38" w:type="dxa"/>
            <w:tcBorders/>
            <w:vAlign w:val="center"/>
          </w:tcPr>
          <w:p>
            <w:pPr>
              <w:pStyle w:val="TableContents"/>
              <w:bidi w:val="0"/>
              <w:spacing w:before="0" w:after="283"/>
              <w:jc w:val="left"/>
              <w:rPr>
                <w:sz w:val="4"/>
                <w:szCs w:val="4"/>
              </w:rPr>
            </w:pPr>
            <w:r>
              <w:rPr>
                <w:sz w:val="4"/>
                <w:szCs w:val="4"/>
              </w:rPr>
            </w:r>
          </w:p>
        </w:tc>
        <w:tc>
          <w:tcPr>
            <w:tcW w:w="177"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d) </w:t>
            </w:r>
          </w:p>
        </w:tc>
        <w:tc>
          <w:tcPr>
            <w:tcW w:w="23" w:type="dxa"/>
            <w:tcBorders/>
            <w:vAlign w:val="center"/>
          </w:tcPr>
          <w:p>
            <w:pPr>
              <w:pStyle w:val="TableContents"/>
              <w:bidi w:val="0"/>
              <w:spacing w:before="0" w:after="283"/>
              <w:jc w:val="left"/>
              <w:rPr>
                <w:sz w:val="4"/>
                <w:szCs w:val="4"/>
              </w:rPr>
            </w:pPr>
            <w:r>
              <w:rPr>
                <w:sz w:val="4"/>
                <w:szCs w:val="4"/>
              </w:rPr>
            </w:r>
          </w:p>
        </w:tc>
        <w:tc>
          <w:tcPr>
            <w:tcW w:w="7087"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168"/>
        <w:gridCol w:w="23"/>
        <w:gridCol w:w="7096"/>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5. </w:t>
            </w:r>
          </w:p>
        </w:tc>
        <w:tc>
          <w:tcPr>
            <w:tcW w:w="23" w:type="dxa"/>
            <w:tcBorders/>
            <w:vAlign w:val="center"/>
          </w:tcPr>
          <w:p>
            <w:pPr>
              <w:pStyle w:val="TableContents"/>
              <w:bidi w:val="0"/>
              <w:spacing w:before="0" w:after="283"/>
              <w:jc w:val="left"/>
              <w:rPr>
                <w:sz w:val="4"/>
                <w:szCs w:val="4"/>
              </w:rPr>
            </w:pPr>
            <w:r>
              <w:rPr>
                <w:sz w:val="4"/>
                <w:szCs w:val="4"/>
              </w:rPr>
            </w:r>
          </w:p>
        </w:tc>
        <w:tc>
          <w:tcPr>
            <w:tcW w:w="7096"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181"/>
        <w:gridCol w:w="23"/>
        <w:gridCol w:w="7083"/>
      </w:tblGrid>
      <w:tr>
        <w:trPr/>
        <w:tc>
          <w:tcPr>
            <w:tcW w:w="38" w:type="dxa"/>
            <w:tcBorders/>
            <w:vAlign w:val="center"/>
          </w:tcPr>
          <w:p>
            <w:pPr>
              <w:pStyle w:val="TableContents"/>
              <w:bidi w:val="0"/>
              <w:spacing w:before="0" w:after="283"/>
              <w:jc w:val="left"/>
              <w:rPr>
                <w:sz w:val="4"/>
                <w:szCs w:val="4"/>
              </w:rPr>
            </w:pPr>
            <w:r>
              <w:rPr>
                <w:sz w:val="4"/>
                <w:szCs w:val="4"/>
              </w:rPr>
            </w:r>
          </w:p>
        </w:tc>
        <w:tc>
          <w:tcPr>
            <w:tcW w:w="181"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a) </w:t>
            </w:r>
          </w:p>
        </w:tc>
        <w:tc>
          <w:tcPr>
            <w:tcW w:w="23" w:type="dxa"/>
            <w:tcBorders/>
            <w:vAlign w:val="center"/>
          </w:tcPr>
          <w:p>
            <w:pPr>
              <w:pStyle w:val="TableContents"/>
              <w:bidi w:val="0"/>
              <w:spacing w:before="0" w:after="283"/>
              <w:jc w:val="left"/>
              <w:rPr>
                <w:sz w:val="4"/>
                <w:szCs w:val="4"/>
              </w:rPr>
            </w:pPr>
            <w:r>
              <w:rPr>
                <w:sz w:val="4"/>
                <w:szCs w:val="4"/>
              </w:rPr>
            </w:r>
          </w:p>
        </w:tc>
        <w:tc>
          <w:tcPr>
            <w:tcW w:w="7083"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203"/>
        <w:gridCol w:w="23"/>
        <w:gridCol w:w="7061"/>
      </w:tblGrid>
      <w:tr>
        <w:trPr/>
        <w:tc>
          <w:tcPr>
            <w:tcW w:w="38" w:type="dxa"/>
            <w:tcBorders/>
            <w:vAlign w:val="center"/>
          </w:tcPr>
          <w:p>
            <w:pPr>
              <w:pStyle w:val="TableContents"/>
              <w:bidi w:val="0"/>
              <w:spacing w:before="0" w:after="283"/>
              <w:jc w:val="left"/>
              <w:rPr>
                <w:sz w:val="4"/>
                <w:szCs w:val="4"/>
              </w:rPr>
            </w:pPr>
            <w:r>
              <w:rPr>
                <w:sz w:val="4"/>
                <w:szCs w:val="4"/>
              </w:rPr>
            </w:r>
          </w:p>
        </w:tc>
        <w:tc>
          <w:tcPr>
            <w:tcW w:w="203" w:type="dxa"/>
            <w:tcBorders/>
          </w:tcPr>
          <w:p>
            <w:pPr>
              <w:pStyle w:val="TableContents"/>
              <w:bidi w:val="0"/>
              <w:spacing w:lineRule="auto" w:line="240" w:before="0" w:after="0"/>
              <w:ind w:left="0" w:right="0" w:hanging="0"/>
              <w:jc w:val="left"/>
              <w:rPr>
                <w:rFonts w:ascii="Times New Roman" w:hAnsi="Times New Roman"/>
                <w:sz w:val="22"/>
              </w:rPr>
            </w:pPr>
            <w:r>
              <w:rPr>
                <w:rFonts w:ascii="Times New Roman" w:hAnsi="Times New Roman"/>
                <w:sz w:val="22"/>
              </w:rPr>
              <w:t xml:space="preserve">b) </w:t>
            </w:r>
          </w:p>
        </w:tc>
        <w:tc>
          <w:tcPr>
            <w:tcW w:w="23" w:type="dxa"/>
            <w:tcBorders/>
            <w:vAlign w:val="center"/>
          </w:tcPr>
          <w:p>
            <w:pPr>
              <w:pStyle w:val="TableContents"/>
              <w:bidi w:val="0"/>
              <w:spacing w:before="0" w:after="283"/>
              <w:jc w:val="left"/>
              <w:rPr>
                <w:sz w:val="4"/>
                <w:szCs w:val="4"/>
              </w:rPr>
            </w:pPr>
            <w:r>
              <w:rPr>
                <w:sz w:val="4"/>
                <w:szCs w:val="4"/>
              </w:rPr>
            </w:r>
          </w:p>
        </w:tc>
        <w:tc>
          <w:tcPr>
            <w:tcW w:w="7061" w:type="dxa"/>
            <w:tcBorders/>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240" w:before="0" w:after="0"/>
        <w:ind w:left="6480" w:right="1440" w:hanging="0"/>
        <w:jc w:val="left"/>
        <w:rPr>
          <w:rFonts w:cs="Times New Roman"/>
          <w:szCs w:val="2"/>
        </w:rPr>
      </w:pPr>
      <w:r>
        <w:rPr>
          <w:rFonts w:cs="Times New Roman"/>
          <w:color w:val="000000"/>
          <w:szCs w:val="2"/>
        </w:rPr>
        <w:t>﻿</w:t>
      </w:r>
      <w:r>
        <w:rPr>
          <w:rFonts w:cs="Times New Roman"/>
          <w:szCs w:val="2"/>
        </w:rPr>
        <w:t xml:space="preserve"> </w:t>
      </w:r>
    </w:p>
    <w:p>
      <w:pPr>
        <w:pStyle w:val="TextBody"/>
        <w:bidi w:val="0"/>
        <w:spacing w:lineRule="auto" w:line="240" w:before="0" w:after="0"/>
        <w:ind w:left="1440" w:right="1440" w:hanging="0"/>
        <w:jc w:val="left"/>
        <w:rPr>
          <w:rFonts w:cs="Times New Roman"/>
          <w:szCs w:val="2"/>
        </w:rPr>
      </w:pPr>
      <w:r>
        <w:rPr>
          <w:rFonts w:cs="Times New Roman"/>
          <w:color w:val="000000"/>
          <w:szCs w:val="2"/>
        </w:rPr>
        <w:t>﻿</w:t>
      </w:r>
      <w:r>
        <w:rPr>
          <w:rFonts w:cs="Times New Roman"/>
          <w:szCs w:val="2"/>
        </w:rPr>
        <w:t xml:space="preserve"> </w:t>
      </w:r>
    </w:p>
    <w:tbl>
      <w:tblPr>
        <w:tblW w:w="5358" w:type="dxa"/>
        <w:jc w:val="left"/>
        <w:tblInd w:w="1440" w:type="dxa"/>
        <w:tblLayout w:type="fixed"/>
        <w:tblCellMar>
          <w:top w:w="0" w:type="dxa"/>
          <w:left w:w="0" w:type="dxa"/>
          <w:bottom w:w="0" w:type="dxa"/>
          <w:right w:w="0" w:type="dxa"/>
        </w:tblCellMar>
      </w:tblPr>
      <w:tblGrid>
        <w:gridCol w:w="678"/>
        <w:gridCol w:w="1072"/>
        <w:gridCol w:w="1072"/>
        <w:gridCol w:w="1072"/>
        <w:gridCol w:w="1089"/>
        <w:gridCol w:w="60"/>
        <w:gridCol w:w="60"/>
        <w:gridCol w:w="60"/>
        <w:gridCol w:w="60"/>
        <w:gridCol w:w="60"/>
        <w:gridCol w:w="75"/>
      </w:tblGrid>
      <w:tr>
        <w:trPr/>
        <w:tc>
          <w:tcPr>
            <w:tcW w:w="678" w:type="dxa"/>
            <w:tcBorders/>
            <w:vAlign w:val="bottom"/>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1072" w:type="dxa"/>
            <w:tcBorders/>
            <w:vAlign w:val="bottom"/>
          </w:tcPr>
          <w:p>
            <w:pPr>
              <w:pStyle w:val="TableContents"/>
              <w:bidi w:val="0"/>
              <w:spacing w:lineRule="auto" w:line="240" w:before="0" w:after="0"/>
              <w:ind w:left="0" w:right="0" w:hanging="0"/>
              <w:jc w:val="left"/>
              <w:rPr/>
            </w:pPr>
            <w:r>
              <w:rPr/>
              <w:t> </w:t>
            </w:r>
          </w:p>
        </w:tc>
        <w:tc>
          <w:tcPr>
            <w:tcW w:w="1072" w:type="dxa"/>
            <w:tcBorders/>
            <w:vAlign w:val="bottom"/>
          </w:tcPr>
          <w:p>
            <w:pPr>
              <w:pStyle w:val="TableContents"/>
              <w:bidi w:val="0"/>
              <w:spacing w:lineRule="auto" w:line="240" w:before="0" w:after="0"/>
              <w:ind w:left="0" w:right="0" w:hanging="0"/>
              <w:jc w:val="left"/>
              <w:rPr/>
            </w:pPr>
            <w:r>
              <w:rPr/>
              <w:t> </w:t>
            </w:r>
          </w:p>
        </w:tc>
        <w:tc>
          <w:tcPr>
            <w:tcW w:w="1072" w:type="dxa"/>
            <w:tcBorders/>
            <w:vAlign w:val="bottom"/>
          </w:tcPr>
          <w:p>
            <w:pPr>
              <w:pStyle w:val="TableContents"/>
              <w:bidi w:val="0"/>
              <w:spacing w:lineRule="auto" w:line="240" w:before="0" w:after="0"/>
              <w:ind w:left="0" w:right="0" w:hanging="0"/>
              <w:jc w:val="left"/>
              <w:rPr/>
            </w:pPr>
            <w:r>
              <w:rPr/>
              <w:t> </w:t>
            </w:r>
          </w:p>
        </w:tc>
        <w:tc>
          <w:tcPr>
            <w:tcW w:w="1089"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678"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1072" w:type="dxa"/>
            <w:tcBorders/>
            <w:vAlign w:val="bottom"/>
          </w:tcPr>
          <w:p>
            <w:pPr>
              <w:pStyle w:val="TableContents"/>
              <w:bidi w:val="0"/>
              <w:spacing w:lineRule="auto" w:line="240" w:before="0" w:after="0"/>
              <w:ind w:left="0" w:right="0" w:hanging="0"/>
              <w:jc w:val="left"/>
              <w:rPr/>
            </w:pPr>
            <w:r>
              <w:rPr/>
              <w:t> </w:t>
            </w:r>
          </w:p>
        </w:tc>
        <w:tc>
          <w:tcPr>
            <w:tcW w:w="1072" w:type="dxa"/>
            <w:tcBorders/>
            <w:vAlign w:val="bottom"/>
          </w:tcPr>
          <w:p>
            <w:pPr>
              <w:pStyle w:val="TableContents"/>
              <w:bidi w:val="0"/>
              <w:spacing w:lineRule="auto" w:line="240" w:before="0" w:after="0"/>
              <w:ind w:left="0" w:right="0" w:hanging="0"/>
              <w:jc w:val="left"/>
              <w:rPr/>
            </w:pPr>
            <w:r>
              <w:rPr/>
              <w:t> </w:t>
            </w:r>
          </w:p>
        </w:tc>
        <w:tc>
          <w:tcPr>
            <w:tcW w:w="1072" w:type="dxa"/>
            <w:tcBorders/>
            <w:vAlign w:val="bottom"/>
          </w:tcPr>
          <w:p>
            <w:pPr>
              <w:pStyle w:val="TableContents"/>
              <w:bidi w:val="0"/>
              <w:spacing w:lineRule="auto" w:line="240" w:before="0" w:after="0"/>
              <w:ind w:left="0" w:right="0" w:hanging="0"/>
              <w:jc w:val="left"/>
              <w:rPr/>
            </w:pPr>
            <w:r>
              <w:rPr/>
              <w:t> </w:t>
            </w:r>
          </w:p>
        </w:tc>
        <w:tc>
          <w:tcPr>
            <w:tcW w:w="1089"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4983"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\s\ Daniel J. Schuller</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4983" w:type="dxa"/>
            <w:gridSpan w:val="5"/>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Daniel J. Schuller</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4983" w:type="dxa"/>
            <w:gridSpan w:val="5"/>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Executive Vice President and Chief Financial Officer</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bl>
    <w:p>
      <w:pPr>
        <w:pStyle w:val="TextBody"/>
        <w:bidi w:val="0"/>
        <w:spacing w:lineRule="auto" w:line="240" w:before="0" w:after="0"/>
        <w:ind w:left="1440" w:right="1440" w:hanging="0"/>
        <w:jc w:val="left"/>
        <w:rPr>
          <w:rFonts w:ascii="Times New Roman" w:hAnsi="Times New Roman"/>
          <w:sz w:val="22"/>
        </w:rPr>
      </w:pPr>
      <w:r>
        <w:rPr>
          <w:rFonts w:ascii="Times New Roman" w:hAnsi="Times New Roman"/>
          <w:color w:val="000000"/>
          <w:sz w:val="22"/>
        </w:rPr>
        <w:t>February 27,  2025</w:t>
      </w:r>
      <w:r>
        <w:rPr>
          <w:rFonts w:ascii="Times New Roman" w:hAnsi="Times New Roman"/>
          <w:sz w:val="22"/>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240" w:before="0" w:after="0"/>
        <w:ind w:left="6480" w:right="1440" w:hanging="0"/>
        <w:jc w:val="right"/>
        <w:rPr>
          <w:rFonts w:ascii="Times New Roman" w:hAnsi="Times New Roman"/>
          <w:sz w:val="22"/>
        </w:rPr>
      </w:pPr>
      <w:bookmarkStart w:id="78" w:name="wtrg-20241231xex32_1.htm"/>
      <w:bookmarkStart w:id="79" w:name="kswtrg20241231xex32_1"/>
      <w:bookmarkEnd w:id="78"/>
      <w:bookmarkEnd w:id="79"/>
      <w:r>
        <w:rPr>
          <w:rFonts w:ascii="Times New Roman" w:hAnsi="Times New Roman"/>
          <w:sz w:val="22"/>
        </w:rPr>
        <w:t xml:space="preserve">Exhibit 32.1 </w:t>
      </w:r>
      <w:r>
        <w:br w:type="page"/>
      </w:r>
    </w:p>
    <w:p>
      <w:pPr>
        <w:pStyle w:val="TextBody"/>
        <w:bidi w:val="0"/>
        <w:spacing w:lineRule="auto" w:line="192" w:before="0" w:after="0"/>
        <w:ind w:left="1440" w:right="1440" w:hanging="0"/>
        <w:jc w:val="left"/>
        <w:rPr>
          <w:rFonts w:cs="Times New Roman"/>
          <w:szCs w:val="22"/>
        </w:rPr>
      </w:pPr>
      <w:r>
        <w:rPr>
          <w:rFonts w:cs="Times New Roman"/>
          <w:szCs w:val="22"/>
        </w:rPr>
        <w:t xml:space="preserve">﻿ </w:t>
      </w:r>
    </w:p>
    <w:p>
      <w:pPr>
        <w:pStyle w:val="TextBody"/>
        <w:bidi w:val="0"/>
        <w:spacing w:lineRule="auto" w:line="192" w:before="0" w:after="0"/>
        <w:ind w:left="1440" w:right="1440" w:hanging="0"/>
        <w:jc w:val="center"/>
        <w:rPr>
          <w:rFonts w:ascii="Times New Roman" w:hAnsi="Times New Roman"/>
          <w:sz w:val="22"/>
        </w:rPr>
      </w:pPr>
      <w:r>
        <w:rPr>
          <w:rFonts w:ascii="Times New Roman" w:hAnsi="Times New Roman"/>
          <w:sz w:val="22"/>
        </w:rPr>
        <w:t xml:space="preserve">CERTIFICATION OF CHIEF EXECUTIVE OFFICER </w:t>
      </w:r>
    </w:p>
    <w:p>
      <w:pPr>
        <w:pStyle w:val="TextBody"/>
        <w:bidi w:val="0"/>
        <w:spacing w:lineRule="auto" w:line="192" w:before="0" w:after="0"/>
        <w:ind w:left="1440" w:right="1440" w:hanging="0"/>
        <w:jc w:val="center"/>
        <w:rPr>
          <w:rFonts w:ascii="Times New Roman" w:hAnsi="Times New Roman"/>
          <w:sz w:val="22"/>
        </w:rPr>
      </w:pPr>
      <w:r>
        <w:rPr>
          <w:rFonts w:ascii="Times New Roman" w:hAnsi="Times New Roman"/>
          <w:sz w:val="22"/>
        </w:rPr>
        <w:t xml:space="preserve">PURSUANT TO 18 U.S.C. SECTION 1350 </w:t>
      </w:r>
    </w:p>
    <w:p>
      <w:pPr>
        <w:pStyle w:val="TextBody"/>
        <w:bidi w:val="0"/>
        <w:spacing w:lineRule="auto" w:line="192" w:before="0" w:after="0"/>
        <w:ind w:left="1440" w:right="1440" w:hanging="0"/>
        <w:jc w:val="left"/>
        <w:rPr>
          <w:rFonts w:cs="Times New Roman"/>
          <w:szCs w:val="22"/>
        </w:rPr>
      </w:pPr>
      <w:r>
        <w:rPr>
          <w:rFonts w:cs="Times New Roman"/>
          <w:szCs w:val="22"/>
        </w:rPr>
        <w:t xml:space="preserve">﻿ </w:t>
      </w:r>
    </w:p>
    <w:p>
      <w:pPr>
        <w:pStyle w:val="TextBody"/>
        <w:bidi w:val="0"/>
        <w:spacing w:lineRule="auto" w:line="192" w:before="0" w:after="0"/>
        <w:ind w:left="1440" w:right="1440" w:hanging="0"/>
        <w:jc w:val="left"/>
        <w:rPr>
          <w:rFonts w:ascii="Times New Roman" w:hAnsi="Times New Roman"/>
          <w:sz w:val="22"/>
        </w:rPr>
      </w:pPr>
      <w:r>
        <w:rPr>
          <w:rFonts w:ascii="Times New Roman" w:hAnsi="Times New Roman"/>
          <w:sz w:val="22"/>
        </w:rPr>
        <w:t xml:space="preserve">In connection with the Annual Report on Form 10-K for the year ended December 31, 2024 of Essential Utilities, Inc. (the “Company”) as filed with the Securities and Exchange Commission on the date hereof (the “Report”), I, Christopher H. Franklin, Chief Executive Officer of the Company, certify, pursuant to 18 U.S.C. Section 1350, as adopted pursuant to Section 906 of the Sarbanes-Oxley Act of 2002, that, to my knowledge: </w:t>
      </w:r>
    </w:p>
    <w:p>
      <w:pPr>
        <w:pStyle w:val="TextBody"/>
        <w:bidi w:val="0"/>
        <w:spacing w:lineRule="auto" w:line="192" w:before="0" w:after="0"/>
        <w:ind w:left="1440" w:right="1440" w:hanging="0"/>
        <w:jc w:val="left"/>
        <w:rPr>
          <w:rFonts w:cs="Times New Roman"/>
          <w:szCs w:val="22"/>
        </w:rPr>
      </w:pP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264"/>
        <w:gridCol w:w="23"/>
        <w:gridCol w:w="7000"/>
      </w:tblGrid>
      <w:tr>
        <w:trPr/>
        <w:tc>
          <w:tcPr>
            <w:tcW w:w="38" w:type="dxa"/>
            <w:tcBorders/>
            <w:vAlign w:val="center"/>
          </w:tcPr>
          <w:p>
            <w:pPr>
              <w:pStyle w:val="TableContents"/>
              <w:bidi w:val="0"/>
              <w:spacing w:before="0" w:after="283"/>
              <w:jc w:val="left"/>
              <w:rPr>
                <w:sz w:val="4"/>
                <w:szCs w:val="4"/>
              </w:rPr>
            </w:pPr>
            <w:r>
              <w:rPr>
                <w:sz w:val="4"/>
                <w:szCs w:val="4"/>
              </w:rPr>
            </w:r>
          </w:p>
        </w:tc>
        <w:tc>
          <w:tcPr>
            <w:tcW w:w="264" w:type="dxa"/>
            <w:tcBorders/>
          </w:tcPr>
          <w:p>
            <w:pPr>
              <w:pStyle w:val="TableContents"/>
              <w:bidi w:val="0"/>
              <w:spacing w:lineRule="auto" w:line="192" w:before="0" w:after="0"/>
              <w:ind w:left="0" w:right="0" w:hanging="0"/>
              <w:jc w:val="left"/>
              <w:rPr>
                <w:rFonts w:ascii="Times New Roman" w:hAnsi="Times New Roman"/>
                <w:sz w:val="22"/>
              </w:rPr>
            </w:pPr>
            <w:r>
              <w:rPr>
                <w:rFonts w:ascii="Times New Roman" w:hAnsi="Times New Roman"/>
                <w:sz w:val="22"/>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7000" w:type="dxa"/>
            <w:tcBorders/>
          </w:tcPr>
          <w:p>
            <w:pPr>
              <w:pStyle w:val="TableContents"/>
              <w:bidi w:val="0"/>
              <w:spacing w:lineRule="auto" w:line="192" w:before="0" w:after="0"/>
              <w:ind w:left="0" w:right="0" w:hanging="0"/>
              <w:jc w:val="left"/>
              <w:rPr>
                <w:rFonts w:ascii="Times New Roman" w:hAnsi="Times New Roman"/>
                <w:color w:val="000000"/>
                <w:sz w:val="22"/>
              </w:rPr>
            </w:pPr>
            <w:r>
              <w:rPr>
                <w:rFonts w:ascii="Times New Roman" w:hAnsi="Times New Roman"/>
                <w:color w:val="000000"/>
                <w:sz w:val="22"/>
              </w:rPr>
              <w:t>The Report of the Company fully complies with the requirements of section 13(a) or 15(d) of the Securities Exchange Act of 1934 (15 U.S.C. Section 78m(a) or Section 78o(d)); and</w:t>
            </w:r>
          </w:p>
        </w:tc>
      </w:tr>
    </w:tbl>
    <w:p>
      <w:pPr>
        <w:pStyle w:val="TextBody"/>
        <w:bidi w:val="0"/>
        <w:spacing w:lineRule="auto" w:line="192"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278"/>
        <w:gridCol w:w="23"/>
        <w:gridCol w:w="6986"/>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tcPr>
          <w:p>
            <w:pPr>
              <w:pStyle w:val="TableContents"/>
              <w:bidi w:val="0"/>
              <w:spacing w:lineRule="auto" w:line="192" w:before="0" w:after="0"/>
              <w:ind w:left="0" w:right="0" w:hanging="0"/>
              <w:jc w:val="left"/>
              <w:rPr>
                <w:rFonts w:ascii="Times New Roman" w:hAnsi="Times New Roman"/>
                <w:sz w:val="22"/>
              </w:rPr>
            </w:pPr>
            <w:r>
              <w:rPr>
                <w:rFonts w:ascii="Times New Roman" w:hAnsi="Times New Roman"/>
                <w:sz w:val="22"/>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6986" w:type="dxa"/>
            <w:tcBorders/>
          </w:tcPr>
          <w:p>
            <w:pPr>
              <w:pStyle w:val="TableContents"/>
              <w:bidi w:val="0"/>
              <w:spacing w:lineRule="auto" w:line="192" w:before="0" w:after="0"/>
              <w:ind w:left="0" w:right="0" w:hanging="0"/>
              <w:jc w:val="left"/>
              <w:rPr>
                <w:rFonts w:ascii="Times New Roman" w:hAnsi="Times New Roman"/>
                <w:color w:val="000000"/>
                <w:sz w:val="22"/>
              </w:rPr>
            </w:pPr>
            <w:r>
              <w:rPr>
                <w:rFonts w:ascii="Times New Roman" w:hAnsi="Times New Roman"/>
                <w:color w:val="000000"/>
                <w:sz w:val="22"/>
              </w:rPr>
              <w:t>The information contained in the Report fairly presents, in all material respects, the financial condition and results of operations of the Company.</w:t>
            </w:r>
          </w:p>
        </w:tc>
      </w:tr>
    </w:tbl>
    <w:p>
      <w:pPr>
        <w:pStyle w:val="TextBody"/>
        <w:bidi w:val="0"/>
        <w:spacing w:lineRule="auto" w:line="192"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192" w:before="0" w:after="0"/>
        <w:ind w:left="1440" w:right="1440" w:hanging="0"/>
        <w:jc w:val="left"/>
        <w:rPr>
          <w:rFonts w:cs="Times New Roman"/>
          <w:szCs w:val="2"/>
        </w:rPr>
      </w:pPr>
      <w:r>
        <w:rPr>
          <w:rFonts w:cs="Times New Roman"/>
          <w:color w:val="000000"/>
          <w:szCs w:val="2"/>
        </w:rPr>
        <w:t>﻿</w:t>
      </w:r>
      <w:r>
        <w:rPr>
          <w:rFonts w:cs="Times New Roman"/>
          <w:szCs w:val="2"/>
        </w:rPr>
        <w:t xml:space="preserve"> </w:t>
      </w:r>
    </w:p>
    <w:p>
      <w:pPr>
        <w:pStyle w:val="TextBody"/>
        <w:bidi w:val="0"/>
        <w:spacing w:lineRule="auto" w:line="192" w:before="0" w:after="0"/>
        <w:ind w:left="1440" w:right="1440" w:hanging="0"/>
        <w:jc w:val="left"/>
        <w:rPr>
          <w:rFonts w:cs="Times New Roman"/>
          <w:szCs w:val="2"/>
        </w:rPr>
      </w:pPr>
      <w:r>
        <w:rPr>
          <w:rFonts w:cs="Times New Roman"/>
          <w:color w:val="000000"/>
          <w:szCs w:val="2"/>
        </w:rPr>
        <w:t>﻿</w:t>
      </w:r>
      <w:r>
        <w:rPr>
          <w:rFonts w:cs="Times New Roman"/>
          <w:szCs w:val="2"/>
        </w:rPr>
        <w:t xml:space="preserve"> </w:t>
      </w:r>
    </w:p>
    <w:tbl>
      <w:tblPr>
        <w:tblW w:w="4983" w:type="dxa"/>
        <w:jc w:val="left"/>
        <w:tblInd w:w="1440" w:type="dxa"/>
        <w:tblLayout w:type="fixed"/>
        <w:tblCellMar>
          <w:top w:w="0" w:type="dxa"/>
          <w:left w:w="0" w:type="dxa"/>
          <w:bottom w:w="0" w:type="dxa"/>
          <w:right w:w="0" w:type="dxa"/>
        </w:tblCellMar>
      </w:tblPr>
      <w:tblGrid>
        <w:gridCol w:w="626"/>
        <w:gridCol w:w="990"/>
        <w:gridCol w:w="990"/>
        <w:gridCol w:w="990"/>
        <w:gridCol w:w="1012"/>
        <w:gridCol w:w="60"/>
        <w:gridCol w:w="60"/>
        <w:gridCol w:w="60"/>
        <w:gridCol w:w="60"/>
        <w:gridCol w:w="60"/>
        <w:gridCol w:w="75"/>
      </w:tblGrid>
      <w:tr>
        <w:trPr/>
        <w:tc>
          <w:tcPr>
            <w:tcW w:w="626" w:type="dxa"/>
            <w:tcBorders/>
            <w:vAlign w:val="bottom"/>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990" w:type="dxa"/>
            <w:tcBorders/>
            <w:vAlign w:val="bottom"/>
          </w:tcPr>
          <w:p>
            <w:pPr>
              <w:pStyle w:val="TableContents"/>
              <w:bidi w:val="0"/>
              <w:spacing w:lineRule="auto" w:line="240" w:before="0" w:after="0"/>
              <w:ind w:left="0" w:right="0" w:hanging="0"/>
              <w:jc w:val="left"/>
              <w:rPr/>
            </w:pPr>
            <w:r>
              <w:rPr/>
              <w:t> </w:t>
            </w:r>
          </w:p>
        </w:tc>
        <w:tc>
          <w:tcPr>
            <w:tcW w:w="990" w:type="dxa"/>
            <w:tcBorders/>
            <w:vAlign w:val="bottom"/>
          </w:tcPr>
          <w:p>
            <w:pPr>
              <w:pStyle w:val="TableContents"/>
              <w:bidi w:val="0"/>
              <w:spacing w:lineRule="auto" w:line="240" w:before="0" w:after="0"/>
              <w:ind w:left="0" w:right="0" w:hanging="0"/>
              <w:jc w:val="left"/>
              <w:rPr/>
            </w:pPr>
            <w:r>
              <w:rPr/>
              <w:t> </w:t>
            </w:r>
          </w:p>
        </w:tc>
        <w:tc>
          <w:tcPr>
            <w:tcW w:w="990" w:type="dxa"/>
            <w:tcBorders/>
            <w:vAlign w:val="bottom"/>
          </w:tcPr>
          <w:p>
            <w:pPr>
              <w:pStyle w:val="TableContents"/>
              <w:bidi w:val="0"/>
              <w:spacing w:lineRule="auto" w:line="240" w:before="0" w:after="0"/>
              <w:ind w:left="0" w:right="0" w:hanging="0"/>
              <w:jc w:val="left"/>
              <w:rPr/>
            </w:pPr>
            <w:r>
              <w:rPr/>
              <w:t> </w:t>
            </w:r>
          </w:p>
        </w:tc>
        <w:tc>
          <w:tcPr>
            <w:tcW w:w="10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626" w:type="dxa"/>
            <w:tcBorders/>
            <w:vAlign w:val="bottom"/>
          </w:tcPr>
          <w:p>
            <w:pPr>
              <w:pStyle w:val="TableContents"/>
              <w:bidi w:val="0"/>
              <w:spacing w:lineRule="auto" w:line="240" w:before="0" w:after="0"/>
              <w:ind w:left="0" w:right="0" w:hanging="0"/>
              <w:jc w:val="left"/>
              <w:rPr>
                <w:rFonts w:cs="Times New Roman"/>
                <w:color w:val="000000"/>
                <w:szCs w:val="22"/>
              </w:rPr>
            </w:pPr>
            <w:r>
              <w:rPr>
                <w:rFonts w:cs="Times New Roman"/>
                <w:color w:val="000000"/>
                <w:szCs w:val="22"/>
              </w:rPr>
              <w:t>﻿</w:t>
            </w:r>
          </w:p>
        </w:tc>
        <w:tc>
          <w:tcPr>
            <w:tcW w:w="990" w:type="dxa"/>
            <w:tcBorders/>
            <w:vAlign w:val="bottom"/>
          </w:tcPr>
          <w:p>
            <w:pPr>
              <w:pStyle w:val="TableContents"/>
              <w:bidi w:val="0"/>
              <w:spacing w:lineRule="auto" w:line="240" w:before="0" w:after="0"/>
              <w:ind w:left="0" w:right="0" w:hanging="0"/>
              <w:jc w:val="left"/>
              <w:rPr/>
            </w:pPr>
            <w:r>
              <w:rPr/>
              <w:t> </w:t>
            </w:r>
          </w:p>
        </w:tc>
        <w:tc>
          <w:tcPr>
            <w:tcW w:w="990" w:type="dxa"/>
            <w:tcBorders/>
            <w:vAlign w:val="bottom"/>
          </w:tcPr>
          <w:p>
            <w:pPr>
              <w:pStyle w:val="TableContents"/>
              <w:bidi w:val="0"/>
              <w:spacing w:lineRule="auto" w:line="240" w:before="0" w:after="0"/>
              <w:ind w:left="0" w:right="0" w:hanging="0"/>
              <w:jc w:val="left"/>
              <w:rPr/>
            </w:pPr>
            <w:r>
              <w:rPr/>
              <w:t> </w:t>
            </w:r>
          </w:p>
        </w:tc>
        <w:tc>
          <w:tcPr>
            <w:tcW w:w="990" w:type="dxa"/>
            <w:tcBorders/>
            <w:vAlign w:val="bottom"/>
          </w:tcPr>
          <w:p>
            <w:pPr>
              <w:pStyle w:val="TableContents"/>
              <w:bidi w:val="0"/>
              <w:spacing w:lineRule="auto" w:line="240" w:before="0" w:after="0"/>
              <w:ind w:left="0" w:right="0" w:hanging="0"/>
              <w:jc w:val="left"/>
              <w:rPr/>
            </w:pPr>
            <w:r>
              <w:rPr/>
              <w:t> </w:t>
            </w:r>
          </w:p>
        </w:tc>
        <w:tc>
          <w:tcPr>
            <w:tcW w:w="1012"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4608"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/s/ Christopher H. Franklin</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4608" w:type="dxa"/>
            <w:gridSpan w:val="5"/>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Christopher H. Franklin</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4608" w:type="dxa"/>
            <w:gridSpan w:val="5"/>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Chairman, President and Chief Executive Officer</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bl>
    <w:p>
      <w:pPr>
        <w:pStyle w:val="TextBody"/>
        <w:bidi w:val="0"/>
        <w:spacing w:lineRule="auto" w:line="240" w:before="0" w:after="0"/>
        <w:ind w:left="1440" w:right="1440" w:hanging="0"/>
        <w:jc w:val="left"/>
        <w:rPr>
          <w:rFonts w:ascii="Times New Roman" w:hAnsi="Times New Roman"/>
          <w:sz w:val="22"/>
        </w:rPr>
      </w:pPr>
      <w:r>
        <w:rPr>
          <w:rFonts w:ascii="Times New Roman" w:hAnsi="Times New Roman"/>
          <w:color w:val="000000"/>
          <w:sz w:val="22"/>
        </w:rPr>
        <w:t>February 27,  2025</w:t>
      </w:r>
      <w:r>
        <w:rPr>
          <w:rFonts w:ascii="Times New Roman" w:hAnsi="Times New Roman"/>
          <w:sz w:val="22"/>
        </w:rPr>
        <w:t xml:space="preserve"> </w:t>
      </w:r>
    </w:p>
    <w:p>
      <w:pPr>
        <w:pStyle w:val="HorizontalLine"/>
        <w:pBdr>
          <w:bottom w:val="double" w:sz="6" w:space="0" w:color="808080"/>
        </w:pBdr>
        <w:bidi w:val="0"/>
        <w:ind w:left="1440" w:right="1440" w:hanging="0"/>
        <w:jc w:val="left"/>
        <w:rPr/>
      </w:pPr>
      <w:r>
        <w:rPr/>
      </w:r>
    </w:p>
    <w:p>
      <w:pPr>
        <w:pStyle w:val="TextBody"/>
        <w:bidi w:val="0"/>
        <w:spacing w:lineRule="auto" w:line="192" w:before="0" w:after="0"/>
        <w:ind w:left="1440" w:right="1440" w:hanging="0"/>
        <w:jc w:val="right"/>
        <w:rPr>
          <w:rFonts w:ascii="Times New Roman" w:hAnsi="Times New Roman"/>
          <w:sz w:val="22"/>
        </w:rPr>
      </w:pPr>
      <w:bookmarkStart w:id="80" w:name="wtrg-20241231xex32_2.htm"/>
      <w:bookmarkStart w:id="81" w:name="kswtrg20241231xex32_2"/>
      <w:bookmarkEnd w:id="80"/>
      <w:bookmarkEnd w:id="81"/>
      <w:r>
        <w:rPr>
          <w:rFonts w:ascii="Times New Roman" w:hAnsi="Times New Roman"/>
          <w:sz w:val="22"/>
        </w:rPr>
        <w:t>Exhibit 32.2</w:t>
      </w:r>
      <w:r>
        <w:rPr>
          <w:rFonts w:ascii="Times New Roman" w:hAnsi="Times New Roman"/>
          <w:sz w:val="22"/>
        </w:rPr>
        <w:t xml:space="preserve"> </w:t>
      </w:r>
      <w:r>
        <w:br w:type="page"/>
      </w:r>
    </w:p>
    <w:p>
      <w:pPr>
        <w:pStyle w:val="TextBody"/>
        <w:bidi w:val="0"/>
        <w:spacing w:lineRule="auto" w:line="192" w:before="0" w:after="0"/>
        <w:ind w:left="1440" w:right="1440" w:hanging="0"/>
        <w:jc w:val="left"/>
        <w:rPr>
          <w:rFonts w:cs="Times New Roman"/>
          <w:szCs w:val="22"/>
        </w:rPr>
      </w:pPr>
      <w:r>
        <w:rPr>
          <w:rFonts w:cs="Times New Roman"/>
          <w:szCs w:val="22"/>
        </w:rPr>
        <w:t xml:space="preserve">﻿ </w:t>
      </w:r>
    </w:p>
    <w:p>
      <w:pPr>
        <w:pStyle w:val="TextBody"/>
        <w:bidi w:val="0"/>
        <w:spacing w:lineRule="auto" w:line="192" w:before="0" w:after="0"/>
        <w:ind w:left="1440" w:right="1440" w:hanging="0"/>
        <w:jc w:val="center"/>
        <w:rPr>
          <w:rFonts w:ascii="Times New Roman" w:hAnsi="Times New Roman"/>
          <w:sz w:val="22"/>
        </w:rPr>
      </w:pPr>
      <w:r>
        <w:rPr>
          <w:rFonts w:ascii="Times New Roman" w:hAnsi="Times New Roman"/>
          <w:sz w:val="22"/>
        </w:rPr>
        <w:t xml:space="preserve">CERTIFICATION OF CHIEF FINANCIAL OFFICER </w:t>
      </w:r>
    </w:p>
    <w:p>
      <w:pPr>
        <w:pStyle w:val="TextBody"/>
        <w:bidi w:val="0"/>
        <w:spacing w:lineRule="auto" w:line="192" w:before="0" w:after="0"/>
        <w:ind w:left="1440" w:right="1440" w:hanging="0"/>
        <w:jc w:val="center"/>
        <w:rPr>
          <w:rFonts w:ascii="Times New Roman" w:hAnsi="Times New Roman"/>
          <w:sz w:val="22"/>
        </w:rPr>
      </w:pPr>
      <w:r>
        <w:rPr>
          <w:rFonts w:ascii="Times New Roman" w:hAnsi="Times New Roman"/>
          <w:sz w:val="22"/>
        </w:rPr>
        <w:t xml:space="preserve">PURSUANT TO 18 U.S.C. SECTION 1350 </w:t>
      </w:r>
    </w:p>
    <w:p>
      <w:pPr>
        <w:pStyle w:val="TextBody"/>
        <w:bidi w:val="0"/>
        <w:spacing w:lineRule="auto" w:line="192" w:before="0" w:after="0"/>
        <w:ind w:left="1440" w:right="1440" w:hanging="0"/>
        <w:jc w:val="left"/>
        <w:rPr>
          <w:rFonts w:cs="Times New Roman"/>
          <w:szCs w:val="22"/>
        </w:rPr>
      </w:pPr>
      <w:r>
        <w:rPr>
          <w:rFonts w:cs="Times New Roman"/>
          <w:szCs w:val="22"/>
        </w:rPr>
        <w:t xml:space="preserve">﻿ </w:t>
      </w:r>
    </w:p>
    <w:p>
      <w:pPr>
        <w:pStyle w:val="TextBody"/>
        <w:bidi w:val="0"/>
        <w:spacing w:lineRule="auto" w:line="192" w:before="0" w:after="0"/>
        <w:ind w:left="1440" w:right="1440" w:hanging="0"/>
        <w:jc w:val="left"/>
        <w:rPr>
          <w:rFonts w:ascii="Times New Roman" w:hAnsi="Times New Roman"/>
          <w:sz w:val="22"/>
        </w:rPr>
      </w:pPr>
      <w:r>
        <w:rPr>
          <w:rFonts w:ascii="Times New Roman" w:hAnsi="Times New Roman"/>
          <w:sz w:val="22"/>
        </w:rPr>
        <w:t xml:space="preserve">In connection with the Annual Report on Form 10-K for the year ended December 31, 2024 of Essential Utilities, Inc. (the “Company”) as filed with the Securities and Exchange Commission on the date hereof (the “Report”), I, Daniel J. Schuller, Executive Vice President and Chief Financial Officer of the Company, certify, pursuant to 18 U.S.C. Section 1350, as adopted pursuant to Section 906 of the Sarbanes-Oxley Act of 2002, that, to my knowledge: </w:t>
      </w:r>
    </w:p>
    <w:p>
      <w:pPr>
        <w:pStyle w:val="TextBody"/>
        <w:bidi w:val="0"/>
        <w:spacing w:lineRule="auto" w:line="192" w:before="0" w:after="0"/>
        <w:ind w:left="1440" w:right="1440" w:hanging="0"/>
        <w:jc w:val="left"/>
        <w:rPr>
          <w:rFonts w:cs="Times New Roman"/>
          <w:szCs w:val="22"/>
        </w:rPr>
      </w:pP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269"/>
        <w:gridCol w:w="23"/>
        <w:gridCol w:w="6995"/>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tcPr>
          <w:p>
            <w:pPr>
              <w:pStyle w:val="TableContents"/>
              <w:bidi w:val="0"/>
              <w:spacing w:lineRule="auto" w:line="192" w:before="0" w:after="0"/>
              <w:ind w:left="0" w:right="0" w:hanging="0"/>
              <w:jc w:val="left"/>
              <w:rPr>
                <w:rFonts w:ascii="Times New Roman" w:hAnsi="Times New Roman"/>
                <w:sz w:val="22"/>
              </w:rPr>
            </w:pPr>
            <w:r>
              <w:rPr>
                <w:rFonts w:ascii="Times New Roman" w:hAnsi="Times New Roman"/>
                <w:sz w:val="22"/>
              </w:rPr>
              <w:t xml:space="preserve">(1) </w:t>
            </w:r>
          </w:p>
        </w:tc>
        <w:tc>
          <w:tcPr>
            <w:tcW w:w="23" w:type="dxa"/>
            <w:tcBorders/>
            <w:vAlign w:val="center"/>
          </w:tcPr>
          <w:p>
            <w:pPr>
              <w:pStyle w:val="TableContents"/>
              <w:bidi w:val="0"/>
              <w:spacing w:before="0" w:after="283"/>
              <w:jc w:val="left"/>
              <w:rPr>
                <w:sz w:val="4"/>
                <w:szCs w:val="4"/>
              </w:rPr>
            </w:pPr>
            <w:r>
              <w:rPr>
                <w:sz w:val="4"/>
                <w:szCs w:val="4"/>
              </w:rPr>
            </w:r>
          </w:p>
        </w:tc>
        <w:tc>
          <w:tcPr>
            <w:tcW w:w="6995" w:type="dxa"/>
            <w:tcBorders/>
          </w:tcPr>
          <w:p>
            <w:pPr>
              <w:pStyle w:val="TableContents"/>
              <w:bidi w:val="0"/>
              <w:spacing w:lineRule="auto" w:line="192" w:before="0" w:after="0"/>
              <w:ind w:left="0" w:right="0" w:hanging="0"/>
              <w:jc w:val="left"/>
              <w:rPr>
                <w:rFonts w:ascii="Times New Roman" w:hAnsi="Times New Roman"/>
                <w:color w:val="000000"/>
                <w:sz w:val="22"/>
              </w:rPr>
            </w:pPr>
            <w:r>
              <w:rPr>
                <w:rFonts w:ascii="Times New Roman" w:hAnsi="Times New Roman"/>
                <w:color w:val="000000"/>
                <w:sz w:val="22"/>
              </w:rPr>
              <w:t>The Report fully complies with the requirements of section 13(a) or 15(d) of the Securities Exchange Act of 1934 (15 U.S.C. Section 78m(a) or Section 78o(d)); and</w:t>
            </w:r>
          </w:p>
        </w:tc>
      </w:tr>
    </w:tbl>
    <w:p>
      <w:pPr>
        <w:pStyle w:val="TextBody"/>
        <w:bidi w:val="0"/>
        <w:spacing w:lineRule="auto" w:line="192" w:before="0" w:after="0"/>
        <w:ind w:left="1440" w:right="1440" w:hanging="0"/>
        <w:jc w:val="left"/>
        <w:rPr>
          <w:rFonts w:cs="Times New Roman"/>
          <w:szCs w:val="22"/>
        </w:rPr>
      </w:pPr>
      <w:r>
        <w:rPr>
          <w:rFonts w:cs="Times New Roman"/>
          <w:color w:val="000000"/>
          <w:szCs w:val="22"/>
        </w:rPr>
        <w:t>﻿</w:t>
      </w:r>
      <w:r>
        <w:rPr>
          <w:rFonts w:cs="Times New Roman"/>
          <w:szCs w:val="22"/>
        </w:rPr>
        <w:t xml:space="preserve"> </w:t>
      </w:r>
    </w:p>
    <w:tbl>
      <w:tblPr>
        <w:tblW w:w="7325" w:type="dxa"/>
        <w:jc w:val="left"/>
        <w:tblInd w:w="1440" w:type="dxa"/>
        <w:tblLayout w:type="fixed"/>
        <w:tblCellMar>
          <w:top w:w="0" w:type="dxa"/>
          <w:left w:w="0" w:type="dxa"/>
          <w:bottom w:w="0" w:type="dxa"/>
          <w:right w:w="0" w:type="dxa"/>
        </w:tblCellMar>
      </w:tblPr>
      <w:tblGrid>
        <w:gridCol w:w="38"/>
        <w:gridCol w:w="278"/>
        <w:gridCol w:w="23"/>
        <w:gridCol w:w="6986"/>
      </w:tblGrid>
      <w:tr>
        <w:trPr/>
        <w:tc>
          <w:tcPr>
            <w:tcW w:w="38" w:type="dxa"/>
            <w:tcBorders/>
            <w:vAlign w:val="center"/>
          </w:tcPr>
          <w:p>
            <w:pPr>
              <w:pStyle w:val="TableContents"/>
              <w:bidi w:val="0"/>
              <w:spacing w:before="0" w:after="283"/>
              <w:jc w:val="left"/>
              <w:rPr>
                <w:sz w:val="4"/>
                <w:szCs w:val="4"/>
              </w:rPr>
            </w:pPr>
            <w:r>
              <w:rPr>
                <w:sz w:val="4"/>
                <w:szCs w:val="4"/>
              </w:rPr>
            </w:r>
          </w:p>
        </w:tc>
        <w:tc>
          <w:tcPr>
            <w:tcW w:w="278" w:type="dxa"/>
            <w:tcBorders/>
          </w:tcPr>
          <w:p>
            <w:pPr>
              <w:pStyle w:val="TableContents"/>
              <w:bidi w:val="0"/>
              <w:spacing w:lineRule="auto" w:line="192" w:before="0" w:after="0"/>
              <w:ind w:left="0" w:right="0" w:hanging="0"/>
              <w:jc w:val="left"/>
              <w:rPr>
                <w:rFonts w:ascii="Times New Roman" w:hAnsi="Times New Roman"/>
                <w:sz w:val="22"/>
              </w:rPr>
            </w:pPr>
            <w:r>
              <w:rPr>
                <w:rFonts w:ascii="Times New Roman" w:hAnsi="Times New Roman"/>
                <w:sz w:val="22"/>
              </w:rPr>
              <w:t xml:space="preserve">(2) </w:t>
            </w:r>
          </w:p>
        </w:tc>
        <w:tc>
          <w:tcPr>
            <w:tcW w:w="23" w:type="dxa"/>
            <w:tcBorders/>
            <w:vAlign w:val="center"/>
          </w:tcPr>
          <w:p>
            <w:pPr>
              <w:pStyle w:val="TableContents"/>
              <w:bidi w:val="0"/>
              <w:spacing w:before="0" w:after="283"/>
              <w:jc w:val="left"/>
              <w:rPr>
                <w:sz w:val="4"/>
                <w:szCs w:val="4"/>
              </w:rPr>
            </w:pPr>
            <w:r>
              <w:rPr>
                <w:sz w:val="4"/>
                <w:szCs w:val="4"/>
              </w:rPr>
            </w:r>
          </w:p>
        </w:tc>
        <w:tc>
          <w:tcPr>
            <w:tcW w:w="6986" w:type="dxa"/>
            <w:tcBorders/>
          </w:tcPr>
          <w:p>
            <w:pPr>
              <w:pStyle w:val="TableContents"/>
              <w:bidi w:val="0"/>
              <w:spacing w:lineRule="auto" w:line="192" w:before="0" w:after="0"/>
              <w:ind w:left="0" w:right="0" w:hanging="0"/>
              <w:jc w:val="left"/>
              <w:rPr>
                <w:rFonts w:ascii="Times New Roman" w:hAnsi="Times New Roman"/>
                <w:color w:val="000000"/>
                <w:sz w:val="22"/>
              </w:rPr>
            </w:pPr>
            <w:r>
              <w:rPr>
                <w:rFonts w:ascii="Times New Roman" w:hAnsi="Times New Roman"/>
                <w:color w:val="000000"/>
                <w:sz w:val="22"/>
              </w:rPr>
              <w:t>The information contained in the Report fairly presents, in all material respects, the financial condition and results of operations of the Company.</w:t>
            </w:r>
          </w:p>
        </w:tc>
      </w:tr>
    </w:tbl>
    <w:p>
      <w:pPr>
        <w:pStyle w:val="TextBody"/>
        <w:bidi w:val="0"/>
        <w:spacing w:lineRule="auto" w:line="192" w:before="0" w:after="0"/>
        <w:ind w:left="180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192" w:before="0" w:after="0"/>
        <w:ind w:left="1800" w:right="1440" w:hanging="0"/>
        <w:jc w:val="left"/>
        <w:rPr>
          <w:rFonts w:cs="Times New Roman"/>
          <w:szCs w:val="22"/>
        </w:rPr>
      </w:pPr>
      <w:r>
        <w:rPr>
          <w:rFonts w:cs="Times New Roman"/>
          <w:color w:val="000000"/>
          <w:szCs w:val="22"/>
        </w:rPr>
        <w:t>﻿</w:t>
      </w:r>
      <w:r>
        <w:rPr>
          <w:rFonts w:cs="Times New Roman"/>
          <w:szCs w:val="22"/>
        </w:rPr>
        <w:t xml:space="preserve"> </w:t>
      </w:r>
    </w:p>
    <w:p>
      <w:pPr>
        <w:pStyle w:val="TextBody"/>
        <w:bidi w:val="0"/>
        <w:spacing w:lineRule="auto" w:line="192" w:before="0" w:after="0"/>
        <w:ind w:left="1440" w:right="1440" w:hanging="0"/>
        <w:jc w:val="left"/>
        <w:rPr>
          <w:rFonts w:cs="Times New Roman"/>
          <w:szCs w:val="2"/>
        </w:rPr>
      </w:pPr>
      <w:r>
        <w:rPr>
          <w:rFonts w:cs="Times New Roman"/>
          <w:color w:val="000000"/>
          <w:szCs w:val="2"/>
        </w:rPr>
        <w:t>﻿</w:t>
      </w:r>
      <w:r>
        <w:rPr>
          <w:rFonts w:cs="Times New Roman"/>
          <w:szCs w:val="2"/>
        </w:rPr>
        <w:t xml:space="preserve"> </w:t>
      </w:r>
    </w:p>
    <w:tbl>
      <w:tblPr>
        <w:tblW w:w="5358" w:type="dxa"/>
        <w:jc w:val="left"/>
        <w:tblInd w:w="1440" w:type="dxa"/>
        <w:tblLayout w:type="fixed"/>
        <w:tblCellMar>
          <w:top w:w="0" w:type="dxa"/>
          <w:left w:w="0" w:type="dxa"/>
          <w:bottom w:w="0" w:type="dxa"/>
          <w:right w:w="0" w:type="dxa"/>
        </w:tblCellMar>
      </w:tblPr>
      <w:tblGrid>
        <w:gridCol w:w="678"/>
        <w:gridCol w:w="1072"/>
        <w:gridCol w:w="1072"/>
        <w:gridCol w:w="1072"/>
        <w:gridCol w:w="1089"/>
        <w:gridCol w:w="60"/>
        <w:gridCol w:w="60"/>
        <w:gridCol w:w="60"/>
        <w:gridCol w:w="60"/>
        <w:gridCol w:w="60"/>
        <w:gridCol w:w="75"/>
      </w:tblGrid>
      <w:tr>
        <w:trPr/>
        <w:tc>
          <w:tcPr>
            <w:tcW w:w="678" w:type="dxa"/>
            <w:tcBorders/>
            <w:vAlign w:val="bottom"/>
          </w:tcPr>
          <w:p>
            <w:pPr>
              <w:pStyle w:val="TableContents"/>
              <w:bidi w:val="0"/>
              <w:spacing w:lineRule="auto" w:line="240" w:before="0" w:after="0"/>
              <w:ind w:left="0" w:right="0" w:hanging="0"/>
              <w:jc w:val="left"/>
              <w:rPr>
                <w:rFonts w:cs="Times New Roman"/>
                <w:color w:val="000000"/>
                <w:szCs w:val="2"/>
              </w:rPr>
            </w:pPr>
            <w:r>
              <w:rPr>
                <w:rFonts w:cs="Times New Roman"/>
                <w:color w:val="000000"/>
                <w:szCs w:val="2"/>
              </w:rPr>
              <w:t>﻿</w:t>
            </w:r>
          </w:p>
        </w:tc>
        <w:tc>
          <w:tcPr>
            <w:tcW w:w="1072" w:type="dxa"/>
            <w:tcBorders/>
            <w:vAlign w:val="bottom"/>
          </w:tcPr>
          <w:p>
            <w:pPr>
              <w:pStyle w:val="TableContents"/>
              <w:bidi w:val="0"/>
              <w:spacing w:lineRule="auto" w:line="240" w:before="0" w:after="0"/>
              <w:ind w:left="0" w:right="0" w:hanging="0"/>
              <w:jc w:val="left"/>
              <w:rPr/>
            </w:pPr>
            <w:r>
              <w:rPr/>
              <w:t> </w:t>
            </w:r>
          </w:p>
        </w:tc>
        <w:tc>
          <w:tcPr>
            <w:tcW w:w="1072" w:type="dxa"/>
            <w:tcBorders/>
            <w:vAlign w:val="bottom"/>
          </w:tcPr>
          <w:p>
            <w:pPr>
              <w:pStyle w:val="TableContents"/>
              <w:bidi w:val="0"/>
              <w:spacing w:lineRule="auto" w:line="240" w:before="0" w:after="0"/>
              <w:ind w:left="0" w:right="0" w:hanging="0"/>
              <w:jc w:val="left"/>
              <w:rPr/>
            </w:pPr>
            <w:r>
              <w:rPr/>
              <w:t> </w:t>
            </w:r>
          </w:p>
        </w:tc>
        <w:tc>
          <w:tcPr>
            <w:tcW w:w="1072" w:type="dxa"/>
            <w:tcBorders/>
            <w:vAlign w:val="bottom"/>
          </w:tcPr>
          <w:p>
            <w:pPr>
              <w:pStyle w:val="TableContents"/>
              <w:bidi w:val="0"/>
              <w:spacing w:lineRule="auto" w:line="240" w:before="0" w:after="0"/>
              <w:ind w:left="0" w:right="0" w:hanging="0"/>
              <w:jc w:val="left"/>
              <w:rPr/>
            </w:pPr>
            <w:r>
              <w:rPr/>
              <w:t> </w:t>
            </w:r>
          </w:p>
        </w:tc>
        <w:tc>
          <w:tcPr>
            <w:tcW w:w="1089"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678" w:type="dxa"/>
            <w:tcBorders/>
            <w:vAlign w:val="bottom"/>
          </w:tcPr>
          <w:p>
            <w:pPr>
              <w:pStyle w:val="TableContents"/>
              <w:bidi w:val="0"/>
              <w:spacing w:lineRule="auto" w:line="240" w:before="0" w:after="0"/>
              <w:ind w:left="0" w:right="0" w:hanging="0"/>
              <w:jc w:val="left"/>
              <w:rPr>
                <w:rFonts w:cs="Arial"/>
                <w:color w:val="000000"/>
                <w:szCs w:val="20"/>
              </w:rPr>
            </w:pPr>
            <w:r>
              <w:rPr>
                <w:rFonts w:cs="Arial"/>
                <w:color w:val="000000"/>
                <w:szCs w:val="20"/>
              </w:rPr>
              <w:t>﻿</w:t>
            </w:r>
          </w:p>
        </w:tc>
        <w:tc>
          <w:tcPr>
            <w:tcW w:w="1072" w:type="dxa"/>
            <w:tcBorders/>
            <w:vAlign w:val="bottom"/>
          </w:tcPr>
          <w:p>
            <w:pPr>
              <w:pStyle w:val="TableContents"/>
              <w:bidi w:val="0"/>
              <w:spacing w:lineRule="auto" w:line="240" w:before="0" w:after="0"/>
              <w:ind w:left="0" w:right="0" w:hanging="0"/>
              <w:jc w:val="left"/>
              <w:rPr/>
            </w:pPr>
            <w:r>
              <w:rPr/>
              <w:t> </w:t>
            </w:r>
          </w:p>
        </w:tc>
        <w:tc>
          <w:tcPr>
            <w:tcW w:w="1072" w:type="dxa"/>
            <w:tcBorders/>
            <w:vAlign w:val="bottom"/>
          </w:tcPr>
          <w:p>
            <w:pPr>
              <w:pStyle w:val="TableContents"/>
              <w:bidi w:val="0"/>
              <w:spacing w:lineRule="auto" w:line="240" w:before="0" w:after="0"/>
              <w:ind w:left="0" w:right="0" w:hanging="0"/>
              <w:jc w:val="left"/>
              <w:rPr/>
            </w:pPr>
            <w:r>
              <w:rPr/>
              <w:t> </w:t>
            </w:r>
          </w:p>
        </w:tc>
        <w:tc>
          <w:tcPr>
            <w:tcW w:w="1072" w:type="dxa"/>
            <w:tcBorders/>
            <w:vAlign w:val="bottom"/>
          </w:tcPr>
          <w:p>
            <w:pPr>
              <w:pStyle w:val="TableContents"/>
              <w:bidi w:val="0"/>
              <w:spacing w:lineRule="auto" w:line="240" w:before="0" w:after="0"/>
              <w:ind w:left="0" w:right="0" w:hanging="0"/>
              <w:jc w:val="left"/>
              <w:rPr/>
            </w:pPr>
            <w:r>
              <w:rPr/>
              <w:t> </w:t>
            </w:r>
          </w:p>
        </w:tc>
        <w:tc>
          <w:tcPr>
            <w:tcW w:w="1089"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4983" w:type="dxa"/>
            <w:gridSpan w:val="5"/>
            <w:tcBorders>
              <w:bottom w:val="single" w:sz="8" w:space="0" w:color="000000"/>
            </w:tcBorders>
            <w:tcMar>
              <w:bottom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/s/ Daniel J. Schuller</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4983" w:type="dxa"/>
            <w:gridSpan w:val="5"/>
            <w:tcBorders>
              <w:top w:val="single" w:sz="8" w:space="0" w:color="000000"/>
            </w:tcBorders>
            <w:tcMar>
              <w:top w:w="28" w:type="dxa"/>
            </w:tcMar>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Daniel J. Schuller</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r>
        <w:trPr/>
        <w:tc>
          <w:tcPr>
            <w:tcW w:w="4983" w:type="dxa"/>
            <w:gridSpan w:val="5"/>
            <w:tcBorders/>
            <w:vAlign w:val="bottom"/>
          </w:tcPr>
          <w:p>
            <w:pPr>
              <w:pStyle w:val="TableContents"/>
              <w:bidi w:val="0"/>
              <w:spacing w:lineRule="auto" w:line="240" w:before="0" w:after="0"/>
              <w:ind w:left="0" w:right="0" w:hanging="0"/>
              <w:jc w:val="left"/>
              <w:rPr>
                <w:rFonts w:ascii="Times New Roman" w:hAnsi="Times New Roman"/>
                <w:color w:val="000000"/>
                <w:sz w:val="22"/>
              </w:rPr>
            </w:pPr>
            <w:r>
              <w:rPr>
                <w:rFonts w:ascii="Times New Roman" w:hAnsi="Times New Roman"/>
                <w:color w:val="000000"/>
                <w:sz w:val="22"/>
              </w:rPr>
              <w:t>Executive Vice President and Chief Financial Officer</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60" w:type="dxa"/>
            <w:tcBorders/>
            <w:vAlign w:val="bottom"/>
          </w:tcPr>
          <w:p>
            <w:pPr>
              <w:pStyle w:val="TableContents"/>
              <w:bidi w:val="0"/>
              <w:spacing w:lineRule="auto" w:line="240" w:before="0" w:after="0"/>
              <w:ind w:left="0" w:right="0" w:hanging="0"/>
              <w:jc w:val="left"/>
              <w:rPr/>
            </w:pPr>
            <w:r>
              <w:rPr/>
              <w:t> </w:t>
            </w:r>
          </w:p>
        </w:tc>
        <w:tc>
          <w:tcPr>
            <w:tcW w:w="75" w:type="dxa"/>
            <w:tcBorders/>
            <w:vAlign w:val="bottom"/>
          </w:tcPr>
          <w:p>
            <w:pPr>
              <w:pStyle w:val="TableContents"/>
              <w:bidi w:val="0"/>
              <w:spacing w:lineRule="auto" w:line="240" w:before="0" w:after="0"/>
              <w:ind w:left="0" w:right="0" w:hanging="0"/>
              <w:jc w:val="left"/>
              <w:rPr/>
            </w:pPr>
            <w:r>
              <w:rPr/>
              <w:t> </w:t>
            </w:r>
          </w:p>
        </w:tc>
      </w:tr>
    </w:tbl>
    <w:p>
      <w:pPr>
        <w:pStyle w:val="TextBody"/>
        <w:bidi w:val="0"/>
        <w:spacing w:lineRule="auto" w:line="240" w:before="0" w:after="0"/>
        <w:ind w:left="1440" w:right="1440" w:hanging="0"/>
        <w:jc w:val="left"/>
        <w:rPr>
          <w:rFonts w:ascii="Times New Roman" w:hAnsi="Times New Roman"/>
          <w:sz w:val="22"/>
        </w:rPr>
      </w:pPr>
      <w:r>
        <w:rPr>
          <w:rFonts w:ascii="Times New Roman" w:hAnsi="Times New Roman"/>
          <w:color w:val="000000"/>
          <w:sz w:val="22"/>
        </w:rPr>
        <w:t>February 27,  2025</w:t>
      </w:r>
      <w:r>
        <w:rPr>
          <w:rFonts w:ascii="Times New Roman" w:hAnsi="Times New Roman"/>
          <w:sz w:val="22"/>
        </w:rPr>
        <w:t xml:space="preserve"> </w:t>
      </w:r>
    </w:p>
    <w:p>
      <w:pPr>
        <w:pStyle w:val="HorizontalLine"/>
        <w:pBdr>
          <w:bottom w:val="double" w:sz="6" w:space="0" w:color="808080"/>
        </w:pBdr>
        <w:bidi w:val="0"/>
        <w:spacing w:before="0" w:after="283"/>
        <w:ind w:left="1440" w:right="144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aramond">
    <w:altName w:val="serif"/>
    <w:charset w:val="01"/>
    <w:family w:val="auto"/>
    <w:pitch w:val="default"/>
  </w:font>
  <w:font w:name="TimesNewRoman">
    <w:charset w:val="01"/>
    <w:family w:val="auto"/>
    <w:pitch w:val="default"/>
  </w:font>
  <w:font w:name="Symbol">
    <w:charset w:val="01"/>
    <w:family w:val="auto"/>
    <w:pitch w:val="default"/>
  </w:font>
  <w:font w:name="CG Omega W1">
    <w:charset w:val="01"/>
    <w:family w:val="auto"/>
    <w:pitch w:val="default"/>
  </w:font>
  <w:font w:name="Courier New">
    <w:charset w:val="01"/>
    <w:family w:val="auto"/>
    <w:pitch w:val="default"/>
  </w:font>
  <w:font w:name="Arial">
    <w:altName w:val="sans-serif"/>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paragraph" w:styleId="Heading3">
    <w:name w:val="Heading 3"/>
    <w:basedOn w:val="Heading"/>
    <w:next w:val="TextBody"/>
    <w:qFormat/>
    <w:pPr>
      <w:numPr>
        <w:ilvl w:val="0"/>
        <w:numId w:val="0"/>
      </w:numPr>
      <w:spacing w:before="140" w:after="120"/>
      <w:outlineLvl w:val="2"/>
    </w:pPr>
    <w:rPr>
      <w:rFonts w:ascii="Liberation Serif" w:hAnsi="Liberation Serif" w:eastAsia="Tahoma" w:cs="Noto Sans Devanagari"/>
      <w:b/>
      <w:bCs/>
      <w:sz w:val="28"/>
      <w:szCs w:val="28"/>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paragraph" w:styleId="Heading6">
    <w:name w:val="Heading 6"/>
    <w:basedOn w:val="Heading"/>
    <w:next w:val="TextBody"/>
    <w:qFormat/>
    <w:pPr>
      <w:numPr>
        <w:ilvl w:val="0"/>
        <w:numId w:val="0"/>
      </w:numPr>
      <w:spacing w:before="60" w:after="60"/>
      <w:outlineLvl w:val="5"/>
    </w:pPr>
    <w:rPr>
      <w:rFonts w:ascii="Liberation Serif" w:hAnsi="Liberation Serif" w:eastAsia="Tahoma" w:cs="Noto Sans Devanagari"/>
      <w:b/>
      <w:bCs/>
      <w:sz w:val="14"/>
      <w:szCs w:val="1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78128/000156276224000047/wtrg-20231231x10k.htm" TargetMode="External"/><Relationship Id="rId3" Type="http://schemas.openxmlformats.org/officeDocument/2006/relationships/hyperlink" Target="http://www.sec.gov/Archives/edgar/data/78128/000155278120000364/e20338_ex3-1.htm" TargetMode="External"/><Relationship Id="rId4" Type="http://schemas.openxmlformats.org/officeDocument/2006/relationships/hyperlink" Target="http://www.sec.gov/Archives/edgar/data/78128/000155278123000414/e23425_ex3-2.htm" TargetMode="External"/><Relationship Id="rId5" Type="http://schemas.openxmlformats.org/officeDocument/2006/relationships/hyperlink" Target="http://www.sec.gov/Archives/edgar/data/78128/000156276216000347/wtr-20151231ex4117d8b2c.htm" TargetMode="External"/><Relationship Id="rId6" Type="http://schemas.openxmlformats.org/officeDocument/2006/relationships/hyperlink" Target="http://www.sec.gov/Archives/edgar/data/78128/000156276216000347/wtr-20151231ex4138c31a4.htm" TargetMode="External"/><Relationship Id="rId7" Type="http://schemas.openxmlformats.org/officeDocument/2006/relationships/hyperlink" Target="http://www.sec.gov/Archives/edgar/data/78128/0000950116-95-000167.txt" TargetMode="External"/><Relationship Id="rId8" Type="http://schemas.openxmlformats.org/officeDocument/2006/relationships/hyperlink" Target="http://www.sec.gov/Archives/edgar/data/78128/000095011600000661/0000950116-00-000661.txt" TargetMode="External"/><Relationship Id="rId9" Type="http://schemas.openxmlformats.org/officeDocument/2006/relationships/hyperlink" Target="http://www.sec.gov/Archives/edgar/data/78128/000095011602000393/ex4-22.txt" TargetMode="External"/><Relationship Id="rId10" Type="http://schemas.openxmlformats.org/officeDocument/2006/relationships/hyperlink" Target="http://www.sec.gov/Archives/edgar/data/78128/000119312513084841/d493762dex424.htm" TargetMode="External"/><Relationship Id="rId11" Type="http://schemas.openxmlformats.org/officeDocument/2006/relationships/hyperlink" Target="http://www.sec.gov/Archives/edgar/data/78128/000119312514080172/d684476dex4117.htm" TargetMode="External"/><Relationship Id="rId12" Type="http://schemas.openxmlformats.org/officeDocument/2006/relationships/hyperlink" Target="http://www.sec.gov/Archives/edgar/data/78128/000156276216000347/wtr-20151231ex411562ca3.htm" TargetMode="External"/><Relationship Id="rId13" Type="http://schemas.openxmlformats.org/officeDocument/2006/relationships/hyperlink" Target="http://www.sec.gov/Archives/edgar/data/78128/000119312513084841/d493762dex1054.htm" TargetMode="External"/><Relationship Id="rId14" Type="http://schemas.openxmlformats.org/officeDocument/2006/relationships/hyperlink" Target="http://www.sec.gov/Archives/edgar/data/78128/000119312514080172/d684476dex1045.htm" TargetMode="External"/><Relationship Id="rId15" Type="http://schemas.openxmlformats.org/officeDocument/2006/relationships/hyperlink" Target="http://www.sec.gov/Archives/edgar/data/78128/000007812815000003/wtr-20141231ex105815fbe.htm" TargetMode="External"/><Relationship Id="rId16" Type="http://schemas.openxmlformats.org/officeDocument/2006/relationships/hyperlink" Target="http://www.sec.gov/Archives/edgar/data/78128/000156276216000347/wtr-20151231ex4127abe70.htm" TargetMode="External"/><Relationship Id="rId17" Type="http://schemas.openxmlformats.org/officeDocument/2006/relationships/hyperlink" Target="http://www.sec.gov/Archives/edgar/data/78128/000007812817000002/wtr-20161231xex4_13.htm" TargetMode="External"/><Relationship Id="rId18" Type="http://schemas.openxmlformats.org/officeDocument/2006/relationships/hyperlink" Target="http://www.sec.gov/Archives/edgar/data/78128/000007812817000002/wtr-20161231xex4_14.htm" TargetMode="External"/><Relationship Id="rId19" Type="http://schemas.openxmlformats.org/officeDocument/2006/relationships/hyperlink" Target="http://www.sec.gov/Archives/edgar/data/78128/000007812817000010/wtr-20170930xex4_1.htm" TargetMode="External"/><Relationship Id="rId20" Type="http://schemas.openxmlformats.org/officeDocument/2006/relationships/hyperlink" Target="http://www.sec.gov/Archives/edgar/data/78128/000007812817000010/wtr-20170930xex4_2.htm" TargetMode="External"/><Relationship Id="rId21" Type="http://schemas.openxmlformats.org/officeDocument/2006/relationships/hyperlink" Target="http://www.sec.gov/Archives/edgar/data/78128/000007812818000012/wtr-20180630xex4_1.htm" TargetMode="External"/><Relationship Id="rId22" Type="http://schemas.openxmlformats.org/officeDocument/2006/relationships/hyperlink" Target="http://www.sec.gov/Archives/edgar/data/78128/000007812819000002/wtr-20181231xex4_15.htm" TargetMode="External"/><Relationship Id="rId23" Type="http://schemas.openxmlformats.org/officeDocument/2006/relationships/hyperlink" Target="http://www.sec.gov/Archives/edgar/data/78128/000155278119000189/e19232_ex4-4.htm" TargetMode="External"/><Relationship Id="rId24" Type="http://schemas.openxmlformats.org/officeDocument/2006/relationships/hyperlink" Target="http://www.sec.gov/Archives/edgar/data/78128/000155278119000189/e19232_ex4-5.htm" TargetMode="External"/><Relationship Id="rId25" Type="http://schemas.openxmlformats.org/officeDocument/2006/relationships/hyperlink" Target="http://www.sec.gov/Archives/edgar/data/78128/000155278119000189/e19232_ex4-6.htm" TargetMode="External"/><Relationship Id="rId26" Type="http://schemas.openxmlformats.org/officeDocument/2006/relationships/hyperlink" Target="http://www.sec.gov/Archives/edgar/data/78128/000155278119000214/e19253_ex4-3.htm" TargetMode="External"/><Relationship Id="rId27" Type="http://schemas.openxmlformats.org/officeDocument/2006/relationships/hyperlink" Target="http://www.sec.gov/Archives/edgar/data/78128/000155278119000214/e19253_ex4-3.htm" TargetMode="External"/><Relationship Id="rId28" Type="http://schemas.openxmlformats.org/officeDocument/2006/relationships/hyperlink" Target="http://www.sec.gov/Archives/edgar/data/78128/000155278119000214/e19253_ex4-3.htm" TargetMode="External"/><Relationship Id="rId29" Type="http://schemas.openxmlformats.org/officeDocument/2006/relationships/hyperlink" Target="http://www.sec.gov/Archives/edgar/data/78128/000119312520108220/d917442dex43.htm" TargetMode="External"/><Relationship Id="rId30" Type="http://schemas.openxmlformats.org/officeDocument/2006/relationships/hyperlink" Target="http://www.sec.gov/Archives/edgar/data/78128/000155278121000227/e21241_ex4-3.htm" TargetMode="External"/><Relationship Id="rId31" Type="http://schemas.openxmlformats.org/officeDocument/2006/relationships/hyperlink" Target="http://www.sec.gov/Archives/edgar/data/78128/000155278122000427/e22318_ex4-3.htm" TargetMode="External"/><Relationship Id="rId32" Type="http://schemas.openxmlformats.org/officeDocument/2006/relationships/hyperlink" Target="http://www.sec.gov/Archives/edgar/data/78128/000155278124000010/e24007_ex4-3.htm" TargetMode="External"/><Relationship Id="rId33" Type="http://schemas.openxmlformats.org/officeDocument/2006/relationships/hyperlink" Target="http://www.sec.gov/Archives/edgar/data/78128/000155278124000496/e24344_ex4-3.htm" TargetMode="External"/><Relationship Id="rId34" Type="http://schemas.openxmlformats.org/officeDocument/2006/relationships/hyperlink" Target="http://www.sec.gov/Archives/edgar/data/78128/000155278124000496/e24344_ex4-3.htm" TargetMode="External"/><Relationship Id="rId35" Type="http://schemas.openxmlformats.org/officeDocument/2006/relationships/hyperlink" Target="http://www.sec.gov/Archives/edgar/data/78128/000007812819000010/wtr-20190630xex4_11.htm" TargetMode="External"/><Relationship Id="rId36" Type="http://schemas.openxmlformats.org/officeDocument/2006/relationships/hyperlink" Target="http://www.sec.gov/Archives/edgar/data/78128/000007812820000005/wtrg-20191231xex4_18.htm" TargetMode="External"/><Relationship Id="rId37" Type="http://schemas.openxmlformats.org/officeDocument/2006/relationships/hyperlink" Target="http://www.sec.gov/Archives/edgar/data/78128/000007812820000009/wtrg-20200331xex4_4.htm" TargetMode="External"/><Relationship Id="rId38" Type="http://schemas.openxmlformats.org/officeDocument/2006/relationships/hyperlink" Target="http://www.sec.gov/Archives/edgar/data/78128/000156276221000081/wtrg-20201231xex4_18.htm" TargetMode="External"/><Relationship Id="rId39" Type="http://schemas.openxmlformats.org/officeDocument/2006/relationships/hyperlink" Target="http://www.sec.gov/Archives/edgar/data/78128/000156276222000068/wtrg-20211231xex4_19.htm" TargetMode="External"/><Relationship Id="rId40" Type="http://schemas.openxmlformats.org/officeDocument/2006/relationships/hyperlink" Target="http://www.sec.gov/Archives/edgar/data/78128/000156276222000452/wtrg-20220930xex4_1.htm" TargetMode="External"/><Relationship Id="rId41" Type="http://schemas.openxmlformats.org/officeDocument/2006/relationships/hyperlink" Target="http://www.sec.gov/Archives/edgar/data/78128/000156276222000452/wtrg-20220930xex4_1.htm" TargetMode="External"/><Relationship Id="rId42" Type="http://schemas.openxmlformats.org/officeDocument/2006/relationships/hyperlink" Target="http://www.sec.gov/Archives/edgar/data/78128/000156276222000452/wtrg-20220930xex4_1.htm" TargetMode="External"/><Relationship Id="rId43" Type="http://schemas.openxmlformats.org/officeDocument/2006/relationships/hyperlink" Target="http://www.sec.gov/Archives/edgar/data/78128/000156276222000452/wtrg-20220930xex4_1.htm" TargetMode="External"/><Relationship Id="rId44" Type="http://schemas.openxmlformats.org/officeDocument/2006/relationships/hyperlink" Target="http://www.sec.gov/Archives/edgar/data/78128/000156276222000452/wtrg-20220930xex4_1.htm" TargetMode="External"/><Relationship Id="rId45" Type="http://schemas.openxmlformats.org/officeDocument/2006/relationships/hyperlink" Target="http://www.sec.gov/Archives/edgar/data/78128/000156276223000064/wtrg-20221231xex4_21.htm" TargetMode="External"/><Relationship Id="rId46" Type="http://schemas.openxmlformats.org/officeDocument/2006/relationships/hyperlink" Target="http://www.sec.gov/Archives/edgar/data/78128/000156276223000064/wtrg-20221231xex10_1.htm" TargetMode="External"/><Relationship Id="rId47" Type="http://schemas.openxmlformats.org/officeDocument/2006/relationships/hyperlink" Target="http://www.sec.gov/Archives/edgar/data/78128/000007812817000002/wtr-20161231xex10_24.htm" TargetMode="External"/><Relationship Id="rId48" Type="http://schemas.openxmlformats.org/officeDocument/2006/relationships/hyperlink" Target="http://www.sec.gov/Archives/edgar/data/78128/000007812818000003/wtr-20171231xex10_15.htm" TargetMode="External"/><Relationship Id="rId49" Type="http://schemas.openxmlformats.org/officeDocument/2006/relationships/hyperlink" Target="http://www.sec.gov/Archives/edgar/data/78128/000007812819000002/wtr-20181231xex10_22.htm" TargetMode="External"/><Relationship Id="rId50" Type="http://schemas.openxmlformats.org/officeDocument/2006/relationships/hyperlink" Target="http://www.sec.gov/Archives/edgar/data/78128/000007812820000009/wtrg-20200331xex10_1.htm" TargetMode="External"/><Relationship Id="rId51" Type="http://schemas.openxmlformats.org/officeDocument/2006/relationships/hyperlink" Target="http://www.sec.gov/Archives/edgar/data/78128/000156276222000068/wtrg-20211231xex10_24.htm" TargetMode="External"/><Relationship Id="rId52" Type="http://schemas.openxmlformats.org/officeDocument/2006/relationships/hyperlink" Target="http://www.sec.gov/Archives/edgar/data/78128/000156276222000068/wtrg-20211231xex10_25.htm" TargetMode="External"/><Relationship Id="rId53" Type="http://schemas.openxmlformats.org/officeDocument/2006/relationships/hyperlink" Target="http://www.sec.gov/Archives/edgar/data/78128/000156276222000352/wtrg-20220630xex10_2.htm" TargetMode="External"/><Relationship Id="rId54" Type="http://schemas.openxmlformats.org/officeDocument/2006/relationships/hyperlink" Target="http://www.sec.gov/Archives/edgar/data/78128/000156276223000321/wtrg-20230630xex10_2.htm" TargetMode="External"/><Relationship Id="rId55" Type="http://schemas.openxmlformats.org/officeDocument/2006/relationships/hyperlink" Target="http://www.sec.gov/Archives/edgar/data/0000078128/000156276224000197/wtrg-20240630xex10_1.htm" TargetMode="External"/><Relationship Id="rId56" Type="http://schemas.openxmlformats.org/officeDocument/2006/relationships/hyperlink" Target="http://www.sec.gov/Archives/edgar/data/78128/0000950116-97-000547.txt" TargetMode="External"/><Relationship Id="rId57" Type="http://schemas.openxmlformats.org/officeDocument/2006/relationships/hyperlink" Target="http://www.sec.gov/Archives/edgar/data/78128/000136231009002971/c81660exv10w50.htm" TargetMode="External"/><Relationship Id="rId58" Type="http://schemas.openxmlformats.org/officeDocument/2006/relationships/hyperlink" Target="http://www.sec.gov/Archives/edgar/data/78128/000089322008003174/w71902exv4w1.htm" TargetMode="External"/><Relationship Id="rId59" Type="http://schemas.openxmlformats.org/officeDocument/2006/relationships/hyperlink" Target="http://www.sec.gov/Archives/edgar/data/78128/000119312512082050/d306445dex1058.htm" TargetMode="External"/><Relationship Id="rId60" Type="http://schemas.openxmlformats.org/officeDocument/2006/relationships/hyperlink" Target="http://www.sec.gov/Archives/edgar/data/78128/000155278123000277/e23258_wtrg-s3asr.htm" TargetMode="External"/><Relationship Id="rId61" Type="http://schemas.openxmlformats.org/officeDocument/2006/relationships/hyperlink" Target="http://www.sec.gov/Archives/edgar/data/78128/000156276216000347/wtr-20151231ex10108c9c4.htm" TargetMode="External"/><Relationship Id="rId62" Type="http://schemas.openxmlformats.org/officeDocument/2006/relationships/hyperlink" Target="http://www.sec.gov/Archives/edgar/data/78128/000119312513084841/d493762dex1056.htm" TargetMode="External"/><Relationship Id="rId63" Type="http://schemas.openxmlformats.org/officeDocument/2006/relationships/hyperlink" Target="http://www.sec.gov/Archives/edgar/data/0000078128/000155278124000271/e24219_ex10-2.htm" TargetMode="External"/><Relationship Id="rId64" Type="http://schemas.openxmlformats.org/officeDocument/2006/relationships/hyperlink" Target="http://www.sec.gov/Archives/edgar/data/78128/000155278124000632/e24473_ex10-1.htm" TargetMode="External"/><Relationship Id="rId65" Type="http://schemas.openxmlformats.org/officeDocument/2006/relationships/hyperlink" Target="http://www.sec.gov/Archives/edgar/data/78128/000155278124000271/e24219_ex10-1.htm" TargetMode="External"/><Relationship Id="rId66" Type="http://schemas.openxmlformats.org/officeDocument/2006/relationships/hyperlink" Target="http://www.sec.gov/Archives/edgar/data/0000078128/000155278124000484/e24343_ex1-1.htm" TargetMode="External"/><Relationship Id="rId67" Type="http://schemas.openxmlformats.org/officeDocument/2006/relationships/hyperlink" Target="http://www.sec.gov/Archives/edgar/data/0000078128/000155278124000484/e24343_ex1-1.htm" TargetMode="External"/><Relationship Id="rId68" Type="http://schemas.openxmlformats.org/officeDocument/2006/relationships/hyperlink" Target="http://www.sec.gov/Archives/edgar/data/78128/000155278119000224/i19277_ex10-1.htm" TargetMode="External"/><Relationship Id="rId69" Type="http://schemas.openxmlformats.org/officeDocument/2006/relationships/hyperlink" Target="http://www.sec.gov/Archives/edgar/data/78128/000007812820000009/wtrg-20200331xex10_4.htm" TargetMode="External"/><Relationship Id="rId70" Type="http://schemas.openxmlformats.org/officeDocument/2006/relationships/hyperlink" Target="http://www.sec.gov/Archives/edgar/data/78128/000155278120000190/e20153_ex10-1.htm" TargetMode="External"/><Relationship Id="rId71" Type="http://schemas.openxmlformats.org/officeDocument/2006/relationships/hyperlink" Target="http://www.sec.gov/Archives/edgar/data/78128/000119312520104880/d914748dex101.htm" TargetMode="External"/><Relationship Id="rId72" Type="http://schemas.openxmlformats.org/officeDocument/2006/relationships/hyperlink" Target="http://www.sec.gov/Archives/edgar/data/78128/000119312520104880/d914748dex1013.htm" TargetMode="External"/><Relationship Id="rId73" Type="http://schemas.openxmlformats.org/officeDocument/2006/relationships/hyperlink" Target="http://www.sec.gov/Archives/edgar/data/78128/000119312520104880/d914748dex1014.htm" TargetMode="External"/><Relationship Id="rId74" Type="http://schemas.openxmlformats.org/officeDocument/2006/relationships/hyperlink" Target="http://www.sec.gov/Archives/edgar/data/78128/000119312520104880/d914748dex1015.htm" TargetMode="External"/><Relationship Id="rId75" Type="http://schemas.openxmlformats.org/officeDocument/2006/relationships/hyperlink" Target="http://www.sec.gov/Archives/edgar/data/78128/000119312520104880/d914748dex1016.htm" TargetMode="External"/><Relationship Id="rId76" Type="http://schemas.openxmlformats.org/officeDocument/2006/relationships/hyperlink" Target="http://www.sec.gov/Archives/edgar/data/78128/000119312520104880/d914748dex1017.htm" TargetMode="External"/><Relationship Id="rId77" Type="http://schemas.openxmlformats.org/officeDocument/2006/relationships/hyperlink" Target="http://www.sec.gov/Archives/edgar/data/78128/000156276222000352/wtrg-20220630xex10_2.htm" TargetMode="External"/><Relationship Id="rId78" Type="http://schemas.openxmlformats.org/officeDocument/2006/relationships/hyperlink" Target="http://www.sec.gov/Archives/edgar/data/78128/000156276222000068/wtrg-20211231xex10_219.htm" TargetMode="External"/><Relationship Id="rId79" Type="http://schemas.openxmlformats.org/officeDocument/2006/relationships/hyperlink" Target="http://www.sec.gov/Archives/edgar/data/78128/000156276222000068/wtrg-20211231xex10_2110.htm" TargetMode="External"/><Relationship Id="rId80" Type="http://schemas.openxmlformats.org/officeDocument/2006/relationships/hyperlink" Target="http://www.sec.gov/Archives/edgar/data/78128/000156276222000352/wtrg-20220630xex10_1.htm" TargetMode="External"/><Relationship Id="rId81" Type="http://schemas.openxmlformats.org/officeDocument/2006/relationships/hyperlink" Target="http://www.sec.gov/Archives/edgar/data/78128/000156276224000047/wtrg-20231231xex10_16.htm" TargetMode="External"/><Relationship Id="rId82" Type="http://schemas.openxmlformats.org/officeDocument/2006/relationships/fontTable" Target="fontTable.xml"/><Relationship Id="rId8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91769</Words>
  <Characters>508505</Characters>
  <CharactersWithSpaces>595085</CharactersWithSpaces>
  <Paragraphs>8030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