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UNITED STATES</w:t>
      </w:r>
    </w:p>
    <w:p>
      <w:pPr>
        <w:jc w:val="center"/>
        <w:ind w:right="-3"/>
        <w:spacing w:after="0" w:line="237"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FORM 10-Q</w:t>
      </w:r>
    </w:p>
    <w:p>
      <w:pPr>
        <w:ind w:left="4"/>
        <w:spacing w:after="0" w:line="200" w:lineRule="auto"/>
        <w:rPr>
          <w:sz w:val="20"/>
          <w:szCs w:val="20"/>
          <w:color w:val="auto"/>
        </w:rPr>
      </w:pPr>
      <w:r>
        <w:rPr>
          <w:rFonts w:ascii="Times New Roman" w:cs="Times New Roman" w:eastAsia="Times New Roman" w:hAnsi="Times New Roman"/>
          <w:sz w:val="19"/>
          <w:szCs w:val="19"/>
          <w:color w:val="auto"/>
        </w:rPr>
        <w:t>(Mark One)</w:t>
      </w:r>
    </w:p>
    <w:p>
      <w:pPr>
        <w:ind w:left="3264" w:right="800" w:hanging="3264"/>
        <w:spacing w:after="0" w:line="251" w:lineRule="auto"/>
        <w:tabs>
          <w:tab w:leader="none" w:pos="227" w:val="left"/>
        </w:tabs>
        <w:numPr>
          <w:ilvl w:val="0"/>
          <w:numId w:val="1"/>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color w:val="auto"/>
        </w:rPr>
        <w:t>QUARTERLY REPORT PURSUANT TO SECTION 13 or 15 (d) OF THE SECURITIES EXCHANGE ACT OF 1934. For the quarterly period ended March 31, 2019</w:t>
      </w:r>
    </w:p>
    <w:p>
      <w:pPr>
        <w:spacing w:after="0" w:line="84" w:lineRule="exact"/>
        <w:rPr>
          <w:sz w:val="24"/>
          <w:szCs w:val="24"/>
          <w:color w:val="auto"/>
        </w:rPr>
      </w:pPr>
    </w:p>
    <w:p>
      <w:pPr>
        <w:ind w:left="2404" w:right="720" w:hanging="2404"/>
        <w:spacing w:after="0" w:line="265" w:lineRule="auto"/>
        <w:tabs>
          <w:tab w:leader="none" w:pos="228"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58" w:lineRule="exact"/>
        <w:rPr>
          <w:sz w:val="24"/>
          <w:szCs w:val="24"/>
          <w:color w:val="auto"/>
        </w:rPr>
      </w:pPr>
    </w:p>
    <w:p>
      <w:pPr>
        <w:ind w:left="3764"/>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83"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9"/>
          <w:szCs w:val="19"/>
          <w:b w:val="1"/>
          <w:bCs w:val="1"/>
          <w:u w:val="single" w:color="auto"/>
          <w:color w:val="auto"/>
        </w:rPr>
        <w:t>AQUA AMERICA, INC.</w:t>
      </w:r>
    </w:p>
    <w:p>
      <w:pPr>
        <w:spacing w:after="0" w:line="22"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231" w:lineRule="exact"/>
        <w:rPr>
          <w:sz w:val="24"/>
          <w:szCs w:val="24"/>
          <w:color w:val="auto"/>
        </w:rPr>
      </w:pPr>
    </w:p>
    <w:tbl>
      <w:tblPr>
        <w:tblLayout w:type="fixed"/>
        <w:tblInd w:w="464"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Pennsylvania</w:t>
            </w:r>
          </w:p>
        </w:tc>
        <w:tc>
          <w:tcPr>
            <w:tcW w:w="26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97"/>
              </w:rPr>
              <w:t>23-1702594</w:t>
            </w:r>
          </w:p>
        </w:tc>
        <w:tc>
          <w:tcPr>
            <w:tcW w:w="22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180" w:type="dxa"/>
            <w:vAlign w:val="bottom"/>
            <w:gridSpan w:val="4"/>
          </w:tcPr>
          <w:p>
            <w:pPr>
              <w:jc w:val="center"/>
              <w:ind w:right="1160"/>
              <w:spacing w:after="0" w:line="210" w:lineRule="exact"/>
              <w:rPr>
                <w:sz w:val="20"/>
                <w:szCs w:val="20"/>
                <w:color w:val="auto"/>
              </w:rPr>
            </w:pPr>
            <w:r>
              <w:rPr>
                <w:rFonts w:ascii="Times New Roman" w:cs="Times New Roman" w:eastAsia="Times New Roman" w:hAnsi="Times New Roman"/>
                <w:sz w:val="19"/>
                <w:szCs w:val="19"/>
                <w:color w:val="auto"/>
                <w:w w:val="98"/>
              </w:rPr>
              <w:t>(State or other jurisdiction of</w:t>
            </w:r>
          </w:p>
        </w:tc>
        <w:tc>
          <w:tcPr>
            <w:tcW w:w="2580" w:type="dxa"/>
            <w:vAlign w:val="bottom"/>
            <w:gridSpan w:val="5"/>
          </w:tcPr>
          <w:p>
            <w:pPr>
              <w:jc w:val="center"/>
              <w:ind w:left="1105"/>
              <w:spacing w:after="0" w:line="210"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180" w:type="dxa"/>
            <w:vAlign w:val="bottom"/>
            <w:gridSpan w:val="4"/>
          </w:tcPr>
          <w:p>
            <w:pPr>
              <w:jc w:val="center"/>
              <w:ind w:right="1160"/>
              <w:spacing w:after="0"/>
              <w:rPr>
                <w:sz w:val="20"/>
                <w:szCs w:val="20"/>
                <w:color w:val="auto"/>
              </w:rPr>
            </w:pPr>
            <w:r>
              <w:rPr>
                <w:rFonts w:ascii="Times New Roman" w:cs="Times New Roman" w:eastAsia="Times New Roman" w:hAnsi="Times New Roman"/>
                <w:sz w:val="19"/>
                <w:szCs w:val="19"/>
                <w:color w:val="auto"/>
                <w:w w:val="98"/>
              </w:rPr>
              <w:t>incorporation or organization)</w:t>
            </w:r>
          </w:p>
        </w:tc>
        <w:tc>
          <w:tcPr>
            <w:tcW w:w="2580" w:type="dxa"/>
            <w:vAlign w:val="bottom"/>
            <w:gridSpan w:val="5"/>
          </w:tcPr>
          <w:p>
            <w:pPr>
              <w:jc w:val="center"/>
              <w:ind w:left="1085"/>
              <w:spacing w:after="0"/>
              <w:rPr>
                <w:sz w:val="20"/>
                <w:szCs w:val="20"/>
                <w:color w:val="auto"/>
              </w:rPr>
            </w:pPr>
            <w:r>
              <w:rPr>
                <w:rFonts w:ascii="Times New Roman" w:cs="Times New Roman" w:eastAsia="Times New Roman" w:hAnsi="Times New Roman"/>
                <w:sz w:val="19"/>
                <w:szCs w:val="19"/>
                <w:color w:val="auto"/>
                <w:w w:val="98"/>
              </w:rPr>
              <w:t>Identification No.)</w:t>
            </w:r>
          </w:p>
        </w:tc>
      </w:tr>
      <w:tr>
        <w:trPr>
          <w:trHeight w:val="390"/>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9"/>
                <w:szCs w:val="19"/>
                <w:color w:val="auto"/>
                <w:w w:val="97"/>
              </w:rPr>
              <w:t>19010 -3489</w:t>
            </w:r>
          </w:p>
        </w:tc>
      </w:tr>
      <w:tr>
        <w:trPr>
          <w:trHeight w:val="239"/>
        </w:trPr>
        <w:tc>
          <w:tcPr>
            <w:tcW w:w="40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auto"/>
              </w:rPr>
              <w:t>(Zip Code)</w:t>
            </w:r>
          </w:p>
        </w:tc>
        <w:tc>
          <w:tcPr>
            <w:tcW w:w="220" w:type="dxa"/>
            <w:vAlign w:val="bottom"/>
          </w:tcPr>
          <w:p>
            <w:pPr>
              <w:spacing w:after="0"/>
              <w:rPr>
                <w:sz w:val="20"/>
                <w:szCs w:val="20"/>
                <w:color w:val="auto"/>
              </w:rPr>
            </w:pPr>
          </w:p>
        </w:tc>
      </w:tr>
    </w:tbl>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u w:val="single" w:color="auto"/>
          <w:color w:val="auto"/>
        </w:rPr>
        <w:t>(610) 527-8000</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(Registrant’s telephone number, including area code)</w:t>
      </w:r>
    </w:p>
    <w:p>
      <w:pPr>
        <w:spacing w:after="0" w:line="194"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214" w:lineRule="exact"/>
        <w:rPr>
          <w:sz w:val="24"/>
          <w:szCs w:val="24"/>
          <w:color w:val="auto"/>
        </w:rPr>
      </w:pPr>
    </w:p>
    <w:p>
      <w:pPr>
        <w:ind w:left="4" w:right="380"/>
        <w:spacing w:after="0" w:line="237"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highlight w:val="black"/>
        </w:rPr>
        <w:t>☐</w:t>
      </w:r>
    </w:p>
    <w:p>
      <w:pPr>
        <w:spacing w:after="0" w:line="168" w:lineRule="exact"/>
        <w:rPr>
          <w:sz w:val="24"/>
          <w:szCs w:val="24"/>
          <w:color w:val="auto"/>
        </w:rPr>
      </w:pPr>
    </w:p>
    <w:p>
      <w:pPr>
        <w:jc w:val="both"/>
        <w:ind w:left="4" w:right="20"/>
        <w:spacing w:after="0" w:line="237"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highlight w:val="black"/>
        </w:rPr>
        <w:t>☐</w:t>
      </w:r>
    </w:p>
    <w:p>
      <w:pPr>
        <w:spacing w:after="0" w:line="168" w:lineRule="exact"/>
        <w:rPr>
          <w:sz w:val="24"/>
          <w:szCs w:val="24"/>
          <w:color w:val="auto"/>
        </w:rPr>
      </w:pPr>
    </w:p>
    <w:p>
      <w:pPr>
        <w:jc w:val="both"/>
        <w:ind w:left="4" w:right="20"/>
        <w:spacing w:after="0" w:line="24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4"/>
        <w:spacing w:after="0" w:line="219" w:lineRule="exact"/>
        <w:tabs>
          <w:tab w:leader="none" w:pos="6683" w:val="left"/>
        </w:tabs>
        <w:rPr>
          <w:sz w:val="20"/>
          <w:szCs w:val="20"/>
          <w:color w:val="auto"/>
        </w:rPr>
      </w:pPr>
      <w:r>
        <w:rPr>
          <w:rFonts w:ascii="Times New Roman" w:cs="Times New Roman" w:eastAsia="Times New Roman" w:hAnsi="Times New Roman"/>
          <w:sz w:val="19"/>
          <w:szCs w:val="19"/>
          <w:color w:val="auto"/>
        </w:rPr>
        <w:t xml:space="preserve">Large accelerated filer </w:t>
      </w:r>
      <w:r>
        <w:rPr>
          <w:rFonts w:ascii="MS PGothic" w:cs="MS PGothic" w:eastAsia="MS PGothic" w:hAnsi="MS PGothic"/>
          <w:sz w:val="19"/>
          <w:szCs w:val="19"/>
          <w:color w:val="auto"/>
          <w:highlight w:val="black"/>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30" w:lineRule="exact"/>
        <w:rPr>
          <w:sz w:val="24"/>
          <w:szCs w:val="24"/>
          <w:color w:val="auto"/>
        </w:rPr>
      </w:pPr>
    </w:p>
    <w:p>
      <w:pPr>
        <w:ind w:left="4"/>
        <w:spacing w:after="0" w:line="219" w:lineRule="exact"/>
        <w:tabs>
          <w:tab w:leader="none" w:pos="6683" w:val="left"/>
        </w:tabs>
        <w:rPr>
          <w:sz w:val="20"/>
          <w:szCs w:val="20"/>
          <w:color w:val="auto"/>
        </w:rPr>
      </w:pPr>
      <w:r>
        <w:rPr>
          <w:rFonts w:ascii="Times New Roman" w:cs="Times New Roman" w:eastAsia="Times New Roman" w:hAnsi="Times New Roman"/>
          <w:sz w:val="19"/>
          <w:szCs w:val="19"/>
          <w:color w:val="auto"/>
        </w:rPr>
        <w:t xml:space="preserve">Non-accelerated filer </w:t>
      </w:r>
      <w:r>
        <w:rPr>
          <w:rFonts w:ascii="MS PGothic" w:cs="MS PGothic" w:eastAsia="MS PGothic" w:hAnsi="MS PGothic"/>
          <w:sz w:val="19"/>
          <w:szCs w:val="19"/>
          <w:color w:val="auto"/>
          <w:highlight w:val="black"/>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highlight w:val="black"/>
        </w:rPr>
        <w:t>☐</w:t>
      </w:r>
    </w:p>
    <w:p>
      <w:pPr>
        <w:spacing w:after="0" w:line="11" w:lineRule="exact"/>
        <w:rPr>
          <w:sz w:val="24"/>
          <w:szCs w:val="24"/>
          <w:color w:val="auto"/>
        </w:rPr>
      </w:pPr>
    </w:p>
    <w:p>
      <w:pPr>
        <w:ind w:left="4"/>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highlight w:val="black"/>
        </w:rPr>
        <w:t>☐</w:t>
      </w:r>
    </w:p>
    <w:p>
      <w:pPr>
        <w:spacing w:after="0" w:line="207" w:lineRule="exact"/>
        <w:rPr>
          <w:sz w:val="24"/>
          <w:szCs w:val="24"/>
          <w:color w:val="auto"/>
        </w:rPr>
      </w:pPr>
    </w:p>
    <w:p>
      <w:pPr>
        <w:ind w:left="4" w:right="42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49" w:lineRule="exact"/>
        <w:rPr>
          <w:sz w:val="24"/>
          <w:szCs w:val="24"/>
          <w:color w:val="auto"/>
        </w:rPr>
      </w:pPr>
    </w:p>
    <w:p>
      <w:pPr>
        <w:ind w:left="4"/>
        <w:spacing w:after="0" w:line="219"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highlight w:val="black"/>
        </w:rPr>
        <w:t>☒</w:t>
      </w:r>
    </w:p>
    <w:p>
      <w:pPr>
        <w:spacing w:after="0" w:line="245"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pacing w:after="0" w:line="26" w:lineRule="exact"/>
        <w:rPr>
          <w:sz w:val="24"/>
          <w:szCs w:val="24"/>
          <w:color w:val="auto"/>
        </w:rPr>
      </w:pPr>
    </w:p>
    <w:tbl>
      <w:tblPr>
        <w:tblLayout w:type="fixed"/>
        <w:tblInd w:w="4" w:type="dxa"/>
        <w:tblCellMar>
          <w:top w:w="0" w:type="dxa"/>
          <w:left w:w="0" w:type="dxa"/>
          <w:bottom w:w="0" w:type="dxa"/>
          <w:right w:w="0" w:type="dxa"/>
        </w:tblCellMar>
      </w:tblPr>
      <w:tr>
        <w:trPr>
          <w:trHeight w:val="248"/>
        </w:trPr>
        <w:tc>
          <w:tcPr>
            <w:tcW w:w="3960" w:type="dxa"/>
            <w:vAlign w:val="bottom"/>
            <w:gridSpan w:val="2"/>
          </w:tcPr>
          <w:p>
            <w:pPr>
              <w:jc w:val="center"/>
              <w:ind w:right="320"/>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03"/>
        </w:trPr>
        <w:tc>
          <w:tcPr>
            <w:tcW w:w="366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9"/>
              </w:rPr>
              <w:t>Common stock, $.50 par value</w:t>
            </w:r>
          </w:p>
        </w:tc>
        <w:tc>
          <w:tcPr>
            <w:tcW w:w="300" w:type="dxa"/>
            <w:vAlign w:val="bottom"/>
          </w:tcPr>
          <w:p>
            <w:pPr>
              <w:spacing w:after="0"/>
              <w:rPr>
                <w:sz w:val="17"/>
                <w:szCs w:val="17"/>
                <w:color w:val="auto"/>
              </w:rPr>
            </w:pPr>
          </w:p>
        </w:tc>
        <w:tc>
          <w:tcPr>
            <w:tcW w:w="184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9"/>
              </w:rPr>
              <w:t>WTR</w:t>
            </w:r>
          </w:p>
        </w:tc>
        <w:tc>
          <w:tcPr>
            <w:tcW w:w="300" w:type="dxa"/>
            <w:vAlign w:val="bottom"/>
          </w:tcPr>
          <w:p>
            <w:pPr>
              <w:spacing w:after="0"/>
              <w:rPr>
                <w:sz w:val="17"/>
                <w:szCs w:val="17"/>
                <w:color w:val="auto"/>
              </w:rPr>
            </w:pPr>
          </w:p>
        </w:tc>
        <w:tc>
          <w:tcPr>
            <w:tcW w:w="402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8"/>
              </w:rPr>
              <w:t>New York Stock Exchange</w:t>
            </w:r>
          </w:p>
        </w:tc>
      </w:tr>
      <w:tr>
        <w:trPr>
          <w:trHeight w:val="244"/>
        </w:trPr>
        <w:tc>
          <w:tcPr>
            <w:tcW w:w="3960" w:type="dxa"/>
            <w:vAlign w:val="bottom"/>
            <w:gridSpan w:val="2"/>
          </w:tcPr>
          <w:p>
            <w:pPr>
              <w:jc w:val="center"/>
              <w:ind w:right="320"/>
              <w:spacing w:after="0"/>
              <w:rPr>
                <w:sz w:val="20"/>
                <w:szCs w:val="20"/>
                <w:color w:val="auto"/>
              </w:rPr>
            </w:pPr>
            <w:r>
              <w:rPr>
                <w:rFonts w:ascii="Times New Roman" w:cs="Times New Roman" w:eastAsia="Times New Roman" w:hAnsi="Times New Roman"/>
                <w:sz w:val="19"/>
                <w:szCs w:val="19"/>
                <w:color w:val="auto"/>
                <w:w w:val="98"/>
              </w:rPr>
              <w:t>6.00% Tangible Equity Units</w:t>
            </w: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color w:val="auto"/>
              </w:rPr>
              <w:t>WTRU</w:t>
            </w:r>
          </w:p>
        </w:tc>
        <w:tc>
          <w:tcPr>
            <w:tcW w:w="4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21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April 24, 2019: 215,739,266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516890</wp:posOffset>
            </wp:positionV>
            <wp:extent cx="615696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124"/>
          </w:cols>
          <w:pgMar w:left="896" w:top="220" w:right="879" w:bottom="1440" w:gutter="0" w:footer="0" w:header="0"/>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140" w:type="dxa"/>
            <w:vAlign w:val="bottom"/>
            <w:gridSpan w:val="18"/>
            <w:shd w:val="clear" w:color="auto" w:fill="CCEEFF"/>
          </w:tcPr>
          <w:p>
            <w:pPr>
              <w:jc w:val="center"/>
              <w:ind w:right="2400"/>
              <w:spacing w:after="0" w:line="203" w:lineRule="exact"/>
              <w:rPr>
                <w:rFonts w:ascii="Times New Roman" w:cs="Times New Roman" w:eastAsia="Times New Roman" w:hAnsi="Times New Roman"/>
                <w:sz w:val="22"/>
                <w:szCs w:val="22"/>
                <w:color w:val="0000EE"/>
                <w:w w:val="98"/>
              </w:rPr>
            </w:pPr>
            <w:hyperlink w:anchor="page3">
              <w:r>
                <w:rPr>
                  <w:rFonts w:ascii="Times New Roman" w:cs="Times New Roman" w:eastAsia="Times New Roman" w:hAnsi="Times New Roman"/>
                  <w:sz w:val="22"/>
                  <w:szCs w:val="22"/>
                  <w:color w:val="0000EE"/>
                  <w:w w:val="98"/>
                </w:rPr>
                <w:t>Part I – Financial Information</w:t>
              </w:r>
            </w:hyperlink>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
              <w:r>
                <w:rPr>
                  <w:rFonts w:ascii="Times New Roman" w:cs="Times New Roman" w:eastAsia="Times New Roman" w:hAnsi="Times New Roman"/>
                  <w:sz w:val="22"/>
                  <w:szCs w:val="22"/>
                  <w:color w:val="0000EE"/>
                  <w:w w:val="99"/>
                </w:rPr>
                <w:t>Item 1.</w:t>
              </w:r>
            </w:hyperlink>
          </w:p>
        </w:tc>
        <w:tc>
          <w:tcPr>
            <w:tcW w:w="8320" w:type="dxa"/>
            <w:vAlign w:val="bottom"/>
            <w:gridSpan w:val="25"/>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
              <w:r>
                <w:rPr>
                  <w:rFonts w:ascii="Times New Roman" w:cs="Times New Roman" w:eastAsia="Times New Roman" w:hAnsi="Times New Roman"/>
                  <w:sz w:val="22"/>
                  <w:szCs w:val="22"/>
                  <w:color w:val="0000EE"/>
                </w:rPr>
                <w:t>Financial Statements:</w:t>
              </w:r>
            </w:hyperlink>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320" w:type="dxa"/>
            <w:vAlign w:val="bottom"/>
            <w:gridSpan w:val="25"/>
            <w:shd w:val="clear" w:color="auto" w:fill="CCEEFF"/>
          </w:tcPr>
          <w:p>
            <w:pPr>
              <w:spacing w:after="0" w:line="203" w:lineRule="exact"/>
              <w:rPr>
                <w:rFonts w:ascii="Times New Roman" w:cs="Times New Roman" w:eastAsia="Times New Roman" w:hAnsi="Times New Roman"/>
                <w:sz w:val="22"/>
                <w:szCs w:val="22"/>
                <w:color w:val="0000EE"/>
              </w:rPr>
            </w:pPr>
            <w:hyperlink w:anchor="page3">
              <w:r>
                <w:rPr>
                  <w:rFonts w:ascii="Times New Roman" w:cs="Times New Roman" w:eastAsia="Times New Roman" w:hAnsi="Times New Roman"/>
                  <w:sz w:val="22"/>
                  <w:szCs w:val="22"/>
                  <w:color w:val="0000EE"/>
                </w:rPr>
                <w:t>Consolidated Balance Sheets (unaudited) – March 31, 2019 and December 31, 2018</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7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320" w:type="dxa"/>
            <w:vAlign w:val="bottom"/>
            <w:gridSpan w:val="25"/>
            <w:shd w:val="clear" w:color="auto" w:fill="CCEEFF"/>
          </w:tcPr>
          <w:p>
            <w:pPr>
              <w:spacing w:after="0" w:line="203" w:lineRule="exact"/>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color w:val="0000EE"/>
                </w:rPr>
                <w:t>Consolidated Statements of Operations and Comprehensive Income (unaudited) –</w:t>
              </w:r>
            </w:hyperlink>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6740" w:type="dxa"/>
            <w:vAlign w:val="bottom"/>
            <w:tcBorders>
              <w:top w:val="single" w:sz="8" w:color="0000EE"/>
            </w:tcBorders>
            <w:gridSpan w:val="21"/>
            <w:shd w:val="clear" w:color="auto" w:fill="CCEEFF"/>
          </w:tcPr>
          <w:p>
            <w:pPr>
              <w:spacing w:after="0" w:line="223" w:lineRule="exact"/>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color w:val="0000EE"/>
                </w:rPr>
                <w:t>Three Months Ended March 31, 2019 and 2018</w:t>
              </w:r>
            </w:hyperlink>
          </w:p>
        </w:tc>
        <w:tc>
          <w:tcPr>
            <w:tcW w:w="1260" w:type="dxa"/>
            <w:vAlign w:val="bottom"/>
            <w:tcBorders>
              <w:top w:val="single" w:sz="8" w:color="CCEEFF"/>
            </w:tcBorders>
            <w:gridSpan w:val="2"/>
            <w:shd w:val="clear" w:color="auto" w:fill="CCEEFF"/>
          </w:tcPr>
          <w:p>
            <w:pPr>
              <w:spacing w:after="0"/>
              <w:rPr>
                <w:sz w:val="21"/>
                <w:szCs w:val="21"/>
                <w:color w:val="auto"/>
              </w:rPr>
            </w:pPr>
          </w:p>
        </w:tc>
        <w:tc>
          <w:tcPr>
            <w:tcW w:w="540" w:type="dxa"/>
            <w:vAlign w:val="bottom"/>
            <w:tcBorders>
              <w:top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320" w:type="dxa"/>
            <w:vAlign w:val="bottom"/>
            <w:gridSpan w:val="25"/>
            <w:shd w:val="clear" w:color="auto" w:fill="CCEEFF"/>
          </w:tcPr>
          <w:p>
            <w:pPr>
              <w:spacing w:after="0" w:line="203" w:lineRule="exact"/>
              <w:rPr>
                <w:rFonts w:ascii="Times New Roman" w:cs="Times New Roman" w:eastAsia="Times New Roman" w:hAnsi="Times New Roman"/>
                <w:sz w:val="22"/>
                <w:szCs w:val="22"/>
                <w:color w:val="0000EE"/>
              </w:rPr>
            </w:pPr>
            <w:hyperlink w:anchor="page6">
              <w:r>
                <w:rPr>
                  <w:rFonts w:ascii="Times New Roman" w:cs="Times New Roman" w:eastAsia="Times New Roman" w:hAnsi="Times New Roman"/>
                  <w:sz w:val="22"/>
                  <w:szCs w:val="22"/>
                  <w:color w:val="0000EE"/>
                </w:rPr>
                <w:t>Consolidated Statements of Capitalization (unaudited) –</w:t>
              </w:r>
            </w:hyperlink>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520" w:type="dxa"/>
            <w:vAlign w:val="bottom"/>
            <w:tcBorders>
              <w:top w:val="single" w:sz="8" w:color="0000EE"/>
            </w:tcBorders>
            <w:gridSpan w:val="16"/>
            <w:shd w:val="clear" w:color="auto" w:fill="CCEEFF"/>
          </w:tcPr>
          <w:p>
            <w:pPr>
              <w:spacing w:after="0" w:line="223" w:lineRule="exact"/>
              <w:rPr>
                <w:rFonts w:ascii="Times New Roman" w:cs="Times New Roman" w:eastAsia="Times New Roman" w:hAnsi="Times New Roman"/>
                <w:sz w:val="22"/>
                <w:szCs w:val="22"/>
                <w:color w:val="0000EE"/>
              </w:rPr>
            </w:pPr>
            <w:hyperlink w:anchor="page6">
              <w:r>
                <w:rPr>
                  <w:rFonts w:ascii="Times New Roman" w:cs="Times New Roman" w:eastAsia="Times New Roman" w:hAnsi="Times New Roman"/>
                  <w:sz w:val="22"/>
                  <w:szCs w:val="22"/>
                  <w:color w:val="0000EE"/>
                </w:rPr>
                <w:t>March 31, 2019 and December 31, 2018</w:t>
              </w:r>
            </w:hyperlink>
          </w:p>
        </w:tc>
        <w:tc>
          <w:tcPr>
            <w:tcW w:w="3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020" w:type="dxa"/>
            <w:vAlign w:val="bottom"/>
            <w:tcBorders>
              <w:top w:val="single" w:sz="8" w:color="CCEEFF"/>
            </w:tcBorders>
            <w:gridSpan w:val="4"/>
            <w:shd w:val="clear" w:color="auto" w:fill="CCEEFF"/>
          </w:tcPr>
          <w:p>
            <w:pPr>
              <w:spacing w:after="0"/>
              <w:rPr>
                <w:sz w:val="21"/>
                <w:szCs w:val="21"/>
                <w:color w:val="auto"/>
              </w:rPr>
            </w:pPr>
          </w:p>
        </w:tc>
        <w:tc>
          <w:tcPr>
            <w:tcW w:w="540" w:type="dxa"/>
            <w:vAlign w:val="bottom"/>
            <w:tcBorders>
              <w:top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320" w:type="dxa"/>
            <w:vAlign w:val="bottom"/>
            <w:gridSpan w:val="25"/>
            <w:shd w:val="clear" w:color="auto" w:fill="CCEEFF"/>
          </w:tcPr>
          <w:p>
            <w:pPr>
              <w:spacing w:after="0" w:line="203" w:lineRule="exact"/>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Consolidated Statements of Equity (unaudited) –</w:t>
              </w:r>
            </w:hyperlink>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20" w:type="dxa"/>
            <w:vAlign w:val="bottom"/>
            <w:gridSpan w:val="4"/>
            <w:shd w:val="clear" w:color="auto" w:fill="CCEEFF"/>
          </w:tcPr>
          <w:p>
            <w:pPr>
              <w:spacing w:after="0" w:line="20" w:lineRule="exact"/>
              <w:rPr>
                <w:sz w:val="1"/>
                <w:szCs w:val="1"/>
                <w:color w:val="auto"/>
              </w:rPr>
            </w:pPr>
          </w:p>
        </w:tc>
        <w:tc>
          <w:tcPr>
            <w:tcW w:w="54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0" w:type="dxa"/>
            <w:vAlign w:val="bottom"/>
            <w:gridSpan w:val="23"/>
            <w:shd w:val="clear" w:color="auto" w:fill="CCEEFF"/>
          </w:tcPr>
          <w:p>
            <w:pPr>
              <w:spacing w:after="0" w:line="223" w:lineRule="exact"/>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Three Months Ended March 31, 2019 and 2018</w:t>
              </w:r>
            </w:hyperlink>
          </w:p>
        </w:tc>
        <w:tc>
          <w:tcPr>
            <w:tcW w:w="5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320" w:type="dxa"/>
            <w:vAlign w:val="bottom"/>
            <w:gridSpan w:val="25"/>
            <w:shd w:val="clear" w:color="auto" w:fill="CCEEFF"/>
          </w:tcPr>
          <w:p>
            <w:pPr>
              <w:spacing w:after="0" w:line="203" w:lineRule="exact"/>
              <w:rPr>
                <w:rFonts w:ascii="Times New Roman" w:cs="Times New Roman" w:eastAsia="Times New Roman" w:hAnsi="Times New Roman"/>
                <w:sz w:val="22"/>
                <w:szCs w:val="22"/>
                <w:color w:val="0000EE"/>
              </w:rPr>
            </w:pPr>
            <w:hyperlink w:anchor="page8">
              <w:r>
                <w:rPr>
                  <w:rFonts w:ascii="Times New Roman" w:cs="Times New Roman" w:eastAsia="Times New Roman" w:hAnsi="Times New Roman"/>
                  <w:sz w:val="22"/>
                  <w:szCs w:val="22"/>
                  <w:color w:val="0000EE"/>
                </w:rPr>
                <w:t>Consolidated Statements of Cash Flow (unaudited) –</w:t>
              </w:r>
            </w:hyperlink>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240" w:type="dxa"/>
            <w:vAlign w:val="bottom"/>
            <w:tcBorders>
              <w:top w:val="single" w:sz="8" w:color="0000EE"/>
            </w:tcBorders>
            <w:gridSpan w:val="13"/>
            <w:shd w:val="clear" w:color="auto" w:fill="CCEEFF"/>
          </w:tcPr>
          <w:p>
            <w:pPr>
              <w:spacing w:after="0" w:line="223" w:lineRule="exact"/>
              <w:rPr>
                <w:rFonts w:ascii="Times New Roman" w:cs="Times New Roman" w:eastAsia="Times New Roman" w:hAnsi="Times New Roman"/>
                <w:sz w:val="22"/>
                <w:szCs w:val="22"/>
                <w:color w:val="0000EE"/>
              </w:rPr>
            </w:pPr>
            <w:hyperlink w:anchor="page8">
              <w:r>
                <w:rPr>
                  <w:rFonts w:ascii="Times New Roman" w:cs="Times New Roman" w:eastAsia="Times New Roman" w:hAnsi="Times New Roman"/>
                  <w:sz w:val="22"/>
                  <w:szCs w:val="22"/>
                  <w:color w:val="0000EE"/>
                </w:rPr>
                <w:t>Three Months Ended March 31, 2019 and 2018</w:t>
              </w:r>
            </w:hyperlink>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gridSpan w:val="2"/>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020" w:type="dxa"/>
            <w:vAlign w:val="bottom"/>
            <w:tcBorders>
              <w:top w:val="single" w:sz="8" w:color="CCEEFF"/>
            </w:tcBorders>
            <w:gridSpan w:val="4"/>
            <w:shd w:val="clear" w:color="auto" w:fill="CCEEFF"/>
          </w:tcPr>
          <w:p>
            <w:pPr>
              <w:spacing w:after="0"/>
              <w:rPr>
                <w:sz w:val="21"/>
                <w:szCs w:val="21"/>
                <w:color w:val="auto"/>
              </w:rPr>
            </w:pPr>
          </w:p>
        </w:tc>
        <w:tc>
          <w:tcPr>
            <w:tcW w:w="540" w:type="dxa"/>
            <w:vAlign w:val="bottom"/>
            <w:tcBorders>
              <w:top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320" w:type="dxa"/>
            <w:vAlign w:val="bottom"/>
            <w:gridSpan w:val="25"/>
            <w:shd w:val="clear" w:color="auto" w:fill="CCEEFF"/>
          </w:tcPr>
          <w:p>
            <w:pPr>
              <w:spacing w:after="0" w:line="203" w:lineRule="exact"/>
              <w:rPr>
                <w:rFonts w:ascii="Times New Roman" w:cs="Times New Roman" w:eastAsia="Times New Roman" w:hAnsi="Times New Roman"/>
                <w:sz w:val="22"/>
                <w:szCs w:val="22"/>
                <w:color w:val="0000EE"/>
              </w:rPr>
            </w:pPr>
            <w:hyperlink w:anchor="page8">
              <w:r>
                <w:rPr>
                  <w:rFonts w:ascii="Times New Roman" w:cs="Times New Roman" w:eastAsia="Times New Roman" w:hAnsi="Times New Roman"/>
                  <w:sz w:val="22"/>
                  <w:szCs w:val="22"/>
                  <w:color w:val="0000EE"/>
                </w:rPr>
                <w:t>Notes to Consolidated Financial Statements (unaudited)</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8980" w:type="dxa"/>
            <w:vAlign w:val="bottom"/>
            <w:gridSpan w:val="26"/>
            <w:shd w:val="clear" w:color="auto" w:fill="CCEEFF"/>
          </w:tcPr>
          <w:p>
            <w:pPr>
              <w:spacing w:after="0" w:line="203" w:lineRule="exact"/>
              <w:rPr>
                <w:rFonts w:ascii="Times New Roman" w:cs="Times New Roman" w:eastAsia="Times New Roman" w:hAnsi="Times New Roman"/>
                <w:sz w:val="22"/>
                <w:szCs w:val="22"/>
                <w:color w:val="0000EE"/>
              </w:rPr>
            </w:pPr>
            <w:hyperlink w:anchor="page31">
              <w:r>
                <w:rPr>
                  <w:rFonts w:ascii="Times New Roman" w:cs="Times New Roman" w:eastAsia="Times New Roman" w:hAnsi="Times New Roman"/>
                  <w:sz w:val="22"/>
                  <w:szCs w:val="22"/>
                  <w:color w:val="0000EE"/>
                </w:rPr>
                <w:t>Item 2. Management’s Discussion and Analysis of Financial</w:t>
              </w:r>
            </w:hyperlink>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44"/>
        </w:trPr>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0000EE"/>
              <w:right w:val="single" w:sz="8" w:color="CCEEFF"/>
            </w:tcBorders>
            <w:shd w:val="clear" w:color="auto" w:fill="CCEEFF"/>
          </w:tcPr>
          <w:p>
            <w:pPr>
              <w:spacing w:after="0"/>
              <w:rPr>
                <w:sz w:val="21"/>
                <w:szCs w:val="21"/>
                <w:color w:val="auto"/>
              </w:rPr>
            </w:pPr>
          </w:p>
        </w:tc>
        <w:tc>
          <w:tcPr>
            <w:tcW w:w="4600" w:type="dxa"/>
            <w:vAlign w:val="bottom"/>
            <w:tcBorders>
              <w:top w:val="single" w:sz="8" w:color="0000EE"/>
            </w:tcBorders>
            <w:gridSpan w:val="16"/>
            <w:shd w:val="clear" w:color="auto" w:fill="CCEEFF"/>
          </w:tcPr>
          <w:p>
            <w:pPr>
              <w:spacing w:after="0" w:line="223" w:lineRule="exact"/>
              <w:rPr>
                <w:rFonts w:ascii="Times New Roman" w:cs="Times New Roman" w:eastAsia="Times New Roman" w:hAnsi="Times New Roman"/>
                <w:sz w:val="22"/>
                <w:szCs w:val="22"/>
                <w:color w:val="0000EE"/>
              </w:rPr>
            </w:pPr>
            <w:hyperlink w:anchor="page31">
              <w:r>
                <w:rPr>
                  <w:rFonts w:ascii="Times New Roman" w:cs="Times New Roman" w:eastAsia="Times New Roman" w:hAnsi="Times New Roman"/>
                  <w:sz w:val="22"/>
                  <w:szCs w:val="22"/>
                  <w:color w:val="0000EE"/>
                </w:rPr>
                <w:t>Condition and Results of Operations</w:t>
              </w:r>
            </w:hyperlink>
          </w:p>
        </w:tc>
        <w:tc>
          <w:tcPr>
            <w:tcW w:w="620" w:type="dxa"/>
            <w:vAlign w:val="bottom"/>
            <w:tcBorders>
              <w:top w:val="single" w:sz="8" w:color="CCEEFF"/>
            </w:tcBorders>
            <w:gridSpan w:val="3"/>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020" w:type="dxa"/>
            <w:vAlign w:val="bottom"/>
            <w:tcBorders>
              <w:top w:val="single" w:sz="8" w:color="CCEEFF"/>
            </w:tcBorders>
            <w:gridSpan w:val="4"/>
            <w:shd w:val="clear" w:color="auto" w:fill="CCEEFF"/>
          </w:tcPr>
          <w:p>
            <w:pPr>
              <w:spacing w:after="0"/>
              <w:rPr>
                <w:sz w:val="21"/>
                <w:szCs w:val="21"/>
                <w:color w:val="auto"/>
              </w:rPr>
            </w:pPr>
          </w:p>
        </w:tc>
        <w:tc>
          <w:tcPr>
            <w:tcW w:w="540" w:type="dxa"/>
            <w:vAlign w:val="bottom"/>
            <w:tcBorders>
              <w:top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7">
              <w:r>
                <w:rPr>
                  <w:rFonts w:ascii="Times New Roman" w:cs="Times New Roman" w:eastAsia="Times New Roman" w:hAnsi="Times New Roman"/>
                  <w:sz w:val="22"/>
                  <w:szCs w:val="22"/>
                  <w:color w:val="0000EE"/>
                  <w:w w:val="99"/>
                </w:rPr>
                <w:t>Item 3.</w:t>
              </w:r>
            </w:hyperlink>
          </w:p>
        </w:tc>
        <w:tc>
          <w:tcPr>
            <w:tcW w:w="8320" w:type="dxa"/>
            <w:vAlign w:val="bottom"/>
            <w:gridSpan w:val="25"/>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7">
              <w:r>
                <w:rPr>
                  <w:rFonts w:ascii="Times New Roman" w:cs="Times New Roman" w:eastAsia="Times New Roman" w:hAnsi="Times New Roman"/>
                  <w:sz w:val="22"/>
                  <w:szCs w:val="22"/>
                  <w:color w:val="0000EE"/>
                </w:rPr>
                <w:t>Quantitative and Qualitative Disclosures About Market Risk</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7">
              <w:r>
                <w:rPr>
                  <w:rFonts w:ascii="Times New Roman" w:cs="Times New Roman" w:eastAsia="Times New Roman" w:hAnsi="Times New Roman"/>
                  <w:sz w:val="22"/>
                  <w:szCs w:val="22"/>
                  <w:color w:val="0000EE"/>
                  <w:w w:val="99"/>
                </w:rPr>
                <w:t>Item 4.</w:t>
              </w:r>
            </w:hyperlink>
          </w:p>
        </w:tc>
        <w:tc>
          <w:tcPr>
            <w:tcW w:w="8320" w:type="dxa"/>
            <w:vAlign w:val="bottom"/>
            <w:gridSpan w:val="25"/>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7">
              <w:r>
                <w:rPr>
                  <w:rFonts w:ascii="Times New Roman" w:cs="Times New Roman" w:eastAsia="Times New Roman" w:hAnsi="Times New Roman"/>
                  <w:sz w:val="22"/>
                  <w:szCs w:val="22"/>
                  <w:color w:val="0000EE"/>
                </w:rPr>
                <w:t>Controls and Procedures</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40" w:type="dxa"/>
            <w:vAlign w:val="bottom"/>
            <w:gridSpan w:val="16"/>
            <w:shd w:val="clear" w:color="auto" w:fill="CCEEFF"/>
          </w:tcPr>
          <w:p>
            <w:pPr>
              <w:jc w:val="center"/>
              <w:ind w:right="3100"/>
              <w:spacing w:after="0" w:line="203" w:lineRule="exact"/>
              <w:rPr>
                <w:rFonts w:ascii="Times New Roman" w:cs="Times New Roman" w:eastAsia="Times New Roman" w:hAnsi="Times New Roman"/>
                <w:sz w:val="22"/>
                <w:szCs w:val="22"/>
                <w:color w:val="0000EE"/>
                <w:w w:val="98"/>
              </w:rPr>
            </w:pPr>
            <w:hyperlink w:anchor="page37">
              <w:r>
                <w:rPr>
                  <w:rFonts w:ascii="Times New Roman" w:cs="Times New Roman" w:eastAsia="Times New Roman" w:hAnsi="Times New Roman"/>
                  <w:sz w:val="22"/>
                  <w:szCs w:val="22"/>
                  <w:color w:val="0000EE"/>
                  <w:w w:val="98"/>
                </w:rPr>
                <w:t>Part II – Other Information</w:t>
              </w:r>
            </w:hyperlink>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Times New Roman" w:cs="Times New Roman" w:eastAsia="Times New Roman" w:hAnsi="Times New Roman"/>
                <w:sz w:val="22"/>
                <w:szCs w:val="22"/>
                <w:color w:val="0000EE"/>
                <w:w w:val="99"/>
              </w:rPr>
            </w:pPr>
            <w:hyperlink w:anchor="page37">
              <w:r>
                <w:rPr>
                  <w:rFonts w:ascii="Times New Roman" w:cs="Times New Roman" w:eastAsia="Times New Roman" w:hAnsi="Times New Roman"/>
                  <w:sz w:val="22"/>
                  <w:szCs w:val="22"/>
                  <w:color w:val="0000EE"/>
                  <w:w w:val="99"/>
                </w:rPr>
                <w:t>Item 1.</w:t>
              </w:r>
            </w:hyperlink>
          </w:p>
        </w:tc>
        <w:tc>
          <w:tcPr>
            <w:tcW w:w="8320" w:type="dxa"/>
            <w:vAlign w:val="bottom"/>
            <w:gridSpan w:val="25"/>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37">
              <w:r>
                <w:rPr>
                  <w:rFonts w:ascii="Times New Roman" w:cs="Times New Roman" w:eastAsia="Times New Roman" w:hAnsi="Times New Roman"/>
                  <w:sz w:val="22"/>
                  <w:szCs w:val="22"/>
                  <w:color w:val="0000EE"/>
                </w:rPr>
                <w:t>Legal Proceedings</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8980" w:type="dxa"/>
            <w:vAlign w:val="bottom"/>
            <w:gridSpan w:val="26"/>
            <w:shd w:val="clear" w:color="auto" w:fill="CCEEFF"/>
          </w:tcPr>
          <w:p>
            <w:pPr>
              <w:spacing w:after="0" w:line="203" w:lineRule="exact"/>
              <w:rPr>
                <w:rFonts w:ascii="Times New Roman" w:cs="Times New Roman" w:eastAsia="Times New Roman" w:hAnsi="Times New Roman"/>
                <w:sz w:val="22"/>
                <w:szCs w:val="22"/>
                <w:color w:val="0000EE"/>
              </w:rPr>
            </w:pPr>
            <w:hyperlink w:anchor="page37">
              <w:r>
                <w:rPr>
                  <w:rFonts w:ascii="Times New Roman" w:cs="Times New Roman" w:eastAsia="Times New Roman" w:hAnsi="Times New Roman"/>
                  <w:sz w:val="22"/>
                  <w:szCs w:val="22"/>
                  <w:color w:val="0000EE"/>
                </w:rPr>
                <w:t>Item 1A. Risk Factors</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Times New Roman" w:cs="Times New Roman" w:eastAsia="Times New Roman" w:hAnsi="Times New Roman"/>
                <w:sz w:val="22"/>
                <w:szCs w:val="22"/>
                <w:color w:val="0000EE"/>
                <w:w w:val="99"/>
              </w:rPr>
            </w:pPr>
            <w:hyperlink w:anchor="page40">
              <w:r>
                <w:rPr>
                  <w:rFonts w:ascii="Times New Roman" w:cs="Times New Roman" w:eastAsia="Times New Roman" w:hAnsi="Times New Roman"/>
                  <w:sz w:val="22"/>
                  <w:szCs w:val="22"/>
                  <w:color w:val="0000EE"/>
                  <w:w w:val="99"/>
                </w:rPr>
                <w:t>Item 2.</w:t>
              </w:r>
            </w:hyperlink>
          </w:p>
        </w:tc>
        <w:tc>
          <w:tcPr>
            <w:tcW w:w="8320" w:type="dxa"/>
            <w:vAlign w:val="bottom"/>
            <w:gridSpan w:val="25"/>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40">
              <w:r>
                <w:rPr>
                  <w:rFonts w:ascii="Times New Roman" w:cs="Times New Roman" w:eastAsia="Times New Roman" w:hAnsi="Times New Roman"/>
                  <w:sz w:val="22"/>
                  <w:szCs w:val="22"/>
                  <w:color w:val="0000EE"/>
                </w:rPr>
                <w:t>Unregistered Sales of Equity Securities and Use of Proceeds</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Times New Roman" w:cs="Times New Roman" w:eastAsia="Times New Roman" w:hAnsi="Times New Roman"/>
                <w:sz w:val="22"/>
                <w:szCs w:val="22"/>
                <w:color w:val="0000EE"/>
                <w:w w:val="99"/>
              </w:rPr>
            </w:pPr>
            <w:hyperlink w:anchor="page40">
              <w:r>
                <w:rPr>
                  <w:rFonts w:ascii="Times New Roman" w:cs="Times New Roman" w:eastAsia="Times New Roman" w:hAnsi="Times New Roman"/>
                  <w:sz w:val="22"/>
                  <w:szCs w:val="22"/>
                  <w:color w:val="0000EE"/>
                  <w:w w:val="99"/>
                </w:rPr>
                <w:t>Item 6.</w:t>
              </w:r>
            </w:hyperlink>
          </w:p>
        </w:tc>
        <w:tc>
          <w:tcPr>
            <w:tcW w:w="8320" w:type="dxa"/>
            <w:vAlign w:val="bottom"/>
            <w:gridSpan w:val="25"/>
            <w:shd w:val="clear" w:color="auto" w:fill="CCEEFF"/>
          </w:tcPr>
          <w:p>
            <w:pPr>
              <w:ind w:left="60"/>
              <w:spacing w:after="0" w:line="203" w:lineRule="exact"/>
              <w:rPr>
                <w:rFonts w:ascii="Times New Roman" w:cs="Times New Roman" w:eastAsia="Times New Roman" w:hAnsi="Times New Roman"/>
                <w:sz w:val="22"/>
                <w:szCs w:val="22"/>
                <w:color w:val="0000EE"/>
              </w:rPr>
            </w:pPr>
            <w:hyperlink w:anchor="page40">
              <w:r>
                <w:rPr>
                  <w:rFonts w:ascii="Times New Roman" w:cs="Times New Roman" w:eastAsia="Times New Roman" w:hAnsi="Times New Roman"/>
                  <w:sz w:val="22"/>
                  <w:szCs w:val="22"/>
                  <w:color w:val="0000EE"/>
                </w:rPr>
                <w:t>Exhibits</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8980" w:type="dxa"/>
            <w:vAlign w:val="bottom"/>
            <w:gridSpan w:val="26"/>
            <w:shd w:val="clear" w:color="auto" w:fill="CCEEFF"/>
          </w:tcPr>
          <w:p>
            <w:pPr>
              <w:spacing w:after="0" w:line="203" w:lineRule="exact"/>
              <w:rPr>
                <w:rFonts w:ascii="Times New Roman" w:cs="Times New Roman" w:eastAsia="Times New Roman" w:hAnsi="Times New Roman"/>
                <w:sz w:val="22"/>
                <w:szCs w:val="22"/>
                <w:color w:val="0000EE"/>
              </w:rPr>
            </w:pPr>
            <w:hyperlink w:anchor="page42">
              <w:r>
                <w:rPr>
                  <w:rFonts w:ascii="Times New Roman" w:cs="Times New Roman" w:eastAsia="Times New Roman" w:hAnsi="Times New Roman"/>
                  <w:sz w:val="22"/>
                  <w:szCs w:val="22"/>
                  <w:color w:val="0000EE"/>
                </w:rPr>
                <w:t>Signatures</w:t>
              </w:r>
            </w:hyperlink>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1"/>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15696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March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December 31,</w:t>
            </w:r>
          </w:p>
        </w:tc>
      </w:tr>
      <w:tr>
        <w:trPr>
          <w:trHeight w:val="232"/>
        </w:trPr>
        <w:tc>
          <w:tcPr>
            <w:tcW w:w="20" w:type="dxa"/>
            <w:vAlign w:val="bottom"/>
          </w:tcPr>
          <w:p>
            <w:pPr>
              <w:spacing w:after="0"/>
              <w:rPr>
                <w:sz w:val="20"/>
                <w:szCs w:val="20"/>
                <w:color w:val="auto"/>
              </w:rPr>
            </w:pPr>
          </w:p>
        </w:tc>
        <w:tc>
          <w:tcPr>
            <w:tcW w:w="5360" w:type="dxa"/>
            <w:vAlign w:val="bottom"/>
            <w:tcBorders>
              <w:bottom w:val="single" w:sz="8" w:color="CCEEFF"/>
            </w:tcBorders>
          </w:tcPr>
          <w:p>
            <w:pPr>
              <w:ind w:left="3260"/>
              <w:spacing w:after="0"/>
              <w:rPr>
                <w:sz w:val="20"/>
                <w:szCs w:val="20"/>
                <w:color w:val="auto"/>
              </w:rPr>
            </w:pPr>
            <w:r>
              <w:rPr>
                <w:rFonts w:ascii="Times New Roman" w:cs="Times New Roman" w:eastAsia="Times New Roman" w:hAnsi="Times New Roman"/>
                <w:sz w:val="13"/>
                <w:szCs w:val="13"/>
                <w:color w:val="auto"/>
              </w:rPr>
              <w:t>Assets</w:t>
            </w:r>
          </w:p>
        </w:tc>
        <w:tc>
          <w:tcPr>
            <w:tcW w:w="1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rPr>
              <w:t>2019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rPr>
              <w:t>2018</w:t>
            </w: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at cost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7,747,530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7,648,469</w:t>
            </w:r>
          </w:p>
        </w:tc>
      </w:tr>
      <w:tr>
        <w:trPr>
          <w:trHeight w:val="243"/>
        </w:trPr>
        <w:tc>
          <w:tcPr>
            <w:tcW w:w="5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1,727,190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1,718,143</w:t>
            </w:r>
          </w:p>
        </w:tc>
      </w:tr>
      <w:tr>
        <w:trPr>
          <w:trHeight w:val="237"/>
        </w:trPr>
        <w:tc>
          <w:tcPr>
            <w:tcW w:w="20" w:type="dxa"/>
            <w:vAlign w:val="bottom"/>
          </w:tcPr>
          <w:p>
            <w:pPr>
              <w:spacing w:after="0"/>
              <w:rPr>
                <w:sz w:val="20"/>
                <w:szCs w:val="20"/>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property, plant and equipment</w:t>
            </w:r>
          </w:p>
        </w:tc>
        <w:tc>
          <w:tcPr>
            <w:tcW w:w="17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6,020,340</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5,930,326</w:t>
            </w: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w:t>
            </w:r>
          </w:p>
        </w:tc>
      </w:tr>
      <w:tr>
        <w:trPr>
          <w:trHeight w:val="243"/>
        </w:trPr>
        <w:tc>
          <w:tcPr>
            <w:tcW w:w="20" w:type="dxa"/>
            <w:vAlign w:val="bottom"/>
          </w:tcPr>
          <w:p>
            <w:pPr>
              <w:spacing w:after="0"/>
              <w:rPr>
                <w:sz w:val="21"/>
                <w:szCs w:val="21"/>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101,225</w:t>
            </w:r>
          </w:p>
        </w:tc>
      </w:tr>
      <w:tr>
        <w:trPr>
          <w:trHeight w:val="243"/>
        </w:trPr>
        <w:tc>
          <w:tcPr>
            <w:tcW w:w="20" w:type="dxa"/>
            <w:vAlign w:val="bottom"/>
          </w:tcPr>
          <w:p>
            <w:pPr>
              <w:spacing w:after="0"/>
              <w:rPr>
                <w:sz w:val="21"/>
                <w:szCs w:val="21"/>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Inventory, materials and supplies</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15,844</w:t>
            </w:r>
          </w:p>
        </w:tc>
      </w:tr>
      <w:tr>
        <w:trPr>
          <w:trHeight w:val="243"/>
        </w:trPr>
        <w:tc>
          <w:tcPr>
            <w:tcW w:w="20" w:type="dxa"/>
            <w:vAlign w:val="bottom"/>
          </w:tcPr>
          <w:p>
            <w:pPr>
              <w:spacing w:after="0"/>
              <w:rPr>
                <w:sz w:val="21"/>
                <w:szCs w:val="21"/>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23,337</w:t>
            </w:r>
          </w:p>
        </w:tc>
      </w:tr>
      <w:tr>
        <w:trPr>
          <w:trHeight w:val="243"/>
        </w:trPr>
        <w:tc>
          <w:tcPr>
            <w:tcW w:w="20" w:type="dxa"/>
            <w:vAlign w:val="bottom"/>
          </w:tcPr>
          <w:p>
            <w:pPr>
              <w:spacing w:after="0"/>
              <w:rPr>
                <w:sz w:val="21"/>
                <w:szCs w:val="21"/>
                <w:color w:val="auto"/>
              </w:rPr>
            </w:pPr>
          </w:p>
        </w:tc>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Assets held for sale</w:t>
            </w:r>
          </w:p>
        </w:tc>
        <w:tc>
          <w:tcPr>
            <w:tcW w:w="17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3,139</w:t>
            </w:r>
          </w:p>
        </w:tc>
      </w:tr>
      <w:tr>
        <w:trPr>
          <w:trHeight w:val="237"/>
        </w:trPr>
        <w:tc>
          <w:tcPr>
            <w:tcW w:w="2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17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143,775</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154305</wp:posOffset>
            </wp:positionV>
            <wp:extent cx="611441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ectPr>
          <w:pgSz w:w="11900" w:h="16838" w:orient="portrait"/>
          <w:cols w:equalWidth="0" w:num="1">
            <w:col w:w="9640"/>
          </w:cols>
          <w:pgMar w:left="1140" w:top="111" w:right="1119" w:bottom="499" w:gutter="0" w:footer="0" w:header="0"/>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Regulatory assets</w:t>
      </w:r>
    </w:p>
    <w:p>
      <w:pPr>
        <w:spacing w:after="0" w:line="94" w:lineRule="exact"/>
        <w:rPr>
          <w:sz w:val="20"/>
          <w:szCs w:val="20"/>
          <w:color w:val="auto"/>
        </w:rPr>
      </w:pPr>
    </w:p>
    <w:p>
      <w:pPr>
        <w:ind w:right="260"/>
        <w:spacing w:after="0" w:line="390" w:lineRule="auto"/>
        <w:rPr>
          <w:sz w:val="20"/>
          <w:szCs w:val="20"/>
          <w:color w:val="auto"/>
        </w:rPr>
      </w:pPr>
      <w:r>
        <w:rPr>
          <w:rFonts w:ascii="Times New Roman" w:cs="Times New Roman" w:eastAsia="Times New Roman" w:hAnsi="Times New Roman"/>
          <w:sz w:val="13"/>
          <w:szCs w:val="13"/>
          <w:color w:val="auto"/>
        </w:rPr>
        <w:t>Deferred charges and other assets, net Investment in joint venture Goodwill</w:t>
      </w:r>
    </w:p>
    <w:p>
      <w:pPr>
        <w:spacing w:after="0" w:line="1" w:lineRule="exact"/>
        <w:rPr>
          <w:sz w:val="20"/>
          <w:szCs w:val="20"/>
          <w:color w:val="auto"/>
        </w:rPr>
      </w:pPr>
    </w:p>
    <w:p>
      <w:pPr>
        <w:ind w:right="440"/>
        <w:spacing w:after="0" w:line="414" w:lineRule="auto"/>
        <w:rPr>
          <w:sz w:val="20"/>
          <w:szCs w:val="20"/>
          <w:color w:val="auto"/>
        </w:rPr>
      </w:pPr>
      <w:r>
        <w:rPr>
          <w:rFonts w:ascii="Times New Roman" w:cs="Times New Roman" w:eastAsia="Times New Roman" w:hAnsi="Times New Roman"/>
          <w:sz w:val="13"/>
          <w:szCs w:val="13"/>
          <w:color w:val="auto"/>
        </w:rPr>
        <w:t>Operating lease right-of-use assets Total assets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4240" w:type="dxa"/>
        <w:tblCellMar>
          <w:top w:w="0" w:type="dxa"/>
          <w:left w:w="0" w:type="dxa"/>
          <w:bottom w:w="0" w:type="dxa"/>
          <w:right w:w="0" w:type="dxa"/>
        </w:tblCellMar>
      </w:tblPr>
      <w:tr>
        <w:trPr>
          <w:trHeight w:val="164"/>
        </w:trPr>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803,093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788,076</w:t>
            </w:r>
          </w:p>
        </w:tc>
      </w:tr>
      <w:tr>
        <w:trPr>
          <w:trHeight w:val="243"/>
        </w:trPr>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40,745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39,237</w:t>
            </w:r>
          </w:p>
        </w:tc>
      </w:tr>
      <w:tr>
        <w:trPr>
          <w:trHeight w:val="243"/>
        </w:trPr>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6,959</w:t>
            </w:r>
          </w:p>
        </w:tc>
      </w:tr>
      <w:tr>
        <w:trPr>
          <w:trHeight w:val="243"/>
        </w:trPr>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53,069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52,726</w:t>
            </w:r>
          </w:p>
        </w:tc>
      </w:tr>
      <w:tr>
        <w:trPr>
          <w:trHeight w:val="232"/>
        </w:trPr>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13,088</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7"/>
        </w:trPr>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7,080,950</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6,964,496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-625475</wp:posOffset>
            </wp:positionV>
            <wp:extent cx="611441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15430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-316865</wp:posOffset>
            </wp:positionV>
            <wp:extent cx="61144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Liabilities and Equity</w:t>
      </w:r>
    </w:p>
    <w:p>
      <w:pPr>
        <w:spacing w:after="0" w:line="93" w:lineRule="exact"/>
        <w:rPr>
          <w:sz w:val="20"/>
          <w:szCs w:val="20"/>
          <w:color w:val="auto"/>
        </w:rPr>
      </w:pPr>
    </w:p>
    <w:p>
      <w:pPr>
        <w:sectPr>
          <w:pgSz w:w="11900" w:h="16838" w:orient="portrait"/>
          <w:cols w:equalWidth="0" w:num="2">
            <w:col w:w="2180" w:space="720"/>
            <w:col w:w="6740"/>
          </w:cols>
          <w:pgMar w:left="1140" w:top="111" w:right="1119" w:bottom="499"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Stockholders' equity:</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84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Common stock at $.50 par value, authorized 300,000,000 shares, issued 181,481,408 and 181,151,827 as of March 31, 2019 and</w:t>
            </w: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December 31, 2018</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90,741</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90,576</w:t>
            </w:r>
          </w:p>
        </w:tc>
      </w:tr>
      <w:tr>
        <w:trPr>
          <w:trHeight w:val="243"/>
        </w:trPr>
        <w:tc>
          <w:tcPr>
            <w:tcW w:w="20" w:type="dxa"/>
            <w:vAlign w:val="bottom"/>
          </w:tcPr>
          <w:p>
            <w:pPr>
              <w:spacing w:after="0"/>
              <w:rPr>
                <w:sz w:val="21"/>
                <w:szCs w:val="21"/>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827,339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820,378</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1,152,197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1,174,245</w:t>
            </w:r>
          </w:p>
        </w:tc>
      </w:tr>
      <w:tr>
        <w:trPr>
          <w:trHeight w:val="243"/>
        </w:trPr>
        <w:tc>
          <w:tcPr>
            <w:tcW w:w="20" w:type="dxa"/>
            <w:vAlign w:val="bottom"/>
          </w:tcPr>
          <w:p>
            <w:pPr>
              <w:spacing w:after="0"/>
              <w:rPr>
                <w:sz w:val="21"/>
                <w:szCs w:val="21"/>
                <w:color w:val="auto"/>
              </w:rPr>
            </w:pPr>
          </w:p>
        </w:tc>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Treasury stock, at cost, 3,112,330 and 3,060,206 shares as of March 31, 2019 and December 31, 2018</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(77,692)</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(75,835)</w:t>
            </w: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1,992,585</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2,009,364</w:t>
            </w: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excluding current portion</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2,483,119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2,419,115</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debt issuance costs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20,651</w:t>
            </w:r>
          </w:p>
        </w:tc>
      </w:tr>
      <w:tr>
        <w:trPr>
          <w:trHeight w:val="237"/>
        </w:trPr>
        <w:tc>
          <w:tcPr>
            <w:tcW w:w="20" w:type="dxa"/>
            <w:vAlign w:val="bottom"/>
          </w:tcPr>
          <w:p>
            <w:pPr>
              <w:spacing w:after="0"/>
              <w:rPr>
                <w:sz w:val="20"/>
                <w:szCs w:val="20"/>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excluding current portion, net of debt issuance costs</w:t>
            </w:r>
          </w:p>
        </w:tc>
        <w:tc>
          <w:tcPr>
            <w:tcW w:w="2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2,462,855</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2,398,464</w:t>
            </w:r>
          </w:p>
        </w:tc>
      </w:tr>
      <w:tr>
        <w:trPr>
          <w:trHeight w:val="237"/>
        </w:trPr>
        <w:tc>
          <w:tcPr>
            <w:tcW w:w="6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 (See Note 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144,545</w:t>
            </w:r>
          </w:p>
        </w:tc>
      </w:tr>
      <w:tr>
        <w:trPr>
          <w:trHeight w:val="243"/>
        </w:trPr>
        <w:tc>
          <w:tcPr>
            <w:tcW w:w="20" w:type="dxa"/>
            <w:vAlign w:val="bottom"/>
          </w:tcPr>
          <w:p>
            <w:pPr>
              <w:spacing w:after="0"/>
              <w:rPr>
                <w:sz w:val="21"/>
                <w:szCs w:val="21"/>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 payable</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15,449</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77,331</w:t>
            </w:r>
          </w:p>
        </w:tc>
      </w:tr>
      <w:tr>
        <w:trPr>
          <w:trHeight w:val="243"/>
        </w:trPr>
        <w:tc>
          <w:tcPr>
            <w:tcW w:w="20" w:type="dxa"/>
            <w:vAlign w:val="bottom"/>
          </w:tcPr>
          <w:p>
            <w:pPr>
              <w:spacing w:after="0"/>
              <w:rPr>
                <w:sz w:val="21"/>
                <w:szCs w:val="21"/>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Book overdraft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8,950</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interest</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23,300</w:t>
            </w:r>
          </w:p>
        </w:tc>
      </w:tr>
      <w:tr>
        <w:trPr>
          <w:trHeight w:val="243"/>
        </w:trPr>
        <w:tc>
          <w:tcPr>
            <w:tcW w:w="20" w:type="dxa"/>
            <w:vAlign w:val="bottom"/>
          </w:tcPr>
          <w:p>
            <w:pPr>
              <w:spacing w:after="0"/>
              <w:rPr>
                <w:sz w:val="21"/>
                <w:szCs w:val="21"/>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taxes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22,234</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 agreements</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94,561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59,779</w:t>
            </w:r>
          </w:p>
        </w:tc>
      </w:tr>
      <w:tr>
        <w:trPr>
          <w:trHeight w:val="243"/>
        </w:trPr>
        <w:tc>
          <w:tcPr>
            <w:tcW w:w="20" w:type="dxa"/>
            <w:vAlign w:val="bottom"/>
          </w:tcPr>
          <w:p>
            <w:pPr>
              <w:spacing w:after="0"/>
              <w:rPr>
                <w:sz w:val="21"/>
                <w:szCs w:val="21"/>
                <w:color w:val="auto"/>
              </w:rPr>
            </w:pPr>
          </w:p>
        </w:tc>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40,124</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47,389</w:t>
            </w: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434,099</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398,977</w:t>
            </w: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credits and other liabilities:</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 and investment tax credits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855,156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845,403</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Customers' advances for construction</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99,186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93,343</w:t>
            </w:r>
          </w:p>
        </w:tc>
      </w:tr>
      <w:tr>
        <w:trPr>
          <w:trHeight w:val="243"/>
        </w:trPr>
        <w:tc>
          <w:tcPr>
            <w:tcW w:w="20" w:type="dxa"/>
            <w:vAlign w:val="bottom"/>
          </w:tcPr>
          <w:p>
            <w:pPr>
              <w:spacing w:after="0"/>
              <w:rPr>
                <w:sz w:val="21"/>
                <w:szCs w:val="21"/>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528,471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531,027</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3"/>
        </w:trPr>
        <w:tc>
          <w:tcPr>
            <w:tcW w:w="20" w:type="dxa"/>
            <w:vAlign w:val="bottom"/>
          </w:tcPr>
          <w:p>
            <w:pPr>
              <w:spacing w:after="0"/>
              <w:rPr>
                <w:sz w:val="21"/>
                <w:szCs w:val="21"/>
                <w:color w:val="auto"/>
              </w:rPr>
            </w:pPr>
          </w:p>
        </w:tc>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96,897</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97,182</w:t>
            </w: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credits and other liabilities</w:t>
            </w:r>
          </w:p>
        </w:tc>
        <w:tc>
          <w:tcPr>
            <w:tcW w:w="2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1,591,454</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1,566,955</w:t>
            </w: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2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599,957</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590,736</w:t>
            </w:r>
          </w:p>
        </w:tc>
      </w:tr>
      <w:tr>
        <w:trPr>
          <w:trHeight w:val="210"/>
        </w:trPr>
        <w:tc>
          <w:tcPr>
            <w:tcW w:w="6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7,080,950</w:t>
            </w:r>
          </w:p>
        </w:tc>
        <w:tc>
          <w:tcPr>
            <w:tcW w:w="140" w:type="dxa"/>
            <w:vAlign w:val="bottom"/>
          </w:tcPr>
          <w:p>
            <w:pPr>
              <w:spacing w:after="0"/>
              <w:rPr>
                <w:sz w:val="18"/>
                <w:szCs w:val="18"/>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6,964,496</w:t>
            </w: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notes to consolidated financial statements beginning on page 7 of this report.</w:t>
      </w:r>
    </w:p>
    <w:p>
      <w:pPr>
        <w:sectPr>
          <w:pgSz w:w="11900" w:h="16838" w:orient="portrait"/>
          <w:cols w:equalWidth="0" w:num="1">
            <w:col w:w="9640"/>
          </w:cols>
          <w:pgMar w:left="1140" w:top="111" w:right="1119" w:bottom="499"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67310</wp:posOffset>
            </wp:positionV>
            <wp:extent cx="615696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CONSOLIDATED STATEMENTS OF OPERATIONS AND COMPREHENSIVE INCOME</w:t>
      </w:r>
    </w:p>
    <w:p>
      <w:pPr>
        <w:spacing w:after="0" w:line="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(In thousands, except per share amounts)</w:t>
      </w:r>
    </w:p>
    <w:p>
      <w:pPr>
        <w:ind w:left="4120"/>
        <w:spacing w:after="0"/>
        <w:rPr>
          <w:sz w:val="20"/>
          <w:szCs w:val="20"/>
          <w:color w:val="auto"/>
        </w:rPr>
      </w:pPr>
      <w:r>
        <w:rPr>
          <w:rFonts w:ascii="Times New Roman" w:cs="Times New Roman" w:eastAsia="Times New Roman" w:hAnsi="Times New Roman"/>
          <w:sz w:val="22"/>
          <w:szCs w:val="22"/>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gridSpan w:val="4"/>
          </w:tcPr>
          <w:p>
            <w:pPr>
              <w:jc w:val="right"/>
              <w:ind w:right="51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Operating revenues</w:t>
            </w: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201,132</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194,347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Operating expenses:</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Operations and maintenance</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79,314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73,946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Depreciation</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39,074</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35,967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Amortization</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8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14,969</w:t>
            </w: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14,967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Borders>
              <w:bottom w:val="single" w:sz="8" w:color="CCEEFF"/>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Total operating expenses</w:t>
            </w:r>
          </w:p>
        </w:tc>
        <w:tc>
          <w:tcPr>
            <w:tcW w:w="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133,693</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125,010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income</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67,439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69,337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expense (income):</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Interest expense, net</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27,850</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23,471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(4,056)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Change in fair value of interest rate swap agreements</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34,782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Equity earnings in joint venture</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(543)</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8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872</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Income before income taxes</w:t>
            </w: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8,754</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48,708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 benefit</w:t>
            </w:r>
          </w:p>
        </w:tc>
        <w:tc>
          <w:tcPr>
            <w:tcW w:w="8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(8,170)</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(2,131)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Net income</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16,924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50,839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Comprehensive income</w:t>
            </w:r>
          </w:p>
        </w:tc>
        <w:tc>
          <w:tcPr>
            <w:tcW w:w="1200" w:type="dxa"/>
            <w:vAlign w:val="bottom"/>
            <w:gridSpan w:val="2"/>
            <w:shd w:val="clear" w:color="auto" w:fill="CCEE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16,924</w:t>
            </w:r>
          </w:p>
        </w:tc>
        <w:tc>
          <w:tcPr>
            <w:tcW w:w="580" w:type="dxa"/>
            <w:vAlign w:val="bottom"/>
            <w:gridSpan w:val="2"/>
            <w:shd w:val="clear" w:color="auto" w:fill="CCEE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50,839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income per common share:</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12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0.09</w:t>
            </w:r>
          </w:p>
        </w:tc>
        <w:tc>
          <w:tcPr>
            <w:tcW w:w="580" w:type="dxa"/>
            <w:vAlign w:val="bottom"/>
            <w:gridSpan w:val="2"/>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top w:val="single" w:sz="8" w:color="CCEEFF"/>
              <w:bottom w:val="single" w:sz="8" w:color="CCEEFF"/>
            </w:tcBorders>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Diluted</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0.09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8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178,213</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177,801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Diluted</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178,552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178,238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to consolidated financial statements beginning on page 7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15696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2" w:right="111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6"/>
                <w:szCs w:val="16"/>
                <w:color w:val="auto"/>
              </w:rPr>
              <w:t>December 31,</w:t>
            </w:r>
          </w:p>
        </w:tc>
      </w:tr>
      <w:tr>
        <w:trPr>
          <w:trHeight w:val="243"/>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r>
      <w:tr>
        <w:trPr>
          <w:trHeight w:val="237"/>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$.50 par value</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90,741</w:t>
            </w:r>
          </w:p>
        </w:tc>
        <w:tc>
          <w:tcPr>
            <w:tcW w:w="1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90,576</w:t>
            </w:r>
          </w:p>
        </w:tc>
      </w:tr>
      <w:tr>
        <w:trPr>
          <w:trHeight w:val="243"/>
        </w:trPr>
        <w:tc>
          <w:tcPr>
            <w:tcW w:w="20" w:type="dxa"/>
            <w:vAlign w:val="bottom"/>
          </w:tcPr>
          <w:p>
            <w:pPr>
              <w:spacing w:after="0"/>
              <w:rPr>
                <w:sz w:val="21"/>
                <w:szCs w:val="21"/>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827,339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820,378</w:t>
            </w: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1,174,245</w:t>
            </w:r>
          </w:p>
        </w:tc>
      </w:tr>
      <w:tr>
        <w:trPr>
          <w:trHeight w:val="243"/>
        </w:trPr>
        <w:tc>
          <w:tcPr>
            <w:tcW w:w="20" w:type="dxa"/>
            <w:vAlign w:val="bottom"/>
          </w:tcPr>
          <w:p>
            <w:pPr>
              <w:spacing w:after="0"/>
              <w:rPr>
                <w:sz w:val="21"/>
                <w:szCs w:val="21"/>
                <w:color w:val="auto"/>
              </w:rPr>
            </w:pPr>
          </w:p>
        </w:tc>
        <w:tc>
          <w:tcPr>
            <w:tcW w:w="45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Treasury stock, at cost</w:t>
            </w: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(77,692)</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(75,835)</w:t>
            </w:r>
          </w:p>
        </w:tc>
      </w:tr>
      <w:tr>
        <w:trPr>
          <w:trHeight w:val="237"/>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1,992,585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2,009,364</w:t>
            </w: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160" w:type="dxa"/>
            <w:vAlign w:val="bottom"/>
            <w:gridSpan w:val="2"/>
          </w:tcPr>
          <w:p>
            <w:pPr>
              <w:jc w:val="center"/>
              <w:ind w:right="1740"/>
              <w:spacing w:after="0" w:line="202"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1900" w:type="dxa"/>
            <w:vAlign w:val="bottom"/>
            <w:gridSpan w:val="3"/>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0.00% to 0.99%</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2023 to 2033</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43"/>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1.00% to 1.99%</w:t>
            </w:r>
          </w:p>
        </w:tc>
        <w:tc>
          <w:tcPr>
            <w:tcW w:w="80" w:type="dxa"/>
            <w:vAlign w:val="bottom"/>
          </w:tcPr>
          <w:p>
            <w:pPr>
              <w:spacing w:after="0"/>
              <w:rPr>
                <w:sz w:val="21"/>
                <w:szCs w:val="21"/>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2019 to 2035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r>
      <w:tr>
        <w:trPr>
          <w:trHeight w:val="243"/>
        </w:trPr>
        <w:tc>
          <w:tcPr>
            <w:tcW w:w="2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2.00% to 2.99%</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2019 to 2033</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r>
      <w:tr>
        <w:trPr>
          <w:trHeight w:val="243"/>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3.00% to 3.99%</w:t>
            </w:r>
          </w:p>
        </w:tc>
        <w:tc>
          <w:tcPr>
            <w:tcW w:w="80" w:type="dxa"/>
            <w:vAlign w:val="bottom"/>
          </w:tcPr>
          <w:p>
            <w:pPr>
              <w:spacing w:after="0"/>
              <w:rPr>
                <w:sz w:val="21"/>
                <w:szCs w:val="21"/>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2019 to 2056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497,026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497,426</w:t>
            </w:r>
          </w:p>
        </w:tc>
      </w:tr>
      <w:tr>
        <w:trPr>
          <w:trHeight w:val="243"/>
        </w:trPr>
        <w:tc>
          <w:tcPr>
            <w:tcW w:w="2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4.00% to 4.99%</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2020 to 2057</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831,066</w:t>
            </w:r>
          </w:p>
        </w:tc>
      </w:tr>
      <w:tr>
        <w:trPr>
          <w:trHeight w:val="243"/>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5.00% to 5.99%</w:t>
            </w:r>
          </w:p>
        </w:tc>
        <w:tc>
          <w:tcPr>
            <w:tcW w:w="80" w:type="dxa"/>
            <w:vAlign w:val="bottom"/>
          </w:tcPr>
          <w:p>
            <w:pPr>
              <w:spacing w:after="0"/>
              <w:rPr>
                <w:sz w:val="21"/>
                <w:szCs w:val="21"/>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2019 to 2043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154,788</w:t>
            </w:r>
          </w:p>
        </w:tc>
      </w:tr>
      <w:tr>
        <w:trPr>
          <w:trHeight w:val="243"/>
        </w:trPr>
        <w:tc>
          <w:tcPr>
            <w:tcW w:w="2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6.00% to 6.99%</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2026 to 2036</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43"/>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1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7.00% to 7.99%</w:t>
            </w:r>
          </w:p>
        </w:tc>
        <w:tc>
          <w:tcPr>
            <w:tcW w:w="80" w:type="dxa"/>
            <w:vAlign w:val="bottom"/>
          </w:tcPr>
          <w:p>
            <w:pPr>
              <w:spacing w:after="0"/>
              <w:rPr>
                <w:sz w:val="21"/>
                <w:szCs w:val="21"/>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2022 to 2027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w:t>
            </w:r>
          </w:p>
        </w:tc>
      </w:tr>
      <w:tr>
        <w:trPr>
          <w:trHeight w:val="243"/>
        </w:trPr>
        <w:tc>
          <w:tcPr>
            <w:tcW w:w="2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center"/>
              <w:ind w:right="1740"/>
              <w:spacing w:after="0"/>
              <w:rPr>
                <w:sz w:val="20"/>
                <w:szCs w:val="20"/>
                <w:color w:val="auto"/>
              </w:rPr>
            </w:pPr>
            <w:r>
              <w:rPr>
                <w:rFonts w:ascii="Times New Roman" w:cs="Times New Roman" w:eastAsia="Times New Roman" w:hAnsi="Times New Roman"/>
                <w:sz w:val="18"/>
                <w:szCs w:val="18"/>
                <w:color w:val="auto"/>
              </w:rPr>
              <w:t>8.00% to 8.99%</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2021 to 2025</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43"/>
        </w:trPr>
        <w:tc>
          <w:tcPr>
            <w:tcW w:w="20" w:type="dxa"/>
            <w:vAlign w:val="bottom"/>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3160" w:type="dxa"/>
            <w:vAlign w:val="bottom"/>
            <w:tcBorders>
              <w:bottom w:val="single" w:sz="8" w:color="CCEEFF"/>
            </w:tcBorders>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9.00% to 9.99%</w:t>
            </w:r>
          </w:p>
        </w:tc>
        <w:tc>
          <w:tcPr>
            <w:tcW w:w="8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2020 to 2026</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7"/>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1,602,147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1,604,233</w:t>
            </w:r>
          </w:p>
        </w:tc>
      </w:tr>
      <w:tr>
        <w:trPr>
          <w:trHeight w:val="243"/>
        </w:trPr>
        <w:tc>
          <w:tcPr>
            <w:tcW w:w="1420" w:type="dxa"/>
            <w:vAlign w:val="bottom"/>
            <w:gridSpan w:val="2"/>
          </w:tcPr>
          <w:p>
            <w:pPr>
              <w:spacing w:after="0"/>
              <w:rPr>
                <w:sz w:val="21"/>
                <w:szCs w:val="21"/>
                <w:color w:val="auto"/>
              </w:rPr>
            </w:pPr>
          </w:p>
        </w:tc>
        <w:tc>
          <w:tcPr>
            <w:tcW w:w="1420" w:type="dxa"/>
            <w:vAlign w:val="bottom"/>
          </w:tcPr>
          <w:p>
            <w:pPr>
              <w:spacing w:after="0"/>
              <w:rPr>
                <w:sz w:val="21"/>
                <w:szCs w:val="21"/>
                <w:color w:val="auto"/>
              </w:rPr>
            </w:pPr>
          </w:p>
        </w:tc>
        <w:tc>
          <w:tcPr>
            <w:tcW w:w="1820" w:type="dxa"/>
            <w:vAlign w:val="bottom"/>
            <w:gridSpan w:val="2"/>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2023</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r>
      <w:tr>
        <w:trPr>
          <w:trHeight w:val="243"/>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Unsecured notes payable:</w:t>
            </w: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notes at 2.48% and 3.50% due 2019 and 2020</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20" w:type="dxa"/>
            <w:vAlign w:val="bottom"/>
          </w:tcPr>
          <w:p>
            <w:pPr>
              <w:spacing w:after="0"/>
              <w:rPr>
                <w:sz w:val="21"/>
                <w:szCs w:val="21"/>
                <w:color w:val="auto"/>
              </w:rPr>
            </w:pPr>
          </w:p>
        </w:tc>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Notes ranging from 3.01% and 3.59% due 2027 and 2041</w:t>
            </w: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ranging from 4.62% to 4.87%, due 2019 through 2024</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r>
      <w:tr>
        <w:trPr>
          <w:trHeight w:val="243"/>
        </w:trPr>
        <w:tc>
          <w:tcPr>
            <w:tcW w:w="20" w:type="dxa"/>
            <w:vAlign w:val="bottom"/>
          </w:tcPr>
          <w:p>
            <w:pPr>
              <w:spacing w:after="0"/>
              <w:rPr>
                <w:sz w:val="21"/>
                <w:szCs w:val="21"/>
                <w:color w:val="auto"/>
              </w:rPr>
            </w:pPr>
          </w:p>
        </w:tc>
        <w:tc>
          <w:tcPr>
            <w:tcW w:w="45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Notes ranging from 5.20% to 5.95%, due 2020 through 2037</w:t>
            </w: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132,427</w:t>
            </w:r>
          </w:p>
        </w:tc>
      </w:tr>
      <w:tr>
        <w:trPr>
          <w:trHeight w:val="237"/>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2,639,574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2,563,660</w:t>
            </w:r>
          </w:p>
        </w:tc>
      </w:tr>
      <w:tr>
        <w:trPr>
          <w:trHeight w:val="243"/>
        </w:trPr>
        <w:tc>
          <w:tcPr>
            <w:tcW w:w="1420" w:type="dxa"/>
            <w:vAlign w:val="bottom"/>
            <w:gridSpan w:val="2"/>
          </w:tcPr>
          <w:p>
            <w:pPr>
              <w:spacing w:after="0"/>
              <w:rPr>
                <w:sz w:val="21"/>
                <w:szCs w:val="21"/>
                <w:color w:val="auto"/>
              </w:rPr>
            </w:pPr>
          </w:p>
        </w:tc>
        <w:tc>
          <w:tcPr>
            <w:tcW w:w="1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144,545</w:t>
            </w:r>
          </w:p>
        </w:tc>
      </w:tr>
      <w:tr>
        <w:trPr>
          <w:trHeight w:val="237"/>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2,419,115</w:t>
            </w: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w:t>
            </w:r>
          </w:p>
        </w:tc>
      </w:tr>
      <w:tr>
        <w:trPr>
          <w:trHeight w:val="237"/>
        </w:trPr>
        <w:tc>
          <w:tcPr>
            <w:tcW w:w="6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2,462,855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2,398,464</w:t>
            </w:r>
          </w:p>
        </w:tc>
      </w:tr>
      <w:tr>
        <w:trPr>
          <w:trHeight w:val="237"/>
        </w:trPr>
        <w:tc>
          <w:tcPr>
            <w:tcW w:w="20" w:type="dxa"/>
            <w:vAlign w:val="bottom"/>
          </w:tcPr>
          <w:p>
            <w:pPr>
              <w:spacing w:after="0"/>
              <w:rPr>
                <w:sz w:val="20"/>
                <w:szCs w:val="20"/>
                <w:color w:val="auto"/>
              </w:rPr>
            </w:pPr>
          </w:p>
        </w:tc>
        <w:tc>
          <w:tcPr>
            <w:tcW w:w="14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r>
      <w:tr>
        <w:trPr>
          <w:trHeight w:val="217"/>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4,455,440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4,407,828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 beginning on page 7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67310</wp:posOffset>
            </wp:positionV>
            <wp:extent cx="618299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299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CONSOLIDATED STATEMENTS OF EQUITY</w:t>
      </w:r>
    </w:p>
    <w:p>
      <w:pPr>
        <w:jc w:val="center"/>
        <w:ind w:right="-19"/>
        <w:spacing w:after="0" w:line="192" w:lineRule="auto"/>
        <w:rPr>
          <w:sz w:val="20"/>
          <w:szCs w:val="20"/>
          <w:color w:val="auto"/>
        </w:rPr>
      </w:pPr>
      <w:r>
        <w:rPr>
          <w:rFonts w:ascii="Times New Roman" w:cs="Times New Roman" w:eastAsia="Times New Roman" w:hAnsi="Times New Roman"/>
          <w:sz w:val="22"/>
          <w:szCs w:val="22"/>
          <w:color w:val="auto"/>
        </w:rPr>
        <w:t>(In thousands of dollars)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in</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Other</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Common</w:t>
            </w: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Excess of</w:t>
            </w:r>
          </w:p>
        </w:tc>
        <w:tc>
          <w:tcPr>
            <w:tcW w:w="12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6"/>
        </w:trPr>
        <w:tc>
          <w:tcPr>
            <w:tcW w:w="40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Stock</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Income</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22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820,378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1,174,245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(75,835)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 $ 2,009,364</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16,924</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($0.2190 per share)</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(39,014)</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(39,014)</w:t>
            </w: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(117,845 shares)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stock (52,124 shares)</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(1,857)</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 (134,257 shares)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(77,479 shares)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90,741</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827,339</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1,152,197</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(77,692)</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1,992,585</w:t>
            </w:r>
          </w:p>
        </w:tc>
      </w:tr>
      <w:tr>
        <w:trPr>
          <w:trHeight w:val="480"/>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in</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Other</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Common</w:t>
            </w: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Excess of</w:t>
            </w:r>
          </w:p>
        </w:tc>
        <w:tc>
          <w:tcPr>
            <w:tcW w:w="12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6"/>
        </w:trPr>
        <w:tc>
          <w:tcPr>
            <w:tcW w:w="40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Stock</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Income</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22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1,132,556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(73,280)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860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$ 1,957,621</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50,839</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($0.2047 per share)</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(36,386)</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(36,386)</w:t>
            </w: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(11,252 shares)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stock (71,940 shares)</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(2,491)</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 (181,670 shares)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(62,688 shares)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r>
      <w:tr>
        <w:trPr>
          <w:trHeight w:val="19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effect of change in accounting principle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instruments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809,624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1,147,828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 beginning on page 7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15696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60"/>
          </w:cols>
          <w:pgMar w:left="1020" w:top="111" w:right="121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CONSOLIDATED STATEMENTS OF CASH FLOW</w:t>
      </w:r>
    </w:p>
    <w:p>
      <w:pPr>
        <w:ind w:left="386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6"/>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720" w:type="dxa"/>
            <w:vAlign w:val="bottom"/>
            <w:tcBorders>
              <w:bottom w:val="single" w:sz="8" w:color="auto"/>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2018</w:t>
            </w:r>
          </w:p>
        </w:tc>
      </w:tr>
      <w:tr>
        <w:trPr>
          <w:trHeight w:val="240"/>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50,839</w:t>
            </w:r>
          </w:p>
        </w:tc>
      </w:tr>
      <w:tr>
        <w:trPr>
          <w:trHeight w:val="240"/>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39,410</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36,097</w:t>
            </w:r>
          </w:p>
        </w:tc>
      </w:tr>
      <w:tr>
        <w:trPr>
          <w:trHeight w:val="240"/>
        </w:trPr>
        <w:tc>
          <w:tcPr>
            <w:tcW w:w="20" w:type="dxa"/>
            <w:vAlign w:val="bottom"/>
          </w:tcPr>
          <w:p>
            <w:pPr>
              <w:spacing w:after="0"/>
              <w:rPr>
                <w:sz w:val="20"/>
                <w:szCs w:val="20"/>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40"/>
        </w:trPr>
        <w:tc>
          <w:tcPr>
            <w:tcW w:w="20" w:type="dxa"/>
            <w:vAlign w:val="bottom"/>
          </w:tcPr>
          <w:p>
            <w:pPr>
              <w:spacing w:after="0"/>
              <w:rPr>
                <w:sz w:val="20"/>
                <w:szCs w:val="20"/>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sale of other assets</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40"/>
        </w:trPr>
        <w:tc>
          <w:tcPr>
            <w:tcW w:w="20" w:type="dxa"/>
            <w:vAlign w:val="bottom"/>
          </w:tcPr>
          <w:p>
            <w:pPr>
              <w:spacing w:after="0"/>
              <w:rPr>
                <w:sz w:val="20"/>
                <w:szCs w:val="20"/>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change in receivables, inventory and prepayments</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w:t>
            </w:r>
          </w:p>
        </w:tc>
      </w:tr>
      <w:tr>
        <w:trPr>
          <w:trHeight w:val="240"/>
        </w:trPr>
        <w:tc>
          <w:tcPr>
            <w:tcW w:w="20" w:type="dxa"/>
            <w:vAlign w:val="bottom"/>
          </w:tcPr>
          <w:p>
            <w:pPr>
              <w:spacing w:after="0"/>
              <w:rPr>
                <w:sz w:val="20"/>
                <w:szCs w:val="20"/>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w:t>
            </w:r>
          </w:p>
        </w:tc>
      </w:tr>
      <w:tr>
        <w:trPr>
          <w:trHeight w:val="240"/>
        </w:trPr>
        <w:tc>
          <w:tcPr>
            <w:tcW w:w="20" w:type="dxa"/>
            <w:vAlign w:val="bottom"/>
          </w:tcPr>
          <w:p>
            <w:pPr>
              <w:spacing w:after="0"/>
              <w:rPr>
                <w:sz w:val="20"/>
                <w:szCs w:val="20"/>
                <w:color w:val="auto"/>
              </w:rPr>
            </w:pPr>
          </w:p>
        </w:tc>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w:t>
            </w:r>
          </w:p>
        </w:tc>
      </w:tr>
      <w:tr>
        <w:trPr>
          <w:trHeight w:val="240"/>
        </w:trPr>
        <w:tc>
          <w:tcPr>
            <w:tcW w:w="20" w:type="dxa"/>
            <w:vAlign w:val="bottom"/>
          </w:tcPr>
          <w:p>
            <w:pPr>
              <w:spacing w:after="0"/>
              <w:rPr>
                <w:sz w:val="20"/>
                <w:szCs w:val="20"/>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2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79,287</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88,354</w:t>
            </w: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of $1,030 and $782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(133,792)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(105,136)</w:t>
            </w:r>
          </w:p>
        </w:tc>
      </w:tr>
      <w:tr>
        <w:trPr>
          <w:trHeight w:val="240"/>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Acquisitions of utility systems, net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proceeds from the sale of other assets</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40"/>
        </w:trPr>
        <w:tc>
          <w:tcPr>
            <w:tcW w:w="20" w:type="dxa"/>
            <w:vAlign w:val="bottom"/>
          </w:tcPr>
          <w:p>
            <w:pPr>
              <w:spacing w:after="0"/>
              <w:rPr>
                <w:sz w:val="20"/>
                <w:szCs w:val="20"/>
                <w:color w:val="auto"/>
              </w:rPr>
            </w:pPr>
          </w:p>
        </w:tc>
        <w:tc>
          <w:tcPr>
            <w:tcW w:w="7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40"/>
        </w:trPr>
        <w:tc>
          <w:tcPr>
            <w:tcW w:w="20" w:type="dxa"/>
            <w:vAlign w:val="bottom"/>
          </w:tcPr>
          <w:p>
            <w:pPr>
              <w:spacing w:after="0"/>
              <w:rPr>
                <w:sz w:val="20"/>
                <w:szCs w:val="20"/>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(133,557)</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(105,227)</w:t>
            </w: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240"/>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customers' advances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proceeds of short-term debt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17,114</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16,692</w:t>
            </w:r>
          </w:p>
        </w:tc>
      </w:tr>
      <w:tr>
        <w:trPr>
          <w:trHeight w:val="240"/>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66,996</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(41,976)</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(21,898)</w:t>
            </w:r>
          </w:p>
        </w:tc>
      </w:tr>
      <w:tr>
        <w:trPr>
          <w:trHeight w:val="240"/>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cash overdraft position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(8,944)</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issuing common stock</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40"/>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240"/>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(36,386)</w:t>
            </w:r>
          </w:p>
        </w:tc>
      </w:tr>
      <w:tr>
        <w:trPr>
          <w:trHeight w:val="243"/>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37"/>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15,871</w:t>
            </w:r>
          </w:p>
        </w:tc>
      </w:tr>
      <w:tr>
        <w:trPr>
          <w:trHeight w:val="240"/>
        </w:trPr>
        <w:tc>
          <w:tcPr>
            <w:tcW w:w="20" w:type="dxa"/>
            <w:vAlign w:val="bottom"/>
          </w:tcPr>
          <w:p>
            <w:pPr>
              <w:spacing w:after="0"/>
              <w:rPr>
                <w:sz w:val="20"/>
                <w:szCs w:val="20"/>
                <w:color w:val="auto"/>
              </w:rPr>
            </w:pPr>
          </w:p>
        </w:tc>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240"/>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w:t>
            </w:r>
          </w:p>
        </w:tc>
      </w:tr>
      <w:tr>
        <w:trPr>
          <w:trHeight w:val="233"/>
        </w:trPr>
        <w:tc>
          <w:tcPr>
            <w:tcW w:w="20" w:type="dxa"/>
            <w:vAlign w:val="bottom"/>
          </w:tcPr>
          <w:p>
            <w:pPr>
              <w:spacing w:after="0"/>
              <w:rPr>
                <w:sz w:val="20"/>
                <w:szCs w:val="20"/>
                <w:color w:val="auto"/>
              </w:rPr>
            </w:pPr>
          </w:p>
        </w:tc>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r>
      <w:tr>
        <w:trPr>
          <w:trHeight w:val="376"/>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42,594</w:t>
            </w:r>
          </w:p>
        </w:tc>
        <w:tc>
          <w:tcPr>
            <w:tcW w:w="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23,629</w:t>
            </w:r>
          </w:p>
        </w:tc>
      </w:tr>
      <w:tr>
        <w:trPr>
          <w:trHeight w:val="237"/>
        </w:trPr>
        <w:tc>
          <w:tcPr>
            <w:tcW w:w="20" w:type="dxa"/>
            <w:vAlign w:val="bottom"/>
          </w:tcPr>
          <w:p>
            <w:pPr>
              <w:spacing w:after="0"/>
              <w:rPr>
                <w:sz w:val="20"/>
                <w:szCs w:val="20"/>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customer advances and contributions in aid of construction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w:t>
            </w: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 beginning on page 7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67310</wp:posOffset>
            </wp:positionV>
            <wp:extent cx="61144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NOTES TO CONSOLIDATED FINANCIAL STATEMENTS</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accompanying consolidated balance sheets and statements of capitalization of Aqua America, Inc. and subsidiaries (the “Company”, “we”, “us” or “our”) at March 31, 2019, the consolidated statements of operations and comprehensive income for the three months ended March 31, 2019 and 2018 the consolidated statements of cash flow for the three months ended March 31, 2019 and 2018, and the consolidated statements of equity for the three months ended March 31, 2019 and 2018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2018. The results of operations for interim periods may not be indicative of the results that may be expected for the entire year. The December 31, 2018 consolidated balance sheet data presented herein was derived from the Company’s December 31, 2018 audited consolidated financial statements but does not include all disclosures and notes normally provided in annual financial statements.</w:t>
      </w:r>
    </w:p>
    <w:p>
      <w:pPr>
        <w:spacing w:after="0" w:line="20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21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 xml:space="preserve">There have been no changes to the summary of significant accounting policies, other than as described in Note 17 – </w:t>
      </w:r>
      <w:r>
        <w:rPr>
          <w:rFonts w:ascii="Times New Roman" w:cs="Times New Roman" w:eastAsia="Times New Roman" w:hAnsi="Times New Roman"/>
          <w:sz w:val="21"/>
          <w:szCs w:val="21"/>
          <w:i w:val="1"/>
          <w:iCs w:val="1"/>
          <w:color w:val="auto"/>
        </w:rPr>
        <w:t>Leases</w:t>
      </w:r>
      <w:r>
        <w:rPr>
          <w:rFonts w:ascii="Times New Roman" w:cs="Times New Roman" w:eastAsia="Times New Roman" w:hAnsi="Times New Roman"/>
          <w:sz w:val="21"/>
          <w:szCs w:val="21"/>
          <w:color w:val="auto"/>
        </w:rPr>
        <w:t xml:space="preserve"> as a result of the adoption of a new accounting pronouncement adopted on January 1, 2019, previously identified in the Company’s Annual Report on Form 10-K for the year ended December 31, 2018.</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March 31,2019</w:t>
            </w: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March 31,2018</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Wastewater</w:t>
            </w:r>
          </w:p>
        </w:tc>
        <w:tc>
          <w:tcPr>
            <w:tcW w:w="80" w:type="dxa"/>
            <w:vAlign w:val="bottom"/>
          </w:tcPr>
          <w:p>
            <w:pPr>
              <w:spacing w:after="0"/>
              <w:rPr>
                <w:sz w:val="16"/>
                <w:szCs w:val="16"/>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7"/>
              </w:rPr>
              <w:t>Wastewater</w:t>
            </w:r>
          </w:p>
        </w:tc>
        <w:tc>
          <w:tcPr>
            <w:tcW w:w="8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6"/>
                <w:szCs w:val="16"/>
                <w:color w:val="auto"/>
              </w:rPr>
            </w:pPr>
          </w:p>
        </w:tc>
      </w:tr>
      <w:tr>
        <w:trPr>
          <w:trHeight w:val="210"/>
        </w:trPr>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Water Revenues</w:t>
            </w:r>
          </w:p>
        </w:tc>
        <w:tc>
          <w:tcPr>
            <w:tcW w:w="10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Revenues</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Water Revenues</w:t>
            </w: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Revenues</w:t>
            </w:r>
          </w:p>
        </w:tc>
      </w:tr>
      <w:tr>
        <w:trPr>
          <w:trHeight w:val="24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contracts with customers:</w:t>
            </w:r>
          </w:p>
        </w:tc>
        <w:tc>
          <w:tcPr>
            <w:tcW w:w="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Residential</w:t>
            </w: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r>
      <w:tr>
        <w:trPr>
          <w:trHeight w:val="240"/>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Fire protection</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r>
      <w:tr>
        <w:trPr>
          <w:trHeight w:val="240"/>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Industrial</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water</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r>
      <w:tr>
        <w:trPr>
          <w:trHeight w:val="240"/>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wastewater</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utility</w:t>
            </w:r>
          </w:p>
        </w:tc>
        <w:tc>
          <w:tcPr>
            <w:tcW w:w="3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20" w:type="dxa"/>
            <w:vAlign w:val="bottom"/>
          </w:tcPr>
          <w:p>
            <w:pPr>
              <w:spacing w:after="0"/>
              <w:rPr>
                <w:sz w:val="21"/>
                <w:szCs w:val="21"/>
                <w:color w:val="auto"/>
              </w:rPr>
            </w:pPr>
          </w:p>
        </w:tc>
      </w:tr>
      <w:tr>
        <w:trPr>
          <w:trHeight w:val="23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contracts with customers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172,089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169,498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21,674</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20" w:type="dxa"/>
            <w:vAlign w:val="bottom"/>
          </w:tcPr>
          <w:p>
            <w:pPr>
              <w:spacing w:after="0"/>
              <w:rPr>
                <w:sz w:val="20"/>
                <w:szCs w:val="20"/>
                <w:color w:val="auto"/>
              </w:rPr>
            </w:pPr>
          </w:p>
        </w:tc>
      </w:tr>
      <w:tr>
        <w:trPr>
          <w:trHeight w:val="24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Alternative revenue program</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r>
      <w:tr>
        <w:trPr>
          <w:trHeight w:val="240"/>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and eliminations</w:t>
            </w: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0" w:type="dxa"/>
            <w:vAlign w:val="bottom"/>
          </w:tcPr>
          <w:p>
            <w:pPr>
              <w:spacing w:after="0"/>
              <w:rPr>
                <w:sz w:val="20"/>
                <w:szCs w:val="20"/>
                <w:color w:val="auto"/>
              </w:rPr>
            </w:pPr>
          </w:p>
        </w:tc>
      </w:tr>
      <w:tr>
        <w:trPr>
          <w:trHeight w:val="220"/>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25,277</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169,498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Revenues from Contracts with Customers – </w:t>
      </w:r>
      <w:r>
        <w:rPr>
          <w:rFonts w:ascii="Times New Roman" w:cs="Times New Roman" w:eastAsia="Times New Roman" w:hAnsi="Times New Roman"/>
          <w:sz w:val="22"/>
          <w:szCs w:val="22"/>
          <w:color w:val="auto"/>
        </w:rPr>
        <w:t>These revenues are composed of three main categories: water,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wastewater, and other. Water revenues represent revenues earned for supplying customers with water</w:t>
      </w:r>
    </w:p>
    <w:p>
      <w:pPr>
        <w:spacing w:after="0"/>
        <w:rPr>
          <w:sz w:val="20"/>
          <w:szCs w:val="20"/>
          <w:color w:val="auto"/>
        </w:rPr>
      </w:pPr>
      <w:r>
        <w:rPr>
          <w:rFonts w:ascii="Times New Roman" w:cs="Times New Roman" w:eastAsia="Times New Roman" w:hAnsi="Times New Roman"/>
          <w:sz w:val="21"/>
          <w:szCs w:val="21"/>
          <w:color w:val="auto"/>
        </w:rPr>
        <w:t>service. Wastewater revenues represent revenues earned for treating wastewater and releasing it into the water</w:t>
      </w:r>
    </w:p>
    <w:p>
      <w:pPr>
        <w:spacing w:after="0" w:line="232" w:lineRule="auto"/>
        <w:rPr>
          <w:sz w:val="20"/>
          <w:szCs w:val="20"/>
          <w:color w:val="auto"/>
        </w:rPr>
      </w:pPr>
      <w:r>
        <w:rPr>
          <w:rFonts w:ascii="Times New Roman" w:cs="Times New Roman" w:eastAsia="Times New Roman" w:hAnsi="Times New Roman"/>
          <w:sz w:val="22"/>
          <w:szCs w:val="22"/>
          <w:color w:val="auto"/>
        </w:rPr>
        <w:t>supply. Other revenues are associated fees that relate to the regulated business but are not water and</w:t>
      </w:r>
    </w:p>
    <w:p>
      <w:pPr>
        <w:spacing w:after="0" w:line="230" w:lineRule="auto"/>
        <w:rPr>
          <w:sz w:val="20"/>
          <w:szCs w:val="20"/>
          <w:color w:val="auto"/>
        </w:rPr>
      </w:pPr>
      <w:r>
        <w:rPr>
          <w:rFonts w:ascii="Times New Roman" w:cs="Times New Roman" w:eastAsia="Times New Roman" w:hAnsi="Times New Roman"/>
          <w:sz w:val="22"/>
          <w:szCs w:val="22"/>
          <w:color w:val="auto"/>
        </w:rPr>
        <w:t>wastewater revenues. See description below for a discussion on the performance obligation for each of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revenue streams.</w:t>
      </w:r>
    </w:p>
    <w:p>
      <w:pPr>
        <w:spacing w:after="0" w:line="20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Tariff Revenues – </w:t>
      </w:r>
      <w:r>
        <w:rPr>
          <w:rFonts w:ascii="Times New Roman" w:cs="Times New Roman" w:eastAsia="Times New Roman" w:hAnsi="Times New Roman"/>
          <w:sz w:val="22"/>
          <w:szCs w:val="22"/>
          <w:color w:val="auto"/>
        </w:rPr>
        <w:t>These revenues are categorized by customer class: residential, commercial, fire protection,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industrial,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20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Utility Revenues – </w:t>
      </w:r>
      <w:r>
        <w:rPr>
          <w:rFonts w:ascii="Times New Roman" w:cs="Times New Roman" w:eastAsia="Times New Roman" w:hAnsi="Times New Roman"/>
          <w:sz w:val="22"/>
          <w:szCs w:val="22"/>
          <w:color w:val="auto"/>
        </w:rPr>
        <w:t>Other utility revenues represent revenues earned primarily from: antenna revenues,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represent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spacing w:after="0" w:line="20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Alternative Revenue Program – </w:t>
      </w:r>
      <w:r>
        <w:rPr>
          <w:rFonts w:ascii="Times New Roman" w:cs="Times New Roman" w:eastAsia="Times New Roman" w:hAnsi="Times New Roman"/>
          <w:sz w:val="22"/>
          <w:szCs w:val="22"/>
          <w:color w:val="auto"/>
        </w:rPr>
        <w:t>These revenues represent the difference between the actual billed utility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water and wastewater revenues for Aqua Illinois and the revenues set in the last Aqua Illinois rate case. We recognize revenues based on the target amount established in the last rate case, and then record either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 This revenue program represents a contract between the utility and its regulators, not customers, and therefore is not within the scope of the Financial Accounting Standards Board’s (“FASB”) accounting guidance for recognizing revenue from contracts with customers.</w:t>
      </w:r>
    </w:p>
    <w:p>
      <w:pPr>
        <w:spacing w:after="0" w:line="20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and Eliminations – </w:t>
      </w:r>
      <w:r>
        <w:rPr>
          <w:rFonts w:ascii="Times New Roman" w:cs="Times New Roman" w:eastAsia="Times New Roman" w:hAnsi="Times New Roman"/>
          <w:sz w:val="22"/>
          <w:szCs w:val="22"/>
          <w:color w:val="auto"/>
        </w:rPr>
        <w:t>Other and eliminations consist of our market-based revenues,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comprises: Aqua Infrastructure and Aqua Resources (described below), and intercompany eliminations for revenue billed between our subsidiaries.</w:t>
      </w:r>
    </w:p>
    <w:p>
      <w:pPr>
        <w:spacing w:after="0" w:line="197"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w:t>
      </w:r>
    </w:p>
    <w:p>
      <w:pPr>
        <w:spacing w:after="0" w:line="21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Aqua Resources earns revenues by providing non-regulated water and wastewater services through operating and maintenance contracts, and third-party water and sewer service line repair. The performance obligations are performing agreed upon services in the contract, most commonly operation of third-party water or wastewater treatment services, or billing services, or allowing the use of our logo to a third-party water and sewer service line repair. Revenues are primarily recognized over time as service is delivered.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color w:val="auto"/>
                <w:w w:val="98"/>
              </w:rPr>
              <w:t>Regulated</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1"/>
        </w:trPr>
        <w:tc>
          <w:tcPr>
            <w:tcW w:w="5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color w:val="auto"/>
                <w:w w:val="98"/>
              </w:rPr>
              <w:t>Segment</w:t>
            </w:r>
          </w:p>
        </w:tc>
        <w:tc>
          <w:tcPr>
            <w:tcW w:w="260" w:type="dxa"/>
            <w:vAlign w:val="bottom"/>
          </w:tcPr>
          <w:p>
            <w:pPr>
              <w:spacing w:after="0"/>
              <w:rPr>
                <w:sz w:val="23"/>
                <w:szCs w:val="2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Other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Consolidated</w:t>
            </w:r>
          </w:p>
        </w:tc>
      </w:tr>
      <w:tr>
        <w:trPr>
          <w:trHeight w:val="237"/>
        </w:trPr>
        <w:tc>
          <w:tcPr>
            <w:tcW w:w="536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2018</w:t>
            </w:r>
          </w:p>
        </w:tc>
        <w:tc>
          <w:tcPr>
            <w:tcW w:w="16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47,885</w:t>
            </w:r>
          </w:p>
        </w:tc>
        <w:tc>
          <w:tcPr>
            <w:tcW w:w="1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4,841</w:t>
            </w:r>
          </w:p>
        </w:tc>
        <w:tc>
          <w:tcPr>
            <w:tcW w:w="1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52,726</w:t>
            </w:r>
          </w:p>
        </w:tc>
      </w:tr>
      <w:tr>
        <w:trPr>
          <w:trHeight w:val="243"/>
        </w:trPr>
        <w:tc>
          <w:tcPr>
            <w:tcW w:w="5360" w:type="dxa"/>
            <w:vAlign w:val="bottom"/>
            <w:tcBorders>
              <w:bottom w:val="single" w:sz="8" w:color="CCEEF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Goodwill acquired</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343</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343</w:t>
            </w:r>
          </w:p>
        </w:tc>
      </w:tr>
      <w:tr>
        <w:trPr>
          <w:trHeight w:val="244"/>
        </w:trPr>
        <w:tc>
          <w:tcPr>
            <w:tcW w:w="536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Balance at March 31, 2019</w:t>
            </w:r>
          </w:p>
        </w:tc>
        <w:tc>
          <w:tcPr>
            <w:tcW w:w="16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48,228</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4,841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53,069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left="1260" w:right="15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Acquisitions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Peoples Gas Acquisition</w:t>
      </w:r>
    </w:p>
    <w:p>
      <w:pPr>
        <w:spacing w:after="0" w:line="2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Pursuant to the Company’s growth strategy, on October 22, 2018, the Company entered into a purchase agreement (the “Acquisition Agreement”) with LDC Parent LLC (“Seller”), to acquire its interests in LDC Funding LLC (“LDC”). LDC is the parent of LDC Holdings LLC (“LDC Holdings”), and LDC Holdings is the parent of five natural gas public utility companies, which includes Peoples Natural Gas Company, Peoples Gas Company, and Delta Natural Gas Company as well as other operating subsidiaries. This acquisition is referred to as the “Peoples Gas Acquisition,” and collectively these businesses are referred to as “Peoples.” Peoples is headquartered in Pittsburgh, Pennsylvania, and serves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$1,370,000 of Peoples’ indebtedness upon the closing of the Peoples Gas Acquisition, which would reduce the cash purchase price by approximately $1,370,000.</w:t>
      </w:r>
    </w:p>
    <w:p>
      <w:pPr>
        <w:spacing w:after="0" w:line="21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29, 2019, the Company entered into a Stock Purchase Agreement to issue shares of common stock in a private placement to fund a portion of the Peoples Gas Acquisition. The gross proceeds of the Stock Purchase Agreement are expected to amount to approximately $750,000. As of March 31, 2019, the Company had terminated approximately $1,633,000 of commitments under the Bridge Commitment. Further, on April 18, 2019, the Company issued $1,293,750 of its common stock and $690,000 of its tangible equity units, with a stated amount of $50 per unit, and on April 26, 2019, the Company issued $900,000 of senior notes. Lastly, in April 2019, as a result of the Company’s common stock, tangible equity units, and senior notes issuances, we terminated approximately $2,717,000 of commitments under the Bridge Commitment. The remaining balance available under the Bridge Commitment is $750,000. Refer to Note 6 –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 xml:space="preserve"> for further information on these financings.</w:t>
      </w:r>
    </w:p>
    <w:p>
      <w:pPr>
        <w:spacing w:after="0" w:line="21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long-term debt used to finance a portion of the purchase price of this acquisition, which resulted in a payment by the Company of $83,520. Refer to Note 7 – </w:t>
      </w:r>
      <w:r>
        <w:rPr>
          <w:rFonts w:ascii="Times New Roman" w:cs="Times New Roman" w:eastAsia="Times New Roman" w:hAnsi="Times New Roman"/>
          <w:sz w:val="22"/>
          <w:szCs w:val="22"/>
          <w:i w:val="1"/>
          <w:iCs w:val="1"/>
          <w:color w:val="auto"/>
        </w:rPr>
        <w:t>Interest Rate Swap Agreements</w:t>
      </w:r>
      <w:r>
        <w:rPr>
          <w:rFonts w:ascii="Times New Roman" w:cs="Times New Roman" w:eastAsia="Times New Roman" w:hAnsi="Times New Roman"/>
          <w:sz w:val="22"/>
          <w:szCs w:val="22"/>
          <w:color w:val="auto"/>
        </w:rPr>
        <w:t xml:space="preserve"> for further information. The interest rate swaps did not qualify for hedge accounting and any changes in the fair value of the swaps was included in our earnings.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00"/>
          </w:cols>
          <w:pgMar w:left="1220" w:top="111" w:right="117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left="1240" w:right="154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Peoples Gas Acquisition is subject to regulatory approval by the Pennsylvania public utility commission,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other customary closing conditions set forth in the Acquisition Agreement. Approval from the United</w:t>
      </w:r>
    </w:p>
    <w:p>
      <w:pPr>
        <w:spacing w:after="0" w:line="230" w:lineRule="auto"/>
        <w:rPr>
          <w:sz w:val="20"/>
          <w:szCs w:val="20"/>
          <w:color w:val="auto"/>
        </w:rPr>
      </w:pPr>
      <w:r>
        <w:rPr>
          <w:rFonts w:ascii="Times New Roman" w:cs="Times New Roman" w:eastAsia="Times New Roman" w:hAnsi="Times New Roman"/>
          <w:sz w:val="22"/>
          <w:szCs w:val="22"/>
          <w:color w:val="auto"/>
        </w:rPr>
        <w:t>States Federal Trade Commission was obtained in December 2018 and approvals from the public utility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commissions of Kentucky and West Virginia were obtained in March 2019 and April 2019, respectively. The</w:t>
      </w:r>
    </w:p>
    <w:p>
      <w:pPr>
        <w:spacing w:after="0" w:line="232" w:lineRule="auto"/>
        <w:rPr>
          <w:sz w:val="20"/>
          <w:szCs w:val="20"/>
          <w:color w:val="auto"/>
        </w:rPr>
      </w:pPr>
      <w:r>
        <w:rPr>
          <w:rFonts w:ascii="Times New Roman" w:cs="Times New Roman" w:eastAsia="Times New Roman" w:hAnsi="Times New Roman"/>
          <w:sz w:val="22"/>
          <w:szCs w:val="22"/>
          <w:color w:val="auto"/>
        </w:rPr>
        <w:t>Peoples Gas Acquisition is expected to close in mid-2019, once all regulatory approvals are obtained, and</w:t>
      </w:r>
    </w:p>
    <w:p>
      <w:pPr>
        <w:spacing w:after="0" w:line="230" w:lineRule="auto"/>
        <w:rPr>
          <w:sz w:val="20"/>
          <w:szCs w:val="20"/>
          <w:color w:val="auto"/>
        </w:rPr>
      </w:pPr>
      <w:r>
        <w:rPr>
          <w:rFonts w:ascii="Times New Roman" w:cs="Times New Roman" w:eastAsia="Times New Roman" w:hAnsi="Times New Roman"/>
          <w:sz w:val="22"/>
          <w:szCs w:val="22"/>
          <w:color w:val="auto"/>
        </w:rPr>
        <w:t>closing conditions are met, and it is anticipated that this acquisition will result in the recording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goodwill. In the event that the Acquisition Agreement is terminated due to certain breaches by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fee of $120,000 would be payable to the Seller as a reverse termination fee.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July 2018, the Company acquired the wastewater utility systems assets of Limerick Township,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 which serves 5,497 customers. The total cash purchase price for the utility system was</w:t>
      </w:r>
    </w:p>
    <w:p>
      <w:pPr>
        <w:spacing w:after="0"/>
        <w:rPr>
          <w:sz w:val="20"/>
          <w:szCs w:val="20"/>
          <w:color w:val="auto"/>
        </w:rPr>
      </w:pPr>
      <w:r>
        <w:rPr>
          <w:rFonts w:ascii="Times New Roman" w:cs="Times New Roman" w:eastAsia="Times New Roman" w:hAnsi="Times New Roman"/>
          <w:sz w:val="21"/>
          <w:szCs w:val="21"/>
          <w:color w:val="auto"/>
        </w:rPr>
        <w:t>$74,836. The purchase price allocation for this acquisition consisted primarily of acquired property, plant and</w:t>
      </w:r>
    </w:p>
    <w:p>
      <w:pPr>
        <w:spacing w:after="0" w:line="232" w:lineRule="auto"/>
        <w:rPr>
          <w:sz w:val="20"/>
          <w:szCs w:val="20"/>
          <w:color w:val="auto"/>
        </w:rPr>
      </w:pPr>
      <w:r>
        <w:rPr>
          <w:rFonts w:ascii="Times New Roman" w:cs="Times New Roman" w:eastAsia="Times New Roman" w:hAnsi="Times New Roman"/>
          <w:sz w:val="22"/>
          <w:szCs w:val="22"/>
          <w:color w:val="auto"/>
        </w:rPr>
        <w:t>equipment of $64,759, and goodwill of $10,790. Additionally, during 2018, the Company completed seven</w:t>
      </w:r>
    </w:p>
    <w:p>
      <w:pPr>
        <w:spacing w:after="0" w:line="230" w:lineRule="auto"/>
        <w:rPr>
          <w:sz w:val="20"/>
          <w:szCs w:val="20"/>
          <w:color w:val="auto"/>
        </w:rPr>
      </w:pPr>
      <w:r>
        <w:rPr>
          <w:rFonts w:ascii="Times New Roman" w:cs="Times New Roman" w:eastAsia="Times New Roman" w:hAnsi="Times New Roman"/>
          <w:sz w:val="22"/>
          <w:szCs w:val="22"/>
          <w:color w:val="auto"/>
        </w:rPr>
        <w:t>acquisitions of water and wastewater utility systems in three states adding 8,661 customers. The total</w:t>
      </w:r>
    </w:p>
    <w:p>
      <w:pPr>
        <w:spacing w:after="0" w:line="231" w:lineRule="auto"/>
        <w:rPr>
          <w:sz w:val="20"/>
          <w:szCs w:val="20"/>
          <w:color w:val="auto"/>
        </w:rPr>
      </w:pPr>
      <w:r>
        <w:rPr>
          <w:rFonts w:ascii="Times New Roman" w:cs="Times New Roman" w:eastAsia="Times New Roman" w:hAnsi="Times New Roman"/>
          <w:sz w:val="22"/>
          <w:szCs w:val="22"/>
          <w:color w:val="auto"/>
        </w:rPr>
        <w:t>purchase price of these utility systems consisted of $42,519 in cash. The purchase price allocation for these</w:t>
      </w:r>
    </w:p>
    <w:p>
      <w:pPr>
        <w:spacing w:after="0" w:line="231" w:lineRule="auto"/>
        <w:rPr>
          <w:sz w:val="20"/>
          <w:szCs w:val="20"/>
          <w:color w:val="auto"/>
        </w:rPr>
      </w:pPr>
      <w:r>
        <w:rPr>
          <w:rFonts w:ascii="Times New Roman" w:cs="Times New Roman" w:eastAsia="Times New Roman" w:hAnsi="Times New Roman"/>
          <w:sz w:val="22"/>
          <w:szCs w:val="22"/>
          <w:color w:val="auto"/>
        </w:rPr>
        <w:t>acquisitions consisted primarily of acquired property, plant and equipment. Further, in December 2018, the</w:t>
      </w:r>
    </w:p>
    <w:p>
      <w:pPr>
        <w:spacing w:after="0"/>
        <w:rPr>
          <w:sz w:val="20"/>
          <w:szCs w:val="20"/>
          <w:color w:val="auto"/>
        </w:rPr>
      </w:pPr>
      <w:r>
        <w:rPr>
          <w:rFonts w:ascii="Times New Roman" w:cs="Times New Roman" w:eastAsia="Times New Roman" w:hAnsi="Times New Roman"/>
          <w:sz w:val="21"/>
          <w:szCs w:val="21"/>
          <w:color w:val="auto"/>
        </w:rPr>
        <w:t>Company acquired the Valley Creek Trunk Sewer System, serving area municipalities in Pennsylvania, from</w:t>
      </w:r>
    </w:p>
    <w:p>
      <w:pPr>
        <w:spacing w:after="0" w:line="232" w:lineRule="auto"/>
        <w:rPr>
          <w:sz w:val="20"/>
          <w:szCs w:val="20"/>
          <w:color w:val="auto"/>
        </w:rPr>
      </w:pPr>
      <w:r>
        <w:rPr>
          <w:rFonts w:ascii="Times New Roman" w:cs="Times New Roman" w:eastAsia="Times New Roman" w:hAnsi="Times New Roman"/>
          <w:sz w:val="22"/>
          <w:szCs w:val="22"/>
          <w:color w:val="auto"/>
        </w:rPr>
        <w:t>the Tredyffrin Township Municipal Authority for $28,300. The system receives untreated wastewater from</w:t>
      </w:r>
    </w:p>
    <w:p>
      <w:pPr>
        <w:spacing w:after="0" w:line="230" w:lineRule="auto"/>
        <w:rPr>
          <w:sz w:val="20"/>
          <w:szCs w:val="20"/>
          <w:color w:val="auto"/>
        </w:rPr>
      </w:pPr>
      <w:r>
        <w:rPr>
          <w:rFonts w:ascii="Times New Roman" w:cs="Times New Roman" w:eastAsia="Times New Roman" w:hAnsi="Times New Roman"/>
          <w:sz w:val="22"/>
          <w:szCs w:val="22"/>
          <w:color w:val="auto"/>
        </w:rPr>
        <w:t>area municipalities, which is conveyed to the Valley Forge Treatment Plant. The system consists of 49,000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linear feet of gravity sewers, pump stations, and force mains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November 2018, the Company entered into a purchase agreement to acquire the wastewater utility system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assets of East Norriton Township, Pennsylvania, which serves approximately 4,950 customers for</w:t>
      </w:r>
    </w:p>
    <w:p>
      <w:pPr>
        <w:spacing w:after="0" w:line="230" w:lineRule="auto"/>
        <w:rPr>
          <w:sz w:val="20"/>
          <w:szCs w:val="20"/>
          <w:color w:val="auto"/>
        </w:rPr>
      </w:pPr>
      <w:r>
        <w:rPr>
          <w:rFonts w:ascii="Times New Roman" w:cs="Times New Roman" w:eastAsia="Times New Roman" w:hAnsi="Times New Roman"/>
          <w:sz w:val="22"/>
          <w:szCs w:val="22"/>
          <w:color w:val="auto"/>
        </w:rPr>
        <w:t>$21,000. The purchase price for this pending acquisition is subject to certain adjustments at closing, and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regulatory approval, including the final determination of the fair value of the rate base acquired.</w:t>
      </w:r>
    </w:p>
    <w:p>
      <w:pPr>
        <w:spacing w:after="0" w:line="20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In July 2018, the Company entered into a purchase agreement to acquire the wastewater utility system assets of Cheltenham Township, Pennsylvania, which serves approximately 10,500 customers for $50,250. The purchase price for this pending acquisition is subject to certain adjustments at closing, and is subject to regulatory approval, including the final determination of the fair value of the rate base acquired.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2" w:right="115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In addition to the Company’s pending acquisitions in East Norriton and Cheltenham Townships, as part of the Company’s growth-through-acquisition strategy, the Company entered into purchase agreements to acquire the water or wastewater utility system assets of four municipalities for a total combined purchase price in cash of $38,950 which we plan to finance by the issuance of debt. The purchase price for these acquisitions is subject to certain adjustments at closing, and the acquisitions are subject to regulatory approvals, including the final determination of the fair value of the rate base acquired. Closings for our remaining acquisitions (other than the Peoples Gas Acquisition) are expected to occur by the end of 2019, subject to the timing of the regulatory approval process. In total, these acquisitions (other than the Peoples Gas Acquisition) will add approximately 4,000 customers in two of the states in which the Company operates 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Assets Held for Sale</w:t>
      </w:r>
    </w:p>
    <w:p>
      <w:pPr>
        <w:spacing w:after="0" w:line="23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In the fourth quarter of 2018, the Company decided to market for sale a water system in Virginia that serves approximately 500 customers. This water system is reported as assets held for sale in the Company’s consolidated balance sheet, and in April 2019, the Company completed the sale for proceeds of $1,882.</w:t>
      </w:r>
    </w:p>
    <w:p>
      <w:pPr>
        <w:spacing w:after="0" w:line="182"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21"/>
          <w:szCs w:val="21"/>
          <w:color w:val="auto"/>
        </w:rPr>
        <w:t>In the first quarter of 2017, the Company decided to market for sale a water system in Texas that serves approximately 265 customers. This water system is reported as assets held for sale in the Company’s consolidated balance sheet, and the sale is expected to close in the second quarter of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Capitalization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Private Placement</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On March 29, 2019, the Company entered into a Stock Purchase Agreement (the “Stock Purchase Agreement”) with Canada Pension Plan Investment Board (the “Investor”), pursuant to which the Company has agreed to issue and sell to the Investor in a private placement (the “Private Placement”) 21,661,095 newly issued shares of common stock, par value $0.50 per share (the “Common Stock”). The gross proceeds of the Private Placement are expected to amount to approximately $750,000, less estimated expenses of $21,560.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issued and sold to the Investor pursuant to the Private Placement were to be priced at the lower of</w:t>
      </w:r>
    </w:p>
    <w:p>
      <w:pPr>
        <w:spacing w:after="0" w:line="26" w:lineRule="exact"/>
        <w:rPr>
          <w:sz w:val="20"/>
          <w:szCs w:val="20"/>
          <w:color w:val="auto"/>
        </w:rPr>
      </w:pPr>
    </w:p>
    <w:p>
      <w:pPr>
        <w:jc w:val="both"/>
        <w:spacing w:after="0" w:line="233" w:lineRule="auto"/>
        <w:tabs>
          <w:tab w:leader="none" w:pos="33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 Based on the common stock offering noted below, the Private Placement was priced at $34.62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2" w:right="111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closing of the Private Placement is expected to occur concurrently with the closing of the Peoples Gas Acquisition, subject to certain closing conditions, including the closing of the Peoples Gas Acquisition, and the execution and delivery of a shareholder agreement between the Investor and the Company. The Investor has agreed to certain transfer restrictions for a period of 15 months from the closing date of the Peoples Gas Acquisition.</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Upon closing of the Private Placement, the Company has agreed to reimburse the Investor for reasonable out-of-pocket diligence expenses of up to $4,000, subject to certain exceptions.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 / Equity Unit Issuances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Subsequent to the quarterly period ended March 31, 2019, on April 23, 2019, the Company issued $1,293,750, less estimated expenses of $30,496, of its common stock and $690,000, less estimated expenses of $16,251, of its tangible equity units (the “Units”), with a stated amount of $50 per unit. These issuances are part of securing the permanent financing to close the Peoples Gas Acquisition. The common stock was issued at $34.62 per share and thus the Private Placement noted above was priced at $34.62 per share.</w:t>
      </w:r>
    </w:p>
    <w:p>
      <w:pPr>
        <w:spacing w:after="0" w:line="200" w:lineRule="exact"/>
        <w:rPr>
          <w:sz w:val="20"/>
          <w:szCs w:val="20"/>
          <w:color w:val="auto"/>
        </w:rPr>
      </w:pP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Each Unit consists of a prepaid stock purchase contract and an amortization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The amortizing notes have an initial principal amount of $8.62909, or $119,081 in aggregate, and bear interest at a rate of 3.00% per year, and pay equal quarterly cash installments of $0.75000 per amortizing note (except for the July 30, 2019 installment payment, which will be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expects to record the issuance of the purchase contract portion of the Units as additional paid-in-capital of $570,919, less estimated allocable issuance costs of $13,446, in our financial statements. The Company also expects to record the amortizing notes portion of the Units of $119,081 as long-term debt and to record estimated allocable issuance costs of $2,805 as debt issuance costs.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2" w:right="111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Debt</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Subsequent to the quarterly period ended March 31, 2019, on April 26, 2019, the Company issued $900,000 of long-term debt (the “Senior Notes”), less estimated expenses of $9,147, of which $400,000 is due in 2029, and $500,000 is due in 2049 with interest rates of 3.566% and 4.276%, respectively.</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issuance of the Senior Notes was not conditioned upon the consummation of the Peoples Gas Acquisition; however, if (1) the Peoples Gas Acquisition has not been consummated on or prior to April 22, 2020, (2) on or prior to the April 22, 2020 and prior to the consummation of the Peoples Gas Acquisition, the Acquisition Agreement is terminated or (3) prior to the consummation of the Peoples Gas Acquisition, the Company otherwise publicly announces that the acquisition will not be consummated, then the Company will be required to redeem all outstanding Senior Notes on a special mandatory redemption date at a special mandatory redemption price equal to 101% of the aggregate principal amount of the notes, plus accrued and unpaid interest thereon, if any, to, but excluding, the special mandatory redemption date.</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intends to use the net proceeds from the issuance of Senior Notes, together with the net proceeds from the common stock offering and tangible equity unit offering noted above, as well as the proceeds from the Private Placement of common stock noted above, to (1) fund the Peoples Gas Acquisition,</w:t>
      </w:r>
    </w:p>
    <w:p>
      <w:pPr>
        <w:spacing w:after="0" w:line="2" w:lineRule="exact"/>
        <w:rPr>
          <w:sz w:val="20"/>
          <w:szCs w:val="20"/>
          <w:color w:val="auto"/>
        </w:rPr>
      </w:pPr>
    </w:p>
    <w:p>
      <w:pPr>
        <w:jc w:val="both"/>
        <w:spacing w:after="0" w:line="234" w:lineRule="auto"/>
        <w:tabs>
          <w:tab w:leader="none" w:pos="30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the redemption of $313,500 aggregate principal amount of certain of the Company’s outstanding notes noted below, (3) pay related costs and expenses, and (4) for general corporate purposes. Upon consummation of the Private Placement, the permanent financing for the Peoples Gas Acquisition will be complete.</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May 18, 2019, the Company expects to redeem $313,500 of the Company’s outstanding notes (the “Company Debt Refinancing”) that have maturities ranging from 2019-2037 and interest rates ranging from 3.57-5.83%. Additionally, the Company Debt Refinancing is subject to a make whole payment of approximately $25,000.</w:t>
      </w:r>
    </w:p>
    <w:p>
      <w:pPr>
        <w:spacing w:after="0" w:line="20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for any reason the Peoples Gas Acquisition is not consummated, the Company intends to use the net proceeds from these financings, after the special mandatory redemption noted above, for general corporate purposes, which may include the redemption of certain of the Company’s outstanding notes, repurchases of the Company’s common stock, debt repayment, capital expenditures, and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Interest Rate Swap Agreements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October 2018, the Company entered into interest rate swap agreements to mitigate interest rate risk associated with an anticipated $850,000 of future debt issuances to fund a portion of the Peoples Gas Acquisition and refinance a portion of the Company’s borrowings. The interest rate swaps do not qualify for hedge accounting and any changes in the fair value of the swaps was included in our earnings. The interest rate swaps were classified as financial derivatives used for non-trading activities. Other than the interest rate swaps, the Company has no other derivative instruments. The Company recorded the fair value of the interest rate swaps by discounting the future net cash flows associated with the debt issuance and recognized either an asset or liability at the balance sheet date.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2" w:right="111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a summary of the fair value of our interest rate swap agreements: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Borders>
              <w:bottom w:val="single" w:sz="8" w:color="auto"/>
            </w:tcBorders>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37"/>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Sheet Location</w:t>
            </w:r>
          </w:p>
        </w:tc>
        <w:tc>
          <w:tcPr>
            <w:tcW w:w="1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w:t>
            </w:r>
          </w:p>
        </w:tc>
        <w:tc>
          <w:tcPr>
            <w:tcW w:w="14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94,561</w:t>
            </w:r>
          </w:p>
        </w:tc>
      </w:tr>
      <w:tr>
        <w:trPr>
          <w:trHeight w:val="27"/>
        </w:trPr>
        <w:tc>
          <w:tcPr>
            <w:tcW w:w="3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21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following table provides a summary of the amounts recognized in earnings for our interest rate swap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Amount of Gain (Loss) Recognized</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in Income on Derivatives</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20"/>
                <w:szCs w:val="20"/>
                <w:color w:val="auto"/>
                <w:w w:val="99"/>
              </w:rPr>
              <w:t>Location of Gain (Loss)</w:t>
            </w:r>
          </w:p>
        </w:tc>
        <w:tc>
          <w:tcPr>
            <w:tcW w:w="12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tcPr>
          <w:p>
            <w:pPr>
              <w:jc w:val="center"/>
              <w:ind w:right="21"/>
              <w:spacing w:after="0" w:line="223" w:lineRule="exact"/>
              <w:rPr>
                <w:sz w:val="20"/>
                <w:szCs w:val="20"/>
                <w:color w:val="auto"/>
              </w:rPr>
            </w:pPr>
            <w:r>
              <w:rPr>
                <w:rFonts w:ascii="Times New Roman" w:cs="Times New Roman" w:eastAsia="Times New Roman" w:hAnsi="Times New Roman"/>
                <w:sz w:val="20"/>
                <w:szCs w:val="20"/>
                <w:color w:val="auto"/>
                <w:w w:val="99"/>
              </w:rPr>
              <w:t>Three Months Ended 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Derivatives not designated as hedging instrument:</w:t>
            </w:r>
          </w:p>
        </w:tc>
        <w:tc>
          <w:tcPr>
            <w:tcW w:w="200" w:type="dxa"/>
            <w:vAlign w:val="bottom"/>
          </w:tcPr>
          <w:p>
            <w:pPr>
              <w:spacing w:after="0"/>
              <w:rPr>
                <w:sz w:val="21"/>
                <w:szCs w:val="21"/>
                <w:color w:val="auto"/>
              </w:rPr>
            </w:pP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9"/>
              </w:rPr>
              <w:t>Recognized</w:t>
            </w:r>
          </w:p>
        </w:tc>
        <w:tc>
          <w:tcPr>
            <w:tcW w:w="120" w:type="dxa"/>
            <w:vAlign w:val="bottom"/>
          </w:tcPr>
          <w:p>
            <w:pPr>
              <w:spacing w:after="0"/>
              <w:rPr>
                <w:sz w:val="21"/>
                <w:szCs w:val="21"/>
                <w:color w:val="auto"/>
              </w:rPr>
            </w:pPr>
          </w:p>
        </w:tc>
        <w:tc>
          <w:tcPr>
            <w:tcW w:w="27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4"/>
              </w:rPr>
              <w:t>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Interest rate swaps</w:t>
            </w:r>
          </w:p>
        </w:tc>
        <w:tc>
          <w:tcPr>
            <w:tcW w:w="2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Other (expense)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(34,782)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Subsequent to the quarterly period ended March 31, 2019, on April 24, 2019, the Company settled the interest rate swap agreements upon issuance of $900,000 of long-term debt used to finance a portion of the purchase price of the Peoples Gas Acquisition. The settlement resulted in a payment by the Company of $83,520.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Financial Instruments</w:t>
      </w:r>
    </w:p>
    <w:p>
      <w:pPr>
        <w:spacing w:after="0" w:line="23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209" w:lineRule="exact"/>
        <w:rPr>
          <w:sz w:val="20"/>
          <w:szCs w:val="20"/>
          <w:color w:val="auto"/>
        </w:rPr>
      </w:pPr>
    </w:p>
    <w:p>
      <w:pPr>
        <w:ind w:left="640" w:right="60" w:hanging="315"/>
        <w:spacing w:after="0" w:line="258" w:lineRule="auto"/>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1: unadjusted quoted prices in active markets for identical assets or liabilities that the Company has the ability to access;</w:t>
      </w:r>
    </w:p>
    <w:p>
      <w:pPr>
        <w:spacing w:after="0" w:line="50" w:lineRule="exact"/>
        <w:rPr>
          <w:rFonts w:ascii="Times New Roman" w:cs="Times New Roman" w:eastAsia="Times New Roman" w:hAnsi="Times New Roman"/>
          <w:sz w:val="22"/>
          <w:szCs w:val="22"/>
          <w:color w:val="auto"/>
        </w:rPr>
      </w:pPr>
    </w:p>
    <w:p>
      <w:pPr>
        <w:ind w:left="640" w:right="60" w:hanging="315"/>
        <w:spacing w:after="0" w:line="239" w:lineRule="auto"/>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72" w:lineRule="exact"/>
        <w:rPr>
          <w:rFonts w:ascii="Times New Roman" w:cs="Times New Roman" w:eastAsia="Times New Roman" w:hAnsi="Times New Roman"/>
          <w:sz w:val="22"/>
          <w:szCs w:val="22"/>
          <w:color w:val="auto"/>
        </w:rPr>
      </w:pPr>
    </w:p>
    <w:p>
      <w:pPr>
        <w:ind w:left="640" w:hanging="31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3: inputs that are unobservable and significant to the fair value measurement.</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 asset’s or liability’s fair value measurement level within the fair value hierarchy is based on the lowest level of any input that is significant to the fair value measurement. Valuation techniques used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2" w:right="111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need to maximize the use of observable inputs and minimize the use of unobservable inputs. There have been no changes in the valuation techniques used to measure fair value, or asset or liability transfers between the levels of the fair value hierarchy for the quarter ended March 31, 2019.</w:t>
      </w:r>
    </w:p>
    <w:p>
      <w:pPr>
        <w:spacing w:after="0" w:line="20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20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The fair value of loans payable is determined based on its carrying amount and utilizing Level 1 methods and assumptions. As of March 31, 2019, and December 31, 2018, the carrying amount of the Company’s loans payable was $32,563 and $15,449, respectively, which equates to their estimated fair value. The fair value of the interest rate swap agreements was determined by discounting the future net cash flows utilizing level 2 methods and assumptions. As of March 31, 2019 and December 31, 2018, the fair value of the Company’s interest rate swap agreements represented a liability of $94,561 and $59,779, respectively. The fair value of cash and cash equivalents, which is comprised of uninvested cash, is determined based on the net asset value per unit utilizing Level 1 methods and assumptions. As of March 31, 2019, and December 31, 2018, the carrying amounts of the Company's cash and cash equivalents was $4,053 and $3,627,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2019, and December 31, 2018, the carrying amount of these securities was $22,068 and $20,388, respectively, which equates to their fair value, and is reported in the consolidated balance sheet in deferred charges and other assets.</w:t>
      </w:r>
    </w:p>
    <w:p>
      <w:pPr>
        <w:spacing w:after="0" w:line="20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Unrealized gain and losses on equity securities held in conjunction with our non-qualified pension plan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Three Months Ended</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20"/>
                <w:szCs w:val="20"/>
                <w:color w:val="auto"/>
              </w:rPr>
              <w:t>March 31,</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w w:val="94"/>
              </w:rPr>
              <w:t>2018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Net gain recognized during the period on equity securities</w:t>
            </w:r>
          </w:p>
        </w:tc>
        <w:tc>
          <w:tcPr>
            <w:tcW w:w="116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07"/>
        </w:trPr>
        <w:tc>
          <w:tcPr>
            <w:tcW w:w="55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Less: net gain / loss recognized during the period on equity</w:t>
            </w: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securities sold during the period</w:t>
            </w:r>
          </w:p>
        </w:tc>
        <w:tc>
          <w:tcPr>
            <w:tcW w:w="1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7"/>
        </w:trPr>
        <w:tc>
          <w:tcPr>
            <w:tcW w:w="5520" w:type="dxa"/>
            <w:vAlign w:val="bottom"/>
            <w:tcBorders>
              <w:top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20"/>
                <w:szCs w:val="20"/>
                <w:color w:val="auto"/>
              </w:rPr>
              <w:t>Unrealized gain recognized during the reporting period on equity</w:t>
            </w:r>
          </w:p>
        </w:tc>
        <w:tc>
          <w:tcPr>
            <w:tcW w:w="1160" w:type="dxa"/>
            <w:vAlign w:val="bottom"/>
            <w:tcBorders>
              <w:top w:val="single" w:sz="8" w:color="auto"/>
            </w:tcBorders>
            <w:vMerge w:val="restart"/>
            <w:shd w:val="clear" w:color="auto" w:fill="CCEEFF"/>
          </w:tcPr>
          <w:p>
            <w:pPr>
              <w:jc w:val="right"/>
              <w:ind w:right="99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5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securities still held at the reporting date</w:t>
            </w: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net gain recognized on equity securities is presented on the consolidated statements of operations on the line item “Other.”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March 31,</w:t>
            </w:r>
          </w:p>
        </w:tc>
        <w:tc>
          <w:tcPr>
            <w:tcW w:w="380" w:type="dxa"/>
            <w:vAlign w:val="bottom"/>
          </w:tcPr>
          <w:p>
            <w:pPr>
              <w:spacing w:after="0"/>
              <w:rPr>
                <w:sz w:val="21"/>
                <w:szCs w:val="21"/>
                <w:color w:val="auto"/>
              </w:rPr>
            </w:pPr>
          </w:p>
        </w:tc>
        <w:tc>
          <w:tcPr>
            <w:tcW w:w="21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December 31,</w:t>
            </w:r>
          </w:p>
        </w:tc>
        <w:tc>
          <w:tcPr>
            <w:tcW w:w="40" w:type="dxa"/>
            <w:vAlign w:val="bottom"/>
          </w:tcPr>
          <w:p>
            <w:pPr>
              <w:spacing w:after="0"/>
              <w:rPr>
                <w:sz w:val="21"/>
                <w:szCs w:val="21"/>
                <w:color w:val="auto"/>
              </w:rPr>
            </w:pPr>
          </w:p>
        </w:tc>
      </w:tr>
      <w:tr>
        <w:trPr>
          <w:trHeight w:val="271"/>
        </w:trPr>
        <w:tc>
          <w:tcPr>
            <w:tcW w:w="40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color w:val="auto"/>
              </w:rPr>
              <w:t>2019</w:t>
            </w:r>
          </w:p>
        </w:tc>
        <w:tc>
          <w:tcPr>
            <w:tcW w:w="3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2018</w:t>
            </w:r>
          </w:p>
        </w:tc>
        <w:tc>
          <w:tcPr>
            <w:tcW w:w="40" w:type="dxa"/>
            <w:vAlign w:val="bottom"/>
          </w:tcPr>
          <w:p>
            <w:pPr>
              <w:spacing w:after="0"/>
              <w:rPr>
                <w:sz w:val="23"/>
                <w:szCs w:val="23"/>
                <w:color w:val="auto"/>
              </w:rPr>
            </w:pPr>
          </w:p>
        </w:tc>
      </w:tr>
      <w:tr>
        <w:trPr>
          <w:trHeight w:val="237"/>
        </w:trPr>
        <w:tc>
          <w:tcPr>
            <w:tcW w:w="40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Carrying amount</w:t>
            </w:r>
          </w:p>
        </w:tc>
        <w:tc>
          <w:tcPr>
            <w:tcW w:w="340" w:type="dxa"/>
            <w:vAlign w:val="bottom"/>
            <w:shd w:val="clear" w:color="auto" w:fill="CCEEFF"/>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2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2,639,574</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1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2,563,660</w:t>
            </w:r>
          </w:p>
        </w:tc>
        <w:tc>
          <w:tcPr>
            <w:tcW w:w="40" w:type="dxa"/>
            <w:vAlign w:val="bottom"/>
          </w:tcPr>
          <w:p>
            <w:pPr>
              <w:spacing w:after="0"/>
              <w:rPr>
                <w:sz w:val="20"/>
                <w:szCs w:val="20"/>
                <w:color w:val="auto"/>
              </w:rPr>
            </w:pPr>
          </w:p>
        </w:tc>
      </w:tr>
      <w:tr>
        <w:trPr>
          <w:trHeight w:val="283"/>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3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2,689,570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2,588,086</w:t>
            </w:r>
          </w:p>
        </w:tc>
        <w:tc>
          <w:tcPr>
            <w:tcW w:w="40" w:type="dxa"/>
            <w:vAlign w:val="bottom"/>
          </w:tcPr>
          <w:p>
            <w:pPr>
              <w:spacing w:after="0"/>
              <w:rPr>
                <w:sz w:val="24"/>
                <w:szCs w:val="24"/>
                <w:color w:val="auto"/>
              </w:rPr>
            </w:pPr>
          </w:p>
        </w:tc>
      </w:tr>
      <w:tr>
        <w:trPr>
          <w:trHeight w:val="688"/>
        </w:trPr>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16</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6"/>
        </w:trPr>
        <w:tc>
          <w:tcPr>
            <w:tcW w:w="40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40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2" w:right="109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jc w:val="both"/>
        <w:ind w:right="500"/>
        <w:spacing w:after="0" w:line="244"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20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Company’s customers’ advances for construction have a carrying value of $99,186 as of March 31, 2019, and $93,343 as of December 31, 2018. Their relative fair values cannot be accurately estimated because future refund payments depend on several variables, including new customer connections, customer consumption levels, and future rates. Portions of these non-interest bearing instruments are payable annually through 2029 and amounts not paid by the respective contract expiration dates become non-refundable. The fair value of these amounts would, however, be less than their carrying value due to the non-interest bearing feature.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Net Income per Common Share</w:t>
      </w:r>
    </w:p>
    <w:p>
      <w:pPr>
        <w:spacing w:after="0" w:line="23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Basic net income per common share is based on the weighted average number of common shares outstanding.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20" w:type="dxa"/>
            <w:vAlign w:val="bottom"/>
          </w:tcPr>
          <w:p>
            <w:pPr>
              <w:spacing w:after="0"/>
              <w:rPr>
                <w:sz w:val="21"/>
                <w:szCs w:val="21"/>
                <w:color w:val="auto"/>
              </w:rPr>
            </w:pP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0" w:type="dxa"/>
            <w:vAlign w:val="bottom"/>
          </w:tcPr>
          <w:p>
            <w:pPr>
              <w:spacing w:after="0"/>
              <w:rPr>
                <w:sz w:val="1"/>
                <w:szCs w:val="1"/>
                <w:color w:val="auto"/>
              </w:rPr>
            </w:pPr>
          </w:p>
        </w:tc>
      </w:tr>
      <w:tr>
        <w:trPr>
          <w:trHeight w:val="271"/>
        </w:trPr>
        <w:tc>
          <w:tcPr>
            <w:tcW w:w="6720" w:type="dxa"/>
            <w:vAlign w:val="bottom"/>
          </w:tcPr>
          <w:p>
            <w:pPr>
              <w:spacing w:after="0"/>
              <w:rPr>
                <w:sz w:val="23"/>
                <w:szCs w:val="23"/>
                <w:color w:val="auto"/>
              </w:rPr>
            </w:pPr>
          </w:p>
        </w:tc>
        <w:tc>
          <w:tcPr>
            <w:tcW w:w="18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March 31,</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w w:val="99"/>
              </w:rPr>
              <w:t>2018</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computation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178,213</w:t>
            </w: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177,801</w:t>
            </w: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Dilutive effect of employee stock-based compensation</w:t>
            </w:r>
          </w:p>
        </w:tc>
        <w:tc>
          <w:tcPr>
            <w:tcW w:w="12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339</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437</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178,552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178,238</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computation</w:t>
            </w: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1"/>
          <w:szCs w:val="21"/>
          <w:color w:val="auto"/>
        </w:rPr>
        <w:t>For the three months ended March 31, 2019, employee stock options to purchase 776,211 shares of common stock were excluded from the calculations of diluted net income per share as the calculated cost to exercise the stock options was greater than the average market price of the Company’s common stock during this period. For the three months ended March 31, 2018, all of the Company’s employee stock options were included in the calculation of diluted net income per share as the calculated cost to exercise the stock options was less than the average market price of the Company’s common stock during these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Stock-based Compensation</w:t>
      </w:r>
    </w:p>
    <w:p>
      <w:pPr>
        <w:spacing w:after="0" w:line="23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2" w:right="11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1"/>
          <w:szCs w:val="21"/>
          <w:color w:val="auto"/>
        </w:rPr>
        <w:t>equivalents, and other stock-based awards may be granted to employees, non-employee directors, and consultants and advisors. No further grants may be made under the 2004 Plan. The 2009 Plan authorizes 6,250,000 shares for issuance under the plan. A maximum of 3,125,000 shares under the 2009 Plan may be issued pursuant to stock awards, stock units and other stock-based awards, subject to adjustment as provided in the 2009 Plan. During any calendar year, no individual may be granted (i) stock options and stock appreciation rights under the 2009 Plan for more than 500,000 shares of Company stock in the aggregate or</w:t>
      </w:r>
    </w:p>
    <w:p>
      <w:pPr>
        <w:spacing w:after="0" w:line="3" w:lineRule="exact"/>
        <w:rPr>
          <w:sz w:val="20"/>
          <w:szCs w:val="20"/>
          <w:color w:val="auto"/>
        </w:rPr>
      </w:pPr>
    </w:p>
    <w:p>
      <w:pPr>
        <w:spacing w:after="0" w:line="232"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2019, 2,618,037 shares were still available for issuance under the 2009 Plan.</w:t>
      </w:r>
    </w:p>
    <w:p>
      <w:pPr>
        <w:spacing w:after="0" w:line="203"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common stock if specified performance goals are met over the three-year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4"/>
          </w:tcPr>
          <w:p>
            <w:pPr>
              <w:jc w:val="center"/>
              <w:ind w:left="41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520" w:type="dxa"/>
            <w:vAlign w:val="bottom"/>
          </w:tcPr>
          <w:p>
            <w:pPr>
              <w:spacing w:after="0"/>
              <w:rPr>
                <w:sz w:val="21"/>
                <w:szCs w:val="21"/>
                <w:color w:val="auto"/>
              </w:rPr>
            </w:pPr>
          </w:p>
        </w:tc>
      </w:tr>
      <w:tr>
        <w:trPr>
          <w:trHeight w:val="271"/>
        </w:trPr>
        <w:tc>
          <w:tcPr>
            <w:tcW w:w="5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2"/>
                <w:szCs w:val="22"/>
                <w:color w:val="auto"/>
                <w:w w:val="99"/>
              </w:rPr>
              <w:t>March 31,</w:t>
            </w:r>
          </w:p>
        </w:tc>
        <w:tc>
          <w:tcPr>
            <w:tcW w:w="520" w:type="dxa"/>
            <w:vAlign w:val="bottom"/>
            <w:tcBorders>
              <w:bottom w:val="single" w:sz="8" w:color="auto"/>
            </w:tcBorders>
          </w:tcPr>
          <w:p>
            <w:pPr>
              <w:spacing w:after="0"/>
              <w:rPr>
                <w:sz w:val="23"/>
                <w:szCs w:val="23"/>
                <w:color w:val="auto"/>
              </w:rPr>
            </w:pPr>
          </w:p>
        </w:tc>
      </w:tr>
      <w:tr>
        <w:trPr>
          <w:trHeight w:val="237"/>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520" w:type="dxa"/>
            <w:vAlign w:val="bottom"/>
          </w:tcPr>
          <w:p>
            <w:pPr>
              <w:spacing w:after="0"/>
              <w:rPr>
                <w:sz w:val="20"/>
                <w:szCs w:val="20"/>
                <w:color w:val="auto"/>
              </w:rPr>
            </w:pPr>
          </w:p>
        </w:tc>
        <w:tc>
          <w:tcPr>
            <w:tcW w:w="150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520" w:type="dxa"/>
            <w:vAlign w:val="bottom"/>
          </w:tcPr>
          <w:p>
            <w:pPr>
              <w:spacing w:after="0"/>
              <w:rPr>
                <w:sz w:val="20"/>
                <w:szCs w:val="20"/>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 maintenance</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7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expenses</w:t>
            </w:r>
          </w:p>
        </w:tc>
        <w:tc>
          <w:tcPr>
            <w:tcW w:w="144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997</w:t>
            </w:r>
          </w:p>
        </w:tc>
        <w:tc>
          <w:tcPr>
            <w:tcW w:w="15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859</w:t>
            </w: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three months ended March 31, 2019: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1"/>
                <w:szCs w:val="21"/>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7"/>
              </w:rPr>
              <w:t>Number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43"/>
        </w:trPr>
        <w:tc>
          <w:tcPr>
            <w:tcW w:w="6840" w:type="dxa"/>
            <w:vAlign w:val="bottom"/>
          </w:tcPr>
          <w:p>
            <w:pPr>
              <w:spacing w:after="0"/>
              <w:rPr>
                <w:sz w:val="21"/>
                <w:szCs w:val="21"/>
                <w:color w:val="auto"/>
              </w:rPr>
            </w:pPr>
          </w:p>
        </w:tc>
        <w:tc>
          <w:tcPr>
            <w:tcW w:w="138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color w:val="auto"/>
                <w:w w:val="97"/>
              </w:rPr>
              <w:t>of</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71"/>
        </w:trPr>
        <w:tc>
          <w:tcPr>
            <w:tcW w:w="6840" w:type="dxa"/>
            <w:vAlign w:val="bottom"/>
          </w:tcPr>
          <w:p>
            <w:pPr>
              <w:spacing w:after="0"/>
              <w:rPr>
                <w:sz w:val="23"/>
                <w:szCs w:val="2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8"/>
              </w:rPr>
              <w:t>Share Units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37"/>
        </w:trPr>
        <w:tc>
          <w:tcPr>
            <w:tcW w:w="684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130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443,410</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27.20</w:t>
            </w:r>
          </w:p>
        </w:tc>
      </w:tr>
      <w:tr>
        <w:trPr>
          <w:trHeight w:val="243"/>
        </w:trPr>
        <w:tc>
          <w:tcPr>
            <w:tcW w:w="68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684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138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(70,064)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33.56</w:t>
            </w:r>
          </w:p>
        </w:tc>
      </w:tr>
      <w:tr>
        <w:trPr>
          <w:trHeight w:val="243"/>
        </w:trPr>
        <w:tc>
          <w:tcPr>
            <w:tcW w:w="68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3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34.21</w:t>
            </w:r>
          </w:p>
        </w:tc>
      </w:tr>
      <w:tr>
        <w:trPr>
          <w:trHeight w:val="243"/>
        </w:trPr>
        <w:tc>
          <w:tcPr>
            <w:tcW w:w="684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 units issued</w:t>
            </w:r>
          </w:p>
        </w:tc>
        <w:tc>
          <w:tcPr>
            <w:tcW w:w="138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(89,324)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52.39</w:t>
            </w:r>
          </w:p>
        </w:tc>
      </w:tr>
      <w:tr>
        <w:trPr>
          <w:trHeight w:val="244"/>
        </w:trPr>
        <w:tc>
          <w:tcPr>
            <w:tcW w:w="68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13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283,354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17.67</w:t>
            </w:r>
          </w:p>
        </w:tc>
      </w:tr>
    </w:tbl>
    <w:p>
      <w:pPr>
        <w:spacing w:after="0" w:line="200" w:lineRule="exact"/>
        <w:rPr>
          <w:sz w:val="20"/>
          <w:szCs w:val="20"/>
          <w:color w:val="auto"/>
        </w:rPr>
      </w:pPr>
    </w:p>
    <w:p>
      <w:pPr>
        <w:spacing w:after="0" w:line="286"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during the three months ended March 31, 2018 was $37.65. The Company did not grant PSUs for the three months ended March 31, 2019.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20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common stock. 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0" w:type="dxa"/>
            <w:vAlign w:val="bottom"/>
          </w:tcPr>
          <w:p>
            <w:pPr>
              <w:spacing w:after="0"/>
              <w:rPr>
                <w:sz w:val="22"/>
                <w:szCs w:val="22"/>
                <w:color w:val="auto"/>
              </w:rPr>
            </w:pPr>
          </w:p>
        </w:tc>
        <w:tc>
          <w:tcPr>
            <w:tcW w:w="3040" w:type="dxa"/>
            <w:vAlign w:val="bottom"/>
            <w:gridSpan w:val="4"/>
          </w:tcPr>
          <w:p>
            <w:pPr>
              <w:jc w:val="center"/>
              <w:ind w:left="39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500" w:type="dxa"/>
            <w:vAlign w:val="bottom"/>
          </w:tcPr>
          <w:p>
            <w:pPr>
              <w:spacing w:after="0"/>
              <w:rPr>
                <w:sz w:val="22"/>
                <w:szCs w:val="22"/>
                <w:color w:val="auto"/>
              </w:rPr>
            </w:pPr>
          </w:p>
        </w:tc>
      </w:tr>
      <w:tr>
        <w:trPr>
          <w:trHeight w:val="271"/>
        </w:trPr>
        <w:tc>
          <w:tcPr>
            <w:tcW w:w="60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22"/>
                <w:szCs w:val="22"/>
                <w:color w:val="auto"/>
                <w:w w:val="99"/>
              </w:rPr>
              <w:t>March 31,</w:t>
            </w:r>
          </w:p>
        </w:tc>
        <w:tc>
          <w:tcPr>
            <w:tcW w:w="500" w:type="dxa"/>
            <w:vAlign w:val="bottom"/>
            <w:tcBorders>
              <w:bottom w:val="single" w:sz="8" w:color="auto"/>
            </w:tcBorders>
          </w:tcPr>
          <w:p>
            <w:pPr>
              <w:spacing w:after="0"/>
              <w:rPr>
                <w:sz w:val="23"/>
                <w:szCs w:val="23"/>
                <w:color w:val="auto"/>
              </w:rPr>
            </w:pPr>
          </w:p>
        </w:tc>
      </w:tr>
      <w:tr>
        <w:trPr>
          <w:trHeight w:val="237"/>
        </w:trPr>
        <w:tc>
          <w:tcPr>
            <w:tcW w:w="6000" w:type="dxa"/>
            <w:vAlign w:val="bottom"/>
          </w:tcPr>
          <w:p>
            <w:pPr>
              <w:spacing w:after="0"/>
              <w:rPr>
                <w:sz w:val="20"/>
                <w:szCs w:val="20"/>
                <w:color w:val="auto"/>
              </w:rPr>
            </w:pPr>
          </w:p>
        </w:tc>
        <w:tc>
          <w:tcPr>
            <w:tcW w:w="11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480" w:type="dxa"/>
            <w:vAlign w:val="bottom"/>
          </w:tcPr>
          <w:p>
            <w:pPr>
              <w:spacing w:after="0"/>
              <w:rPr>
                <w:sz w:val="20"/>
                <w:szCs w:val="20"/>
                <w:color w:val="auto"/>
              </w:rPr>
            </w:pPr>
          </w:p>
        </w:tc>
        <w:tc>
          <w:tcPr>
            <w:tcW w:w="14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500" w:type="dxa"/>
            <w:vAlign w:val="bottom"/>
          </w:tcPr>
          <w:p>
            <w:pPr>
              <w:spacing w:after="0"/>
              <w:rPr>
                <w:sz w:val="20"/>
                <w:szCs w:val="20"/>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 maintenance</w:t>
            </w:r>
          </w:p>
        </w:tc>
        <w:tc>
          <w:tcPr>
            <w:tcW w:w="1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71"/>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expenses</w:t>
            </w:r>
          </w:p>
        </w:tc>
        <w:tc>
          <w:tcPr>
            <w:tcW w:w="112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22"/>
                <w:szCs w:val="22"/>
                <w:color w:val="auto"/>
                <w:w w:val="72"/>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425</w:t>
            </w:r>
          </w:p>
        </w:tc>
        <w:tc>
          <w:tcPr>
            <w:tcW w:w="14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351</w:t>
            </w:r>
          </w:p>
        </w:tc>
      </w:tr>
      <w:tr>
        <w:trPr>
          <w:trHeight w:val="283"/>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three months ended March 31, 2019: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43"/>
        </w:trPr>
        <w:tc>
          <w:tcPr>
            <w:tcW w:w="674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71"/>
        </w:trPr>
        <w:tc>
          <w:tcPr>
            <w:tcW w:w="67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Stock Units</w:t>
            </w:r>
          </w:p>
        </w:tc>
        <w:tc>
          <w:tcPr>
            <w:tcW w:w="2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37"/>
        </w:trPr>
        <w:tc>
          <w:tcPr>
            <w:tcW w:w="674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122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130,085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33.13</w:t>
            </w:r>
          </w:p>
        </w:tc>
      </w:tr>
      <w:tr>
        <w:trPr>
          <w:trHeight w:val="243"/>
        </w:trPr>
        <w:tc>
          <w:tcPr>
            <w:tcW w:w="67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55,489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36.01</w:t>
            </w:r>
          </w:p>
        </w:tc>
      </w:tr>
      <w:tr>
        <w:trPr>
          <w:trHeight w:val="243"/>
        </w:trPr>
        <w:tc>
          <w:tcPr>
            <w:tcW w:w="674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Stock units vested and issued</w:t>
            </w: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(40,029)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32.88</w:t>
            </w:r>
          </w:p>
        </w:tc>
      </w:tr>
      <w:tr>
        <w:trPr>
          <w:trHeight w:val="243"/>
        </w:trPr>
        <w:tc>
          <w:tcPr>
            <w:tcW w:w="6740" w:type="dxa"/>
            <w:vAlign w:val="bottom"/>
            <w:tcBorders>
              <w:bottom w:val="single" w:sz="8" w:color="CCEEF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(177)</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35.23</w:t>
            </w:r>
          </w:p>
        </w:tc>
      </w:tr>
      <w:tr>
        <w:trPr>
          <w:trHeight w:val="244"/>
        </w:trPr>
        <w:tc>
          <w:tcPr>
            <w:tcW w:w="674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122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145,368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34.30</w:t>
            </w:r>
          </w:p>
        </w:tc>
      </w:tr>
    </w:tbl>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three months ended March 31, 2019 and 2018 was $36.01 and $34.91,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as 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2"/>
                <w:szCs w:val="22"/>
                <w:color w:val="auto"/>
              </w:rPr>
            </w:pPr>
          </w:p>
        </w:tc>
        <w:tc>
          <w:tcPr>
            <w:tcW w:w="2940" w:type="dxa"/>
            <w:vAlign w:val="bottom"/>
            <w:gridSpan w:val="4"/>
          </w:tcPr>
          <w:p>
            <w:pPr>
              <w:jc w:val="center"/>
              <w:ind w:left="29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00" w:type="dxa"/>
            <w:vAlign w:val="bottom"/>
          </w:tcPr>
          <w:p>
            <w:pPr>
              <w:spacing w:after="0"/>
              <w:rPr>
                <w:sz w:val="22"/>
                <w:szCs w:val="22"/>
                <w:color w:val="auto"/>
              </w:rPr>
            </w:pPr>
          </w:p>
        </w:tc>
      </w:tr>
      <w:tr>
        <w:trPr>
          <w:trHeight w:val="271"/>
        </w:trPr>
        <w:tc>
          <w:tcPr>
            <w:tcW w:w="620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center"/>
              <w:ind w:right="552"/>
              <w:spacing w:after="0"/>
              <w:rPr>
                <w:sz w:val="20"/>
                <w:szCs w:val="20"/>
                <w:color w:val="auto"/>
              </w:rPr>
            </w:pPr>
            <w:r>
              <w:rPr>
                <w:rFonts w:ascii="Times New Roman" w:cs="Times New Roman" w:eastAsia="Times New Roman" w:hAnsi="Times New Roman"/>
                <w:sz w:val="22"/>
                <w:szCs w:val="22"/>
                <w:color w:val="auto"/>
                <w:w w:val="97"/>
              </w:rPr>
              <w:t>March 31,</w:t>
            </w:r>
          </w:p>
        </w:tc>
        <w:tc>
          <w:tcPr>
            <w:tcW w:w="400" w:type="dxa"/>
            <w:vAlign w:val="bottom"/>
            <w:tcBorders>
              <w:bottom w:val="single" w:sz="8" w:color="auto"/>
            </w:tcBorders>
          </w:tcPr>
          <w:p>
            <w:pPr>
              <w:spacing w:after="0"/>
              <w:rPr>
                <w:sz w:val="23"/>
                <w:szCs w:val="23"/>
                <w:color w:val="auto"/>
              </w:rPr>
            </w:pPr>
          </w:p>
        </w:tc>
      </w:tr>
      <w:tr>
        <w:trPr>
          <w:trHeight w:val="237"/>
        </w:trPr>
        <w:tc>
          <w:tcPr>
            <w:tcW w:w="6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4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400" w:type="dxa"/>
            <w:vAlign w:val="bottom"/>
            <w:tcBorders>
              <w:bottom w:val="single" w:sz="8" w:color="auto"/>
            </w:tcBorders>
          </w:tcPr>
          <w:p>
            <w:pPr>
              <w:spacing w:after="0"/>
              <w:rPr>
                <w:sz w:val="20"/>
                <w:szCs w:val="20"/>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 maintenance</w:t>
            </w: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71"/>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expenses</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22"/>
                <w:szCs w:val="22"/>
                <w:color w:val="auto"/>
                <w:w w:val="72"/>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328</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22"/>
                <w:szCs w:val="22"/>
                <w:color w:val="auto"/>
                <w:w w:val="72"/>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83"/>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0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17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color w:val="auto"/>
              </w:rPr>
              <w:t>2019</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2018</w:t>
            </w:r>
          </w:p>
        </w:tc>
      </w:tr>
      <w:tr>
        <w:trPr>
          <w:trHeight w:val="237"/>
        </w:trPr>
        <w:tc>
          <w:tcPr>
            <w:tcW w:w="584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Expected term (years)</w:t>
            </w:r>
          </w:p>
        </w:tc>
        <w:tc>
          <w:tcPr>
            <w:tcW w:w="5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rPr>
              <w:t>5.47</w:t>
            </w: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5.46</w:t>
            </w:r>
          </w:p>
        </w:tc>
      </w:tr>
      <w:tr>
        <w:trPr>
          <w:trHeight w:val="243"/>
        </w:trPr>
        <w:tc>
          <w:tcPr>
            <w:tcW w:w="5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Risk-free interest rate</w:t>
            </w:r>
          </w:p>
        </w:tc>
        <w:tc>
          <w:tcPr>
            <w:tcW w:w="540" w:type="dxa"/>
            <w:vAlign w:val="bottom"/>
          </w:tcPr>
          <w:p>
            <w:pPr>
              <w:spacing w:after="0"/>
              <w:rPr>
                <w:sz w:val="21"/>
                <w:szCs w:val="21"/>
                <w:color w:val="auto"/>
              </w:rPr>
            </w:pPr>
          </w:p>
        </w:tc>
        <w:tc>
          <w:tcPr>
            <w:tcW w:w="146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2.53%</w:t>
            </w: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2.72%</w:t>
            </w:r>
          </w:p>
        </w:tc>
      </w:tr>
      <w:tr>
        <w:trPr>
          <w:trHeight w:val="243"/>
        </w:trPr>
        <w:tc>
          <w:tcPr>
            <w:tcW w:w="5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Expected volatility</w:t>
            </w:r>
          </w:p>
        </w:tc>
        <w:tc>
          <w:tcPr>
            <w:tcW w:w="5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17.7%</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17.2%</w:t>
            </w:r>
          </w:p>
        </w:tc>
      </w:tr>
      <w:tr>
        <w:trPr>
          <w:trHeight w:val="243"/>
        </w:trPr>
        <w:tc>
          <w:tcPr>
            <w:tcW w:w="5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Dividend yield</w:t>
            </w:r>
          </w:p>
        </w:tc>
        <w:tc>
          <w:tcPr>
            <w:tcW w:w="540" w:type="dxa"/>
            <w:vAlign w:val="bottom"/>
          </w:tcPr>
          <w:p>
            <w:pPr>
              <w:spacing w:after="0"/>
              <w:rPr>
                <w:sz w:val="21"/>
                <w:szCs w:val="21"/>
                <w:color w:val="auto"/>
              </w:rPr>
            </w:pPr>
          </w:p>
        </w:tc>
        <w:tc>
          <w:tcPr>
            <w:tcW w:w="146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2.44%</w:t>
            </w: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2.37%</w:t>
            </w:r>
          </w:p>
        </w:tc>
      </w:tr>
      <w:tr>
        <w:trPr>
          <w:trHeight w:val="243"/>
        </w:trPr>
        <w:tc>
          <w:tcPr>
            <w:tcW w:w="5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540" w:type="dxa"/>
            <w:vAlign w:val="bottom"/>
            <w:shd w:val="clear" w:color="auto" w:fill="CCEEFF"/>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5.25</w:t>
            </w:r>
          </w:p>
        </w:tc>
        <w:tc>
          <w:tcPr>
            <w:tcW w:w="540" w:type="dxa"/>
            <w:vAlign w:val="bottom"/>
            <w:shd w:val="clear" w:color="auto" w:fill="CCEE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5.10</w:t>
            </w:r>
          </w:p>
        </w:tc>
      </w:tr>
    </w:tbl>
    <w:p>
      <w:pPr>
        <w:spacing w:after="0" w:line="21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1"/>
          <w:szCs w:val="21"/>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three months ended March 31,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Weighted</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22"/>
                <w:szCs w:val="22"/>
                <w:color w:val="auto"/>
                <w:w w:val="95"/>
              </w:rPr>
              <w:t>Weighted</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color w:val="auto"/>
                <w:w w:val="93"/>
              </w:rPr>
              <w:t>Average</w:t>
            </w:r>
          </w:p>
        </w:tc>
        <w:tc>
          <w:tcPr>
            <w:tcW w:w="118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color w:val="auto"/>
                <w:w w:val="93"/>
              </w:rPr>
              <w:t>Average</w:t>
            </w:r>
          </w:p>
        </w:tc>
        <w:tc>
          <w:tcPr>
            <w:tcW w:w="140" w:type="dxa"/>
            <w:vAlign w:val="bottom"/>
          </w:tcPr>
          <w:p>
            <w:pPr>
              <w:spacing w:after="0"/>
              <w:rPr>
                <w:sz w:val="21"/>
                <w:szCs w:val="21"/>
                <w:color w:val="auto"/>
              </w:rPr>
            </w:pPr>
          </w:p>
        </w:tc>
        <w:tc>
          <w:tcPr>
            <w:tcW w:w="112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color w:val="auto"/>
                <w:w w:val="98"/>
              </w:rPr>
              <w:t>Aggregate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color w:val="auto"/>
                <w:w w:val="97"/>
              </w:rPr>
              <w:t>Exercise</w:t>
            </w:r>
          </w:p>
        </w:tc>
        <w:tc>
          <w:tcPr>
            <w:tcW w:w="118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color w:val="auto"/>
                <w:w w:val="97"/>
              </w:rPr>
              <w:t>Remaining</w:t>
            </w:r>
          </w:p>
        </w:tc>
        <w:tc>
          <w:tcPr>
            <w:tcW w:w="140" w:type="dxa"/>
            <w:vAlign w:val="bottom"/>
          </w:tcPr>
          <w:p>
            <w:pPr>
              <w:spacing w:after="0"/>
              <w:rPr>
                <w:sz w:val="21"/>
                <w:szCs w:val="21"/>
                <w:color w:val="auto"/>
              </w:rPr>
            </w:pPr>
          </w:p>
        </w:tc>
        <w:tc>
          <w:tcPr>
            <w:tcW w:w="1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Intrinsic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color w:val="auto"/>
                <w:w w:val="98"/>
              </w:rPr>
              <w:t>Life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Shares</w:t>
            </w:r>
          </w:p>
        </w:tc>
        <w:tc>
          <w:tcPr>
            <w:tcW w:w="12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rPr>
              <w:t>Price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color w:val="auto"/>
                <w:w w:val="98"/>
              </w:rPr>
              <w:t>(years)</w:t>
            </w:r>
          </w:p>
        </w:tc>
        <w:tc>
          <w:tcPr>
            <w:tcW w:w="140" w:type="dxa"/>
            <w:vAlign w:val="bottom"/>
          </w:tcPr>
          <w:p>
            <w:pPr>
              <w:spacing w:after="0"/>
              <w:rPr>
                <w:sz w:val="23"/>
                <w:szCs w:val="23"/>
                <w:color w:val="auto"/>
              </w:rPr>
            </w:pP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5"/>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422,972</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25.97</w:t>
            </w:r>
          </w:p>
        </w:tc>
        <w:tc>
          <w:tcPr>
            <w:tcW w:w="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768,413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35.94</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4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(1,696)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34.78</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Expired / Cancelled</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Exercised</w:t>
            </w:r>
          </w:p>
        </w:tc>
        <w:tc>
          <w:tcPr>
            <w:tcW w:w="124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(77,479)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15.16</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1,112,210</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33.60</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8.9</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3,160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208,476</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25.01</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1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2,384</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Awards </w:t>
      </w:r>
      <w:r>
        <w:rPr>
          <w:rFonts w:ascii="Times New Roman" w:cs="Times New Roman" w:eastAsia="Times New Roman" w:hAnsi="Times New Roman"/>
          <w:sz w:val="21"/>
          <w:szCs w:val="21"/>
          <w:color w:val="auto"/>
        </w:rPr>
        <w:t>– Stock awards represent the issuance of the Company’s common stock, without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restriction. The issuance of stock 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4"/>
          </w:tcPr>
          <w:p>
            <w:pPr>
              <w:jc w:val="center"/>
              <w:ind w:left="412"/>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500" w:type="dxa"/>
            <w:vAlign w:val="bottom"/>
          </w:tcPr>
          <w:p>
            <w:pPr>
              <w:spacing w:after="0"/>
              <w:rPr>
                <w:sz w:val="21"/>
                <w:szCs w:val="21"/>
                <w:color w:val="auto"/>
              </w:rPr>
            </w:pPr>
          </w:p>
        </w:tc>
      </w:tr>
      <w:tr>
        <w:trPr>
          <w:trHeight w:val="271"/>
        </w:trPr>
        <w:tc>
          <w:tcPr>
            <w:tcW w:w="5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22"/>
                <w:szCs w:val="22"/>
                <w:color w:val="auto"/>
                <w:w w:val="97"/>
              </w:rPr>
              <w:t>March 31,</w:t>
            </w:r>
          </w:p>
        </w:tc>
        <w:tc>
          <w:tcPr>
            <w:tcW w:w="500" w:type="dxa"/>
            <w:vAlign w:val="bottom"/>
            <w:tcBorders>
              <w:bottom w:val="single" w:sz="8" w:color="auto"/>
            </w:tcBorders>
          </w:tcPr>
          <w:p>
            <w:pPr>
              <w:spacing w:after="0"/>
              <w:rPr>
                <w:sz w:val="23"/>
                <w:szCs w:val="23"/>
                <w:color w:val="auto"/>
              </w:rPr>
            </w:pPr>
          </w:p>
        </w:tc>
      </w:tr>
      <w:tr>
        <w:trPr>
          <w:trHeight w:val="237"/>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500" w:type="dxa"/>
            <w:vAlign w:val="bottom"/>
          </w:tcPr>
          <w:p>
            <w:pPr>
              <w:spacing w:after="0"/>
              <w:rPr>
                <w:sz w:val="20"/>
                <w:szCs w:val="20"/>
                <w:color w:val="auto"/>
              </w:rPr>
            </w:pPr>
          </w:p>
        </w:tc>
        <w:tc>
          <w:tcPr>
            <w:tcW w:w="148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500" w:type="dxa"/>
            <w:vAlign w:val="bottom"/>
          </w:tcPr>
          <w:p>
            <w:pPr>
              <w:spacing w:after="0"/>
              <w:rPr>
                <w:sz w:val="20"/>
                <w:szCs w:val="20"/>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 maintenance</w:t>
            </w: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7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expenses</w:t>
            </w:r>
          </w:p>
        </w:tc>
        <w:tc>
          <w:tcPr>
            <w:tcW w:w="1420" w:type="dxa"/>
            <w:vAlign w:val="bottom"/>
            <w:gridSpan w:val="2"/>
            <w:shd w:val="clear" w:color="auto" w:fill="CCEEFF"/>
          </w:tcPr>
          <w:p>
            <w:pPr>
              <w:jc w:val="right"/>
              <w:ind w:right="952"/>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180</w:t>
            </w:r>
          </w:p>
        </w:tc>
        <w:tc>
          <w:tcPr>
            <w:tcW w:w="14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140</w:t>
            </w:r>
          </w:p>
        </w:tc>
      </w:tr>
      <w:tr>
        <w:trPr>
          <w:trHeight w:val="283"/>
        </w:trPr>
        <w:tc>
          <w:tcPr>
            <w:tcW w:w="564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three months ended March 31,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spacing w:after="0"/>
              <w:rPr>
                <w:sz w:val="21"/>
                <w:szCs w:val="21"/>
                <w:color w:val="auto"/>
              </w:rPr>
            </w:pPr>
          </w:p>
        </w:tc>
        <w:tc>
          <w:tcPr>
            <w:tcW w:w="2040" w:type="dxa"/>
            <w:vAlign w:val="bottom"/>
            <w:gridSpan w:val="3"/>
          </w:tcPr>
          <w:p>
            <w:pPr>
              <w:jc w:val="center"/>
              <w:ind w:right="392"/>
              <w:spacing w:after="0"/>
              <w:rPr>
                <w:sz w:val="20"/>
                <w:szCs w:val="20"/>
                <w:color w:val="auto"/>
              </w:rPr>
            </w:pPr>
            <w:r>
              <w:rPr>
                <w:rFonts w:ascii="Times New Roman" w:cs="Times New Roman" w:eastAsia="Times New Roman" w:hAnsi="Times New Roman"/>
                <w:sz w:val="22"/>
                <w:szCs w:val="22"/>
                <w:color w:val="auto"/>
                <w:w w:val="97"/>
              </w:rPr>
              <w:t>Number</w:t>
            </w:r>
          </w:p>
        </w:tc>
        <w:tc>
          <w:tcPr>
            <w:tcW w:w="144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43"/>
        </w:trPr>
        <w:tc>
          <w:tcPr>
            <w:tcW w:w="6060" w:type="dxa"/>
            <w:vAlign w:val="bottom"/>
          </w:tcPr>
          <w:p>
            <w:pPr>
              <w:spacing w:after="0"/>
              <w:rPr>
                <w:sz w:val="21"/>
                <w:szCs w:val="21"/>
                <w:color w:val="auto"/>
              </w:rPr>
            </w:pPr>
          </w:p>
        </w:tc>
        <w:tc>
          <w:tcPr>
            <w:tcW w:w="2040" w:type="dxa"/>
            <w:vAlign w:val="bottom"/>
            <w:gridSpan w:val="3"/>
          </w:tcPr>
          <w:p>
            <w:pPr>
              <w:jc w:val="center"/>
              <w:ind w:right="392"/>
              <w:spacing w:after="0" w:line="243" w:lineRule="exact"/>
              <w:rPr>
                <w:sz w:val="20"/>
                <w:szCs w:val="20"/>
                <w:color w:val="auto"/>
              </w:rPr>
            </w:pPr>
            <w:r>
              <w:rPr>
                <w:rFonts w:ascii="Times New Roman" w:cs="Times New Roman" w:eastAsia="Times New Roman" w:hAnsi="Times New Roman"/>
                <w:sz w:val="22"/>
                <w:szCs w:val="22"/>
                <w:color w:val="auto"/>
                <w:w w:val="97"/>
              </w:rPr>
              <w:t>of</w:t>
            </w:r>
          </w:p>
        </w:tc>
        <w:tc>
          <w:tcPr>
            <w:tcW w:w="144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71"/>
        </w:trPr>
        <w:tc>
          <w:tcPr>
            <w:tcW w:w="6060" w:type="dxa"/>
            <w:vAlign w:val="bottom"/>
          </w:tcPr>
          <w:p>
            <w:pPr>
              <w:spacing w:after="0"/>
              <w:rPr>
                <w:sz w:val="23"/>
                <w:szCs w:val="23"/>
                <w:color w:val="auto"/>
              </w:rPr>
            </w:pPr>
          </w:p>
        </w:tc>
        <w:tc>
          <w:tcPr>
            <w:tcW w:w="2040" w:type="dxa"/>
            <w:vAlign w:val="bottom"/>
            <w:gridSpan w:val="3"/>
          </w:tcPr>
          <w:p>
            <w:pPr>
              <w:jc w:val="center"/>
              <w:ind w:right="372"/>
              <w:spacing w:after="0"/>
              <w:rPr>
                <w:sz w:val="20"/>
                <w:szCs w:val="20"/>
                <w:color w:val="auto"/>
              </w:rPr>
            </w:pPr>
            <w:r>
              <w:rPr>
                <w:rFonts w:ascii="Times New Roman" w:cs="Times New Roman" w:eastAsia="Times New Roman" w:hAnsi="Times New Roman"/>
                <w:sz w:val="22"/>
                <w:szCs w:val="22"/>
                <w:color w:val="auto"/>
                <w:w w:val="96"/>
              </w:rPr>
              <w:t>Stock Awards</w:t>
            </w:r>
          </w:p>
        </w:tc>
        <w:tc>
          <w:tcPr>
            <w:tcW w:w="144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37"/>
        </w:trPr>
        <w:tc>
          <w:tcPr>
            <w:tcW w:w="606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Nonvested stock awards at beginning of period</w:t>
            </w:r>
          </w:p>
        </w:tc>
        <w:tc>
          <w:tcPr>
            <w:tcW w:w="15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60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4,904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36.73</w:t>
            </w:r>
          </w:p>
        </w:tc>
      </w:tr>
      <w:tr>
        <w:trPr>
          <w:trHeight w:val="243"/>
        </w:trPr>
        <w:tc>
          <w:tcPr>
            <w:tcW w:w="60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Vested</w:t>
            </w:r>
          </w:p>
        </w:tc>
        <w:tc>
          <w:tcPr>
            <w:tcW w:w="15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(4,904)</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36.73</w:t>
            </w:r>
          </w:p>
        </w:tc>
      </w:tr>
      <w:tr>
        <w:trPr>
          <w:trHeight w:val="244"/>
        </w:trPr>
        <w:tc>
          <w:tcPr>
            <w:tcW w:w="6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Nonvested stock awards at end of period</w:t>
            </w:r>
          </w:p>
        </w:tc>
        <w:tc>
          <w:tcPr>
            <w:tcW w:w="15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1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stock awards granted during the three months ended March 31, 2019 and 2018 was $36.73 and $33.90,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3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6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center"/>
              <w:ind w:right="474"/>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620" w:type="dxa"/>
            <w:vAlign w:val="bottom"/>
            <w:tcBorders>
              <w:bottom w:val="single" w:sz="8" w:color="auto"/>
            </w:tcBorders>
          </w:tcPr>
          <w:p>
            <w:pPr>
              <w:spacing w:after="0"/>
              <w:rPr>
                <w:sz w:val="23"/>
                <w:szCs w:val="23"/>
                <w:color w:val="auto"/>
              </w:rPr>
            </w:pPr>
          </w:p>
        </w:tc>
      </w:tr>
      <w:tr>
        <w:trPr>
          <w:trHeight w:val="209"/>
        </w:trPr>
        <w:tc>
          <w:tcPr>
            <w:tcW w:w="5680" w:type="dxa"/>
            <w:vAlign w:val="bottom"/>
          </w:tcPr>
          <w:p>
            <w:pPr>
              <w:spacing w:after="0"/>
              <w:rPr>
                <w:sz w:val="18"/>
                <w:szCs w:val="18"/>
                <w:color w:val="auto"/>
              </w:rPr>
            </w:pPr>
          </w:p>
        </w:tc>
        <w:tc>
          <w:tcPr>
            <w:tcW w:w="3240" w:type="dxa"/>
            <w:vAlign w:val="bottom"/>
            <w:gridSpan w:val="5"/>
          </w:tcPr>
          <w:p>
            <w:pPr>
              <w:jc w:val="center"/>
              <w:ind w:left="512"/>
              <w:spacing w:after="0" w:line="209" w:lineRule="exact"/>
              <w:rPr>
                <w:sz w:val="20"/>
                <w:szCs w:val="20"/>
                <w:color w:val="auto"/>
              </w:rPr>
            </w:pPr>
            <w:r>
              <w:rPr>
                <w:rFonts w:ascii="Times New Roman" w:cs="Times New Roman" w:eastAsia="Times New Roman" w:hAnsi="Times New Roman"/>
                <w:sz w:val="22"/>
                <w:szCs w:val="22"/>
                <w:color w:val="auto"/>
                <w:w w:val="97"/>
              </w:rPr>
              <w:t>Three Months Ended</w:t>
            </w:r>
          </w:p>
        </w:tc>
        <w:tc>
          <w:tcPr>
            <w:tcW w:w="620" w:type="dxa"/>
            <w:vAlign w:val="bottom"/>
          </w:tcPr>
          <w:p>
            <w:pPr>
              <w:spacing w:after="0"/>
              <w:rPr>
                <w:sz w:val="18"/>
                <w:szCs w:val="18"/>
                <w:color w:val="auto"/>
              </w:rPr>
            </w:pPr>
          </w:p>
        </w:tc>
      </w:tr>
      <w:tr>
        <w:trPr>
          <w:trHeight w:val="271"/>
        </w:trPr>
        <w:tc>
          <w:tcPr>
            <w:tcW w:w="56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center"/>
              <w:ind w:right="454"/>
              <w:spacing w:after="0"/>
              <w:rPr>
                <w:sz w:val="20"/>
                <w:szCs w:val="20"/>
                <w:color w:val="auto"/>
              </w:rPr>
            </w:pPr>
            <w:r>
              <w:rPr>
                <w:rFonts w:ascii="Times New Roman" w:cs="Times New Roman" w:eastAsia="Times New Roman" w:hAnsi="Times New Roman"/>
                <w:sz w:val="22"/>
                <w:szCs w:val="22"/>
                <w:color w:val="auto"/>
                <w:w w:val="97"/>
              </w:rPr>
              <w:t>March 31,</w:t>
            </w:r>
          </w:p>
        </w:tc>
        <w:tc>
          <w:tcPr>
            <w:tcW w:w="620" w:type="dxa"/>
            <w:vAlign w:val="bottom"/>
            <w:tcBorders>
              <w:bottom w:val="single" w:sz="8" w:color="auto"/>
            </w:tcBorders>
          </w:tcPr>
          <w:p>
            <w:pPr>
              <w:spacing w:after="0"/>
              <w:rPr>
                <w:sz w:val="23"/>
                <w:szCs w:val="23"/>
                <w:color w:val="auto"/>
              </w:rPr>
            </w:pPr>
          </w:p>
        </w:tc>
      </w:tr>
      <w:tr>
        <w:trPr>
          <w:trHeight w:val="237"/>
        </w:trPr>
        <w:tc>
          <w:tcPr>
            <w:tcW w:w="5680" w:type="dxa"/>
            <w:vAlign w:val="bottom"/>
          </w:tcPr>
          <w:p>
            <w:pPr>
              <w:spacing w:after="0"/>
              <w:rPr>
                <w:sz w:val="20"/>
                <w:szCs w:val="20"/>
                <w:color w:val="auto"/>
              </w:rPr>
            </w:pPr>
          </w:p>
        </w:tc>
        <w:tc>
          <w:tcPr>
            <w:tcW w:w="11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620" w:type="dxa"/>
            <w:vAlign w:val="bottom"/>
          </w:tcPr>
          <w:p>
            <w:pPr>
              <w:spacing w:after="0"/>
              <w:rPr>
                <w:sz w:val="20"/>
                <w:szCs w:val="20"/>
                <w:color w:val="auto"/>
              </w:rPr>
            </w:pPr>
          </w:p>
        </w:tc>
      </w:tr>
      <w:tr>
        <w:trPr>
          <w:trHeight w:val="237"/>
        </w:trPr>
        <w:tc>
          <w:tcPr>
            <w:tcW w:w="568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Service cost</w:t>
            </w:r>
          </w:p>
        </w:tc>
        <w:tc>
          <w:tcPr>
            <w:tcW w:w="1180" w:type="dxa"/>
            <w:vAlign w:val="bottom"/>
            <w:tcBorders>
              <w:top w:val="single" w:sz="8" w:color="auto"/>
            </w:tcBorders>
            <w:shd w:val="clear" w:color="auto" w:fill="CCEEFF"/>
          </w:tcPr>
          <w:p>
            <w:pPr>
              <w:jc w:val="right"/>
              <w:ind w:right="9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680</w:t>
            </w:r>
          </w:p>
        </w:tc>
        <w:tc>
          <w:tcPr>
            <w:tcW w:w="2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812</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cost</w:t>
            </w:r>
          </w:p>
        </w:tc>
        <w:tc>
          <w:tcPr>
            <w:tcW w:w="1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2,954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2,874</w:t>
            </w:r>
          </w:p>
        </w:tc>
      </w:tr>
      <w:tr>
        <w:trPr>
          <w:trHeight w:val="243"/>
        </w:trPr>
        <w:tc>
          <w:tcPr>
            <w:tcW w:w="5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(3,818)</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(4,553)</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132</w:t>
            </w:r>
          </w:p>
        </w:tc>
      </w:tr>
      <w:tr>
        <w:trPr>
          <w:trHeight w:val="243"/>
        </w:trPr>
        <w:tc>
          <w:tcPr>
            <w:tcW w:w="5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1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1,982</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1,823</w:t>
            </w:r>
          </w:p>
        </w:tc>
      </w:tr>
      <w:tr>
        <w:trPr>
          <w:trHeight w:val="244"/>
        </w:trPr>
        <w:tc>
          <w:tcPr>
            <w:tcW w:w="56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periodic benefit cost</w:t>
            </w:r>
          </w:p>
        </w:tc>
        <w:tc>
          <w:tcPr>
            <w:tcW w:w="1180" w:type="dxa"/>
            <w:vAlign w:val="bottom"/>
            <w:tcBorders>
              <w:bottom w:val="single" w:sz="8" w:color="auto"/>
            </w:tcBorders>
          </w:tcPr>
          <w:p>
            <w:pPr>
              <w:jc w:val="right"/>
              <w:ind w:right="9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1,953</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1,088</w:t>
            </w:r>
          </w:p>
        </w:tc>
      </w:tr>
      <w:tr>
        <w:trPr>
          <w:trHeight w:val="459"/>
        </w:trPr>
        <w:tc>
          <w:tcPr>
            <w:tcW w:w="5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4"/>
          </w:tcPr>
          <w:p>
            <w:pPr>
              <w:jc w:val="center"/>
              <w:ind w:right="454"/>
              <w:spacing w:after="0"/>
              <w:rPr>
                <w:sz w:val="20"/>
                <w:szCs w:val="20"/>
                <w:color w:val="auto"/>
              </w:rPr>
            </w:pPr>
            <w:r>
              <w:rPr>
                <w:rFonts w:ascii="Times New Roman" w:cs="Times New Roman" w:eastAsia="Times New Roman" w:hAnsi="Times New Roman"/>
                <w:sz w:val="22"/>
                <w:szCs w:val="22"/>
                <w:color w:val="auto"/>
                <w:w w:val="95"/>
              </w:rPr>
              <w:t>Other</w:t>
            </w:r>
          </w:p>
        </w:tc>
        <w:tc>
          <w:tcPr>
            <w:tcW w:w="620" w:type="dxa"/>
            <w:vAlign w:val="bottom"/>
          </w:tcPr>
          <w:p>
            <w:pPr>
              <w:spacing w:after="0"/>
              <w:rPr>
                <w:sz w:val="24"/>
                <w:szCs w:val="24"/>
                <w:color w:val="auto"/>
              </w:rPr>
            </w:pPr>
          </w:p>
        </w:tc>
      </w:tr>
      <w:tr>
        <w:trPr>
          <w:trHeight w:val="271"/>
        </w:trPr>
        <w:tc>
          <w:tcPr>
            <w:tcW w:w="5680" w:type="dxa"/>
            <w:vAlign w:val="bottom"/>
          </w:tcPr>
          <w:p>
            <w:pPr>
              <w:spacing w:after="0"/>
              <w:rPr>
                <w:sz w:val="23"/>
                <w:szCs w:val="23"/>
                <w:color w:val="auto"/>
              </w:rPr>
            </w:pPr>
          </w:p>
        </w:tc>
        <w:tc>
          <w:tcPr>
            <w:tcW w:w="3240" w:type="dxa"/>
            <w:vAlign w:val="bottom"/>
            <w:tcBorders>
              <w:bottom w:val="single" w:sz="8" w:color="auto"/>
            </w:tcBorders>
            <w:gridSpan w:val="5"/>
          </w:tcPr>
          <w:p>
            <w:pPr>
              <w:jc w:val="center"/>
              <w:ind w:left="532"/>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620" w:type="dxa"/>
            <w:vAlign w:val="bottom"/>
            <w:tcBorders>
              <w:bottom w:val="single" w:sz="8" w:color="auto"/>
            </w:tcBorders>
          </w:tcPr>
          <w:p>
            <w:pPr>
              <w:spacing w:after="0"/>
              <w:rPr>
                <w:sz w:val="23"/>
                <w:szCs w:val="23"/>
                <w:color w:val="auto"/>
              </w:rPr>
            </w:pPr>
          </w:p>
        </w:tc>
      </w:tr>
      <w:tr>
        <w:trPr>
          <w:trHeight w:val="209"/>
        </w:trPr>
        <w:tc>
          <w:tcPr>
            <w:tcW w:w="5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4"/>
          </w:tcPr>
          <w:p>
            <w:pPr>
              <w:jc w:val="right"/>
              <w:ind w:right="134"/>
              <w:spacing w:after="0" w:line="209" w:lineRule="exact"/>
              <w:rPr>
                <w:sz w:val="20"/>
                <w:szCs w:val="20"/>
                <w:color w:val="auto"/>
              </w:rPr>
            </w:pPr>
            <w:r>
              <w:rPr>
                <w:rFonts w:ascii="Times New Roman" w:cs="Times New Roman" w:eastAsia="Times New Roman" w:hAnsi="Times New Roman"/>
                <w:sz w:val="22"/>
                <w:szCs w:val="22"/>
                <w:color w:val="auto"/>
                <w:w w:val="97"/>
              </w:rPr>
              <w:t>Three Months Ended</w:t>
            </w:r>
          </w:p>
        </w:tc>
        <w:tc>
          <w:tcPr>
            <w:tcW w:w="620" w:type="dxa"/>
            <w:vAlign w:val="bottom"/>
          </w:tcPr>
          <w:p>
            <w:pPr>
              <w:spacing w:after="0"/>
              <w:rPr>
                <w:sz w:val="18"/>
                <w:szCs w:val="18"/>
                <w:color w:val="auto"/>
              </w:rPr>
            </w:pPr>
          </w:p>
        </w:tc>
      </w:tr>
      <w:tr>
        <w:trPr>
          <w:trHeight w:val="271"/>
        </w:trPr>
        <w:tc>
          <w:tcPr>
            <w:tcW w:w="56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22"/>
                <w:szCs w:val="22"/>
                <w:color w:val="auto"/>
              </w:rPr>
              <w:t>March 31,</w:t>
            </w:r>
          </w:p>
        </w:tc>
        <w:tc>
          <w:tcPr>
            <w:tcW w:w="620" w:type="dxa"/>
            <w:vAlign w:val="bottom"/>
            <w:tcBorders>
              <w:bottom w:val="single" w:sz="8" w:color="auto"/>
            </w:tcBorders>
          </w:tcPr>
          <w:p>
            <w:pPr>
              <w:spacing w:after="0"/>
              <w:rPr>
                <w:sz w:val="23"/>
                <w:szCs w:val="23"/>
                <w:color w:val="auto"/>
              </w:rPr>
            </w:pPr>
          </w:p>
        </w:tc>
      </w:tr>
      <w:tr>
        <w:trPr>
          <w:trHeight w:val="237"/>
        </w:trPr>
        <w:tc>
          <w:tcPr>
            <w:tcW w:w="5680" w:type="dxa"/>
            <w:vAlign w:val="bottom"/>
          </w:tcPr>
          <w:p>
            <w:pPr>
              <w:spacing w:after="0"/>
              <w:rPr>
                <w:sz w:val="20"/>
                <w:szCs w:val="20"/>
                <w:color w:val="auto"/>
              </w:rPr>
            </w:pPr>
          </w:p>
        </w:tc>
        <w:tc>
          <w:tcPr>
            <w:tcW w:w="11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620" w:type="dxa"/>
            <w:vAlign w:val="bottom"/>
          </w:tcPr>
          <w:p>
            <w:pPr>
              <w:spacing w:after="0"/>
              <w:rPr>
                <w:sz w:val="20"/>
                <w:szCs w:val="20"/>
                <w:color w:val="auto"/>
              </w:rPr>
            </w:pPr>
          </w:p>
        </w:tc>
      </w:tr>
      <w:tr>
        <w:trPr>
          <w:trHeight w:val="237"/>
        </w:trPr>
        <w:tc>
          <w:tcPr>
            <w:tcW w:w="568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Service cost</w:t>
            </w:r>
          </w:p>
        </w:tc>
        <w:tc>
          <w:tcPr>
            <w:tcW w:w="1180" w:type="dxa"/>
            <w:vAlign w:val="bottom"/>
            <w:tcBorders>
              <w:top w:val="single" w:sz="8" w:color="auto"/>
            </w:tcBorders>
            <w:shd w:val="clear" w:color="auto" w:fill="CCEEFF"/>
          </w:tcPr>
          <w:p>
            <w:pPr>
              <w:jc w:val="right"/>
              <w:ind w:right="9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205</w:t>
            </w:r>
          </w:p>
        </w:tc>
        <w:tc>
          <w:tcPr>
            <w:tcW w:w="2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262</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cost</w:t>
            </w:r>
          </w:p>
        </w:tc>
        <w:tc>
          <w:tcPr>
            <w:tcW w:w="1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708</w:t>
            </w:r>
          </w:p>
        </w:tc>
      </w:tr>
      <w:tr>
        <w:trPr>
          <w:trHeight w:val="243"/>
        </w:trPr>
        <w:tc>
          <w:tcPr>
            <w:tcW w:w="5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(621)</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(677)</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5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1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166</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296</w:t>
            </w:r>
          </w:p>
        </w:tc>
      </w:tr>
      <w:tr>
        <w:trPr>
          <w:trHeight w:val="244"/>
        </w:trPr>
        <w:tc>
          <w:tcPr>
            <w:tcW w:w="56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periodic benefit cost</w:t>
            </w:r>
          </w:p>
        </w:tc>
        <w:tc>
          <w:tcPr>
            <w:tcW w:w="1180" w:type="dxa"/>
            <w:vAlign w:val="bottom"/>
            <w:tcBorders>
              <w:bottom w:val="single" w:sz="8" w:color="auto"/>
            </w:tcBorders>
          </w:tcPr>
          <w:p>
            <w:pPr>
              <w:jc w:val="right"/>
              <w:ind w:right="9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384</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462</w:t>
            </w:r>
          </w:p>
        </w:tc>
      </w:tr>
    </w:tbl>
    <w:p>
      <w:pPr>
        <w:spacing w:after="0" w:line="216"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The components of net periodic benefit cost other than service cost are presented on the consolidated statements of operations on the line item “Other.”</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1"/>
          <w:szCs w:val="21"/>
          <w:color w:val="auto"/>
        </w:rPr>
        <w:t>The Company made cash contributions of $3,685 to its Pension Plan during the first three months of 2019 and intends to make additional cash contributions of $4,357 to the Pension Plan during the remainder of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Water and Wastewater Rates</w:t>
      </w:r>
    </w:p>
    <w:p>
      <w:pPr>
        <w:spacing w:after="0" w:line="239"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During the first three months of 2019, the Company’s operating divisions in Ohio were granted base rate increases designed to increase total operating revenues on an annual basis by $974. Further, during the first three months of 2019, the Company’s operating divisions in Ohio and Pennsylvania received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approval to bill infrastructure rehabilitation surcharges designed to increase total operating revenues on an annual basis by $2,269.</w:t>
      </w:r>
    </w:p>
    <w:p>
      <w:pPr>
        <w:spacing w:after="0" w:line="18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In December 2018, the Company’s operating subsidiary in New Jersey filed for a base rate increase in water rates for its customers, proposing an aggregate increase of $7,202 in annual revenues. The base rate case is being reviewed by the New Jersey Board of Public Utilities. The Company expects resolution of the New Jersey base rate case in 2019.</w:t>
      </w:r>
    </w:p>
    <w:p>
      <w:pPr>
        <w:spacing w:after="0" w:line="20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In August 2018, the Company’s operating subsidiary in Pennsylvania filed for a base rate increase in water and wastewater rates for its customers. The base rate case is being reviewed by the Pennsylvania Public Utility Commission. In February 2019, the Company filed a settlement for this base rate case. Rates from this settlement for approximately $47,000 are expected to go into effect in May 2019. The administrative law judges issued a recommended decision approving the settlement on March 11, 2019. The Company is awaiting a final order from the Pennsylvania Public Utility Commission.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Taxes Other than Income Taxes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180" w:type="dxa"/>
            <w:vAlign w:val="bottom"/>
            <w:gridSpan w:val="4"/>
          </w:tcPr>
          <w:p>
            <w:pPr>
              <w:jc w:val="right"/>
              <w:ind w:right="232"/>
              <w:spacing w:after="0"/>
              <w:rPr>
                <w:sz w:val="20"/>
                <w:szCs w:val="20"/>
                <w:color w:val="auto"/>
              </w:rPr>
            </w:pPr>
            <w:r>
              <w:rPr>
                <w:rFonts w:ascii="Times New Roman" w:cs="Times New Roman" w:eastAsia="Times New Roman" w:hAnsi="Times New Roman"/>
                <w:sz w:val="22"/>
                <w:szCs w:val="22"/>
                <w:color w:val="auto"/>
              </w:rPr>
              <w:t>Three Months Ended</w:t>
            </w:r>
          </w:p>
        </w:tc>
        <w:tc>
          <w:tcPr>
            <w:tcW w:w="660" w:type="dxa"/>
            <w:vAlign w:val="bottom"/>
          </w:tcPr>
          <w:p>
            <w:pPr>
              <w:spacing w:after="0"/>
              <w:rPr>
                <w:sz w:val="22"/>
                <w:szCs w:val="22"/>
                <w:color w:val="auto"/>
              </w:rPr>
            </w:pPr>
          </w:p>
        </w:tc>
      </w:tr>
      <w:tr>
        <w:trPr>
          <w:trHeight w:val="271"/>
        </w:trPr>
        <w:tc>
          <w:tcPr>
            <w:tcW w:w="4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22"/>
                <w:szCs w:val="22"/>
                <w:color w:val="auto"/>
              </w:rPr>
              <w:t>March 31,</w:t>
            </w:r>
          </w:p>
        </w:tc>
        <w:tc>
          <w:tcPr>
            <w:tcW w:w="660" w:type="dxa"/>
            <w:vAlign w:val="bottom"/>
            <w:tcBorders>
              <w:bottom w:val="single" w:sz="8" w:color="auto"/>
            </w:tcBorders>
          </w:tcPr>
          <w:p>
            <w:pPr>
              <w:spacing w:after="0"/>
              <w:rPr>
                <w:sz w:val="23"/>
                <w:szCs w:val="23"/>
                <w:color w:val="auto"/>
              </w:rPr>
            </w:pPr>
          </w:p>
        </w:tc>
      </w:tr>
      <w:tr>
        <w:trPr>
          <w:trHeight w:val="237"/>
        </w:trPr>
        <w:tc>
          <w:tcPr>
            <w:tcW w:w="44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660" w:type="dxa"/>
            <w:vAlign w:val="bottom"/>
            <w:tcBorders>
              <w:bottom w:val="single" w:sz="8" w:color="auto"/>
            </w:tcBorders>
          </w:tcPr>
          <w:p>
            <w:pPr>
              <w:spacing w:after="0"/>
              <w:rPr>
                <w:sz w:val="20"/>
                <w:szCs w:val="20"/>
                <w:color w:val="auto"/>
              </w:rPr>
            </w:pPr>
          </w:p>
        </w:tc>
      </w:tr>
      <w:tr>
        <w:trPr>
          <w:trHeight w:val="237"/>
        </w:trPr>
        <w:tc>
          <w:tcPr>
            <w:tcW w:w="44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Property</w:t>
            </w:r>
          </w:p>
        </w:tc>
        <w:tc>
          <w:tcPr>
            <w:tcW w:w="1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6,466</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6,749</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3,220</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3,265</w:t>
            </w:r>
          </w:p>
        </w:tc>
      </w:tr>
      <w:tr>
        <w:trPr>
          <w:trHeight w:val="243"/>
        </w:trPr>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Payroll</w:t>
            </w:r>
          </w:p>
        </w:tc>
        <w:tc>
          <w:tcPr>
            <w:tcW w:w="1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3,481</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3,275</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Regulatory assessments</w:t>
            </w: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747</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627</w:t>
            </w:r>
          </w:p>
        </w:tc>
      </w:tr>
      <w:tr>
        <w:trPr>
          <w:trHeight w:val="243"/>
        </w:trPr>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Pumping fees</w:t>
            </w:r>
          </w:p>
        </w:tc>
        <w:tc>
          <w:tcPr>
            <w:tcW w:w="1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969</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991</w:t>
            </w:r>
          </w:p>
        </w:tc>
      </w:tr>
      <w:tr>
        <w:trPr>
          <w:trHeight w:val="243"/>
        </w:trPr>
        <w:tc>
          <w:tcPr>
            <w:tcW w:w="440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3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2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4"/>
        </w:trPr>
        <w:tc>
          <w:tcPr>
            <w:tcW w:w="440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6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95"/>
              </w:rPr>
              <w:t>14,969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6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14,967</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Segment Information</w:t>
      </w:r>
    </w:p>
    <w:p>
      <w:pPr>
        <w:spacing w:after="0" w:line="23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9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Two operating segments are included within the Other category below. These segments are not quantitatively significant and are comprised of Aqua Infrastructure and Aqua Resources. Aqua Infrastructure provides non-utility raw water supply services for firms in the natural gas drilling industry. Aqua Resources provides water and wastewater service through operating and maintenance contracts with municipal authorities and other parties close to its utility companies’ service territories; and offers, through a third-party, water and sewer service line protection solutions and repair services to households.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21"/>
          <w:szCs w:val="21"/>
          <w:color w:val="auto"/>
        </w:rPr>
        <w:t>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6"/>
        </w:trPr>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March 31, 2019</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March 31, 2018</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7"/>
        </w:trPr>
        <w:tc>
          <w:tcPr>
            <w:tcW w:w="3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Regulated</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Consolidated</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Regulated</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Consolidated</w:t>
            </w:r>
          </w:p>
        </w:tc>
      </w:tr>
      <w:tr>
        <w:trPr>
          <w:trHeight w:val="22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200,220</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193,507</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194,347</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79,314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73,946</w:t>
            </w: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35,967</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(5,426)</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(2,721)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69,337</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23,471</w:t>
            </w: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Equity earnings in joint venture</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(9,106)</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(8,170)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(35,245)</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(3,188)</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50,839</w:t>
            </w: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133,792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133,792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105,136</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March 31,</w:t>
            </w:r>
          </w:p>
        </w:tc>
        <w:tc>
          <w:tcPr>
            <w:tcW w:w="340" w:type="dxa"/>
            <w:vAlign w:val="bottom"/>
          </w:tcPr>
          <w:p>
            <w:pPr>
              <w:spacing w:after="0"/>
              <w:rPr>
                <w:sz w:val="21"/>
                <w:szCs w:val="21"/>
                <w:color w:val="auto"/>
              </w:rPr>
            </w:pPr>
          </w:p>
        </w:tc>
        <w:tc>
          <w:tcPr>
            <w:tcW w:w="206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December 31,</w:t>
            </w:r>
          </w:p>
        </w:tc>
        <w:tc>
          <w:tcPr>
            <w:tcW w:w="0" w:type="dxa"/>
            <w:vAlign w:val="bottom"/>
          </w:tcPr>
          <w:p>
            <w:pPr>
              <w:spacing w:after="0"/>
              <w:rPr>
                <w:sz w:val="1"/>
                <w:szCs w:val="1"/>
                <w:color w:val="auto"/>
              </w:rPr>
            </w:pPr>
          </w:p>
        </w:tc>
      </w:tr>
      <w:tr>
        <w:trPr>
          <w:trHeight w:val="271"/>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4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color w:val="auto"/>
              </w:rPr>
              <w:t>2019</w:t>
            </w: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2018</w:t>
            </w:r>
          </w:p>
        </w:tc>
        <w:tc>
          <w:tcPr>
            <w:tcW w:w="0" w:type="dxa"/>
            <w:vAlign w:val="bottom"/>
          </w:tcPr>
          <w:p>
            <w:pPr>
              <w:spacing w:after="0"/>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Regulated</w:t>
            </w:r>
          </w:p>
        </w:tc>
        <w:tc>
          <w:tcPr>
            <w:tcW w:w="480" w:type="dxa"/>
            <w:vAlign w:val="bottom"/>
            <w:shd w:val="clear" w:color="auto" w:fill="CCEEFF"/>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21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6,921,138</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20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6,807,960</w:t>
            </w: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4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159,812</w:t>
            </w: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156,536</w:t>
            </w: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100"/>
              <w:spacing w:after="0" w:line="237" w:lineRule="exact"/>
              <w:rPr>
                <w:sz w:val="20"/>
                <w:szCs w:val="20"/>
                <w:color w:val="auto"/>
              </w:rPr>
            </w:pPr>
            <w:r>
              <w:rPr>
                <w:rFonts w:ascii="Times New Roman" w:cs="Times New Roman" w:eastAsia="Times New Roman" w:hAnsi="Times New Roman"/>
                <w:sz w:val="22"/>
                <w:szCs w:val="22"/>
                <w:color w:val="auto"/>
              </w:rPr>
              <w:t>Consolidated</w:t>
            </w:r>
          </w:p>
        </w:tc>
        <w:tc>
          <w:tcPr>
            <w:tcW w:w="480" w:type="dxa"/>
            <w:vAlign w:val="bottom"/>
            <w:tcBorders>
              <w:bottom w:val="single" w:sz="8" w:color="auto"/>
            </w:tcBorders>
            <w:shd w:val="clear" w:color="auto" w:fill="CCEEFF"/>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10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7,080,950</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06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6,964,496</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matters, including both asserted and unasserted legal claims, in the ordinary course of business. The status of</w:t>
      </w:r>
    </w:p>
    <w:p>
      <w:pPr>
        <w:spacing w:after="0" w:line="232" w:lineRule="auto"/>
        <w:rPr>
          <w:sz w:val="20"/>
          <w:szCs w:val="20"/>
          <w:color w:val="auto"/>
        </w:rPr>
      </w:pPr>
      <w:r>
        <w:rPr>
          <w:rFonts w:ascii="Times New Roman" w:cs="Times New Roman" w:eastAsia="Times New Roman" w:hAnsi="Times New Roman"/>
          <w:sz w:val="22"/>
          <w:szCs w:val="22"/>
          <w:color w:val="auto"/>
        </w:rPr>
        <w:t>each such matter, referred to herein as a loss contingency, is reviewed and assessed in accordance with</w:t>
      </w:r>
    </w:p>
    <w:p>
      <w:pPr>
        <w:spacing w:after="0" w:line="230" w:lineRule="auto"/>
        <w:rPr>
          <w:sz w:val="20"/>
          <w:szCs w:val="20"/>
          <w:color w:val="auto"/>
        </w:rPr>
      </w:pPr>
      <w:r>
        <w:rPr>
          <w:rFonts w:ascii="Times New Roman" w:cs="Times New Roman" w:eastAsia="Times New Roman" w:hAnsi="Times New Roman"/>
          <w:sz w:val="22"/>
          <w:szCs w:val="22"/>
          <w:color w:val="auto"/>
        </w:rPr>
        <w:t>applicable accounting rules regarding the nature of the matter, the likelihood that a loss will be incurred, and</w:t>
      </w:r>
    </w:p>
    <w:p>
      <w:pPr>
        <w:spacing w:after="0" w:line="231" w:lineRule="auto"/>
        <w:rPr>
          <w:sz w:val="20"/>
          <w:szCs w:val="20"/>
          <w:color w:val="auto"/>
        </w:rPr>
      </w:pPr>
      <w:r>
        <w:rPr>
          <w:rFonts w:ascii="Times New Roman" w:cs="Times New Roman" w:eastAsia="Times New Roman" w:hAnsi="Times New Roman"/>
          <w:sz w:val="22"/>
          <w:szCs w:val="22"/>
          <w:color w:val="auto"/>
        </w:rPr>
        <w:t>the amounts involved. As of March 31, 2019, the aggregate amount of $18,088 is accrued for loss</w:t>
      </w:r>
    </w:p>
    <w:p>
      <w:pPr>
        <w:spacing w:after="0" w:line="231" w:lineRule="auto"/>
        <w:rPr>
          <w:sz w:val="20"/>
          <w:szCs w:val="20"/>
          <w:color w:val="auto"/>
        </w:rPr>
      </w:pPr>
      <w:r>
        <w:rPr>
          <w:rFonts w:ascii="Times New Roman" w:cs="Times New Roman" w:eastAsia="Times New Roman" w:hAnsi="Times New Roman"/>
          <w:sz w:val="22"/>
          <w:szCs w:val="22"/>
          <w:color w:val="auto"/>
        </w:rPr>
        <w:t>contingencies and is reported in the Company’s consolidated balance sheet as other accrued liabilities and</w:t>
      </w:r>
    </w:p>
    <w:p>
      <w:pPr>
        <w:spacing w:after="0" w:line="230" w:lineRule="auto"/>
        <w:rPr>
          <w:sz w:val="20"/>
          <w:szCs w:val="20"/>
          <w:color w:val="auto"/>
        </w:rPr>
      </w:pPr>
      <w:r>
        <w:rPr>
          <w:rFonts w:ascii="Times New Roman" w:cs="Times New Roman" w:eastAsia="Times New Roman" w:hAnsi="Times New Roman"/>
          <w:sz w:val="22"/>
          <w:szCs w:val="22"/>
          <w:color w:val="auto"/>
        </w:rPr>
        <w:t>other liabilities. These accruals represent management’s best estimate of probable loss (as defined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accounting guidance) for loss contingencies or the low end of a range of losses if no single probable loss can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 estimated. For some loss contingencies, the Company is unable to estimate the amount of the probable loss</w:t>
      </w:r>
    </w:p>
    <w:p>
      <w:pPr>
        <w:spacing w:after="0" w:line="232" w:lineRule="auto"/>
        <w:rPr>
          <w:sz w:val="20"/>
          <w:szCs w:val="20"/>
          <w:color w:val="auto"/>
        </w:rPr>
      </w:pPr>
      <w:r>
        <w:rPr>
          <w:rFonts w:ascii="Times New Roman" w:cs="Times New Roman" w:eastAsia="Times New Roman" w:hAnsi="Times New Roman"/>
          <w:sz w:val="22"/>
          <w:szCs w:val="22"/>
          <w:color w:val="auto"/>
        </w:rPr>
        <w:t>or range of probable losses. While the final outcome of these loss contingencies cannot be predicted with</w:t>
      </w:r>
    </w:p>
    <w:p>
      <w:pPr>
        <w:spacing w:after="0" w:line="230" w:lineRule="auto"/>
        <w:rPr>
          <w:sz w:val="20"/>
          <w:szCs w:val="20"/>
          <w:color w:val="auto"/>
        </w:rPr>
      </w:pPr>
      <w:r>
        <w:rPr>
          <w:rFonts w:ascii="Times New Roman" w:cs="Times New Roman" w:eastAsia="Times New Roman" w:hAnsi="Times New Roman"/>
          <w:sz w:val="22"/>
          <w:szCs w:val="22"/>
          <w:color w:val="auto"/>
        </w:rPr>
        <w:t>certainty, and unfavorable outcomes could negatively impact the Company, at this time in the opinion of</w:t>
      </w:r>
    </w:p>
    <w:p>
      <w:pPr>
        <w:spacing w:after="0" w:line="231" w:lineRule="auto"/>
        <w:rPr>
          <w:sz w:val="20"/>
          <w:szCs w:val="20"/>
          <w:color w:val="auto"/>
        </w:rPr>
      </w:pPr>
      <w:r>
        <w:rPr>
          <w:rFonts w:ascii="Times New Roman" w:cs="Times New Roman" w:eastAsia="Times New Roman" w:hAnsi="Times New Roman"/>
          <w:sz w:val="22"/>
          <w:szCs w:val="22"/>
          <w:color w:val="auto"/>
        </w:rPr>
        <w:t>management, the final resolution of these matters are not expected to have a material adverse effect on the</w:t>
      </w:r>
    </w:p>
    <w:p>
      <w:pPr>
        <w:spacing w:after="0" w:line="231" w:lineRule="auto"/>
        <w:rPr>
          <w:sz w:val="20"/>
          <w:szCs w:val="20"/>
          <w:color w:val="auto"/>
        </w:rPr>
      </w:pPr>
      <w:r>
        <w:rPr>
          <w:rFonts w:ascii="Times New Roman" w:cs="Times New Roman" w:eastAsia="Times New Roman" w:hAnsi="Times New Roman"/>
          <w:sz w:val="22"/>
          <w:szCs w:val="22"/>
          <w:color w:val="auto"/>
        </w:rPr>
        <w:t>Company’s financial position, results of operations or cash flows. Further, the Company has insurance</w:t>
      </w:r>
    </w:p>
    <w:p>
      <w:pPr>
        <w:spacing w:after="0" w:line="230" w:lineRule="auto"/>
        <w:rPr>
          <w:sz w:val="20"/>
          <w:szCs w:val="20"/>
          <w:color w:val="auto"/>
        </w:rPr>
      </w:pPr>
      <w:r>
        <w:rPr>
          <w:rFonts w:ascii="Times New Roman" w:cs="Times New Roman" w:eastAsia="Times New Roman" w:hAnsi="Times New Roman"/>
          <w:sz w:val="22"/>
          <w:szCs w:val="22"/>
          <w:color w:val="auto"/>
        </w:rPr>
        <w:t>coverage for certain of these loss contingencies, and as of March 31, 2019, estimates that approximately</w:t>
      </w:r>
    </w:p>
    <w:p>
      <w:pPr>
        <w:spacing w:after="0" w:line="231" w:lineRule="auto"/>
        <w:rPr>
          <w:sz w:val="20"/>
          <w:szCs w:val="20"/>
          <w:color w:val="auto"/>
        </w:rPr>
      </w:pPr>
      <w:r>
        <w:rPr>
          <w:rFonts w:ascii="Times New Roman" w:cs="Times New Roman" w:eastAsia="Times New Roman" w:hAnsi="Times New Roman"/>
          <w:sz w:val="22"/>
          <w:szCs w:val="22"/>
          <w:color w:val="auto"/>
        </w:rPr>
        <w:t>$6,644 of the amount accrued for these matters are probable of recovery through insurance, which amount is</w:t>
      </w:r>
    </w:p>
    <w:p>
      <w:pPr>
        <w:spacing w:after="0"/>
        <w:rPr>
          <w:sz w:val="20"/>
          <w:szCs w:val="20"/>
          <w:color w:val="auto"/>
        </w:rPr>
      </w:pPr>
      <w:r>
        <w:rPr>
          <w:rFonts w:ascii="Times New Roman" w:cs="Times New Roman" w:eastAsia="Times New Roman" w:hAnsi="Times New Roman"/>
          <w:sz w:val="22"/>
          <w:szCs w:val="22"/>
          <w:color w:val="auto"/>
        </w:rPr>
        <w:t>also reported in the Company’s consolidated balance sheet as deferred charges and other assets, net.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left="1240" w:right="154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20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$1,515 at March 31, 2019 and represents a reserve for unpaid claim costs, including an estimate for the cost of incurred but not reported claims.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Income Taxes</w:t>
      </w:r>
    </w:p>
    <w:p>
      <w:pPr>
        <w:spacing w:after="0" w:line="2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During the three months ended March 31, 2019, the Company’s Federal net operating loss (“NOL”) carryforward decreased by $142. In addition, during the three months ended March 31, 2019, the Company’s state NOL carryforward increased by $19,623. As of March 31, 2019, the balance of the Company’s Federal NOL was $10,693. The Company believes its Federal NOL carryforward is more likely than not to be recovered and requires no valuation allowance. As of March 31, 2019, the balance of the Company’s gross state NOL was $669,909, a portion of which is offset by a valuation allowance because the Company does not believe the state NOLs are more likely than not to be realized. The Company’s Federal and state NOL carryforwards begin to expire in 2032 and 2023, respectively. The Company’s Federal and state NOL carryforwards are reduced by an unrecognized tax position, on a gross basis, of $69,189 and $85,737, respectively. The amounts of the Company’s Federal and state NOL carryforwards prior to being reduced by the unrecognized tax positions were $79,882 and $755,646 respectively. The Company records its unrecognized tax benefit as a reduction to its deferred income tax liability.</w:t>
      </w:r>
    </w:p>
    <w:p>
      <w:pPr>
        <w:spacing w:after="0" w:line="21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As of March 31, 2019, the total gross unrecognized tax benefit was $17,746. As a result of the regulatory treatment afforded for qualifying infrastructure improvements in Pennsylvania, $27,506, if recognized, would affect the Company’s effective tax rate. At December 31, 2018, the Company had unrecognized tax benefits of $17,792.</w:t>
      </w:r>
    </w:p>
    <w:p>
      <w:pPr>
        <w:spacing w:after="0" w:line="208"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Accounting rules for uncertain tax positions specify that tax positions for which the timing of resolution is uncertain should be classified as long-term liabilities. Judgment is required in evaluating the 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19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As of December 31, 2017, the Company had provisionally estimated that $175,108 of deferred income tax liabilities for our Pennsylvania subsidiary, Aqua Pennsylvania, will be a regulatory liability as a result of the accounting effect of the Tax Cuts and Jobs Acts (the “TCJA”). In May 2018, the Pennsylvania Public Utility Commission (“PA PUC”) issued an order that set forth the requirements for utilities to either immediately initiate the refund or otherwise address the impacts of the TCJA in the utilities’ next rate case. Aqua Pennsylvania was included in the rate filing group of utilities as the Company filed a base rate case in August 2018, during which it expected the PA PUC to address the effects of the TCJA</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1" w:right="115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within the base rate case filing. Additionally, the PA PUC has ordered that all rates charged by utilities, including those billed by Aqua Pennsylvania since January 1, 2018, are temporary and subject to refund pending the outcome of its review of the effects of the TCJA within the next base rate case. In February 2019, Aqua Pennsylvania filed a settlement for this base rate case, and on March 11, 2019, the administrative law judges issued a recommended decision approving the settlement on March 11, 2019. The Company is awaiting a final order from the PA PUC. There has been no material change in the Company’s estimate of its regulatory liability. Overall, the Company has applied a reasonable interpretation of the impact of the TCJA and a reasonable estimate of the regulatory resolution. Further clarification of the TCJA and regulatory resolution may change the amounts estimated of the deferred income tax provision and the accumulated deferred income tax liability.</w:t>
      </w:r>
    </w:p>
    <w:p>
      <w:pPr>
        <w:spacing w:after="0" w:line="194"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Our state regulatory commissions have or are in the process of issuing procedural orders directing how the tax law changes are to be reflected in our utility customer 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17 – </w:t>
      </w:r>
      <w:r>
        <w:rPr>
          <w:rFonts w:ascii="Times New Roman" w:cs="Times New Roman" w:eastAsia="Times New Roman" w:hAnsi="Times New Roman"/>
          <w:sz w:val="22"/>
          <w:szCs w:val="22"/>
          <w:b w:val="1"/>
          <w:bCs w:val="1"/>
          <w:i w:val="1"/>
          <w:iCs w:val="1"/>
          <w:color w:val="auto"/>
        </w:rPr>
        <w:t>Leases</w:t>
      </w:r>
    </w:p>
    <w:p>
      <w:pPr>
        <w:spacing w:after="0" w:line="239"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The Company leases land, office facilities, office equipment, and vehicles for use in its operations, which are accounted for as operating leases. Leases with a remaining term of 12 months or less are not recorded on the balance sheet; rather, lease expense is recognized on a straight-line basis over the lease term. Our leases have remaining lives of 1 year to 76 years.</w:t>
      </w:r>
    </w:p>
    <w:p>
      <w:pPr>
        <w:spacing w:after="0" w:line="208"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20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w:t>
      </w:r>
    </w:p>
    <w:p>
      <w:pPr>
        <w:spacing w:after="0" w:line="20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Lease liabilities and corresponding right-of-use assets are recorded based on the present value of the lease payments over the expected lease term, including leases with variable payments that are based on a market rate or an index.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20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21"/>
          <w:szCs w:val="21"/>
          <w:color w:val="auto"/>
        </w:rPr>
        <w:t>For the Company’s regulated utility operations, we utilize the FASB’s accounting guidance for leases for entities with regulated operations, which allows, for rate-making purposes, a lease to be accounted for as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left="1560" w:right="1220"/>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an operating lease even though the lease may be classified as a finance lease, since the amount of the lease payment is included in allowable costs as rental expense in the period it covers.</w:t>
      </w:r>
    </w:p>
    <w:p>
      <w:pPr>
        <w:sectPr>
          <w:pgSz w:w="11900" w:h="16838" w:orient="portrait"/>
          <w:cols w:equalWidth="0" w:num="1">
            <w:col w:w="9540"/>
          </w:cols>
          <w:pgMar w:left="1220" w:top="111"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Components of lease expense were as follows:</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60629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2980" cy="15430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cash flow information related to leases was as follows:</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Cash paid for amounts included in the measurement of lease liabilities:</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60629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29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Supplemental balance sheet information related to leases was as follows: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0629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2980" cy="16319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color w:val="auto"/>
        </w:rPr>
        <w:t>Operating lease right-of-use assets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0629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2980"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0629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2980" cy="1714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Total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Weighted average remaining lease term:</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60629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2980" cy="15430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Weighted average discount rate:</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60629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29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722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3"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575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938</w:t>
            </w:r>
          </w:p>
        </w:tc>
      </w:tr>
      <w:tr>
        <w:trPr>
          <w:trHeight w:val="447"/>
        </w:trPr>
        <w:tc>
          <w:tcPr>
            <w:tcW w:w="440" w:type="dxa"/>
            <w:vAlign w:val="bottom"/>
          </w:tcPr>
          <w:p>
            <w:pPr>
              <w:spacing w:after="0"/>
              <w:rPr>
                <w:sz w:val="24"/>
                <w:szCs w:val="24"/>
                <w:color w:val="auto"/>
              </w:rPr>
            </w:pPr>
          </w:p>
        </w:tc>
        <w:tc>
          <w:tcPr>
            <w:tcW w:w="17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March 31,</w:t>
            </w:r>
          </w:p>
        </w:tc>
      </w:tr>
      <w:tr>
        <w:trPr>
          <w:trHeight w:val="271"/>
        </w:trPr>
        <w:tc>
          <w:tcPr>
            <w:tcW w:w="4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2019</w:t>
            </w:r>
          </w:p>
        </w:tc>
      </w:tr>
      <w:tr>
        <w:trPr>
          <w:trHeight w:val="730"/>
        </w:trPr>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13,088</w:t>
            </w:r>
          </w:p>
        </w:tc>
      </w:tr>
      <w:tr>
        <w:trPr>
          <w:trHeight w:val="459"/>
        </w:trPr>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1,344</w:t>
            </w:r>
          </w:p>
        </w:tc>
      </w:tr>
      <w:tr>
        <w:trPr>
          <w:trHeight w:val="271"/>
        </w:trPr>
        <w:tc>
          <w:tcPr>
            <w:tcW w:w="4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11,744</w:t>
            </w:r>
          </w:p>
        </w:tc>
      </w:tr>
      <w:tr>
        <w:trPr>
          <w:trHeight w:val="244"/>
        </w:trPr>
        <w:tc>
          <w:tcPr>
            <w:tcW w:w="440" w:type="dxa"/>
            <w:vAlign w:val="bottom"/>
            <w:tcBorders>
              <w:bottom w:val="single" w:sz="8" w:color="auto"/>
            </w:tcBorders>
          </w:tcPr>
          <w:p>
            <w:pPr>
              <w:jc w:val="right"/>
              <w:ind w:right="2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13,088</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31,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722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26 years</w:t>
      </w:r>
    </w:p>
    <w:p>
      <w:pPr>
        <w:spacing w:after="0" w:line="200" w:lineRule="exact"/>
        <w:rPr>
          <w:sz w:val="20"/>
          <w:szCs w:val="20"/>
          <w:color w:val="auto"/>
        </w:rPr>
      </w:pPr>
    </w:p>
    <w:p>
      <w:pPr>
        <w:spacing w:after="0" w:line="27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4.06%</w:t>
      </w:r>
    </w:p>
    <w:p>
      <w:pPr>
        <w:spacing w:after="0" w:line="224" w:lineRule="exact"/>
        <w:rPr>
          <w:sz w:val="20"/>
          <w:szCs w:val="20"/>
          <w:color w:val="auto"/>
        </w:rPr>
      </w:pPr>
    </w:p>
    <w:p>
      <w:pPr>
        <w:sectPr>
          <w:pgSz w:w="11900" w:h="16838" w:orient="portrait"/>
          <w:cols w:equalWidth="0" w:num="2">
            <w:col w:w="6660" w:space="720"/>
            <w:col w:w="2160"/>
          </w:cols>
          <w:pgMar w:left="1220" w:top="111" w:right="113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88900</wp:posOffset>
            </wp:positionV>
            <wp:extent cx="61144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type w:val="continuous"/>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Maturities of operating lease liabilities and a reconciliation of the operating lease liabilities reported on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Balance Sheets as of March 31, 2019 are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440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Operating Leases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17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86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970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2020</w:t>
            </w: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2021</w:t>
            </w: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2022</w:t>
            </w: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2023</w:t>
            </w: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17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15,757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Total operating lease payments</w:t>
            </w: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86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21,524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operating lease payments</w:t>
            </w:r>
          </w:p>
        </w:tc>
        <w:tc>
          <w:tcPr>
            <w:tcW w:w="2260" w:type="dxa"/>
            <w:vAlign w:val="bottom"/>
            <w:gridSpan w:val="2"/>
            <w:shd w:val="clear" w:color="auto" w:fill="CCEEFF"/>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21,524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Less operating lease liabilities</w:t>
            </w:r>
          </w:p>
        </w:tc>
        <w:tc>
          <w:tcPr>
            <w:tcW w:w="17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13,088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Present value adjustment</w:t>
            </w: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286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8,436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future annual minimum lease payments due for the Company’s leases as of December 31,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2019</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22"/>
                <w:szCs w:val="22"/>
                <w:color w:val="auto"/>
                <w:w w:val="72"/>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2,221</w:t>
            </w:r>
          </w:p>
        </w:tc>
      </w:tr>
      <w:tr>
        <w:trPr>
          <w:trHeight w:val="243"/>
        </w:trPr>
        <w:tc>
          <w:tcPr>
            <w:tcW w:w="7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2020</w:t>
            </w:r>
          </w:p>
        </w:tc>
        <w:tc>
          <w:tcPr>
            <w:tcW w:w="9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1,682</w:t>
            </w:r>
          </w:p>
        </w:tc>
      </w:tr>
      <w:tr>
        <w:trPr>
          <w:trHeight w:val="243"/>
        </w:trPr>
        <w:tc>
          <w:tcPr>
            <w:tcW w:w="7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2021</w:t>
            </w:r>
          </w:p>
        </w:tc>
        <w:tc>
          <w:tcPr>
            <w:tcW w:w="9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1,443</w:t>
            </w:r>
          </w:p>
        </w:tc>
      </w:tr>
      <w:tr>
        <w:trPr>
          <w:trHeight w:val="243"/>
        </w:trPr>
        <w:tc>
          <w:tcPr>
            <w:tcW w:w="7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2022</w:t>
            </w:r>
          </w:p>
        </w:tc>
        <w:tc>
          <w:tcPr>
            <w:tcW w:w="9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1,221</w:t>
            </w:r>
          </w:p>
        </w:tc>
      </w:tr>
      <w:tr>
        <w:trPr>
          <w:trHeight w:val="243"/>
        </w:trPr>
        <w:tc>
          <w:tcPr>
            <w:tcW w:w="7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2023</w:t>
            </w:r>
          </w:p>
        </w:tc>
        <w:tc>
          <w:tcPr>
            <w:tcW w:w="9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848</w:t>
            </w:r>
          </w:p>
        </w:tc>
      </w:tr>
      <w:tr>
        <w:trPr>
          <w:trHeight w:val="243"/>
        </w:trPr>
        <w:tc>
          <w:tcPr>
            <w:tcW w:w="714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16,170</w:t>
            </w:r>
          </w:p>
        </w:tc>
      </w:tr>
      <w:tr>
        <w:trPr>
          <w:trHeight w:val="244"/>
        </w:trPr>
        <w:tc>
          <w:tcPr>
            <w:tcW w:w="7140" w:type="dxa"/>
            <w:vAlign w:val="bottom"/>
            <w:tcBorders>
              <w:bottom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920" w:type="dxa"/>
            <w:vAlign w:val="bottom"/>
            <w:tcBorders>
              <w:bottom w:val="single" w:sz="8" w:color="auto"/>
            </w:tcBorders>
            <w:shd w:val="clear" w:color="auto" w:fill="CCEEFF"/>
          </w:tcPr>
          <w:p>
            <w:pPr>
              <w:jc w:val="right"/>
              <w:ind w:right="7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48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23,585</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18 – </w:t>
      </w:r>
      <w:r>
        <w:rPr>
          <w:rFonts w:ascii="Times New Roman" w:cs="Times New Roman" w:eastAsia="Times New Roman" w:hAnsi="Times New Roman"/>
          <w:sz w:val="22"/>
          <w:szCs w:val="22"/>
          <w:b w:val="1"/>
          <w:bCs w:val="1"/>
          <w:i w:val="1"/>
          <w:iCs w:val="1"/>
          <w:color w:val="auto"/>
        </w:rPr>
        <w:t>Recent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Pronouncements to be adopted upon the effective date:</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The Company is evaluating the requirements of the updated guidance to determine the impact of adoption.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20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In August 2018, the FASB issued updated accounting guidance, which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The Company is evaluating the requirements of the updated guidance to determine the impact of adoption.</w:t>
      </w:r>
    </w:p>
    <w:p>
      <w:pPr>
        <w:spacing w:after="0" w:line="20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The Company is evaluating the requirements of the updated guidance to determine the impact of adoption.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Pronouncements adopted during the year:</w:t>
      </w:r>
    </w:p>
    <w:p>
      <w:pPr>
        <w:spacing w:after="0" w:line="23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On January 1, 2019, the Company adopted the updated guidance as required using the modified retrospective approach, which provides a method for recording existing leases at adoption and in comparative periods that approximates the results of a full retrospective approach. Further, we elected the package of practical expedients permitted under the transition guidance within the updated guidance, which among other things, allowed the Company to carry forward its historical lease classification. The Company also elected the practical expedient related to land easements, allowing the Company to carry forward its accounting treatment for land easements on existing agreements. Adoption of the new guidance resulted in the recording, on the Company’s consolidated balance sheet, of a right-of-use asset and lease liability of $14,028 as of January 1, 2019, and there was no cumulative impact adjustment to retained earnings for prior periods accounted for under the previous lease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09" w:lineRule="exact"/>
        <w:rPr>
          <w:sz w:val="20"/>
          <w:szCs w:val="20"/>
          <w:color w:val="auto"/>
        </w:rPr>
      </w:pPr>
    </w:p>
    <w:p>
      <w:pPr>
        <w:jc w:val="center"/>
        <w:ind w:left="1240" w:right="1960"/>
        <w:spacing w:after="0" w:line="262"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Forward-looking Statements</w:t>
      </w:r>
    </w:p>
    <w:p>
      <w:pPr>
        <w:spacing w:after="0" w:line="22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w:t>
      </w:r>
    </w:p>
    <w:p>
      <w:pPr>
        <w:spacing w:after="0" w:line="232" w:lineRule="auto"/>
        <w:rPr>
          <w:sz w:val="20"/>
          <w:szCs w:val="20"/>
          <w:color w:val="auto"/>
        </w:rPr>
      </w:pPr>
      <w:r>
        <w:rPr>
          <w:rFonts w:ascii="Times New Roman" w:cs="Times New Roman" w:eastAsia="Times New Roman" w:hAnsi="Times New Roman"/>
          <w:sz w:val="22"/>
          <w:szCs w:val="22"/>
          <w:i w:val="1"/>
          <w:iCs w:val="1"/>
          <w:color w:val="auto"/>
        </w:rPr>
        <w:t>statements. These risks and uncertainties include, among others: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2018 under the captions “Risk Factors” and “Management’s Discussion and Analysis of Financial Condition and Results of Operations” and elsewhere in such report and those included under the captions “Risk Factors” in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General Information</w:t>
      </w:r>
    </w:p>
    <w:p>
      <w:pPr>
        <w:spacing w:after="0" w:line="23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third-party, water and sewer service line protection solutions and repair services to households.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 On October 22, 2018, the Company entered into an agreement to acquire, from LDC Funding LLC, the parent company of PNG Companies, a natural gas distribution company consisting of Peoples Natural Gas Company LLC, Peoples Gas Company LLC, and Delta Natural Gas Company Inc. (“Peoples”), which upon closing, will expand the Company’s regulated utility business to include natural gas distribution.</w:t>
      </w:r>
    </w:p>
    <w:p>
      <w:pPr>
        <w:spacing w:after="0" w:line="21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Financial Condition</w:t>
      </w:r>
    </w:p>
    <w:p>
      <w:pPr>
        <w:spacing w:after="0" w:line="23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During the first three months of 2019, we incurred $133,792 of capital expenditures, expended $469 for the acquisition of water and wastewater utility systems, issued $117,995 of long-term debt, and repaid debt and made sinking fund contributions and other loan repayments of $41,976. The capital expenditures were related to new and replacement water mains, improvements to treatment plants, tanks, hydrants, and service lines, well and booster improvements, and other enhancements and improvements. The issuance of long-term debt was comprised principally of the funds borrowed under our revolving credit facility.</w:t>
      </w:r>
    </w:p>
    <w:p>
      <w:pPr>
        <w:spacing w:after="0" w:line="209"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Pursuant to the Company’s growth strategy, on October 22, 2018, the Company entered into a purchase agreement (the “Acquisition Agreement”) with LDC Parent LLC (“Seller”), to acquire its interests in LDC Funding LLC (“LDC”). LDC is the parent of LDC Holdings LLC (“LDC Holdings”), and LDC Holdings is the parent of five natural gas public utility companies, which includes Peoples Natural Gas Company, Peoples Gas Company, and Delta Natural Gas Company as well as other operating subsidiaries. This acquisition is referred to as the “Peoples Gas Acquisition,” and collectively these businesses are referred to as “Peoples.” Peoples is headquartered in Pittsburgh, Pennsylvania, and serves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ind w:left="1240" w:right="1420"/>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$1,370,000 of Peoples’ indebtedness upon closing of the Peoples Gas Acquisition, which would reduce the cash purchase price by approximately $1,370,000.</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 xml:space="preserve">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29, 2019, the Company entered into a Stock Purchase Agreement to issue shares of common stock in a private placement to fund a portion of the Peoples Gas Acquisition. The gross proceeds of the Stock Purchase Agreement are expected to amount to approximately $750,000. As of March 31, 2019, the Company had terminated approximately $1,633,000 of commitments under the Bridge Commitment. Further, on April 18, 2019, the Company issued $1,293,750 of its common stock and $690,000 of its tangible equity units, with a stated amount of $50 per unit, and on April 26, 2019, the Company issued $900,000 of senior notes. Lastly, in April 2019, as a result of the Company’s common stock, tangible equity units, and senior notes issuances, we terminated approximately $2,717,000 of commitments under the Bridge Commitment. The remaining balance available under the Bridge Commitment is $750,000. Refer to Note 6 – </w:t>
      </w:r>
      <w:r>
        <w:rPr>
          <w:rFonts w:ascii="Times New Roman" w:cs="Times New Roman" w:eastAsia="Times New Roman" w:hAnsi="Times New Roman"/>
          <w:sz w:val="21"/>
          <w:szCs w:val="21"/>
          <w:i w:val="1"/>
          <w:iCs w:val="1"/>
          <w:color w:val="auto"/>
        </w:rPr>
        <w:t xml:space="preserve">Capitalization </w:t>
      </w:r>
      <w:r>
        <w:rPr>
          <w:rFonts w:ascii="Times New Roman" w:cs="Times New Roman" w:eastAsia="Times New Roman" w:hAnsi="Times New Roman"/>
          <w:sz w:val="21"/>
          <w:szCs w:val="21"/>
          <w:color w:val="auto"/>
        </w:rPr>
        <w:t>to the consolidated financial statements for further information on these financings.</w:t>
      </w:r>
    </w:p>
    <w:p>
      <w:pPr>
        <w:spacing w:after="0" w:line="19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On May 18, 2019, the Company expects to redeem $313,500 of the Company’s outstanding notes that had maturities ranging from 2019-2037 and interest rates ranging from 3.57-5.83%. Additionally, the redemption of senior unsecured notes is subject to a make whole payment of approximately $25,000.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October 23, 2018, the Company entered into interest rate swap agreements to mitigate interest rate risk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associated with an anticipated $850,000 of future debt issuances to fund a portion of the Peoples Gas</w:t>
      </w:r>
    </w:p>
    <w:p>
      <w:pPr>
        <w:spacing w:after="0" w:line="230" w:lineRule="auto"/>
        <w:rPr>
          <w:sz w:val="20"/>
          <w:szCs w:val="20"/>
          <w:color w:val="auto"/>
        </w:rPr>
      </w:pPr>
      <w:r>
        <w:rPr>
          <w:rFonts w:ascii="Times New Roman" w:cs="Times New Roman" w:eastAsia="Times New Roman" w:hAnsi="Times New Roman"/>
          <w:sz w:val="22"/>
          <w:szCs w:val="22"/>
          <w:color w:val="auto"/>
        </w:rPr>
        <w:t>Acquisition. The interest rate swaps were settled on April 24, 2019 in conjunction with the issuance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$900,000 of long-term debt used to finance a portion of the purchase price of this acquisition. Refer to Note 7</w:t>
      </w:r>
    </w:p>
    <w:p>
      <w:pPr>
        <w:spacing w:after="0" w:line="2"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Interest Rate Swap Agreements</w:t>
      </w:r>
      <w:r>
        <w:rPr>
          <w:rFonts w:ascii="Times New Roman" w:cs="Times New Roman" w:eastAsia="Times New Roman" w:hAnsi="Times New Roman"/>
          <w:sz w:val="22"/>
          <w:szCs w:val="22"/>
          <w:color w:val="auto"/>
        </w:rPr>
        <w:t xml:space="preserve"> to the consolidated financial statements in this report for further information. The interest rate swaps did not qualify for hedge accounting and any changes in the fair value of the swaps was included in our earnings.</w:t>
      </w:r>
    </w:p>
    <w:p>
      <w:pPr>
        <w:spacing w:after="0" w:line="205"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The Peoples Gas Acquisition is subject to certain other adjustments at closing and is subject to regulatory approval by the Pennsylvania public utility commission, and other customary closing conditions set forth in the Acquisition Agreement. Approval from the United States Federal Trade Commission was obtained in December 2018 and approvals from the public utility commissions of Kentucky and West Virginia were obtained in March 2019 and April 2019, respectively. The Peoples Gas Acquisition is expected to close in mid-2019, once all regulatory approvals are obtained and closing conditions are met, and it is anticipated that this acquisition will result in the recording of goodwill. In the event that the Acquisition Agreement is terminated due to certain breaches by the Company, a fee of $120,000 would be payable to the Seller as a reverse termination fee.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1" w:right="113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ind w:left="1280" w:right="1380"/>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1"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At March 31, 2019, we had $4,053 of cash and cash equivalents compared to $3,627 at December 31, 2018. During the first three months of 2019, we used the proceeds from the issuance of long-term debt and internally generated funds to fund the cash requirements discussed above and to pay dividends.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March 31, 2019, our $550,000 unsecured revolving credit facility, which expires in December 2023, had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$83,302 available for borrowing. At March 31, 2019, we had short-term lines of credit of $135,500, of which</w:t>
      </w:r>
    </w:p>
    <w:p>
      <w:pPr>
        <w:spacing w:after="0" w:line="232" w:lineRule="auto"/>
        <w:rPr>
          <w:sz w:val="20"/>
          <w:szCs w:val="20"/>
          <w:color w:val="auto"/>
        </w:rPr>
      </w:pPr>
      <w:r>
        <w:rPr>
          <w:rFonts w:ascii="Times New Roman" w:cs="Times New Roman" w:eastAsia="Times New Roman" w:hAnsi="Times New Roman"/>
          <w:sz w:val="22"/>
          <w:szCs w:val="22"/>
          <w:color w:val="auto"/>
        </w:rPr>
        <w:t>$102,936 was available for borrowing. One of our short-term lines of credit is an Aqua Pennsylvania</w:t>
      </w:r>
    </w:p>
    <w:p>
      <w:pPr>
        <w:spacing w:after="0" w:line="230" w:lineRule="auto"/>
        <w:rPr>
          <w:sz w:val="20"/>
          <w:szCs w:val="20"/>
          <w:color w:val="auto"/>
        </w:rPr>
      </w:pPr>
      <w:r>
        <w:rPr>
          <w:rFonts w:ascii="Times New Roman" w:cs="Times New Roman" w:eastAsia="Times New Roman" w:hAnsi="Times New Roman"/>
          <w:sz w:val="22"/>
          <w:szCs w:val="22"/>
          <w:color w:val="auto"/>
        </w:rPr>
        <w:t>$100,000 364-day unsecured revolving credit facility with four banks, which is used to provide working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and as of March 31, 2019, $67,436 was available for borrowing.</w:t>
      </w:r>
    </w:p>
    <w:p>
      <w:pPr>
        <w:spacing w:after="0" w:line="20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201"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The Company’s consolidated balance sheet historically has had a negative working capital position whereby routinely our current liabilities exceed our current assets. Management believes that internally generated funds along with existing credit facilities and the proceeds from the issuance of long-term debt, common equity, and tangible equity units will be adequate to provide sufficient working capital to maintain normal operations and to meet our financing requirements for at least the next twelve months.</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Results of Operations</w:t>
      </w: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u w:val="single" w:color="auto"/>
          <w:color w:val="auto"/>
        </w:rPr>
        <w:t>Analysis of First Quarter of 2019 Compared to First Quarter of 2018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Revenues increased by $6,785 or 3.5%, primarily due to:</w:t>
      </w:r>
    </w:p>
    <w:p>
      <w:pPr>
        <w:spacing w:after="0" w:line="233" w:lineRule="exact"/>
        <w:rPr>
          <w:sz w:val="20"/>
          <w:szCs w:val="20"/>
          <w:color w:val="auto"/>
        </w:rPr>
      </w:pPr>
    </w:p>
    <w:p>
      <w:pPr>
        <w:ind w:left="640" w:hanging="315"/>
        <w:spacing w:after="0"/>
        <w:tabs>
          <w:tab w:leader="none" w:pos="6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increase in water and wastewater rates and infrastructure rehabilitation surcharges of $5,185; and</w:t>
      </w:r>
    </w:p>
    <w:p>
      <w:pPr>
        <w:spacing w:after="0" w:line="98" w:lineRule="exact"/>
        <w:rPr>
          <w:rFonts w:ascii="Times New Roman" w:cs="Times New Roman" w:eastAsia="Times New Roman" w:hAnsi="Times New Roman"/>
          <w:sz w:val="22"/>
          <w:szCs w:val="22"/>
          <w:color w:val="auto"/>
        </w:rPr>
      </w:pPr>
    </w:p>
    <w:p>
      <w:pPr>
        <w:ind w:left="640" w:right="400" w:hanging="315"/>
        <w:spacing w:after="0" w:line="258" w:lineRule="auto"/>
        <w:tabs>
          <w:tab w:leader="none" w:pos="6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water and wastewater revenues of $3,647 associated with a larger customer base due to organic growth and utility acquisitions, and other growth ventures;</w:t>
      </w:r>
    </w:p>
    <w:p>
      <w:pPr>
        <w:spacing w:after="0" w:line="50" w:lineRule="exact"/>
        <w:rPr>
          <w:rFonts w:ascii="Times New Roman" w:cs="Times New Roman" w:eastAsia="Times New Roman" w:hAnsi="Times New Roman"/>
          <w:sz w:val="22"/>
          <w:szCs w:val="22"/>
          <w:color w:val="auto"/>
        </w:rPr>
      </w:pPr>
    </w:p>
    <w:p>
      <w:pPr>
        <w:ind w:left="640" w:hanging="315"/>
        <w:spacing w:after="0"/>
        <w:tabs>
          <w:tab w:leader="none" w:pos="6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 by a decrease in customer water consumption.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expenses increased by $5,368 or 7.3%, primarily due to:</w:t>
      </w:r>
    </w:p>
    <w:p>
      <w:pPr>
        <w:spacing w:after="0" w:line="233" w:lineRule="exact"/>
        <w:rPr>
          <w:sz w:val="20"/>
          <w:szCs w:val="20"/>
          <w:color w:val="auto"/>
        </w:rPr>
      </w:pPr>
    </w:p>
    <w:p>
      <w:pPr>
        <w:ind w:left="640" w:hanging="315"/>
        <w:spacing w:after="0" w:line="244" w:lineRule="auto"/>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expenses of $6,646 for our planned Peoples Gas Acquisition, primarily representing expenses associated with obtaining regulatory approvals, investment banking fees, legal expenses, and integration planning;</w:t>
      </w:r>
    </w:p>
    <w:p>
      <w:pPr>
        <w:spacing w:after="0" w:line="65" w:lineRule="exact"/>
        <w:rPr>
          <w:rFonts w:ascii="Times New Roman" w:cs="Times New Roman" w:eastAsia="Times New Roman" w:hAnsi="Times New Roman"/>
          <w:sz w:val="22"/>
          <w:szCs w:val="22"/>
          <w:color w:val="auto"/>
        </w:rPr>
      </w:pPr>
    </w:p>
    <w:p>
      <w:pPr>
        <w:ind w:left="640" w:hanging="315"/>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operating costs associated with acquired utility systems of $972; and</w:t>
      </w:r>
    </w:p>
    <w:p>
      <w:pPr>
        <w:spacing w:after="0" w:line="98" w:lineRule="exact"/>
        <w:rPr>
          <w:rFonts w:ascii="Times New Roman" w:cs="Times New Roman" w:eastAsia="Times New Roman" w:hAnsi="Times New Roman"/>
          <w:sz w:val="22"/>
          <w:szCs w:val="22"/>
          <w:color w:val="auto"/>
        </w:rPr>
      </w:pPr>
    </w:p>
    <w:p>
      <w:pPr>
        <w:ind w:left="640" w:right="40" w:hanging="315"/>
        <w:spacing w:after="0" w:line="258" w:lineRule="auto"/>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increase in water production costs of $744, primarily due to increases in purchased water and costs associated with the treatment of wastewater;</w:t>
      </w:r>
    </w:p>
    <w:p>
      <w:pPr>
        <w:spacing w:after="0" w:line="50" w:lineRule="exact"/>
        <w:rPr>
          <w:rFonts w:ascii="Times New Roman" w:cs="Times New Roman" w:eastAsia="Times New Roman" w:hAnsi="Times New Roman"/>
          <w:sz w:val="22"/>
          <w:szCs w:val="22"/>
          <w:color w:val="auto"/>
        </w:rPr>
      </w:pPr>
    </w:p>
    <w:p>
      <w:pPr>
        <w:ind w:left="640" w:hanging="315"/>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 by a decrease in insurance expenses of $1,042 due to lower claims.</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1441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00"/>
          </w:cols>
          <w:pgMar w:left="1220" w:top="112" w:right="117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AQUA AMERICA, INC. AND SUBSIDIARIES</w:t>
      </w:r>
    </w:p>
    <w:p>
      <w:pPr>
        <w:spacing w:after="0" w:line="233"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22"/>
          <w:szCs w:val="22"/>
          <w:color w:val="auto"/>
        </w:rPr>
        <w:t>MANAGEMENT’S DISCUSSION AND ANALYSIS OF FINANCIAL CONDITION AND RESULTS OF OPERATIONS (continued) (In thousands of dollars, except per share amounts)</w:t>
      </w:r>
    </w:p>
    <w:p>
      <w:pPr>
        <w:spacing w:after="0" w:line="200" w:lineRule="exact"/>
        <w:rPr>
          <w:sz w:val="20"/>
          <w:szCs w:val="20"/>
          <w:color w:val="auto"/>
        </w:rPr>
      </w:pPr>
    </w:p>
    <w:p>
      <w:pPr>
        <w:spacing w:after="0" w:line="24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Depreciation expense increased by $3,107 or 8.6%, primarily due to the utility plant placed in service since March 31, 2018.</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Interest expense increased by $4,379 or 18.7%, primarily due to an increase in average borrowings, offset by a decrease in our effective interest rate.</w:t>
      </w:r>
    </w:p>
    <w:p>
      <w:pPr>
        <w:spacing w:after="0" w:line="18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$1,189, due to an increase in the average balance of utility plant construction work in progress, to which AFUDC is applied, and an increase in the AFUDC rate due associated with an increase in our short-term debt borrowings.</w:t>
      </w:r>
    </w:p>
    <w:p>
      <w:pPr>
        <w:spacing w:after="0" w:line="201"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The change in fair value of interest rate swap agreements of $34,782 represents the mark-to-market adjustment of our interest rate swap agreements that were entered into on October 23, 2018 to mitigate interest rate risk associated with an anticipated $850,000 of future debt issuances to fund a portion of the Peoples Gas Acquisition. The interest rate swap agreements did not qualify for hedge accounting, and any changes in the fair value of the swaps were included in earnings.</w:t>
      </w:r>
    </w:p>
    <w:p>
      <w:pPr>
        <w:spacing w:after="0" w:line="20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Equity earnings in joint venture increased by $161 due to an increase in the sale of raw water to firms in the natural gas drilling industry.</w:t>
      </w:r>
    </w:p>
    <w:p>
      <w:pPr>
        <w:spacing w:after="0" w:line="18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increased by $269 primarily due to an increase in the non-service cost components of our net benefit cost for pension benefits.</w:t>
      </w:r>
    </w:p>
    <w:p>
      <w:pPr>
        <w:spacing w:after="0" w:line="18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Our effective income tax rate was (93.3)% in the first quarter of 2019 and (4.4)% in the first quarter of 2018. The Company’s provision for income taxes represents an income tax benefit due to the effects of the change in the fair value of the interest rate swap agreement noted above of $34,782, tax deductions recognized for certain qualifying infrastructure improvements for Aqua Pennsylvania, and the amortization of certain tax benefits associated with the Tax Cuts and Jobs Act. Our effective income tax rate decreased due to the decrease in our income before income taxes of $39,954, which results primarily from the change in fair value of interest rate swap agreements and transaction expenses for our planned acquisition of Peoples discussed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income decreased by $33,915 or 66.7%, primarily as a result of the factors described above.</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29" w:lineRule="exact"/>
        <w:rPr>
          <w:sz w:val="20"/>
          <w:szCs w:val="20"/>
          <w:color w:val="auto"/>
        </w:rPr>
      </w:pPr>
    </w:p>
    <w:p>
      <w:pPr>
        <w:ind w:right="1540"/>
        <w:spacing w:after="0" w:line="262"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18, </w:t>
      </w:r>
      <w:r>
        <w:rPr>
          <w:rFonts w:ascii="Times New Roman" w:cs="Times New Roman" w:eastAsia="Times New Roman" w:hAnsi="Times New Roman"/>
          <w:sz w:val="22"/>
          <w:szCs w:val="22"/>
          <w:i w:val="1"/>
          <w:iCs w:val="1"/>
          <w:color w:val="auto"/>
        </w:rPr>
        <w:t>Recent Accounting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Pronouncements</w:t>
      </w:r>
      <w:r>
        <w:rPr>
          <w:rFonts w:ascii="Times New Roman" w:cs="Times New Roman" w:eastAsia="Times New Roman" w:hAnsi="Times New Roman"/>
          <w:sz w:val="22"/>
          <w:szCs w:val="22"/>
          <w:color w:val="auto"/>
        </w:rPr>
        <w:t>,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67310</wp:posOffset>
            </wp:positionV>
            <wp:extent cx="63030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560"/>
          </w:cols>
          <w:pgMar w:left="1220" w:top="111" w:right="111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There have been no significant changes in our exposure to market risks since December 31, 2018. Refer to Item 7A of the Company’s Annual Report on Form 10-K for the year ended December 31, 2018, filed February 26, 2019,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33"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206"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3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2018, filed with the SEC on February 26, 2019, under “Part 1, Item 1A – Risk Factors.” For a discussion of specific risks related to the business of the pending Peoples Gas Acquisition, please see “Risk Factors related to Peoples” in our Current Report on Form 8-K/A filed with the SEC on April 15, 2019. In addition, we provide the following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in our earnings may differ from changes in our rate base</w:t>
      </w:r>
      <w:r>
        <w:rPr>
          <w:rFonts w:ascii="Times New Roman" w:cs="Times New Roman" w:eastAsia="Times New Roman" w:hAnsi="Times New Roman"/>
          <w:sz w:val="22"/>
          <w:szCs w:val="22"/>
          <w:b w:val="1"/>
          <w:bCs w:val="1"/>
          <w:color w:val="auto"/>
        </w:rPr>
        <w:t>.</w:t>
      </w:r>
    </w:p>
    <w:p>
      <w:pPr>
        <w:spacing w:after="0" w:line="253"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however, may differ from changes in our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3030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1" w:right="89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DSIC between rate cases; and acquisitions which have not yet been included in rate base. We anticipate that we may experience periods in which growth in earnings is less than growth in rate base; such differences may be significant and may persist over multiple reporting periods.</w:t>
      </w:r>
    </w:p>
    <w:p>
      <w:pPr>
        <w:spacing w:after="0" w:line="203"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The Company has incurred significant additional indebtedness in connection with the pending Peoples Gas Acquisition. As a result, it may be more difficult for the Company to pay or refinance its debts or take other actions, and the Company may need to divert cash to fund debt service payments.</w:t>
      </w:r>
    </w:p>
    <w:p>
      <w:pPr>
        <w:spacing w:after="0" w:line="170"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22"/>
          <w:szCs w:val="22"/>
          <w:color w:val="auto"/>
        </w:rPr>
        <w:t>The Company has incurred significant additional indebtedness to finance the proposed Peoples Gas Acquisition and to fund the debt refinancing of the Company’s outstanding debt (the “Company Debt</w:t>
      </w:r>
    </w:p>
    <w:p>
      <w:pPr>
        <w:jc w:val="both"/>
        <w:ind w:right="220"/>
        <w:spacing w:after="0" w:line="234" w:lineRule="auto"/>
        <w:rPr>
          <w:sz w:val="20"/>
          <w:szCs w:val="20"/>
          <w:color w:val="auto"/>
        </w:rPr>
      </w:pPr>
      <w:r>
        <w:rPr>
          <w:rFonts w:ascii="Times New Roman" w:cs="Times New Roman" w:eastAsia="Times New Roman" w:hAnsi="Times New Roman"/>
          <w:sz w:val="22"/>
          <w:szCs w:val="22"/>
          <w:color w:val="auto"/>
        </w:rPr>
        <w:t>Refinancing”). Additionally, in connection with the proposed Peoples Gas Acquisition, the Company currently intends to assume approximately $1,370 million of Peoples’ indebtedness. The increase in the Company’s debt service obligations resulting from additional indebtedness could have a material adverse effect on the results of operations, financial condition and prospects of the combined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increased indebtedness could also:</w:t>
      </w:r>
    </w:p>
    <w:p>
      <w:pPr>
        <w:spacing w:after="0" w:line="206" w:lineRule="exact"/>
        <w:rPr>
          <w:sz w:val="20"/>
          <w:szCs w:val="20"/>
          <w:color w:val="auto"/>
        </w:rPr>
      </w:pPr>
    </w:p>
    <w:p>
      <w:pPr>
        <w:ind w:left="660" w:right="120" w:hanging="328"/>
        <w:spacing w:after="0" w:line="239"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spacing w:after="0" w:line="180" w:lineRule="exact"/>
        <w:rPr>
          <w:rFonts w:ascii="Times New Roman" w:cs="Times New Roman" w:eastAsia="Times New Roman" w:hAnsi="Times New Roman"/>
          <w:sz w:val="22"/>
          <w:szCs w:val="22"/>
          <w:color w:val="auto"/>
        </w:rPr>
      </w:pPr>
    </w:p>
    <w:p>
      <w:pPr>
        <w:ind w:left="660" w:right="260" w:hanging="328"/>
        <w:spacing w:after="0" w:line="244"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spacing w:after="0" w:line="173" w:lineRule="exact"/>
        <w:rPr>
          <w:rFonts w:ascii="Times New Roman" w:cs="Times New Roman" w:eastAsia="Times New Roman" w:hAnsi="Times New Roman"/>
          <w:sz w:val="22"/>
          <w:szCs w:val="22"/>
          <w:color w:val="auto"/>
        </w:rPr>
      </w:pPr>
    </w:p>
    <w:p>
      <w:pPr>
        <w:ind w:left="660" w:right="320" w:hanging="328"/>
        <w:spacing w:after="0" w:line="239"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spacing w:after="0" w:line="180" w:lineRule="exact"/>
        <w:rPr>
          <w:rFonts w:ascii="Times New Roman" w:cs="Times New Roman" w:eastAsia="Times New Roman" w:hAnsi="Times New Roman"/>
          <w:sz w:val="22"/>
          <w:szCs w:val="22"/>
          <w:color w:val="auto"/>
        </w:rPr>
      </w:pPr>
    </w:p>
    <w:p>
      <w:pPr>
        <w:ind w:left="660" w:right="120" w:hanging="328"/>
        <w:spacing w:after="0" w:line="239"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a downgrade in the credit ratings on the Company’s indebtedness, which could limit the Company’s ability to borrow additional funds on favorable terms or at all (including in order to refinance the Bridge Commitment (if drawn) and/or its other debt), increase the interest rates under its credit facilities and under any new indebtedness it may incur;</w:t>
      </w:r>
    </w:p>
    <w:p>
      <w:pPr>
        <w:spacing w:after="0" w:line="180" w:lineRule="exact"/>
        <w:rPr>
          <w:rFonts w:ascii="Times New Roman" w:cs="Times New Roman" w:eastAsia="Times New Roman" w:hAnsi="Times New Roman"/>
          <w:sz w:val="22"/>
          <w:szCs w:val="22"/>
          <w:color w:val="auto"/>
        </w:rPr>
      </w:pPr>
    </w:p>
    <w:p>
      <w:pPr>
        <w:ind w:left="660" w:right="1140" w:hanging="328"/>
        <w:spacing w:after="0" w:line="258"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it more difficult for the Company to raise capital to fund working capital, make capital expenditures, pay dividends, pursue strategic initiatives or for other purposes;</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higher interest expense, which could be further increased in the event of increases in interest rates on the Company’s current or future borrowings subject to variable rates of interest; and</w:t>
      </w:r>
    </w:p>
    <w:p>
      <w:pPr>
        <w:spacing w:after="0" w:line="158" w:lineRule="exact"/>
        <w:rPr>
          <w:rFonts w:ascii="Times New Roman" w:cs="Times New Roman" w:eastAsia="Times New Roman" w:hAnsi="Times New Roman"/>
          <w:sz w:val="22"/>
          <w:szCs w:val="22"/>
          <w:color w:val="auto"/>
        </w:rPr>
      </w:pPr>
    </w:p>
    <w:p>
      <w:pPr>
        <w:ind w:left="660" w:right="60" w:hanging="328"/>
        <w:spacing w:after="0" w:line="236"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w:t>
      </w:r>
    </w:p>
    <w:p>
      <w:pPr>
        <w:spacing w:after="0" w:line="1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3030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2" w:right="89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4"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22"/>
          <w:szCs w:val="22"/>
          <w:color w:val="auto"/>
        </w:rPr>
        <w:t>conduct of its business and make it more vulnerable to economic downturns and adverse competitive and industry conditions.</w:t>
      </w:r>
    </w:p>
    <w:p>
      <w:pPr>
        <w:spacing w:after="0" w:line="15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The increased indebtedness in connection with the proposed Peoples Gas Acquisition could cause us to place more reliance on cash flow from operations to pay principal and interest on debt and to satisfy our other obligations. Based on the current and expected results of operations and financial condition of the Company and the currently anticipated financing structure for the Peoples Gas Acquisition, the Company believes that its cash flow from operations, together with the proceeds from borrowings, issuances of equity and debt securities in the capital markets, and equity sales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under the indebtedness incurred to fund the Peoples Gas Acquisition and the Company Debt Refinancing and under the indebtedness of Peoples anticipated to be assumed as a result of the Peoples Gas Acquisition. However, the Company’s expectation is based upon numerous estimates and assumptions and is subject to numerous uncertainties. LDC and its subsidiaries will not guarantee any indebtedness of the Company or any of its other subsidiaries, nor will any of them have any obligation to provide funds (nor will we have any ability to require them to provide funds), whether in the form of dividends, loans or otherwise, to enable the Company to pay dividends on its common stock or to enable the Company and its other subsidiaries to make required debt service payments or meet its other cash needs. As a result, the Company may substantially increase its debt services obligations in anticipation of the Peoples Gas Acquisition without any assurance that the Company will receive any cash from LDC or any of its subsidiaries to assist the Company in servicing its indebtedness, paying dividends on its common stock or meetings its other cash needs.</w:t>
      </w:r>
    </w:p>
    <w:p>
      <w:pPr>
        <w:spacing w:after="0" w:line="18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The price of our common stock may be volatile. This volatility may affect the price at which you could sell our common stock, and the sale or resale of substantial amounts of our common stock could adversely affect the market price of our common stock.</w:t>
      </w:r>
    </w:p>
    <w:p>
      <w:pPr>
        <w:spacing w:after="0" w:line="1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The sale or issuance of substantial amounts of our common stock in the completed offerings, or the perception that additional sales or issuances could occur, could adversely affect the market price of our common stock. In addition, the availability for sale of substantial amounts of our common stock could adversely impact its market price. Shares of our common stock will be issuable upon settlement or redemption of the purchase contracts and the number of shares may be substantial. The settlement rates for the purchase contracts will be subject to certain anti-dilution adjustments that could increase, potentially significantly, the number of shares of our common stock issuable upon such settlement. The issuance or sale of shares, or the perception that such issuances or sales could occur, could adversely affect the market price of our common stock, even if our business is doing well. Any of the foregoing may also impair our ability to raise additional capital through the sale of our equity securities.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3030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40"/>
          </w:cols>
          <w:pgMar w:left="1140" w:top="112" w:right="91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Unregistered Sales of Equity Securities and Use of Proceeds</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purchases of its common stock for the quarter ended March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660" w:type="dxa"/>
            <w:vAlign w:val="bottom"/>
            <w:gridSpan w:val="7"/>
          </w:tcPr>
          <w:p>
            <w:pPr>
              <w:jc w:val="right"/>
              <w:ind w:right="460"/>
              <w:spacing w:after="0"/>
              <w:rPr>
                <w:sz w:val="20"/>
                <w:szCs w:val="20"/>
                <w:color w:val="auto"/>
              </w:rPr>
            </w:pPr>
            <w:r>
              <w:rPr>
                <w:rFonts w:ascii="Times New Roman" w:cs="Times New Roman" w:eastAsia="Times New Roman" w:hAnsi="Times New Roman"/>
                <w:sz w:val="22"/>
                <w:szCs w:val="22"/>
                <w:color w:val="auto"/>
                <w:w w:val="97"/>
              </w:rPr>
              <w:t>Issuer Purchases of Equity Securities</w:t>
            </w:r>
          </w:p>
        </w:tc>
        <w:tc>
          <w:tcPr>
            <w:tcW w:w="1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2"/>
                <w:szCs w:val="22"/>
                <w:color w:val="auto"/>
              </w:rPr>
              <w:t>Total</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Maximum</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Number of</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Number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Purchased</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that May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as Part of</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Yet be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Total</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Publicly</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Purchased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Number</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Average</w:t>
            </w: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Announced</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Under the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of Shares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Price Paid</w:t>
            </w:r>
          </w:p>
        </w:tc>
        <w:tc>
          <w:tcPr>
            <w:tcW w:w="16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Plans or</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Plan or</w:t>
            </w:r>
          </w:p>
        </w:tc>
        <w:tc>
          <w:tcPr>
            <w:tcW w:w="0" w:type="dxa"/>
            <w:vAlign w:val="bottom"/>
          </w:tcPr>
          <w:p>
            <w:pPr>
              <w:spacing w:after="0"/>
              <w:rPr>
                <w:sz w:val="1"/>
                <w:szCs w:val="1"/>
                <w:color w:val="auto"/>
              </w:rPr>
            </w:pPr>
          </w:p>
        </w:tc>
      </w:tr>
      <w:tr>
        <w:trPr>
          <w:trHeight w:val="230"/>
        </w:trPr>
        <w:tc>
          <w:tcPr>
            <w:tcW w:w="300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Period</w:t>
            </w:r>
          </w:p>
        </w:tc>
        <w:tc>
          <w:tcPr>
            <w:tcW w:w="20" w:type="dxa"/>
            <w:vAlign w:val="bottom"/>
          </w:tcPr>
          <w:p>
            <w:pPr>
              <w:spacing w:after="0"/>
              <w:rPr>
                <w:sz w:val="20"/>
                <w:szCs w:val="20"/>
                <w:color w:val="auto"/>
              </w:rPr>
            </w:pPr>
          </w:p>
        </w:tc>
        <w:tc>
          <w:tcPr>
            <w:tcW w:w="16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Purchased (1)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3"/>
          </w:tcPr>
          <w:p>
            <w:pPr>
              <w:jc w:val="right"/>
              <w:ind w:right="240"/>
              <w:spacing w:after="0" w:line="230" w:lineRule="exact"/>
              <w:rPr>
                <w:sz w:val="20"/>
                <w:szCs w:val="20"/>
                <w:color w:val="auto"/>
              </w:rPr>
            </w:pPr>
            <w:r>
              <w:rPr>
                <w:rFonts w:ascii="Times New Roman" w:cs="Times New Roman" w:eastAsia="Times New Roman" w:hAnsi="Times New Roman"/>
                <w:sz w:val="22"/>
                <w:szCs w:val="22"/>
                <w:color w:val="auto"/>
              </w:rPr>
              <w:t>per Share</w:t>
            </w:r>
          </w:p>
        </w:tc>
        <w:tc>
          <w:tcPr>
            <w:tcW w:w="1620" w:type="dxa"/>
            <w:vAlign w:val="bottom"/>
            <w:gridSpan w:val="2"/>
          </w:tcPr>
          <w:p>
            <w:pPr>
              <w:jc w:val="right"/>
              <w:ind w:right="240"/>
              <w:spacing w:after="0" w:line="230" w:lineRule="exact"/>
              <w:rPr>
                <w:sz w:val="20"/>
                <w:szCs w:val="20"/>
                <w:color w:val="auto"/>
              </w:rPr>
            </w:pPr>
            <w:r>
              <w:rPr>
                <w:rFonts w:ascii="Times New Roman" w:cs="Times New Roman" w:eastAsia="Times New Roman" w:hAnsi="Times New Roman"/>
                <w:sz w:val="22"/>
                <w:szCs w:val="22"/>
                <w:color w:val="auto"/>
              </w:rPr>
              <w:t>Programs</w:t>
            </w:r>
          </w:p>
        </w:tc>
        <w:tc>
          <w:tcPr>
            <w:tcW w:w="16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Programs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January 1 - 31, 2019</w:t>
            </w:r>
          </w:p>
        </w:tc>
        <w:tc>
          <w:tcPr>
            <w:tcW w:w="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shd w:val="clear" w:color="auto" w:fill="CCEEFF"/>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34.74</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February 1 - 28, 2019</w:t>
            </w:r>
          </w:p>
        </w:tc>
        <w:tc>
          <w:tcPr>
            <w:tcW w:w="17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52,104</w:t>
            </w:r>
          </w:p>
        </w:tc>
        <w:tc>
          <w:tcPr>
            <w:tcW w:w="580" w:type="dxa"/>
            <w:vAlign w:val="bottom"/>
            <w:gridSpan w:val="2"/>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35.63</w:t>
            </w:r>
          </w:p>
        </w:tc>
        <w:tc>
          <w:tcPr>
            <w:tcW w:w="24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March 1 - 31, 2019</w:t>
            </w:r>
          </w:p>
        </w:tc>
        <w:tc>
          <w:tcPr>
            <w:tcW w:w="17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shd w:val="clear" w:color="auto" w:fill="CCEE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20" w:type="dxa"/>
            <w:vAlign w:val="bottom"/>
          </w:tcPr>
          <w:p>
            <w:pPr>
              <w:spacing w:after="0"/>
              <w:rPr>
                <w:sz w:val="21"/>
                <w:szCs w:val="21"/>
                <w:color w:val="auto"/>
              </w:rPr>
            </w:pPr>
          </w:p>
        </w:tc>
        <w:tc>
          <w:tcPr>
            <w:tcW w:w="16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52,124</w:t>
            </w:r>
          </w:p>
        </w:tc>
        <w:tc>
          <w:tcPr>
            <w:tcW w:w="2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35.63</w:t>
            </w:r>
          </w:p>
        </w:tc>
        <w:tc>
          <w:tcPr>
            <w:tcW w:w="24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80" w:firstLine="8"/>
        <w:spacing w:after="0" w:line="247" w:lineRule="auto"/>
        <w:tabs>
          <w:tab w:leader="none" w:pos="30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include the following: (a) 49,473 shares we acquired from employees associated with the withholding of shares to pay certain withholding taxes upon the vesting of stock-based compensation; and (b) 2,651 shares we acquired from our employees who elected to pay the exercise price of their stock options (and then hold shares of the stock), upon exercise, by delivering to us shares or our common stock in accordance with the terms of our equity compensation plan that were previously approved by our shareholders and disclosed in our proxy statements. These features of our equity compensation plan are available to all employees who receive stock-based compensation under the plan. We purchased these shares at their fair market value, as determined by reference to the closing price of our common stock on the day prior to the option exercise.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120" w:type="dxa"/>
            <w:vAlign w:val="bottom"/>
          </w:tcPr>
          <w:p>
            <w:pPr>
              <w:spacing w:after="0"/>
              <w:rPr>
                <w:sz w:val="23"/>
                <w:szCs w:val="23"/>
                <w:color w:val="auto"/>
              </w:rPr>
            </w:pPr>
          </w:p>
        </w:tc>
        <w:tc>
          <w:tcPr>
            <w:tcW w:w="7880" w:type="dxa"/>
            <w:vAlign w:val="bottom"/>
            <w:gridSpan w:val="13"/>
          </w:tcPr>
          <w:p>
            <w:pPr>
              <w:ind w:left="4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20" w:type="dxa"/>
            <w:vAlign w:val="bottom"/>
          </w:tcPr>
          <w:p>
            <w:pPr>
              <w:spacing w:after="0"/>
              <w:rPr>
                <w:sz w:val="23"/>
                <w:szCs w:val="23"/>
                <w:color w:val="auto"/>
              </w:rPr>
            </w:pPr>
          </w:p>
        </w:tc>
      </w:tr>
      <w:tr>
        <w:trPr>
          <w:trHeight w:val="196"/>
        </w:trPr>
        <w:tc>
          <w:tcPr>
            <w:tcW w:w="1480" w:type="dxa"/>
            <w:vAlign w:val="bottom"/>
            <w:tcBorders>
              <w:top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4.1</w:t>
            </w: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40" w:type="dxa"/>
            <w:vAlign w:val="bottom"/>
            <w:tcBorders>
              <w:top w:val="single" w:sz="8" w:color="auto"/>
              <w:bottom w:val="single" w:sz="8" w:color="0000EE"/>
            </w:tcBorders>
            <w:gridSpan w:val="8"/>
          </w:tcPr>
          <w:p>
            <w:pPr>
              <w:spacing w:after="0" w:line="197" w:lineRule="exact"/>
              <w:rPr>
                <w:rFonts w:ascii="Times New Roman" w:cs="Times New Roman" w:eastAsia="Times New Roman" w:hAnsi="Times New Roman"/>
                <w:sz w:val="22"/>
                <w:szCs w:val="22"/>
                <w:color w:val="0000EE"/>
                <w:w w:val="97"/>
              </w:rPr>
            </w:pPr>
            <w:hyperlink r:id="rId59">
              <w:r>
                <w:rPr>
                  <w:rFonts w:ascii="Times New Roman" w:cs="Times New Roman" w:eastAsia="Times New Roman" w:hAnsi="Times New Roman"/>
                  <w:sz w:val="22"/>
                  <w:szCs w:val="22"/>
                  <w:color w:val="0000EE"/>
                  <w:w w:val="97"/>
                </w:rPr>
                <w:t>Purchase Contract Agreement, dated April 23, 2019, between Aqua America, Inc. and</w:t>
              </w:r>
            </w:hyperlink>
          </w:p>
        </w:tc>
        <w:tc>
          <w:tcPr>
            <w:tcW w:w="440" w:type="dxa"/>
            <w:vAlign w:val="bottom"/>
            <w:tcBorders>
              <w:top w:val="single" w:sz="8" w:color="auto"/>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80" w:type="dxa"/>
            <w:vAlign w:val="bottom"/>
            <w:gridSpan w:val="13"/>
          </w:tcPr>
          <w:p>
            <w:pPr>
              <w:spacing w:after="0" w:line="223" w:lineRule="exact"/>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U.S. Bank N.A., as purchase contract agent, as attorney-in-fact for the Holders from time</w:t>
              </w:r>
            </w:hyperlink>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00" w:type="dxa"/>
            <w:vAlign w:val="bottom"/>
            <w:tcBorders>
              <w:top w:val="single" w:sz="8" w:color="0000EE"/>
            </w:tcBorders>
            <w:gridSpan w:val="12"/>
          </w:tcPr>
          <w:p>
            <w:pPr>
              <w:spacing w:after="0" w:line="223" w:lineRule="exact"/>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to time as provided therein and as trustee under the indenture referred to therein</w:t>
              </w:r>
            </w:hyperlink>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80" w:type="dxa"/>
            <w:vAlign w:val="bottom"/>
            <w:tcBorders>
              <w:top w:val="single" w:sz="8" w:color="0000EE"/>
            </w:tcBorders>
            <w:gridSpan w:val="3"/>
          </w:tcPr>
          <w:p>
            <w:pPr>
              <w:spacing w:after="0" w:line="223" w:lineRule="exact"/>
              <w:rPr>
                <w:rFonts w:ascii="Times New Roman" w:cs="Times New Roman" w:eastAsia="Times New Roman" w:hAnsi="Times New Roman"/>
                <w:sz w:val="22"/>
                <w:szCs w:val="22"/>
                <w:color w:val="0000EE"/>
                <w:w w:val="99"/>
              </w:rPr>
            </w:pPr>
            <w:hyperlink r:id="rId59">
              <w:r>
                <w:rPr>
                  <w:rFonts w:ascii="Times New Roman" w:cs="Times New Roman" w:eastAsia="Times New Roman" w:hAnsi="Times New Roman"/>
                  <w:sz w:val="22"/>
                  <w:szCs w:val="22"/>
                  <w:color w:val="0000EE"/>
                  <w:w w:val="99"/>
                </w:rPr>
                <w:t>(incorporated by reference to Exhibit 4.1 to the Company’s Current Report on</w:t>
              </w:r>
            </w:hyperlink>
          </w:p>
        </w:tc>
        <w:tc>
          <w:tcPr>
            <w:tcW w:w="1000" w:type="dxa"/>
            <w:vAlign w:val="bottom"/>
            <w:gridSpan w:val="10"/>
          </w:tcPr>
          <w:p>
            <w:pPr>
              <w:spacing w:after="0" w:line="223" w:lineRule="exact"/>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Form 8-K,</w:t>
              </w:r>
            </w:hyperlink>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Borders>
              <w:top w:val="single" w:sz="8" w:color="0000EE"/>
              <w:bottom w:val="single" w:sz="8" w:color="0000EE"/>
            </w:tcBorders>
            <w:gridSpan w:val="2"/>
          </w:tcPr>
          <w:p>
            <w:pPr>
              <w:spacing w:after="0" w:line="223" w:lineRule="exact"/>
              <w:rPr>
                <w:rFonts w:ascii="Times New Roman" w:cs="Times New Roman" w:eastAsia="Times New Roman" w:hAnsi="Times New Roman"/>
                <w:sz w:val="22"/>
                <w:szCs w:val="22"/>
                <w:color w:val="0000EE"/>
                <w:w w:val="97"/>
              </w:rPr>
            </w:pPr>
            <w:hyperlink r:id="rId59">
              <w:r>
                <w:rPr>
                  <w:rFonts w:ascii="Times New Roman" w:cs="Times New Roman" w:eastAsia="Times New Roman" w:hAnsi="Times New Roman"/>
                  <w:sz w:val="22"/>
                  <w:szCs w:val="22"/>
                  <w:color w:val="0000EE"/>
                  <w:w w:val="97"/>
                </w:rPr>
                <w:t>filed with the SEC on April 23, 2019)</w:t>
              </w:r>
            </w:hyperlink>
          </w:p>
        </w:tc>
        <w:tc>
          <w:tcPr>
            <w:tcW w:w="4420" w:type="dxa"/>
            <w:vAlign w:val="bottom"/>
            <w:tcBorders>
              <w:top w:val="single" w:sz="8" w:color="0000EE"/>
            </w:tcBorders>
            <w:gridSpan w:val="9"/>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466"/>
        </w:trPr>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3"/>
          </w:tcPr>
          <w:p>
            <w:pPr>
              <w:spacing w:after="0"/>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Form of Unit (included in Exhibit 4.1) (incorporated by reference to Exhibit 4.2 to the</w:t>
              </w:r>
            </w:hyperlink>
          </w:p>
        </w:tc>
        <w:tc>
          <w:tcPr>
            <w:tcW w:w="20" w:type="dxa"/>
            <w:vAlign w:val="bottom"/>
          </w:tcPr>
          <w:p>
            <w:pPr>
              <w:spacing w:after="0"/>
              <w:rPr>
                <w:sz w:val="24"/>
                <w:szCs w:val="24"/>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00" w:type="dxa"/>
            <w:vAlign w:val="bottom"/>
            <w:tcBorders>
              <w:top w:val="single" w:sz="8" w:color="0000EE"/>
              <w:bottom w:val="single" w:sz="8" w:color="0000EE"/>
            </w:tcBorders>
            <w:gridSpan w:val="4"/>
          </w:tcPr>
          <w:p>
            <w:pPr>
              <w:spacing w:after="0" w:line="223" w:lineRule="exact"/>
              <w:rPr>
                <w:rFonts w:ascii="Times New Roman" w:cs="Times New Roman" w:eastAsia="Times New Roman" w:hAnsi="Times New Roman"/>
                <w:sz w:val="22"/>
                <w:szCs w:val="22"/>
                <w:color w:val="0000EE"/>
                <w:w w:val="97"/>
              </w:rPr>
            </w:pPr>
            <w:hyperlink r:id="rId59">
              <w:r>
                <w:rPr>
                  <w:rFonts w:ascii="Times New Roman" w:cs="Times New Roman" w:eastAsia="Times New Roman" w:hAnsi="Times New Roman"/>
                  <w:sz w:val="22"/>
                  <w:szCs w:val="22"/>
                  <w:color w:val="0000EE"/>
                  <w:w w:val="97"/>
                </w:rPr>
                <w:t>Company’s Current Report on Form 8-K, filed with the SEC on April 23, 2019)</w:t>
              </w:r>
            </w:hyperlink>
          </w:p>
        </w:tc>
        <w:tc>
          <w:tcPr>
            <w:tcW w:w="520" w:type="dxa"/>
            <w:vAlign w:val="bottom"/>
            <w:tcBorders>
              <w:top w:val="single" w:sz="8" w:color="0000EE"/>
            </w:tcBorders>
            <w:gridSpan w:val="3"/>
          </w:tcPr>
          <w:p>
            <w:pPr>
              <w:spacing w:after="0"/>
              <w:rPr>
                <w:sz w:val="19"/>
                <w:szCs w:val="19"/>
                <w:color w:val="auto"/>
              </w:rPr>
            </w:pPr>
          </w:p>
        </w:tc>
        <w:tc>
          <w:tcPr>
            <w:tcW w:w="1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466"/>
        </w:trPr>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3"/>
          </w:tcPr>
          <w:p>
            <w:pPr>
              <w:spacing w:after="0"/>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Form of Purchase Contract (included with Exhibit 4.1) (incorporated by reference to</w:t>
              </w:r>
            </w:hyperlink>
          </w:p>
        </w:tc>
        <w:tc>
          <w:tcPr>
            <w:tcW w:w="2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80" w:type="dxa"/>
            <w:vAlign w:val="bottom"/>
            <w:gridSpan w:val="13"/>
          </w:tcPr>
          <w:p>
            <w:pPr>
              <w:spacing w:after="0" w:line="223" w:lineRule="exact"/>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Exhibit 4.3 to the Company’s Current Report on Form 8-K, filed with the SEC on April</w:t>
              </w:r>
            </w:hyperlink>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0000EE"/>
              <w:bottom w:val="single" w:sz="8" w:color="0000EE"/>
            </w:tcBorders>
          </w:tcPr>
          <w:p>
            <w:pPr>
              <w:spacing w:after="0" w:line="223" w:lineRule="exact"/>
              <w:rPr>
                <w:rFonts w:ascii="Times New Roman" w:cs="Times New Roman" w:eastAsia="Times New Roman" w:hAnsi="Times New Roman"/>
                <w:sz w:val="22"/>
                <w:szCs w:val="22"/>
                <w:color w:val="0000EE"/>
                <w:w w:val="94"/>
              </w:rPr>
            </w:pPr>
            <w:hyperlink r:id="rId59">
              <w:r>
                <w:rPr>
                  <w:rFonts w:ascii="Times New Roman" w:cs="Times New Roman" w:eastAsia="Times New Roman" w:hAnsi="Times New Roman"/>
                  <w:sz w:val="22"/>
                  <w:szCs w:val="22"/>
                  <w:color w:val="0000EE"/>
                  <w:w w:val="94"/>
                </w:rPr>
                <w:t>23, 2019)</w:t>
              </w:r>
            </w:hyperlink>
          </w:p>
        </w:tc>
        <w:tc>
          <w:tcPr>
            <w:tcW w:w="2440" w:type="dxa"/>
            <w:vAlign w:val="bottom"/>
            <w:tcBorders>
              <w:top w:val="single" w:sz="8" w:color="0000EE"/>
            </w:tcBorders>
          </w:tcPr>
          <w:p>
            <w:pPr>
              <w:spacing w:after="0"/>
              <w:rPr>
                <w:sz w:val="19"/>
                <w:szCs w:val="19"/>
                <w:color w:val="auto"/>
              </w:rPr>
            </w:pPr>
          </w:p>
        </w:tc>
        <w:tc>
          <w:tcPr>
            <w:tcW w:w="36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6"/>
        </w:trPr>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3"/>
          </w:tcPr>
          <w:p>
            <w:pPr>
              <w:spacing w:after="0"/>
              <w:rPr>
                <w:rFonts w:ascii="Times New Roman" w:cs="Times New Roman" w:eastAsia="Times New Roman" w:hAnsi="Times New Roman"/>
                <w:sz w:val="22"/>
                <w:szCs w:val="22"/>
                <w:color w:val="0000EE"/>
              </w:rPr>
            </w:pPr>
            <w:hyperlink r:id="rId60">
              <w:r>
                <w:rPr>
                  <w:rFonts w:ascii="Times New Roman" w:cs="Times New Roman" w:eastAsia="Times New Roman" w:hAnsi="Times New Roman"/>
                  <w:sz w:val="22"/>
                  <w:szCs w:val="22"/>
                  <w:color w:val="0000EE"/>
                </w:rPr>
                <w:t>Indenture, dated as of April 23, 2019, between Aqua America, Inc. and U.S. Bank N.A.,</w:t>
              </w:r>
            </w:hyperlink>
          </w:p>
        </w:tc>
        <w:tc>
          <w:tcPr>
            <w:tcW w:w="20" w:type="dxa"/>
            <w:vAlign w:val="bottom"/>
          </w:tcPr>
          <w:p>
            <w:pPr>
              <w:spacing w:after="0"/>
              <w:rPr>
                <w:sz w:val="24"/>
                <w:szCs w:val="24"/>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0" w:type="dxa"/>
            <w:vAlign w:val="bottom"/>
            <w:tcBorders>
              <w:top w:val="single" w:sz="8" w:color="0000EE"/>
            </w:tcBorders>
            <w:gridSpan w:val="10"/>
          </w:tcPr>
          <w:p>
            <w:pPr>
              <w:spacing w:after="0" w:line="223" w:lineRule="exact"/>
              <w:rPr>
                <w:rFonts w:ascii="Times New Roman" w:cs="Times New Roman" w:eastAsia="Times New Roman" w:hAnsi="Times New Roman"/>
                <w:sz w:val="22"/>
                <w:szCs w:val="22"/>
                <w:color w:val="0000EE"/>
              </w:rPr>
            </w:pPr>
            <w:hyperlink r:id="rId60">
              <w:r>
                <w:rPr>
                  <w:rFonts w:ascii="Times New Roman" w:cs="Times New Roman" w:eastAsia="Times New Roman" w:hAnsi="Times New Roman"/>
                  <w:sz w:val="22"/>
                  <w:szCs w:val="22"/>
                  <w:color w:val="0000EE"/>
                </w:rPr>
                <w:t>as trustee (included with Exhibit 4.1) (incorporated by reference to Exhibit 4.4 to the</w:t>
              </w:r>
            </w:hyperlink>
          </w:p>
        </w:tc>
        <w:tc>
          <w:tcPr>
            <w:tcW w:w="2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tcBorders>
              <w:top w:val="single" w:sz="8" w:color="0000EE"/>
            </w:tcBorders>
            <w:gridSpan w:val="6"/>
          </w:tcPr>
          <w:p>
            <w:pPr>
              <w:spacing w:after="0" w:line="223" w:lineRule="exact"/>
              <w:rPr>
                <w:rFonts w:ascii="Times New Roman" w:cs="Times New Roman" w:eastAsia="Times New Roman" w:hAnsi="Times New Roman"/>
                <w:sz w:val="22"/>
                <w:szCs w:val="22"/>
                <w:color w:val="0000EE"/>
              </w:rPr>
            </w:pPr>
            <w:hyperlink r:id="rId60">
              <w:r>
                <w:rPr>
                  <w:rFonts w:ascii="Times New Roman" w:cs="Times New Roman" w:eastAsia="Times New Roman" w:hAnsi="Times New Roman"/>
                  <w:sz w:val="22"/>
                  <w:szCs w:val="22"/>
                  <w:color w:val="0000EE"/>
                </w:rPr>
                <w:t>Company’s Current Report on Form 8-K, filed with the SEC on April 23, 2019)</w:t>
              </w:r>
            </w:hyperlink>
          </w:p>
        </w:tc>
        <w:tc>
          <w:tcPr>
            <w:tcW w:w="56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r>
      <w:tr>
        <w:trPr>
          <w:trHeight w:val="49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Borders>
              <w:top w:val="single" w:sz="8" w:color="0000EE"/>
            </w:tcBorders>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38</w:t>
            </w:r>
          </w:p>
        </w:tc>
        <w:tc>
          <w:tcPr>
            <w:tcW w:w="3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14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3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-38100</wp:posOffset>
            </wp:positionV>
            <wp:extent cx="342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900"/>
          </w:cols>
          <w:pgMar w:left="1140" w:top="112" w:right="8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3"/>
        </w:trPr>
        <w:tc>
          <w:tcPr>
            <w:tcW w:w="1980" w:type="dxa"/>
            <w:vAlign w:val="bottom"/>
            <w:gridSpan w:val="3"/>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709"/>
        </w:trPr>
        <w:tc>
          <w:tcPr>
            <w:tcW w:w="1540" w:type="dxa"/>
            <w:vAlign w:val="bottom"/>
            <w:tcBorders>
              <w:top w:val="single" w:sz="8" w:color="0000EE"/>
            </w:tcBorders>
            <w:gridSpan w:val="2"/>
          </w:tcPr>
          <w:p>
            <w:pPr>
              <w:ind w:left="120"/>
              <w:spacing w:after="0"/>
              <w:rPr>
                <w:sz w:val="20"/>
                <w:szCs w:val="20"/>
                <w:color w:val="auto"/>
              </w:rPr>
            </w:pPr>
            <w:r>
              <w:rPr>
                <w:rFonts w:ascii="Times New Roman" w:cs="Times New Roman" w:eastAsia="Times New Roman" w:hAnsi="Times New Roman"/>
                <w:sz w:val="22"/>
                <w:szCs w:val="22"/>
                <w:color w:val="auto"/>
              </w:rPr>
              <w:t>4.5</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r:id="rId63">
              <w:r>
                <w:rPr>
                  <w:rFonts w:ascii="Times New Roman" w:cs="Times New Roman" w:eastAsia="Times New Roman" w:hAnsi="Times New Roman"/>
                  <w:sz w:val="22"/>
                  <w:szCs w:val="22"/>
                  <w:color w:val="0000EE"/>
                </w:rPr>
                <w:t>First Supplemental Indenture, dated as of April 23, 2019, between Aqua America, Inc.</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80" w:type="dxa"/>
            <w:vAlign w:val="bottom"/>
            <w:tcBorders>
              <w:top w:val="single" w:sz="8" w:color="0000EE"/>
            </w:tcBorders>
            <w:gridSpan w:val="12"/>
          </w:tcPr>
          <w:p>
            <w:pPr>
              <w:spacing w:after="0" w:line="223" w:lineRule="exact"/>
              <w:rPr>
                <w:rFonts w:ascii="Times New Roman" w:cs="Times New Roman" w:eastAsia="Times New Roman" w:hAnsi="Times New Roman"/>
                <w:sz w:val="22"/>
                <w:szCs w:val="22"/>
                <w:color w:val="0000EE"/>
              </w:rPr>
            </w:pPr>
            <w:hyperlink r:id="rId63">
              <w:r>
                <w:rPr>
                  <w:rFonts w:ascii="Times New Roman" w:cs="Times New Roman" w:eastAsia="Times New Roman" w:hAnsi="Times New Roman"/>
                  <w:sz w:val="22"/>
                  <w:szCs w:val="22"/>
                  <w:color w:val="0000EE"/>
                </w:rPr>
                <w:t>and U.S. Bank N.A., as trustee (incorporated by reference to Exhibit 4.5 to the</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80" w:type="dxa"/>
            <w:vAlign w:val="bottom"/>
            <w:tcBorders>
              <w:top w:val="single" w:sz="8" w:color="0000EE"/>
              <w:bottom w:val="single" w:sz="8" w:color="0000EE"/>
            </w:tcBorders>
            <w:gridSpan w:val="6"/>
          </w:tcPr>
          <w:p>
            <w:pPr>
              <w:spacing w:after="0" w:line="223" w:lineRule="exact"/>
              <w:rPr>
                <w:rFonts w:ascii="Times New Roman" w:cs="Times New Roman" w:eastAsia="Times New Roman" w:hAnsi="Times New Roman"/>
                <w:sz w:val="22"/>
                <w:szCs w:val="22"/>
                <w:color w:val="0000EE"/>
                <w:w w:val="96"/>
              </w:rPr>
            </w:pPr>
            <w:hyperlink r:id="rId63">
              <w:r>
                <w:rPr>
                  <w:rFonts w:ascii="Times New Roman" w:cs="Times New Roman" w:eastAsia="Times New Roman" w:hAnsi="Times New Roman"/>
                  <w:sz w:val="22"/>
                  <w:szCs w:val="22"/>
                  <w:color w:val="0000EE"/>
                  <w:w w:val="96"/>
                </w:rPr>
                <w:t>Company’s Current Report on Form 8-K, filed with the SEC on April 23, 2019)</w:t>
              </w:r>
            </w:hyperlink>
          </w:p>
        </w:tc>
        <w:tc>
          <w:tcPr>
            <w:tcW w:w="12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4.6</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r:id="rId64">
              <w:r>
                <w:rPr>
                  <w:rFonts w:ascii="Times New Roman" w:cs="Times New Roman" w:eastAsia="Times New Roman" w:hAnsi="Times New Roman"/>
                  <w:sz w:val="22"/>
                  <w:szCs w:val="22"/>
                  <w:color w:val="0000EE"/>
                </w:rPr>
                <w:t>Second Supplemental Indenture, dated as of April 23, 2019, between Aqua America, Inc.</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720" w:type="dxa"/>
            <w:vAlign w:val="bottom"/>
            <w:tcBorders>
              <w:top w:val="single" w:sz="8" w:color="0000EE"/>
            </w:tcBorders>
            <w:gridSpan w:val="18"/>
          </w:tcPr>
          <w:p>
            <w:pPr>
              <w:spacing w:after="0" w:line="223" w:lineRule="exact"/>
              <w:rPr>
                <w:rFonts w:ascii="Times New Roman" w:cs="Times New Roman" w:eastAsia="Times New Roman" w:hAnsi="Times New Roman"/>
                <w:sz w:val="22"/>
                <w:szCs w:val="22"/>
                <w:color w:val="0000EE"/>
              </w:rPr>
            </w:pPr>
            <w:hyperlink r:id="rId64">
              <w:r>
                <w:rPr>
                  <w:rFonts w:ascii="Times New Roman" w:cs="Times New Roman" w:eastAsia="Times New Roman" w:hAnsi="Times New Roman"/>
                  <w:sz w:val="22"/>
                  <w:szCs w:val="22"/>
                  <w:color w:val="0000EE"/>
                </w:rPr>
                <w:t>and U.S. Bank N.A., as trustee (incorporated by reference to Exhibit 4.6 to the</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80" w:type="dxa"/>
            <w:vAlign w:val="bottom"/>
            <w:tcBorders>
              <w:top w:val="single" w:sz="8" w:color="0000EE"/>
              <w:bottom w:val="single" w:sz="8" w:color="0000EE"/>
            </w:tcBorders>
            <w:gridSpan w:val="6"/>
          </w:tcPr>
          <w:p>
            <w:pPr>
              <w:spacing w:after="0" w:line="223" w:lineRule="exact"/>
              <w:rPr>
                <w:rFonts w:ascii="Times New Roman" w:cs="Times New Roman" w:eastAsia="Times New Roman" w:hAnsi="Times New Roman"/>
                <w:sz w:val="22"/>
                <w:szCs w:val="22"/>
                <w:color w:val="0000EE"/>
                <w:w w:val="96"/>
              </w:rPr>
            </w:pPr>
            <w:hyperlink r:id="rId64">
              <w:r>
                <w:rPr>
                  <w:rFonts w:ascii="Times New Roman" w:cs="Times New Roman" w:eastAsia="Times New Roman" w:hAnsi="Times New Roman"/>
                  <w:sz w:val="22"/>
                  <w:szCs w:val="22"/>
                  <w:color w:val="0000EE"/>
                  <w:w w:val="96"/>
                </w:rPr>
                <w:t>Company’s Current Report on Form 8-K, filed with the SEC on April 23, 2019)</w:t>
              </w:r>
            </w:hyperlink>
          </w:p>
        </w:tc>
        <w:tc>
          <w:tcPr>
            <w:tcW w:w="12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4.7</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r:id="rId64">
              <w:r>
                <w:rPr>
                  <w:rFonts w:ascii="Times New Roman" w:cs="Times New Roman" w:eastAsia="Times New Roman" w:hAnsi="Times New Roman"/>
                  <w:sz w:val="22"/>
                  <w:szCs w:val="22"/>
                  <w:color w:val="0000EE"/>
                </w:rPr>
                <w:t>Form of Amortizing Note (included with Exhibit 4.6) (incorporated by reference to</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0" w:type="dxa"/>
            <w:vAlign w:val="bottom"/>
            <w:tcBorders>
              <w:top w:val="single" w:sz="8" w:color="0000EE"/>
            </w:tcBorders>
            <w:gridSpan w:val="10"/>
          </w:tcPr>
          <w:p>
            <w:pPr>
              <w:spacing w:after="0" w:line="223" w:lineRule="exact"/>
              <w:rPr>
                <w:rFonts w:ascii="Times New Roman" w:cs="Times New Roman" w:eastAsia="Times New Roman" w:hAnsi="Times New Roman"/>
                <w:sz w:val="22"/>
                <w:szCs w:val="22"/>
                <w:color w:val="0000EE"/>
                <w:w w:val="99"/>
              </w:rPr>
            </w:pPr>
            <w:hyperlink r:id="rId64">
              <w:r>
                <w:rPr>
                  <w:rFonts w:ascii="Times New Roman" w:cs="Times New Roman" w:eastAsia="Times New Roman" w:hAnsi="Times New Roman"/>
                  <w:sz w:val="22"/>
                  <w:szCs w:val="22"/>
                  <w:color w:val="0000EE"/>
                  <w:w w:val="99"/>
                </w:rPr>
                <w:t>Exhibit 4.7 to the Company’s Current Report on Form 8-K, filed with the SEC on</w:t>
              </w:r>
            </w:hyperlink>
          </w:p>
        </w:tc>
        <w:tc>
          <w:tcPr>
            <w:tcW w:w="720" w:type="dxa"/>
            <w:vAlign w:val="bottom"/>
            <w:gridSpan w:val="10"/>
          </w:tcPr>
          <w:p>
            <w:pPr>
              <w:spacing w:after="0" w:line="223" w:lineRule="exact"/>
              <w:rPr>
                <w:rFonts w:ascii="Times New Roman" w:cs="Times New Roman" w:eastAsia="Times New Roman" w:hAnsi="Times New Roman"/>
                <w:sz w:val="22"/>
                <w:szCs w:val="22"/>
                <w:color w:val="0000EE"/>
              </w:rPr>
            </w:pPr>
            <w:hyperlink r:id="rId64">
              <w:r>
                <w:rPr>
                  <w:rFonts w:ascii="Times New Roman" w:cs="Times New Roman" w:eastAsia="Times New Roman" w:hAnsi="Times New Roman"/>
                  <w:sz w:val="22"/>
                  <w:szCs w:val="22"/>
                  <w:color w:val="0000EE"/>
                </w:rPr>
                <w:t>April</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top w:val="single" w:sz="8" w:color="0000EE"/>
              <w:bottom w:val="single" w:sz="8" w:color="0000EE"/>
            </w:tcBorders>
          </w:tcPr>
          <w:p>
            <w:pPr>
              <w:spacing w:after="0" w:line="223" w:lineRule="exact"/>
              <w:rPr>
                <w:rFonts w:ascii="Times New Roman" w:cs="Times New Roman" w:eastAsia="Times New Roman" w:hAnsi="Times New Roman"/>
                <w:sz w:val="22"/>
                <w:szCs w:val="22"/>
                <w:color w:val="0000EE"/>
                <w:w w:val="97"/>
              </w:rPr>
            </w:pPr>
            <w:hyperlink r:id="rId64">
              <w:r>
                <w:rPr>
                  <w:rFonts w:ascii="Times New Roman" w:cs="Times New Roman" w:eastAsia="Times New Roman" w:hAnsi="Times New Roman"/>
                  <w:sz w:val="22"/>
                  <w:szCs w:val="22"/>
                  <w:color w:val="0000EE"/>
                  <w:w w:val="97"/>
                </w:rPr>
                <w:t>23, 2019)</w:t>
              </w:r>
            </w:hyperlink>
          </w:p>
        </w:tc>
        <w:tc>
          <w:tcPr>
            <w:tcW w:w="12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4.8</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r:id="rId65">
              <w:r>
                <w:rPr>
                  <w:rFonts w:ascii="Times New Roman" w:cs="Times New Roman" w:eastAsia="Times New Roman" w:hAnsi="Times New Roman"/>
                  <w:sz w:val="22"/>
                  <w:szCs w:val="22"/>
                  <w:color w:val="0000EE"/>
                </w:rPr>
                <w:t>Third Supplemental Indenture, dated as of April 26, 2019, between Aqua America, Inc.</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80" w:type="dxa"/>
            <w:vAlign w:val="bottom"/>
            <w:tcBorders>
              <w:top w:val="single" w:sz="8" w:color="0000EE"/>
            </w:tcBorders>
            <w:gridSpan w:val="14"/>
          </w:tcPr>
          <w:p>
            <w:pPr>
              <w:spacing w:after="0" w:line="223" w:lineRule="exact"/>
              <w:rPr>
                <w:rFonts w:ascii="Times New Roman" w:cs="Times New Roman" w:eastAsia="Times New Roman" w:hAnsi="Times New Roman"/>
                <w:sz w:val="22"/>
                <w:szCs w:val="22"/>
                <w:color w:val="0000EE"/>
              </w:rPr>
            </w:pPr>
            <w:hyperlink r:id="rId65">
              <w:r>
                <w:rPr>
                  <w:rFonts w:ascii="Times New Roman" w:cs="Times New Roman" w:eastAsia="Times New Roman" w:hAnsi="Times New Roman"/>
                  <w:sz w:val="22"/>
                  <w:szCs w:val="22"/>
                  <w:color w:val="0000EE"/>
                </w:rPr>
                <w:t>and U.S. Bank N.A., as trustee (incorporated by reference to Exhibit 4.3 to the</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80" w:type="dxa"/>
            <w:vAlign w:val="bottom"/>
            <w:tcBorders>
              <w:top w:val="single" w:sz="8" w:color="0000EE"/>
              <w:bottom w:val="single" w:sz="8" w:color="0000EE"/>
            </w:tcBorders>
            <w:gridSpan w:val="6"/>
          </w:tcPr>
          <w:p>
            <w:pPr>
              <w:spacing w:after="0" w:line="223" w:lineRule="exact"/>
              <w:rPr>
                <w:rFonts w:ascii="Times New Roman" w:cs="Times New Roman" w:eastAsia="Times New Roman" w:hAnsi="Times New Roman"/>
                <w:sz w:val="22"/>
                <w:szCs w:val="22"/>
                <w:color w:val="0000EE"/>
                <w:w w:val="96"/>
              </w:rPr>
            </w:pPr>
            <w:hyperlink r:id="rId65">
              <w:r>
                <w:rPr>
                  <w:rFonts w:ascii="Times New Roman" w:cs="Times New Roman" w:eastAsia="Times New Roman" w:hAnsi="Times New Roman"/>
                  <w:sz w:val="22"/>
                  <w:szCs w:val="22"/>
                  <w:color w:val="0000EE"/>
                  <w:w w:val="96"/>
                </w:rPr>
                <w:t>Company’s Current Report on Form 8-K, filed with the SEC on April 26, 2019)</w:t>
              </w:r>
            </w:hyperlink>
          </w:p>
        </w:tc>
        <w:tc>
          <w:tcPr>
            <w:tcW w:w="120" w:type="dxa"/>
            <w:vAlign w:val="bottom"/>
            <w:tcBorders>
              <w:bottom w:val="single" w:sz="8" w:color="0000EE"/>
            </w:tcBorders>
          </w:tcPr>
          <w:p>
            <w:pPr>
              <w:spacing w:after="0"/>
              <w:rPr>
                <w:sz w:val="19"/>
                <w:szCs w:val="19"/>
                <w:color w:val="auto"/>
              </w:rPr>
            </w:pPr>
          </w:p>
        </w:tc>
        <w:tc>
          <w:tcPr>
            <w:tcW w:w="2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4.9</w:t>
            </w:r>
          </w:p>
        </w:tc>
        <w:tc>
          <w:tcPr>
            <w:tcW w:w="440" w:type="dxa"/>
            <w:vAlign w:val="bottom"/>
          </w:tcPr>
          <w:p>
            <w:pPr>
              <w:spacing w:after="0"/>
              <w:rPr>
                <w:sz w:val="24"/>
                <w:szCs w:val="24"/>
                <w:color w:val="auto"/>
              </w:rPr>
            </w:pP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0000EE"/>
              </w:rPr>
              <w:t>Form of Global Note for the 2029 Notes (included in Exhibit 4.3) (incorporated by</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6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color w:val="0000EE"/>
                <w:w w:val="98"/>
              </w:rPr>
              <w:t>reference to Exhibit 4.4 to the Company’s Current Report on Form 8-K, filed with</w:t>
            </w:r>
          </w:p>
        </w:tc>
        <w:tc>
          <w:tcPr>
            <w:tcW w:w="760" w:type="dxa"/>
            <w:vAlign w:val="bottom"/>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the</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2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SEC on April 26, 2019)</w:t>
            </w:r>
          </w:p>
        </w:tc>
        <w:tc>
          <w:tcPr>
            <w:tcW w:w="1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1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4.10</w:t>
            </w:r>
          </w:p>
        </w:tc>
        <w:tc>
          <w:tcPr>
            <w:tcW w:w="440" w:type="dxa"/>
            <w:vAlign w:val="bottom"/>
          </w:tcPr>
          <w:p>
            <w:pPr>
              <w:spacing w:after="0"/>
              <w:rPr>
                <w:sz w:val="24"/>
                <w:szCs w:val="24"/>
                <w:color w:val="auto"/>
              </w:rPr>
            </w:pP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0000EE"/>
              </w:rPr>
              <w:t>Form of Global Note for the 2049 Notes (included in Exhibit 4.3) (incorporated by</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6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color w:val="0000EE"/>
                <w:w w:val="98"/>
              </w:rPr>
              <w:t>reference to Exhibit 4.5 to the Company’s Current Report on Form 8-K, filed with</w:t>
            </w:r>
          </w:p>
        </w:tc>
        <w:tc>
          <w:tcPr>
            <w:tcW w:w="760" w:type="dxa"/>
            <w:vAlign w:val="bottom"/>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the</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2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SEC on April 26, 2019)</w:t>
            </w:r>
          </w:p>
        </w:tc>
        <w:tc>
          <w:tcPr>
            <w:tcW w:w="1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1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10.1</w:t>
            </w:r>
          </w:p>
        </w:tc>
        <w:tc>
          <w:tcPr>
            <w:tcW w:w="44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Times New Roman" w:cs="Times New Roman" w:eastAsia="Times New Roman" w:hAnsi="Times New Roman"/>
                <w:sz w:val="22"/>
                <w:szCs w:val="22"/>
                <w:color w:val="0000EE"/>
                <w:w w:val="98"/>
              </w:rPr>
            </w:pPr>
            <w:hyperlink r:id="rId66">
              <w:r>
                <w:rPr>
                  <w:rFonts w:ascii="Times New Roman" w:cs="Times New Roman" w:eastAsia="Times New Roman" w:hAnsi="Times New Roman"/>
                  <w:sz w:val="22"/>
                  <w:szCs w:val="22"/>
                  <w:color w:val="0000EE"/>
                  <w:w w:val="98"/>
                </w:rPr>
                <w:t>Stock Purchase Agreement, dated as of March 29, 2019, by and between Aqua America,</w:t>
              </w:r>
            </w:hyperlink>
          </w:p>
        </w:tc>
        <w:tc>
          <w:tcPr>
            <w:tcW w:w="240" w:type="dxa"/>
            <w:vAlign w:val="bottom"/>
            <w:gridSpan w:val="3"/>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920" w:type="dxa"/>
            <w:vAlign w:val="bottom"/>
            <w:gridSpan w:val="20"/>
          </w:tcPr>
          <w:p>
            <w:pPr>
              <w:spacing w:after="0" w:line="223" w:lineRule="exact"/>
              <w:rPr>
                <w:rFonts w:ascii="Times New Roman" w:cs="Times New Roman" w:eastAsia="Times New Roman" w:hAnsi="Times New Roman"/>
                <w:sz w:val="22"/>
                <w:szCs w:val="22"/>
                <w:color w:val="0000EE"/>
              </w:rPr>
            </w:pPr>
            <w:hyperlink r:id="rId66">
              <w:r>
                <w:rPr>
                  <w:rFonts w:ascii="Times New Roman" w:cs="Times New Roman" w:eastAsia="Times New Roman" w:hAnsi="Times New Roman"/>
                  <w:sz w:val="22"/>
                  <w:szCs w:val="22"/>
                  <w:color w:val="0000EE"/>
                </w:rPr>
                <w:t>Inc. and Canada Pension Plan Investment Board (incorporated by reference to Exhibit 1.1</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tcBorders>
              <w:top w:val="single" w:sz="8" w:color="0000EE"/>
              <w:bottom w:val="single" w:sz="8" w:color="0000EE"/>
            </w:tcBorders>
            <w:gridSpan w:val="13"/>
          </w:tcPr>
          <w:p>
            <w:pPr>
              <w:spacing w:after="0" w:line="223" w:lineRule="exact"/>
              <w:rPr>
                <w:rFonts w:ascii="Times New Roman" w:cs="Times New Roman" w:eastAsia="Times New Roman" w:hAnsi="Times New Roman"/>
                <w:sz w:val="22"/>
                <w:szCs w:val="22"/>
                <w:color w:val="0000EE"/>
                <w:w w:val="97"/>
              </w:rPr>
            </w:pPr>
            <w:hyperlink r:id="rId66">
              <w:r>
                <w:rPr>
                  <w:rFonts w:ascii="Times New Roman" w:cs="Times New Roman" w:eastAsia="Times New Roman" w:hAnsi="Times New Roman"/>
                  <w:sz w:val="22"/>
                  <w:szCs w:val="22"/>
                  <w:color w:val="0000EE"/>
                  <w:w w:val="97"/>
                </w:rPr>
                <w:t>to the Company’s Current Report on Form 8-K, filed with the SEC on March 29, 2019)</w:t>
              </w:r>
            </w:hyperlink>
          </w:p>
        </w:tc>
        <w:tc>
          <w:tcPr>
            <w:tcW w:w="200" w:type="dxa"/>
            <w:vAlign w:val="bottom"/>
            <w:tcBorders>
              <w:top w:val="single" w:sz="8" w:color="0000EE"/>
            </w:tcBorders>
            <w:gridSpan w:val="6"/>
          </w:tcPr>
          <w:p>
            <w:pPr>
              <w:spacing w:after="0"/>
              <w:rPr>
                <w:sz w:val="19"/>
                <w:szCs w:val="19"/>
                <w:color w:val="auto"/>
              </w:rPr>
            </w:pPr>
          </w:p>
        </w:tc>
        <w:tc>
          <w:tcPr>
            <w:tcW w:w="160" w:type="dxa"/>
            <w:vAlign w:val="bottom"/>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31.1</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w:anchor="page43">
              <w:r>
                <w:rPr>
                  <w:rFonts w:ascii="Times New Roman" w:cs="Times New Roman" w:eastAsia="Times New Roman" w:hAnsi="Times New Roman"/>
                  <w:sz w:val="22"/>
                  <w:szCs w:val="22"/>
                  <w:color w:val="0000EE"/>
                </w:rPr>
                <w:t>Certification of Chief Executive Officer, pursuant to Rule 13a-14(a) under the Securities</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Borders>
              <w:top w:val="single" w:sz="8" w:color="0000EE"/>
              <w:bottom w:val="single" w:sz="8" w:color="0000EE"/>
            </w:tcBorders>
            <w:gridSpan w:val="3"/>
          </w:tcPr>
          <w:p>
            <w:pPr>
              <w:spacing w:after="0" w:line="223" w:lineRule="exact"/>
              <w:rPr>
                <w:rFonts w:ascii="Times New Roman" w:cs="Times New Roman" w:eastAsia="Times New Roman" w:hAnsi="Times New Roman"/>
                <w:sz w:val="22"/>
                <w:szCs w:val="22"/>
                <w:color w:val="0000EE"/>
                <w:w w:val="98"/>
              </w:rPr>
            </w:pPr>
            <w:hyperlink w:anchor="page43">
              <w:r>
                <w:rPr>
                  <w:rFonts w:ascii="Times New Roman" w:cs="Times New Roman" w:eastAsia="Times New Roman" w:hAnsi="Times New Roman"/>
                  <w:sz w:val="22"/>
                  <w:szCs w:val="22"/>
                  <w:color w:val="0000EE"/>
                  <w:w w:val="98"/>
                </w:rPr>
                <w:t>and Exchange Act of 1934</w:t>
              </w:r>
            </w:hyperlink>
          </w:p>
        </w:tc>
        <w:tc>
          <w:tcPr>
            <w:tcW w:w="5340" w:type="dxa"/>
            <w:vAlign w:val="bottom"/>
            <w:tcBorders>
              <w:top w:val="single" w:sz="8" w:color="0000EE"/>
            </w:tcBorders>
            <w:gridSpan w:val="13"/>
          </w:tcPr>
          <w:p>
            <w:pPr>
              <w:spacing w:after="0"/>
              <w:rPr>
                <w:sz w:val="19"/>
                <w:szCs w:val="19"/>
                <w:color w:val="auto"/>
              </w:rPr>
            </w:pPr>
          </w:p>
        </w:tc>
        <w:tc>
          <w:tcPr>
            <w:tcW w:w="260" w:type="dxa"/>
            <w:vAlign w:val="bottom"/>
            <w:gridSpan w:val="4"/>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31.2</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w:anchor="page44">
              <w:r>
                <w:rPr>
                  <w:rFonts w:ascii="Times New Roman" w:cs="Times New Roman" w:eastAsia="Times New Roman" w:hAnsi="Times New Roman"/>
                  <w:sz w:val="22"/>
                  <w:szCs w:val="22"/>
                  <w:color w:val="0000EE"/>
                </w:rPr>
                <w:t>Certification of Chief Financial Officer, pursuant to Rule 13a-14(a) under the Securities</w:t>
              </w:r>
            </w:hyperlink>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Borders>
              <w:top w:val="single" w:sz="8" w:color="0000EE"/>
              <w:bottom w:val="single" w:sz="8" w:color="0000EE"/>
            </w:tcBorders>
            <w:gridSpan w:val="3"/>
          </w:tcPr>
          <w:p>
            <w:pPr>
              <w:spacing w:after="0" w:line="223" w:lineRule="exact"/>
              <w:rPr>
                <w:rFonts w:ascii="Times New Roman" w:cs="Times New Roman" w:eastAsia="Times New Roman" w:hAnsi="Times New Roman"/>
                <w:sz w:val="22"/>
                <w:szCs w:val="22"/>
                <w:color w:val="0000EE"/>
                <w:w w:val="98"/>
              </w:rPr>
            </w:pPr>
            <w:hyperlink w:anchor="page44">
              <w:r>
                <w:rPr>
                  <w:rFonts w:ascii="Times New Roman" w:cs="Times New Roman" w:eastAsia="Times New Roman" w:hAnsi="Times New Roman"/>
                  <w:sz w:val="22"/>
                  <w:szCs w:val="22"/>
                  <w:color w:val="0000EE"/>
                  <w:w w:val="98"/>
                </w:rPr>
                <w:t>and Exchange Act of 1934</w:t>
              </w:r>
            </w:hyperlink>
          </w:p>
        </w:tc>
        <w:tc>
          <w:tcPr>
            <w:tcW w:w="5280" w:type="dxa"/>
            <w:vAlign w:val="bottom"/>
            <w:tcBorders>
              <w:top w:val="single" w:sz="8" w:color="0000EE"/>
            </w:tcBorders>
            <w:gridSpan w:val="12"/>
          </w:tcPr>
          <w:p>
            <w:pPr>
              <w:spacing w:after="0"/>
              <w:rPr>
                <w:sz w:val="19"/>
                <w:szCs w:val="19"/>
                <w:color w:val="auto"/>
              </w:rPr>
            </w:pPr>
          </w:p>
        </w:tc>
        <w:tc>
          <w:tcPr>
            <w:tcW w:w="320" w:type="dxa"/>
            <w:vAlign w:val="bottom"/>
            <w:gridSpan w:val="5"/>
          </w:tcPr>
          <w:p>
            <w:pPr>
              <w:spacing w:after="0"/>
              <w:rPr>
                <w:sz w:val="19"/>
                <w:szCs w:val="19"/>
                <w:color w:val="auto"/>
              </w:rPr>
            </w:pPr>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32.1</w:t>
            </w:r>
          </w:p>
        </w:tc>
        <w:tc>
          <w:tcPr>
            <w:tcW w:w="440" w:type="dxa"/>
            <w:vAlign w:val="bottom"/>
          </w:tcPr>
          <w:p>
            <w:pPr>
              <w:spacing w:after="0"/>
              <w:rPr>
                <w:sz w:val="24"/>
                <w:szCs w:val="24"/>
                <w:color w:val="auto"/>
              </w:rPr>
            </w:pPr>
          </w:p>
        </w:tc>
        <w:tc>
          <w:tcPr>
            <w:tcW w:w="7920" w:type="dxa"/>
            <w:vAlign w:val="bottom"/>
            <w:gridSpan w:val="20"/>
          </w:tcPr>
          <w:p>
            <w:pPr>
              <w:spacing w:after="0"/>
              <w:rPr>
                <w:rFonts w:ascii="Times New Roman" w:cs="Times New Roman" w:eastAsia="Times New Roman" w:hAnsi="Times New Roman"/>
                <w:sz w:val="22"/>
                <w:szCs w:val="22"/>
                <w:color w:val="0000EE"/>
              </w:rPr>
            </w:pPr>
            <w:hyperlink w:anchor="page45">
              <w:r>
                <w:rPr>
                  <w:rFonts w:ascii="Times New Roman" w:cs="Times New Roman" w:eastAsia="Times New Roman" w:hAnsi="Times New Roman"/>
                  <w:sz w:val="22"/>
                  <w:szCs w:val="22"/>
                  <w:color w:val="0000EE"/>
                </w:rPr>
                <w:t>Certification of Chief Executive Officer, pursuant to 18 U.S.C. Section 1350</w:t>
              </w:r>
            </w:hyperlink>
          </w:p>
        </w:tc>
      </w:tr>
      <w:tr>
        <w:trPr>
          <w:trHeight w:val="466"/>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32.2</w:t>
            </w:r>
          </w:p>
        </w:tc>
        <w:tc>
          <w:tcPr>
            <w:tcW w:w="440" w:type="dxa"/>
            <w:vAlign w:val="bottom"/>
          </w:tcPr>
          <w:p>
            <w:pPr>
              <w:spacing w:after="0"/>
              <w:rPr>
                <w:sz w:val="24"/>
                <w:szCs w:val="24"/>
                <w:color w:val="auto"/>
              </w:rPr>
            </w:pPr>
          </w:p>
        </w:tc>
        <w:tc>
          <w:tcPr>
            <w:tcW w:w="6620" w:type="dxa"/>
            <w:vAlign w:val="bottom"/>
            <w:tcBorders>
              <w:top w:val="single" w:sz="8" w:color="0000EE"/>
            </w:tcBorders>
            <w:gridSpan w:val="5"/>
          </w:tcPr>
          <w:p>
            <w:pPr>
              <w:spacing w:after="0"/>
              <w:rPr>
                <w:rFonts w:ascii="Times New Roman" w:cs="Times New Roman" w:eastAsia="Times New Roman" w:hAnsi="Times New Roman"/>
                <w:sz w:val="22"/>
                <w:szCs w:val="22"/>
                <w:color w:val="0000EE"/>
                <w:w w:val="98"/>
              </w:rPr>
            </w:pPr>
            <w:hyperlink w:anchor="page46">
              <w:r>
                <w:rPr>
                  <w:rFonts w:ascii="Times New Roman" w:cs="Times New Roman" w:eastAsia="Times New Roman" w:hAnsi="Times New Roman"/>
                  <w:sz w:val="22"/>
                  <w:szCs w:val="22"/>
                  <w:color w:val="0000EE"/>
                  <w:w w:val="98"/>
                </w:rPr>
                <w:t>Certification of Chief Financial Officer, pursuant to 18 U.S.C. Section 1350</w:t>
              </w:r>
            </w:hyperlink>
          </w:p>
        </w:tc>
        <w:tc>
          <w:tcPr>
            <w:tcW w:w="1300" w:type="dxa"/>
            <w:vAlign w:val="bottom"/>
            <w:gridSpan w:val="15"/>
          </w:tcPr>
          <w:p>
            <w:pPr>
              <w:spacing w:after="0"/>
              <w:rPr>
                <w:sz w:val="24"/>
                <w:szCs w:val="24"/>
                <w:color w:val="auto"/>
              </w:rPr>
            </w:pPr>
          </w:p>
        </w:tc>
      </w:tr>
      <w:tr>
        <w:trPr>
          <w:trHeight w:val="519"/>
        </w:trPr>
        <w:tc>
          <w:tcPr>
            <w:tcW w:w="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101.INS</w:t>
            </w:r>
          </w:p>
        </w:tc>
        <w:tc>
          <w:tcPr>
            <w:tcW w:w="65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auto"/>
              </w:rPr>
              <w:t>XBRL Instance Document</w:t>
            </w:r>
          </w:p>
        </w:tc>
        <w:tc>
          <w:tcPr>
            <w:tcW w:w="1360" w:type="dxa"/>
            <w:vAlign w:val="bottom"/>
            <w:gridSpan w:val="16"/>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101.SCH</w:t>
            </w: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XBRL Taxonomy Extension Schema Document</w:t>
            </w:r>
          </w:p>
        </w:tc>
      </w:tr>
      <w:tr>
        <w:trPr>
          <w:trHeight w:val="486"/>
        </w:trPr>
        <w:tc>
          <w:tcPr>
            <w:tcW w:w="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101.CAL</w:t>
            </w: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XBRL Taxonomy Extension Calculation Linkbase Document</w:t>
            </w:r>
          </w:p>
        </w:tc>
      </w:tr>
      <w:tr>
        <w:trPr>
          <w:trHeight w:val="486"/>
        </w:trPr>
        <w:tc>
          <w:tcPr>
            <w:tcW w:w="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101.DEF</w:t>
            </w: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XBRL Taxonomy Extension Definition Linkbase Document</w:t>
            </w:r>
          </w:p>
        </w:tc>
      </w:tr>
      <w:tr>
        <w:trPr>
          <w:trHeight w:val="486"/>
        </w:trPr>
        <w:tc>
          <w:tcPr>
            <w:tcW w:w="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101.LAB</w:t>
            </w: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XBRL Taxonomy Extension Label Linkbase Document</w:t>
            </w:r>
          </w:p>
        </w:tc>
      </w:tr>
      <w:tr>
        <w:trPr>
          <w:trHeight w:val="486"/>
        </w:trPr>
        <w:tc>
          <w:tcPr>
            <w:tcW w:w="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101.PRES</w:t>
            </w:r>
          </w:p>
        </w:tc>
        <w:tc>
          <w:tcPr>
            <w:tcW w:w="792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XBRL Taxonomy Extension Presentation Linkbase Document</w:t>
            </w:r>
          </w:p>
        </w:tc>
      </w:tr>
      <w:tr>
        <w:trPr>
          <w:trHeight w:val="45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4"/>
          </w:tcPr>
          <w:p>
            <w:pPr>
              <w:ind w:left="2860"/>
              <w:spacing w:after="0"/>
              <w:rPr>
                <w:sz w:val="20"/>
                <w:szCs w:val="20"/>
                <w:color w:val="auto"/>
              </w:rPr>
            </w:pPr>
            <w:r>
              <w:rPr>
                <w:rFonts w:ascii="Times New Roman" w:cs="Times New Roman" w:eastAsia="Times New Roman" w:hAnsi="Times New Roman"/>
                <w:sz w:val="22"/>
                <w:szCs w:val="22"/>
                <w:color w:val="auto"/>
              </w:rPr>
              <w:t>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6"/>
        </w:trPr>
        <w:tc>
          <w:tcPr>
            <w:tcW w:w="20" w:type="dxa"/>
            <w:vAlign w:val="bottom"/>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-38100</wp:posOffset>
            </wp:positionV>
            <wp:extent cx="342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900"/>
          </w:cols>
          <w:pgMar w:left="1140" w:top="89" w:right="85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1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3, 2019</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-3175</wp:posOffset>
            </wp:positionV>
            <wp:extent cx="2735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1"/>
          <w:szCs w:val="21"/>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18415</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Christopher H. Franklin</w:t>
      </w:r>
    </w:p>
    <w:p>
      <w:pPr>
        <w:ind w:left="5680"/>
        <w:spacing w:after="0" w:line="230"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18415</wp:posOffset>
            </wp:positionV>
            <wp:extent cx="2735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Daniel J. Schuller</w:t>
      </w:r>
    </w:p>
    <w:p>
      <w:pPr>
        <w:ind w:left="5680"/>
        <w:spacing w:after="0" w:line="230"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63030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760"/>
          </w:cols>
          <w:pgMar w:left="1140" w:top="112"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116" w:lineRule="exact"/>
        <w:rPr>
          <w:sz w:val="20"/>
          <w:szCs w:val="20"/>
          <w:color w:val="auto"/>
        </w:rPr>
      </w:pPr>
    </w:p>
    <w:p>
      <w:pPr>
        <w:ind w:left="204"/>
        <w:spacing w:after="0"/>
        <w:rPr>
          <w:sz w:val="20"/>
          <w:szCs w:val="20"/>
          <w:color w:val="auto"/>
        </w:rPr>
      </w:pPr>
      <w:r>
        <w:rPr>
          <w:rFonts w:ascii="Times New Roman" w:cs="Times New Roman" w:eastAsia="Times New Roman" w:hAnsi="Times New Roman"/>
          <w:sz w:val="20"/>
          <w:szCs w:val="20"/>
          <w:color w:val="auto"/>
        </w:rPr>
        <w:t>CERTIFICATION OF CHIEF EXECUTIVE OFFICER, PURSUANT TO RULE 13A-14(A) UNDER THE SECURITIES</w:t>
      </w:r>
    </w:p>
    <w:p>
      <w:pPr>
        <w:jc w:val="center"/>
        <w:ind w:right="-3"/>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29" w:lineRule="exact"/>
        <w:rPr>
          <w:sz w:val="20"/>
          <w:szCs w:val="20"/>
          <w:color w:val="auto"/>
        </w:rPr>
      </w:pPr>
    </w:p>
    <w:p>
      <w:pPr>
        <w:ind w:left="324" w:hanging="324"/>
        <w:spacing w:after="0"/>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197"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44" w:right="140" w:hanging="320"/>
        <w:spacing w:after="0" w:line="19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644" w:right="40" w:hanging="320"/>
        <w:spacing w:after="0" w:line="207" w:lineRule="auto"/>
        <w:tabs>
          <w:tab w:leader="none" w:pos="644"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44" w:right="240" w:hanging="320"/>
        <w:spacing w:after="0" w:line="19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24" w:right="180" w:hanging="324"/>
        <w:spacing w:after="0" w:line="197"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2"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87" w:lineRule="auto"/>
        <w:rPr>
          <w:sz w:val="20"/>
          <w:szCs w:val="20"/>
          <w:color w:val="auto"/>
        </w:rPr>
      </w:pPr>
      <w:r>
        <w:rPr>
          <w:rFonts w:ascii="Times New Roman" w:cs="Times New Roman" w:eastAsia="Times New Roman" w:hAnsi="Times New Roman"/>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6" w:right="9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2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29" w:lineRule="exact"/>
        <w:rPr>
          <w:sz w:val="20"/>
          <w:szCs w:val="20"/>
          <w:color w:val="auto"/>
        </w:rPr>
      </w:pPr>
    </w:p>
    <w:p>
      <w:pPr>
        <w:ind w:left="324" w:hanging="324"/>
        <w:spacing w:after="0"/>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197"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44" w:right="200" w:hanging="320"/>
        <w:spacing w:after="0" w:line="19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644" w:right="100" w:hanging="320"/>
        <w:spacing w:after="0" w:line="207" w:lineRule="auto"/>
        <w:tabs>
          <w:tab w:leader="none" w:pos="644"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44" w:right="300" w:hanging="320"/>
        <w:spacing w:after="0" w:line="19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24" w:right="240" w:hanging="324"/>
        <w:spacing w:after="0" w:line="197"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2"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87" w:lineRule="auto"/>
        <w:rPr>
          <w:sz w:val="20"/>
          <w:szCs w:val="20"/>
          <w:color w:val="auto"/>
        </w:rPr>
      </w:pP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4" w:right="8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33" w:lineRule="exact"/>
        <w:rPr>
          <w:sz w:val="20"/>
          <w:szCs w:val="20"/>
          <w:color w:val="auto"/>
        </w:rPr>
      </w:pPr>
    </w:p>
    <w:p>
      <w:pPr>
        <w:ind w:left="4" w:right="40"/>
        <w:spacing w:after="0" w:line="182"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March 31, 2019 of Aqua America,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05" w:lineRule="exact"/>
        <w:rPr>
          <w:sz w:val="20"/>
          <w:szCs w:val="20"/>
          <w:color w:val="auto"/>
        </w:rPr>
      </w:pPr>
    </w:p>
    <w:p>
      <w:pPr>
        <w:ind w:left="324" w:right="400" w:hanging="324"/>
        <w:spacing w:after="0" w:line="210" w:lineRule="auto"/>
        <w:tabs>
          <w:tab w:leader="none" w:pos="3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43" w:lineRule="exact"/>
        <w:rPr>
          <w:rFonts w:ascii="Times New Roman" w:cs="Times New Roman" w:eastAsia="Times New Roman" w:hAnsi="Times New Roman"/>
          <w:sz w:val="22"/>
          <w:szCs w:val="22"/>
          <w:color w:val="auto"/>
        </w:rPr>
      </w:pPr>
    </w:p>
    <w:p>
      <w:pPr>
        <w:ind w:left="324" w:right="500" w:hanging="324"/>
        <w:spacing w:after="0" w:line="210" w:lineRule="auto"/>
        <w:tabs>
          <w:tab w:leader="none" w:pos="3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87" w:lineRule="auto"/>
        <w:rPr>
          <w:sz w:val="20"/>
          <w:szCs w:val="20"/>
          <w:color w:val="auto"/>
        </w:rPr>
      </w:pPr>
      <w:r>
        <w:rPr>
          <w:rFonts w:ascii="Times New Roman" w:cs="Times New Roman" w:eastAsia="Times New Roman" w:hAnsi="Times New Roman"/>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1" w:right="9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33" w:lineRule="exact"/>
        <w:rPr>
          <w:sz w:val="20"/>
          <w:szCs w:val="20"/>
          <w:color w:val="auto"/>
        </w:rPr>
      </w:pPr>
    </w:p>
    <w:p>
      <w:pPr>
        <w:ind w:left="4" w:right="40"/>
        <w:spacing w:after="0" w:line="182"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March 31, 2019 of Aqua America,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05" w:lineRule="exact"/>
        <w:rPr>
          <w:sz w:val="20"/>
          <w:szCs w:val="20"/>
          <w:color w:val="auto"/>
        </w:rPr>
      </w:pPr>
    </w:p>
    <w:p>
      <w:pPr>
        <w:ind w:left="324" w:right="400" w:hanging="324"/>
        <w:spacing w:after="0" w:line="210" w:lineRule="auto"/>
        <w:tabs>
          <w:tab w:leader="none" w:pos="32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43" w:lineRule="exact"/>
        <w:rPr>
          <w:rFonts w:ascii="Times New Roman" w:cs="Times New Roman" w:eastAsia="Times New Roman" w:hAnsi="Times New Roman"/>
          <w:sz w:val="22"/>
          <w:szCs w:val="22"/>
          <w:color w:val="auto"/>
        </w:rPr>
      </w:pPr>
    </w:p>
    <w:p>
      <w:pPr>
        <w:ind w:left="324" w:right="500" w:hanging="324"/>
        <w:spacing w:after="0" w:line="210" w:lineRule="auto"/>
        <w:tabs>
          <w:tab w:leader="none" w:pos="32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87" w:lineRule="auto"/>
        <w:rPr>
          <w:sz w:val="20"/>
          <w:szCs w:val="20"/>
          <w:color w:val="auto"/>
        </w:rPr>
      </w:pP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4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2"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2"/>
    </w:lvl>
  </w:abstractNum>
  <w:abstractNum w:abstractNumId="6">
    <w:nsid w:val="66EF438D"/>
    <w:multiLevelType w:val="hybridMultilevel"/>
    <w:lvl w:ilvl="0">
      <w:lvlJc w:val="left"/>
      <w:lvlText w:val="\endash "/>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59" Type="http://schemas.openxmlformats.org/officeDocument/2006/relationships/hyperlink" Target="http://www.sec.gov/Archives/edgar/data/78128/000155278119000189/e19232_ex4-1.htm" TargetMode="External"/><Relationship Id="rId60" Type="http://schemas.openxmlformats.org/officeDocument/2006/relationships/hyperlink" Target="http://www.sec.gov/Archives/edgar/data/78128/000155278119000189/e19232_ex4-4.htm" TargetMode="External"/><Relationship Id="rId63" Type="http://schemas.openxmlformats.org/officeDocument/2006/relationships/hyperlink" Target="http://www.sec.gov/Archives/edgar/data/78128/000155278119000189/e19232_ex4-5.htm" TargetMode="External"/><Relationship Id="rId64" Type="http://schemas.openxmlformats.org/officeDocument/2006/relationships/hyperlink" Target="http://www.sec.gov/Archives/edgar/data/78128/000155278119000189/e19232_ex4-6.htm" TargetMode="External"/><Relationship Id="rId65" Type="http://schemas.openxmlformats.org/officeDocument/2006/relationships/hyperlink" Target="http://www.sec.gov/Archives/edgar/data/78128/000155278119000214/e19253_ex4-3.htm" TargetMode="External"/><Relationship Id="rId66" Type="http://schemas.openxmlformats.org/officeDocument/2006/relationships/hyperlink" Target="http://www.sec.gov/Archives/edgar/data/78128/000155278119000127/e19169_wtr-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2019-12-28T13:19:39Z</dcterms:created>
  <dcterms:modified xsi:type="dcterms:W3CDTF">2019-12-28T13:19:39Z</dcterms:modified>
</cp:coreProperties>
</file>