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920" w:right="1980" w:hanging="3914"/>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June 30, 2024</w:t>
      </w:r>
    </w:p>
    <w:p>
      <w:pPr>
        <w:spacing w:after="0" w:line="67" w:lineRule="exact"/>
        <w:rPr>
          <w:sz w:val="24"/>
          <w:szCs w:val="24"/>
          <w:color w:val="auto"/>
        </w:rPr>
      </w:pPr>
    </w:p>
    <w:p>
      <w:pPr>
        <w:ind w:left="2960" w:right="1920" w:hanging="2952"/>
        <w:spacing w:after="0" w:line="265" w:lineRule="auto"/>
        <w:tabs>
          <w:tab w:leader="none" w:pos="144"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38"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3"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76"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31"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80"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July 26, 2024</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273,672,080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gridSpan w:val="13"/>
          </w:tcPr>
          <w:p>
            <w:pPr>
              <w:jc w:val="center"/>
              <w:ind w:right="244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gridSpan w:val="11"/>
          </w:tcPr>
          <w:p>
            <w:pPr>
              <w:jc w:val="center"/>
              <w:ind w:right="382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0" w:type="dxa"/>
            <w:vAlign w:val="bottom"/>
            <w:gridSpan w:val="13"/>
            <w:shd w:val="clear" w:color="auto" w:fill="CCEEFF"/>
          </w:tcPr>
          <w:p>
            <w:pPr>
              <w:jc w:val="center"/>
              <w:ind w:right="250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540" w:type="dxa"/>
            <w:vAlign w:val="bottom"/>
            <w:tcBorders>
              <w:top w:val="single" w:sz="8" w:color="0563C1"/>
            </w:tcBorders>
          </w:tcPr>
          <w:p>
            <w:pPr>
              <w:spacing w:after="0"/>
              <w:rPr>
                <w:sz w:val="18"/>
                <w:szCs w:val="18"/>
                <w:color w:val="auto"/>
              </w:rPr>
            </w:pPr>
          </w:p>
        </w:tc>
        <w:tc>
          <w:tcPr>
            <w:tcW w:w="540" w:type="dxa"/>
            <w:vAlign w:val="bottom"/>
            <w:tcBorders>
              <w:top w:val="single" w:sz="8" w:color="0563C1"/>
            </w:tcBorders>
          </w:tcPr>
          <w:p>
            <w:pPr>
              <w:spacing w:after="0"/>
              <w:rPr>
                <w:sz w:val="18"/>
                <w:szCs w:val="18"/>
                <w:color w:val="auto"/>
              </w:rPr>
            </w:pPr>
          </w:p>
        </w:tc>
        <w:tc>
          <w:tcPr>
            <w:tcW w:w="26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Balance Sheets (unaudited) – June 30, 2024 and December 31,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563C1"/>
            </w:tcBorders>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8"/>
              </w:rPr>
              <w:t>Condensed Consolidated Statements of Operations and Comprehensive Income (unaudited) – Three Months Ended</w:t>
            </w:r>
          </w:p>
        </w:tc>
        <w:tc>
          <w:tcPr>
            <w:tcW w:w="60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6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June 30, 2024 and 2023</w:t>
            </w:r>
          </w:p>
        </w:tc>
        <w:tc>
          <w:tcPr>
            <w:tcW w:w="6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tcPr>
          <w:p>
            <w:pPr>
              <w:spacing w:after="0" w:line="20" w:lineRule="exact"/>
              <w:rPr>
                <w:sz w:val="1"/>
                <w:szCs w:val="1"/>
                <w:color w:val="auto"/>
              </w:rPr>
            </w:pPr>
          </w:p>
        </w:tc>
        <w:tc>
          <w:tcPr>
            <w:tcW w:w="460" w:type="dxa"/>
            <w:vAlign w:val="bottom"/>
            <w:tcBorders>
              <w:top w:val="single" w:sz="8" w:color="0563C1"/>
              <w:bottom w:val="single" w:sz="8" w:color="CCEEFF"/>
            </w:tcBorders>
          </w:tcPr>
          <w:p>
            <w:pPr>
              <w:spacing w:after="0" w:line="20" w:lineRule="exact"/>
              <w:rPr>
                <w:sz w:val="1"/>
                <w:szCs w:val="1"/>
                <w:color w:val="auto"/>
              </w:rPr>
            </w:pPr>
          </w:p>
        </w:tc>
        <w:tc>
          <w:tcPr>
            <w:tcW w:w="100" w:type="dxa"/>
            <w:vAlign w:val="bottom"/>
            <w:tcBorders>
              <w:top w:val="single" w:sz="8" w:color="0563C1"/>
              <w:bottom w:val="single" w:sz="8" w:color="CCEEFF"/>
            </w:tcBorders>
          </w:tcPr>
          <w:p>
            <w:pPr>
              <w:spacing w:after="0" w:line="20" w:lineRule="exact"/>
              <w:rPr>
                <w:sz w:val="1"/>
                <w:szCs w:val="1"/>
                <w:color w:val="auto"/>
              </w:rPr>
            </w:pPr>
          </w:p>
        </w:tc>
        <w:tc>
          <w:tcPr>
            <w:tcW w:w="420" w:type="dxa"/>
            <w:vAlign w:val="bottom"/>
            <w:tcBorders>
              <w:top w:val="single" w:sz="8" w:color="0563C1"/>
              <w:bottom w:val="single" w:sz="8" w:color="CCEEFF"/>
            </w:tcBorders>
          </w:tcPr>
          <w:p>
            <w:pPr>
              <w:spacing w:after="0" w:line="20" w:lineRule="exact"/>
              <w:rPr>
                <w:sz w:val="1"/>
                <w:szCs w:val="1"/>
                <w:color w:val="auto"/>
              </w:rPr>
            </w:pPr>
          </w:p>
        </w:tc>
        <w:tc>
          <w:tcPr>
            <w:tcW w:w="340" w:type="dxa"/>
            <w:vAlign w:val="bottom"/>
            <w:tcBorders>
              <w:top w:val="single" w:sz="8" w:color="0563C1"/>
              <w:bottom w:val="single" w:sz="8" w:color="CCEEFF"/>
            </w:tcBorders>
          </w:tcPr>
          <w:p>
            <w:pPr>
              <w:spacing w:after="0" w:line="20" w:lineRule="exact"/>
              <w:rPr>
                <w:sz w:val="1"/>
                <w:szCs w:val="1"/>
                <w:color w:val="auto"/>
              </w:rPr>
            </w:pPr>
          </w:p>
        </w:tc>
        <w:tc>
          <w:tcPr>
            <w:tcW w:w="20" w:type="dxa"/>
            <w:vAlign w:val="bottom"/>
            <w:tcBorders>
              <w:top w:val="single" w:sz="8" w:color="0563C1"/>
              <w:bottom w:val="single" w:sz="8" w:color="CCEEFF"/>
            </w:tcBorders>
          </w:tcPr>
          <w:p>
            <w:pPr>
              <w:spacing w:after="0" w:line="20" w:lineRule="exact"/>
              <w:rPr>
                <w:sz w:val="1"/>
                <w:szCs w:val="1"/>
                <w:color w:val="auto"/>
              </w:rPr>
            </w:pPr>
          </w:p>
        </w:tc>
        <w:tc>
          <w:tcPr>
            <w:tcW w:w="280" w:type="dxa"/>
            <w:vAlign w:val="bottom"/>
            <w:tcBorders>
              <w:top w:val="single" w:sz="8" w:color="0563C1"/>
              <w:bottom w:val="single" w:sz="8" w:color="CCEEFF"/>
            </w:tcBorders>
          </w:tcPr>
          <w:p>
            <w:pPr>
              <w:spacing w:after="0" w:line="20" w:lineRule="exact"/>
              <w:rPr>
                <w:sz w:val="1"/>
                <w:szCs w:val="1"/>
                <w:color w:val="auto"/>
              </w:rPr>
            </w:pPr>
          </w:p>
        </w:tc>
        <w:tc>
          <w:tcPr>
            <w:tcW w:w="260" w:type="dxa"/>
            <w:vAlign w:val="bottom"/>
            <w:tcBorders>
              <w:top w:val="single" w:sz="8" w:color="0563C1"/>
              <w:bottom w:val="single" w:sz="8" w:color="CCEEFF"/>
            </w:tcBorders>
          </w:tcPr>
          <w:p>
            <w:pPr>
              <w:spacing w:after="0" w:line="20" w:lineRule="exact"/>
              <w:rPr>
                <w:sz w:val="1"/>
                <w:szCs w:val="1"/>
                <w:color w:val="auto"/>
              </w:rPr>
            </w:pPr>
          </w:p>
        </w:tc>
        <w:tc>
          <w:tcPr>
            <w:tcW w:w="180" w:type="dxa"/>
            <w:vAlign w:val="bottom"/>
            <w:tcBorders>
              <w:top w:val="single" w:sz="8" w:color="0563C1"/>
              <w:bottom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Operations and Comprehensive Income (unaudited) – Six Months Ended</w:t>
            </w: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9480" w:type="dxa"/>
            <w:vAlign w:val="bottom"/>
            <w:tcBorders>
              <w:top w:val="single" w:sz="8" w:color="0563C1"/>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June 30, 2024 and 2023</w:t>
            </w: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Capitalization (unaudited) - June 30, 2024 and December 31,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060" w:type="dxa"/>
            <w:vAlign w:val="bottom"/>
            <w:tcBorders>
              <w:top w:val="single" w:sz="8" w:color="0563C1"/>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Six Months Ended June 30,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Six Months Ended June 30,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Cash Flow (unaudited) – Six Months Ended June 30, 2024 and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06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Condensed Consolidated Financial Statements (unaudited)</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Management’s Discussion and Analysis of Financial Condition and Results of Operations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76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540" w:type="dxa"/>
            <w:vAlign w:val="bottom"/>
            <w:tcBorders>
              <w:top w:val="single" w:sz="8" w:color="0563C1"/>
            </w:tcBorders>
          </w:tcPr>
          <w:p>
            <w:pPr>
              <w:spacing w:after="0"/>
              <w:rPr>
                <w:sz w:val="22"/>
                <w:szCs w:val="22"/>
                <w:color w:val="auto"/>
              </w:rPr>
            </w:pPr>
          </w:p>
        </w:tc>
        <w:tc>
          <w:tcPr>
            <w:tcW w:w="540" w:type="dxa"/>
            <w:vAlign w:val="bottom"/>
            <w:tcBorders>
              <w:top w:val="single" w:sz="8" w:color="0563C1"/>
            </w:tcBorders>
          </w:tcPr>
          <w:p>
            <w:pPr>
              <w:spacing w:after="0"/>
              <w:rPr>
                <w:sz w:val="22"/>
                <w:szCs w:val="22"/>
                <w:color w:val="auto"/>
              </w:rPr>
            </w:pPr>
          </w:p>
        </w:tc>
        <w:tc>
          <w:tcPr>
            <w:tcW w:w="260" w:type="dxa"/>
            <w:vAlign w:val="bottom"/>
            <w:tcBorders>
              <w:top w:val="single" w:sz="8" w:color="0563C1"/>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64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5.</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Other Information</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9980" w:type="dxa"/>
            <w:vAlign w:val="bottom"/>
            <w:gridSpan w:val="23"/>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9720" w:type="dxa"/>
            <w:vAlign w:val="bottom"/>
            <w:tcBorders>
              <w:bottom w:val="single" w:sz="8" w:color="CCEEFF"/>
            </w:tcBorders>
            <w:gridSpan w:val="22"/>
            <w:shd w:val="clear" w:color="auto" w:fill="CCEEFF"/>
          </w:tcPr>
          <w:p>
            <w:pPr>
              <w:spacing w:after="0"/>
              <w:rPr>
                <w:sz w:val="18"/>
                <w:szCs w:val="18"/>
                <w:color w:val="auto"/>
              </w:rPr>
            </w:pPr>
          </w:p>
        </w:tc>
        <w:tc>
          <w:tcPr>
            <w:tcW w:w="60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606"/>
        </w:trPr>
        <w:tc>
          <w:tcPr>
            <w:tcW w:w="660" w:type="dxa"/>
            <w:vAlign w:val="bottom"/>
          </w:tcPr>
          <w:p>
            <w:pPr>
              <w:spacing w:after="0"/>
              <w:rPr>
                <w:sz w:val="24"/>
                <w:szCs w:val="24"/>
                <w:color w:val="auto"/>
              </w:rPr>
            </w:pPr>
          </w:p>
        </w:tc>
        <w:tc>
          <w:tcPr>
            <w:tcW w:w="5300" w:type="dxa"/>
            <w:vAlign w:val="bottom"/>
            <w:gridSpan w:val="13"/>
          </w:tcPr>
          <w:p>
            <w:pPr>
              <w:jc w:val="center"/>
              <w:ind w:left="4532"/>
              <w:spacing w:after="0"/>
              <w:rPr>
                <w:sz w:val="20"/>
                <w:szCs w:val="20"/>
                <w:color w:val="auto"/>
              </w:rPr>
            </w:pPr>
            <w:r>
              <w:rPr>
                <w:rFonts w:ascii="Times New Roman" w:cs="Times New Roman" w:eastAsia="Times New Roman" w:hAnsi="Times New Roman"/>
                <w:sz w:val="22"/>
                <w:szCs w:val="22"/>
                <w:color w:val="auto"/>
                <w:w w:val="90"/>
              </w:rPr>
              <w:t>1</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48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240" w:type="dxa"/>
            <w:vAlign w:val="bottom"/>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15,519,111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14,977,021</w:t>
            </w:r>
          </w:p>
        </w:tc>
      </w:tr>
      <w:tr>
        <w:trPr>
          <w:trHeight w:val="175"/>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2,999,982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2,879,949</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12,519,129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12,097,072</w:t>
            </w:r>
          </w:p>
        </w:tc>
      </w:tr>
      <w:tr>
        <w:trPr>
          <w:trHeight w:val="169"/>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18,819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139,768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144,300</w:t>
            </w: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2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74,941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101,436</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50,117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47,494</w:t>
            </w:r>
          </w:p>
        </w:tc>
      </w:tr>
      <w:tr>
        <w:trPr>
          <w:trHeight w:val="175"/>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2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65,173</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28,712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99,884</w:t>
            </w:r>
          </w:p>
        </w:tc>
      </w:tr>
      <w:tr>
        <w:trPr>
          <w:trHeight w:val="175"/>
        </w:trPr>
        <w:tc>
          <w:tcPr>
            <w:tcW w:w="84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15,952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29,080</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362,733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491,979</w:t>
            </w:r>
          </w:p>
        </w:tc>
      </w:tr>
      <w:tr>
        <w:trPr>
          <w:trHeight w:val="169"/>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1,895,512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1,766,892</w:t>
            </w:r>
          </w:p>
        </w:tc>
      </w:tr>
      <w:tr>
        <w:trPr>
          <w:trHeight w:val="175"/>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2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94,385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102,388</w:t>
            </w: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1,381</w:t>
            </w:r>
          </w:p>
        </w:tc>
      </w:tr>
      <w:tr>
        <w:trPr>
          <w:trHeight w:val="175"/>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2,340,738</w:t>
            </w: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34,791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37,416</w:t>
            </w:r>
          </w:p>
        </w:tc>
      </w:tr>
      <w:tr>
        <w:trPr>
          <w:trHeight w:val="175"/>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3,433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3,593</w:t>
            </w:r>
          </w:p>
        </w:tc>
      </w:tr>
      <w:tr>
        <w:trPr>
          <w:trHeight w:val="169"/>
        </w:trPr>
        <w:tc>
          <w:tcPr>
            <w:tcW w:w="84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17,252,116</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June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28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Liabilities and Equity</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828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277,016,906 and 276,595,228 as of June 30, 2024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3"/>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December 31, 2023</w:t>
            </w:r>
          </w:p>
        </w:tc>
        <w:tc>
          <w:tcPr>
            <w:tcW w:w="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138,297</w:t>
            </w: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4,149,208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4,137,696</w:t>
            </w: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1,963,716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1,706,675</w:t>
            </w: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3,348,009 and 3,299,191 shares as of June 30, 2024 and December 31, 2023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(88,198)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(86,485)</w:t>
            </w: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6,163,234</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69"/>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7,057,623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6,870,593</w:t>
            </w:r>
          </w:p>
        </w:tc>
      </w:tr>
      <w:tr>
        <w:trPr>
          <w:trHeight w:val="175"/>
        </w:trPr>
        <w:tc>
          <w:tcPr>
            <w:tcW w:w="82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46,736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44,508</w:t>
            </w: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7,010,887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6,826,085</w:t>
            </w:r>
          </w:p>
        </w:tc>
      </w:tr>
      <w:tr>
        <w:trPr>
          <w:trHeight w:val="231"/>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68"/>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71,787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67,415</w:t>
            </w: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93,267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160,123</w:t>
            </w: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204,772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221,191</w:t>
            </w: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15,500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13,358</w:t>
            </w: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64,430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53,084</w:t>
            </w: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29,464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40,641</w:t>
            </w: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6,250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31,270</w:t>
            </w: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r>
      <w:tr>
        <w:trPr>
          <w:trHeight w:val="176"/>
        </w:trPr>
        <w:tc>
          <w:tcPr>
            <w:tcW w:w="82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143,680</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126,916</w:t>
            </w: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629,150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797,927</w:t>
            </w:r>
          </w:p>
        </w:tc>
      </w:tr>
      <w:tr>
        <w:trPr>
          <w:trHeight w:val="169"/>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1,764,108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1,628,324</w:t>
            </w: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118,121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128,755</w:t>
            </w: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809,399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820,910</w:t>
            </w: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854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848</w:t>
            </w: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31,051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34,425</w:t>
            </w: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37,948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38,850</w:t>
            </w:r>
          </w:p>
        </w:tc>
      </w:tr>
      <w:tr>
        <w:trPr>
          <w:trHeight w:val="175"/>
        </w:trPr>
        <w:tc>
          <w:tcPr>
            <w:tcW w:w="82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23,719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24,086</w:t>
            </w: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2,785,200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2,676,198</w:t>
            </w:r>
          </w:p>
        </w:tc>
      </w:tr>
      <w:tr>
        <w:trPr>
          <w:trHeight w:val="169"/>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663,645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645,066</w:t>
            </w: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17,252,116</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5"/>
          </w:tcPr>
          <w:p>
            <w:pPr>
              <w:jc w:val="right"/>
              <w:ind w:right="79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22"/>
                <w:szCs w:val="22"/>
                <w:color w:val="auto"/>
              </w:rPr>
              <w:t>June 30,</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434,406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436,700</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142,512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133,508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33,728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41,933</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89,578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84,937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724</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22,233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20,348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289,119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281,450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145,287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155,250</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73,045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69,182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(276)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(970)</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(3,424)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(203)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(220)</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701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77,249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91,005</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 (benefit)</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1,864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75,385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91,268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75,385</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91,268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0.28</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0.35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0.28</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0.34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273,567</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264,418</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273,953</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264,818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380" w:type="dxa"/>
            <w:vAlign w:val="bottom"/>
            <w:gridSpan w:val="5"/>
          </w:tcPr>
          <w:p>
            <w:pPr>
              <w:jc w:val="right"/>
              <w:ind w:right="97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57"/>
        </w:trPr>
        <w:tc>
          <w:tcPr>
            <w:tcW w:w="6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22"/>
                <w:szCs w:val="22"/>
                <w:color w:val="auto"/>
              </w:rPr>
              <w:t>June 30,</w:t>
            </w:r>
          </w:p>
        </w:tc>
        <w:tc>
          <w:tcPr>
            <w:tcW w:w="1320" w:type="dxa"/>
            <w:vAlign w:val="bottom"/>
            <w:tcBorders>
              <w:bottom w:val="single" w:sz="8" w:color="auto"/>
            </w:tcBorders>
          </w:tcPr>
          <w:p>
            <w:pPr>
              <w:spacing w:after="0"/>
              <w:rPr>
                <w:sz w:val="22"/>
                <w:szCs w:val="22"/>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1,046,475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1,163,150</w:t>
            </w:r>
          </w:p>
        </w:tc>
      </w:tr>
      <w:tr>
        <w:trPr>
          <w:trHeight w:val="230"/>
        </w:trPr>
        <w:tc>
          <w:tcPr>
            <w:tcW w:w="6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279,412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271,502</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163,403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298,248</w:t>
            </w:r>
          </w:p>
        </w:tc>
      </w:tr>
      <w:tr>
        <w:trPr>
          <w:trHeight w:val="229"/>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178,294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167,860</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1,595</w:t>
            </w:r>
          </w:p>
        </w:tc>
      </w:tr>
      <w:tr>
        <w:trPr>
          <w:trHeight w:val="229"/>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47,257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43,226</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3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670,522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782,431</w:t>
            </w:r>
          </w:p>
        </w:tc>
      </w:tr>
      <w:tr>
        <w:trPr>
          <w:trHeight w:val="223"/>
        </w:trPr>
        <w:tc>
          <w:tcPr>
            <w:tcW w:w="6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375,953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380,719</w:t>
            </w:r>
          </w:p>
        </w:tc>
      </w:tr>
      <w:tr>
        <w:trPr>
          <w:trHeight w:val="229"/>
        </w:trPr>
        <w:tc>
          <w:tcPr>
            <w:tcW w:w="6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146,318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141,850</w:t>
            </w:r>
          </w:p>
        </w:tc>
      </w:tr>
      <w:tr>
        <w:trPr>
          <w:trHeight w:val="229"/>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(1,265)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(1,789)</w:t>
            </w:r>
          </w:p>
        </w:tc>
      </w:tr>
      <w:tr>
        <w:trPr>
          <w:trHeight w:val="23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(9,910)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(9,112)</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(91,828)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(469)</w:t>
            </w:r>
          </w:p>
        </w:tc>
      </w:tr>
      <w:tr>
        <w:trPr>
          <w:trHeight w:val="229"/>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1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(563)</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332,379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250,802</w:t>
            </w:r>
          </w:p>
        </w:tc>
      </w:tr>
      <w:tr>
        <w:trPr>
          <w:trHeight w:val="229"/>
        </w:trPr>
        <w:tc>
          <w:tcPr>
            <w:tcW w:w="61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Income tax benefit</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(8,778)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(31,900)</w:t>
            </w:r>
          </w:p>
        </w:tc>
      </w:tr>
      <w:tr>
        <w:trPr>
          <w:trHeight w:val="223"/>
        </w:trPr>
        <w:tc>
          <w:tcPr>
            <w:tcW w:w="61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341,157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282,702</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172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341,157</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282,702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Net income per common share:</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7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20" w:type="dxa"/>
            <w:vAlign w:val="bottom"/>
            <w:gridSpan w:val="2"/>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1.25</w:t>
            </w:r>
          </w:p>
        </w:tc>
        <w:tc>
          <w:tcPr>
            <w:tcW w:w="120" w:type="dxa"/>
            <w:vAlign w:val="bottom"/>
          </w:tcPr>
          <w:p>
            <w:pPr>
              <w:spacing w:after="0"/>
              <w:rPr>
                <w:sz w:val="23"/>
                <w:szCs w:val="23"/>
                <w:color w:val="auto"/>
              </w:rPr>
            </w:pPr>
          </w:p>
        </w:tc>
        <w:tc>
          <w:tcPr>
            <w:tcW w:w="540" w:type="dxa"/>
            <w:vAlign w:val="bottom"/>
            <w:gridSpan w:val="2"/>
          </w:tcPr>
          <w:p>
            <w:pPr>
              <w:jc w:val="right"/>
              <w:ind w:right="2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1.07</w:t>
            </w:r>
          </w:p>
        </w:tc>
      </w:tr>
      <w:tr>
        <w:trPr>
          <w:trHeight w:val="210"/>
        </w:trPr>
        <w:tc>
          <w:tcPr>
            <w:tcW w:w="614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3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1.07</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70"/>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3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273,472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264,306</w:t>
            </w:r>
          </w:p>
        </w:tc>
      </w:tr>
      <w:tr>
        <w:trPr>
          <w:trHeight w:val="210"/>
        </w:trPr>
        <w:tc>
          <w:tcPr>
            <w:tcW w:w="6140" w:type="dxa"/>
            <w:vAlign w:val="bottom"/>
            <w:tcBorders>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1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273,869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264,840</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CONDENSED 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17"/>
                <w:szCs w:val="17"/>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484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700" w:type="dxa"/>
            <w:vAlign w:val="bottom"/>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138,508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138,297</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4,149,208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4,137,696</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1,963,716</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1,706,675</w:t>
            </w:r>
          </w:p>
        </w:tc>
        <w:tc>
          <w:tcPr>
            <w:tcW w:w="0" w:type="dxa"/>
            <w:vAlign w:val="bottom"/>
          </w:tcPr>
          <w:p>
            <w:pPr>
              <w:spacing w:after="0"/>
              <w:rPr>
                <w:sz w:val="1"/>
                <w:szCs w:val="1"/>
                <w:color w:val="auto"/>
              </w:rPr>
            </w:pPr>
          </w:p>
        </w:tc>
      </w:tr>
      <w:tr>
        <w:trPr>
          <w:trHeight w:val="189"/>
        </w:trPr>
        <w:tc>
          <w:tcPr>
            <w:tcW w:w="48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(88,198)</w:t>
            </w:r>
          </w:p>
        </w:tc>
        <w:tc>
          <w:tcPr>
            <w:tcW w:w="2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(86,485)</w:t>
            </w:r>
          </w:p>
        </w:tc>
        <w:tc>
          <w:tcPr>
            <w:tcW w:w="0" w:type="dxa"/>
            <w:vAlign w:val="bottom"/>
          </w:tcPr>
          <w:p>
            <w:pPr>
              <w:spacing w:after="0"/>
              <w:rPr>
                <w:sz w:val="1"/>
                <w:szCs w:val="1"/>
                <w:color w:val="auto"/>
              </w:rPr>
            </w:pPr>
          </w:p>
        </w:tc>
      </w:tr>
      <w:tr>
        <w:trPr>
          <w:trHeight w:val="183"/>
        </w:trPr>
        <w:tc>
          <w:tcPr>
            <w:tcW w:w="4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3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6,163,234</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5,896,183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3320" w:type="dxa"/>
            <w:vAlign w:val="bottom"/>
            <w:gridSpan w:val="2"/>
          </w:tcPr>
          <w:p>
            <w:pPr>
              <w:jc w:val="center"/>
              <w:ind w:right="190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580" w:type="dxa"/>
            <w:vAlign w:val="bottom"/>
            <w:gridSpan w:val="3"/>
          </w:tcPr>
          <w:p>
            <w:pPr>
              <w:jc w:val="center"/>
              <w:ind w:right="90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 to 0.99%</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2024 to 2033</w:t>
            </w: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2,821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1.00% to 1.99%</w:t>
            </w:r>
          </w:p>
        </w:tc>
        <w:tc>
          <w:tcPr>
            <w:tcW w:w="80" w:type="dxa"/>
            <w:vAlign w:val="bottom"/>
          </w:tcPr>
          <w:p>
            <w:pPr>
              <w:spacing w:after="0"/>
              <w:rPr>
                <w:sz w:val="16"/>
                <w:szCs w:val="16"/>
                <w:color w:val="auto"/>
              </w:rPr>
            </w:pPr>
          </w:p>
        </w:tc>
        <w:tc>
          <w:tcPr>
            <w:tcW w:w="2500" w:type="dxa"/>
            <w:vAlign w:val="bottom"/>
            <w:gridSpan w:val="2"/>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2024 to 2039</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7,165</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2.00% to 2.99%</w:t>
            </w:r>
          </w:p>
        </w:tc>
        <w:tc>
          <w:tcPr>
            <w:tcW w:w="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2024 to 2058</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207,025</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207,917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3.00% to 3.99%</w:t>
            </w:r>
          </w:p>
        </w:tc>
        <w:tc>
          <w:tcPr>
            <w:tcW w:w="80" w:type="dxa"/>
            <w:vAlign w:val="bottom"/>
          </w:tcPr>
          <w:p>
            <w:pPr>
              <w:spacing w:after="0"/>
              <w:rPr>
                <w:sz w:val="16"/>
                <w:szCs w:val="16"/>
                <w:color w:val="auto"/>
              </w:rPr>
            </w:pPr>
          </w:p>
        </w:tc>
        <w:tc>
          <w:tcPr>
            <w:tcW w:w="2500" w:type="dxa"/>
            <w:vAlign w:val="bottom"/>
            <w:gridSpan w:val="2"/>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2024 to 2056</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1,310,212</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1,313,932</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4.00% to 4.99%</w:t>
            </w:r>
          </w:p>
        </w:tc>
        <w:tc>
          <w:tcPr>
            <w:tcW w:w="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2024 to 2059</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1,242,197</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1,245,727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5.00% to 5.99%</w:t>
            </w:r>
          </w:p>
        </w:tc>
        <w:tc>
          <w:tcPr>
            <w:tcW w:w="80" w:type="dxa"/>
            <w:vAlign w:val="bottom"/>
          </w:tcPr>
          <w:p>
            <w:pPr>
              <w:spacing w:after="0"/>
              <w:rPr>
                <w:sz w:val="16"/>
                <w:szCs w:val="16"/>
                <w:color w:val="auto"/>
              </w:rPr>
            </w:pPr>
          </w:p>
        </w:tc>
        <w:tc>
          <w:tcPr>
            <w:tcW w:w="2500" w:type="dxa"/>
            <w:vAlign w:val="bottom"/>
            <w:gridSpan w:val="2"/>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2024 to 2061</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313,306</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312,745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6.00% to 6.99%</w:t>
            </w:r>
          </w:p>
        </w:tc>
        <w:tc>
          <w:tcPr>
            <w:tcW w:w="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2026 to 2036</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320" w:type="dxa"/>
            <w:vAlign w:val="bottom"/>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7.00% to 7.99%</w:t>
            </w:r>
          </w:p>
        </w:tc>
        <w:tc>
          <w:tcPr>
            <w:tcW w:w="80" w:type="dxa"/>
            <w:vAlign w:val="bottom"/>
          </w:tcPr>
          <w:p>
            <w:pPr>
              <w:spacing w:after="0"/>
              <w:rPr>
                <w:sz w:val="16"/>
                <w:szCs w:val="16"/>
                <w:color w:val="auto"/>
              </w:rPr>
            </w:pPr>
          </w:p>
        </w:tc>
        <w:tc>
          <w:tcPr>
            <w:tcW w:w="2500" w:type="dxa"/>
            <w:vAlign w:val="bottom"/>
            <w:gridSpan w:val="2"/>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w w:val="98"/>
              </w:rPr>
              <w:t>2025 to 2027</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28,007</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28,125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8.00% to 8.99%</w:t>
            </w:r>
          </w:p>
        </w:tc>
        <w:tc>
          <w:tcPr>
            <w:tcW w:w="16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tcPr>
          <w:p>
            <w:pPr>
              <w:jc w:val="center"/>
              <w:ind w:right="1880"/>
              <w:spacing w:after="0" w:line="189" w:lineRule="exact"/>
              <w:rPr>
                <w:sz w:val="20"/>
                <w:szCs w:val="20"/>
                <w:color w:val="auto"/>
              </w:rPr>
            </w:pPr>
            <w:r>
              <w:rPr>
                <w:rFonts w:ascii="Times New Roman" w:cs="Times New Roman" w:eastAsia="Times New Roman" w:hAnsi="Times New Roman"/>
                <w:sz w:val="18"/>
                <w:szCs w:val="18"/>
                <w:color w:val="auto"/>
                <w:w w:val="99"/>
              </w:rPr>
              <w:t>9.00% to 9.99%</w:t>
            </w:r>
          </w:p>
        </w:tc>
        <w:tc>
          <w:tcPr>
            <w:tcW w:w="1600" w:type="dxa"/>
            <w:vAlign w:val="bottom"/>
            <w:tcBorders>
              <w:bottom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3,154,410</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3,163,008</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5.375%, due 2034</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4.276%, due 2049</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2024 through 2034</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83"/>
        </w:trPr>
        <w:tc>
          <w:tcPr>
            <w:tcW w:w="45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7,129,410</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6,938,008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71,787</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67,415</w:t>
            </w:r>
          </w:p>
        </w:tc>
        <w:tc>
          <w:tcPr>
            <w:tcW w:w="0" w:type="dxa"/>
            <w:vAlign w:val="bottom"/>
          </w:tcPr>
          <w:p>
            <w:pPr>
              <w:spacing w:after="0"/>
              <w:rPr>
                <w:sz w:val="1"/>
                <w:szCs w:val="1"/>
                <w:color w:val="auto"/>
              </w:rPr>
            </w:pPr>
          </w:p>
        </w:tc>
      </w:tr>
      <w:tr>
        <w:trPr>
          <w:trHeight w:val="183"/>
        </w:trPr>
        <w:tc>
          <w:tcPr>
            <w:tcW w:w="45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7,057,623</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6,870,593</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46,736</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44,508</w:t>
            </w:r>
          </w:p>
        </w:tc>
        <w:tc>
          <w:tcPr>
            <w:tcW w:w="0" w:type="dxa"/>
            <w:vAlign w:val="bottom"/>
          </w:tcPr>
          <w:p>
            <w:pPr>
              <w:spacing w:after="0"/>
              <w:rPr>
                <w:sz w:val="1"/>
                <w:szCs w:val="1"/>
                <w:color w:val="auto"/>
              </w:rPr>
            </w:pPr>
          </w:p>
        </w:tc>
      </w:tr>
      <w:tr>
        <w:trPr>
          <w:trHeight w:val="183"/>
        </w:trPr>
        <w:tc>
          <w:tcPr>
            <w:tcW w:w="710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7,010,887</w:t>
            </w: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6,826,085</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13,174,121</w:t>
            </w: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12,722,268</w:t>
            </w:r>
          </w:p>
        </w:tc>
        <w:tc>
          <w:tcPr>
            <w:tcW w:w="0" w:type="dxa"/>
            <w:vAlign w:val="bottom"/>
          </w:tcPr>
          <w:p>
            <w:pPr>
              <w:spacing w:after="0"/>
              <w:rPr>
                <w:sz w:val="1"/>
                <w:szCs w:val="1"/>
                <w:color w:val="auto"/>
              </w:rPr>
            </w:pPr>
          </w:p>
        </w:tc>
      </w:tr>
      <w:tr>
        <w:trPr>
          <w:trHeight w:val="20"/>
        </w:trPr>
        <w:tc>
          <w:tcPr>
            <w:tcW w:w="7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0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138,297</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4,137,696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1,706,675</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(86,485)</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2024 ($0.3071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declared ($0.3071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(83,998)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(83,998)</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(117,210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(62,872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(160,694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(4,971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2024</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138,438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4,142,610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1,888,521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(88,442)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6,081,127</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($0.3071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(108,544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3,790</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(30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(23,142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(7,117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2024</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138,508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4,149,208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1,963,716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(88,198)</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6,163,234</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5"/>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133,486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3,793,262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1,534,331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(83,693)</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2023 ($0.287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2023 declared ($0.287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(75,876)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(75,876)</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(97,315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4,117</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(399,128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19,094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19,294</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(88,051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(3,911)</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(3,911)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(222,782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(2,917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3,143</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253</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2023</w:t>
            </w: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133,848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3,819,804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1,649,621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(87,331)</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5,515,942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91,268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91,268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2023 ($0.287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(102,676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3,952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(971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(17,054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(3,026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106</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3,309</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164</w:t>
            </w:r>
          </w:p>
        </w:tc>
      </w:tr>
      <w:tr>
        <w:trPr>
          <w:trHeight w:val="169"/>
        </w:trPr>
        <w:tc>
          <w:tcPr>
            <w:tcW w:w="64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2023</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133,909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3,827,199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1,740,682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(87,092)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5,614,698</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CONDENSED 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341,157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282,702</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180,450</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169,455</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(12,404)</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(34,711)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13,843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11,594</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3,825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6,950</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(91,828)</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21,222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300,648</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(24,245)</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(90,739)</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(5,594)</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(24,008)</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426,426</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621,422</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$3,482 and $2,587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(548,868)</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(547,600)</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(67)</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(25,793)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166,982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(158)</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(382,111)</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(572,394)</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7,361</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9,375</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(3,009)</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(1,958)</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(66,857)</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(180,457)</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789,946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384,715</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(597,972)</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(136,604)</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2,143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7,672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8,069</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(2,232)</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(167,930)</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(151,686)</w:t>
            </w:r>
          </w:p>
        </w:tc>
        <w:tc>
          <w:tcPr>
            <w:tcW w:w="0" w:type="dxa"/>
            <w:vAlign w:val="bottom"/>
          </w:tcPr>
          <w:p>
            <w:pPr>
              <w:spacing w:after="0"/>
              <w:rPr>
                <w:sz w:val="1"/>
                <w:szCs w:val="1"/>
                <w:color w:val="auto"/>
              </w:rPr>
            </w:pPr>
          </w:p>
        </w:tc>
      </w:tr>
      <w:tr>
        <w:trPr>
          <w:trHeight w:val="176"/>
        </w:trPr>
        <w:tc>
          <w:tcPr>
            <w:tcW w:w="82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347</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(30,108)</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(48,784)</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14,207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18,819</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11,642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131,189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124,503</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26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w:t>
      </w:r>
    </w:p>
    <w:p>
      <w:pPr>
        <w:jc w:val="center"/>
        <w:ind w:right="-9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99"/>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22"/>
          <w:szCs w:val="22"/>
          <w:color w:val="auto"/>
        </w:rPr>
        <w:t>The accompanying unaudited condensed consolidated balance sheets and statements of capitalization of Essential Utilities, Inc. and subsidiaries (collectively, the “Company”, “we”, “us” or “our”) at June 30, 2024, the unaudited condensed consolidated statements of operations and comprehensive income for the three and six months ended June 30, 2024, and the unaudited condensed consolidated statements of cash flow and of equity for the six months ended June 30, 2024 and 2023,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2023.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8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rising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June 30, 2024</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color w:val="auto"/>
              </w:rPr>
              <w:t>June 30, 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70,597</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34,046</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76,476</w:t>
            </w: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250,481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48,187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128,203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2,901</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244,286</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45,941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138,951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251,505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48,073</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128,188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6,640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245,053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45,970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138,983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6,694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June 30, 2024</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color w:val="auto"/>
              </w:rPr>
              <w:t>June 30, 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317,243</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277,523</w:t>
            </w:r>
          </w:p>
        </w:tc>
        <w:tc>
          <w:tcPr>
            <w:tcW w:w="60" w:type="dxa"/>
            <w:vAlign w:val="bottom"/>
          </w:tcPr>
          <w:p>
            <w:pPr>
              <w:spacing w:after="0"/>
              <w:rPr>
                <w:sz w:val="14"/>
                <w:szCs w:val="14"/>
                <w:color w:val="auto"/>
              </w:rPr>
            </w:pPr>
          </w:p>
        </w:tc>
        <w:tc>
          <w:tcPr>
            <w:tcW w:w="4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314,373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67,536</w:t>
            </w:r>
          </w:p>
        </w:tc>
        <w:tc>
          <w:tcPr>
            <w:tcW w:w="60" w:type="dxa"/>
            <w:vAlign w:val="bottom"/>
          </w:tcPr>
          <w:p>
            <w:pPr>
              <w:spacing w:after="0"/>
              <w:rPr>
                <w:sz w:val="14"/>
                <w:szCs w:val="1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368,706</w:t>
            </w:r>
          </w:p>
        </w:tc>
        <w:tc>
          <w:tcPr>
            <w:tcW w:w="60" w:type="dxa"/>
            <w:vAlign w:val="bottom"/>
          </w:tcPr>
          <w:p>
            <w:pPr>
              <w:spacing w:after="0"/>
              <w:rPr>
                <w:sz w:val="14"/>
                <w:szCs w:val="14"/>
                <w:color w:val="auto"/>
              </w:rPr>
            </w:pPr>
          </w:p>
        </w:tc>
        <w:tc>
          <w:tcPr>
            <w:tcW w:w="3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87,728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105,882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478,179</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96,929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451,383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459,452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91,334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578,857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8,808</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21,900</w:t>
            </w: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479,859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96,802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452,519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17,295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460,621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91,543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580,278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30,708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Completed</w:t>
      </w:r>
    </w:p>
    <w:p>
      <w:pPr>
        <w:spacing w:after="0" w:line="22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In May 2024, the Company acquired the wastewater utility assets of Westfield HOA, which serves approximately 200 customers within Westfield Homeowners Subdivision in Glenview, Illinois for a cash purchase price of $67.</w:t>
      </w:r>
    </w:p>
    <w:p>
      <w:pPr>
        <w:spacing w:after="0" w:line="1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Additionally, in July 2023, the Company completed their acquisition of a portion of the water and wastewater utility assets of the Village of Frankfort, an Illinois municipality, which serves approximately 1,500 customers for $1,424.</w:t>
      </w:r>
    </w:p>
    <w:p>
      <w:pPr>
        <w:spacing w:after="0" w:line="192"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In June 2023, the Company acquired the wastewater utility assets of Union Rome, Ohio, which serves approximately 4,300 customers for a cash purchase price of $25,547.</w:t>
      </w:r>
    </w:p>
    <w:p>
      <w:pPr>
        <w:spacing w:after="0" w:line="118"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2"/>
          <w:szCs w:val="22"/>
          <w:color w:val="auto"/>
        </w:rPr>
        <w:t>In March 2023, the Company acquired the North Heidelberg Sewer Company in Berks County, Pennsylvania, which serves approximately 300 customer connections for a cash purchase price of $136.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allocation for these acquisitions consisted primarily of property, plant and equipment.</w:t>
      </w:r>
    </w:p>
    <w:p>
      <w:pPr>
        <w:spacing w:after="0" w:line="22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The pro forma effect of the utility systems acquired is not material either individually or collectively to the Company’s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Pending Completion</w:t>
      </w:r>
    </w:p>
    <w:p>
      <w:pPr>
        <w:spacing w:after="0" w:line="226"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In June 2024, the Company entered into a purchase agreement to acquire private water and wastewater utility assets in Harris County, Texas, which serves approximately 400 equivalent retail customers for $1,125.</w:t>
      </w:r>
    </w:p>
    <w:p>
      <w:pPr>
        <w:spacing w:after="0" w:line="186"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21"/>
          <w:szCs w:val="21"/>
          <w:color w:val="auto"/>
        </w:rPr>
        <w:t>In December 2023, the Company entered into a purchase agreement to acquire North Versailles wastewater assets in North Versailles Township, Pennsylvania which serves approximately 4,400 customers for between $25,000 and $30,000.</w:t>
      </w:r>
    </w:p>
    <w:p>
      <w:pPr>
        <w:spacing w:after="0" w:line="136"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32"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2"/>
          <w:szCs w:val="22"/>
          <w:color w:val="auto"/>
        </w:rPr>
        <w:t>In October 2021, the Company entered into a purchase agreement to acquire the wastewater utility assets of the City of Beaver Falls, Pennsylvania which consists of approximately 7,600 equivalent retail customers for $41,250.</w:t>
      </w:r>
    </w:p>
    <w:p>
      <w:pPr>
        <w:spacing w:after="0" w:line="186"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2025. Closing for our utility acquisitions are subject to the timing of the respective regulatory approval processes.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East Whiteland Purchase Agreement</w:t>
      </w:r>
    </w:p>
    <w:p>
      <w:pPr>
        <w:spacing w:after="0" w:line="22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 2024, the Pennsylvania Supreme Court granted the Petitions for Allowance of Appeal of the Pennsylvania Public Utility Commission, the Company, and East Whiteland Township. Management believes the final resolution of this matter will not have a material adverse effect on the Company’s financial position,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1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There are several legal proceedings involving the Company as a result of the purchase agreement that are on-going. For additional information, refer to the Company’s Annual Report on Form 10-K for the year ended December 31, 2023.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regulatory approval and on-going litigation.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w:t>
      </w:r>
      <w:r>
        <w:rPr>
          <w:rFonts w:ascii="Times New Roman" w:cs="Times New Roman" w:eastAsia="Times New Roman" w:hAnsi="Times New Roman"/>
          <w:sz w:val="22"/>
          <w:szCs w:val="22"/>
          <w:b w:val="1"/>
          <w:bCs w:val="1"/>
          <w:i w:val="1"/>
          <w:iCs w:val="1"/>
          <w:color w:val="auto"/>
        </w:rPr>
        <w:t>Dispositions</w:t>
      </w:r>
    </w:p>
    <w:p>
      <w:pPr>
        <w:spacing w:after="0" w:line="212"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On October 1, 2023, the Company sold its regulated natural gas utility assets in West Virginia, which served approximately 13,000 customers or about two percent of the Company’s regulated natural gas customers (“Peoples Gas West Virginia”). Initially the sale closed for an estimated purchase price of $39,965, subject to working capital and other adjustments. In March 2024, the Company received an additional $1,213 from the buyer. The additional proceeds were based on finalizing closing working capital and other adjustments, resulting in a final purchase price of $41,178 and a loss of an inconsequential amount. The sale of Peoples Gas West Virginia had no major effect on the Company’s operations and did not meet the requirements to be classified as discontinued operations.</w:t>
      </w:r>
    </w:p>
    <w:p>
      <w:pPr>
        <w:spacing w:after="0" w:line="18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In October 2023, the Company entered into an agreement to sell its interest in three non-utility local microgrid and distributed energy projects for $165,000. As of December 31, 2023, balances associated with these projects of $63,182 were included in prepayments and other current assets in the condensed consolidated balance sheets. The sale was completed in January 2024, and the Company recognized a gain of $91,236 during the first quarter of 2024 which is included in other expense (income) in the accompanying condensed consolidated statement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Regulated Water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2,340,738</w:t>
            </w:r>
          </w:p>
        </w:tc>
      </w:tr>
      <w:tr>
        <w:trPr>
          <w:trHeight w:val="189"/>
        </w:trPr>
        <w:tc>
          <w:tcPr>
            <w:tcW w:w="54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3"/>
        </w:trPr>
        <w:tc>
          <w:tcPr>
            <w:tcW w:w="5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2024</w:t>
            </w: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2,340,731</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38"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12"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1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(“2022 ATM”) with third-party sales agents, under which the Company offered and sold shares of its common stock, from time to time, at its option, pursuant to the Company’s then-effective shelf registration statement on Form S-3 (File No. 333-255235) that expired in April 2024. The Company used the net proceeds from the sales of shares through the 2022 ATM for working capital, capital expenditures, water and wastewater utility acquisitions and repaying outstanding indebtedness. During the three and six months ended June 30, 2024, there were no common stock sales under the 2022 ATM. As of December 31, 2023, the Company had issued 10,260,833 shares of common stock for net proceeds of $386,023 under the 2022 ATM.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 and Loans Payable</w:t>
      </w:r>
    </w:p>
    <w:p>
      <w:pPr>
        <w:spacing w:after="0" w:line="226"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21"/>
          <w:szCs w:val="21"/>
          <w:color w:val="auto"/>
        </w:rPr>
        <w:t>On June 12, 2024, Aqua Pennsylvania and Peoples Natural Gas Companies amended the terms of their respective $100,000 and $300,000, 364-day revolving credit agreements, as follows: (1) extended the maturity dates to June 10, 2025; and (2) revised the interest rate index from the Bloomberg Short-Term Bank Yield Index (BSBY) to the Secured Overnight Financing Rate (SOFR).</w:t>
      </w:r>
    </w:p>
    <w:p>
      <w:pPr>
        <w:spacing w:after="0" w:line="183"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On January 8, 2024, the Company issued $500,000 of long-term debt (the “2024 Senior Notes”), less expenses of $4,610, due in 2034 with an interest rate of 5.375%. The Company used the net proceeds from the issuance of 2024 Senior Notes (1) to repay a portion of the borrowings under the Company’s existing five year unsecured revolving credit facility, and (2) for general corporate purposes.</w:t>
      </w:r>
    </w:p>
    <w:p>
      <w:pPr>
        <w:spacing w:after="0" w:line="179"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1"/>
          <w:szCs w:val="21"/>
          <w:color w:val="auto"/>
        </w:rPr>
        <w:t>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bonds were used to repay existing indebtedness and for general corporate purposes.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six months ended June 30, 2024 and 2023.</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June 30, 2024 and December 31, 2023, the carrying amount of the Company’s loans payable was $93,267 and $160,123, respectively, which equates to their estimated fair value. The fair value of cash and cash equivalents, is determined based on Level 1 methods and assumptions. As of June 30, 2024 and December 31, 2023, the carrying amounts of the Company's cash and cash equivalents was $18,819 and $4,612,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2024 and December 31, 2023, the carrying amount of these securities was $28,968 and $26,442, respectively, which equates to their fair value, and is reported in the condensed consolidated balance sheet in deferred charges and other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June 30,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84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6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720" w:type="dxa"/>
            <w:vAlign w:val="bottom"/>
            <w:tcBorders>
              <w:top w:val="single" w:sz="8" w:color="auto"/>
            </w:tcBorders>
            <w:shd w:val="clear" w:color="auto" w:fill="CCEEFF"/>
          </w:tcPr>
          <w:p>
            <w:pPr>
              <w:jc w:val="right"/>
              <w:ind w:right="5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197</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211</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618</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6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Unrealized gain recognized during the reporting period on equity securities still held at the</w:t>
            </w:r>
          </w:p>
        </w:tc>
        <w:tc>
          <w:tcPr>
            <w:tcW w:w="720" w:type="dxa"/>
            <w:vAlign w:val="bottom"/>
            <w:vMerge w:val="restart"/>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w:t>
            </w:r>
          </w:p>
        </w:tc>
        <w:tc>
          <w:tcPr>
            <w:tcW w:w="900" w:type="dxa"/>
            <w:vAlign w:val="bottom"/>
            <w:gridSpan w:val="2"/>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211</w:t>
            </w:r>
          </w:p>
        </w:tc>
        <w:tc>
          <w:tcPr>
            <w:tcW w:w="2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date</w:t>
            </w:r>
          </w:p>
        </w:tc>
        <w:tc>
          <w:tcPr>
            <w:tcW w:w="7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120"/>
        <w:spacing w:after="0" w:line="245" w:lineRule="auto"/>
        <w:rPr>
          <w:sz w:val="20"/>
          <w:szCs w:val="20"/>
          <w:color w:val="auto"/>
        </w:rPr>
      </w:pPr>
      <w:r>
        <w:rPr>
          <w:rFonts w:ascii="Times New Roman" w:cs="Times New Roman" w:eastAsia="Times New Roman" w:hAnsi="Times New Roman"/>
          <w:sz w:val="22"/>
          <w:szCs w:val="22"/>
          <w:color w:val="auto"/>
        </w:rPr>
        <w:t>The net gain recognized on equity securities is presented on the condensed consolidated statements of operations and comprehensive income on the line item “Other,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780" w:type="dxa"/>
            <w:vAlign w:val="bottom"/>
          </w:tcPr>
          <w:p>
            <w:pPr>
              <w:spacing w:after="0"/>
              <w:rPr>
                <w:sz w:val="24"/>
                <w:szCs w:val="24"/>
                <w:color w:val="auto"/>
              </w:rPr>
            </w:pPr>
          </w:p>
        </w:tc>
        <w:tc>
          <w:tcPr>
            <w:tcW w:w="202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w w:val="98"/>
              </w:rPr>
              <w:t>June 30,</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8"/>
        </w:trPr>
        <w:tc>
          <w:tcPr>
            <w:tcW w:w="478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2024</w:t>
            </w: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2023</w:t>
            </w:r>
          </w:p>
        </w:tc>
      </w:tr>
      <w:tr>
        <w:trPr>
          <w:trHeight w:val="26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Carrying amount</w:t>
            </w:r>
          </w:p>
        </w:tc>
        <w:tc>
          <w:tcPr>
            <w:tcW w:w="2020" w:type="dxa"/>
            <w:vAlign w:val="bottom"/>
            <w:shd w:val="clear" w:color="auto" w:fill="CCEEFF"/>
          </w:tcPr>
          <w:p>
            <w:pPr>
              <w:jc w:val="right"/>
              <w:ind w:right="17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7,129,410</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6,938,009</w:t>
            </w:r>
          </w:p>
        </w:tc>
      </w:tr>
      <w:tr>
        <w:trPr>
          <w:trHeight w:val="309"/>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20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6,036,732</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5,980,722</w:t>
            </w:r>
          </w:p>
        </w:tc>
      </w:tr>
    </w:tbl>
    <w:p>
      <w:pPr>
        <w:spacing w:after="0" w:line="20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$118,121 as of June 30, 2024, and $128,755 as of December 31, 2023. Their relative fair values cannot be accurately estimated because future refund payments depend on several variables, including new customer connections, customer consumption levels, and future rates. Portions of these non-interest-bearing instruments are payable annually through 2033, and amounts not paid by the respective contract expiration dates become non-refundable. The fair value of these amounts would, however, be less than their carrying value due to the non-interest-bearing feature.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2"/>
                <w:szCs w:val="22"/>
                <w:color w:val="auto"/>
              </w:rPr>
            </w:pP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Six Months Ended</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680" w:type="dxa"/>
            <w:vAlign w:val="bottom"/>
            <w:tcBorders>
              <w:bottom w:val="single" w:sz="8" w:color="auto"/>
            </w:tcBorders>
            <w:gridSpan w:val="3"/>
          </w:tcPr>
          <w:p>
            <w:pPr>
              <w:jc w:val="center"/>
              <w:ind w:left="772"/>
              <w:spacing w:after="0"/>
              <w:rPr>
                <w:sz w:val="20"/>
                <w:szCs w:val="20"/>
                <w:color w:val="auto"/>
              </w:rPr>
            </w:pPr>
            <w:r>
              <w:rPr>
                <w:rFonts w:ascii="Times New Roman" w:cs="Times New Roman" w:eastAsia="Times New Roman" w:hAnsi="Times New Roman"/>
                <w:sz w:val="22"/>
                <w:szCs w:val="22"/>
                <w:color w:val="auto"/>
                <w:w w:val="98"/>
              </w:rPr>
              <w:t>June 30,</w:t>
            </w:r>
          </w:p>
        </w:tc>
        <w:tc>
          <w:tcPr>
            <w:tcW w:w="8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Borders>
              <w:bottom w:val="single" w:sz="8" w:color="auto"/>
            </w:tcBorders>
            <w:gridSpan w:val="3"/>
          </w:tcPr>
          <w:p>
            <w:pPr>
              <w:jc w:val="center"/>
              <w:ind w:left="732"/>
              <w:spacing w:after="0"/>
              <w:rPr>
                <w:sz w:val="20"/>
                <w:szCs w:val="20"/>
                <w:color w:val="auto"/>
              </w:rPr>
            </w:pPr>
            <w:r>
              <w:rPr>
                <w:rFonts w:ascii="Times New Roman" w:cs="Times New Roman" w:eastAsia="Times New Roman" w:hAnsi="Times New Roman"/>
                <w:sz w:val="22"/>
                <w:szCs w:val="22"/>
                <w:color w:val="auto"/>
                <w:w w:val="98"/>
              </w:rPr>
              <w:t>June 30,</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99"/>
              </w:rPr>
              <w:t>2023</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w w:val="99"/>
              </w:rPr>
              <w:t>2023</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273,567</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264,418</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273,472</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264,306</w:t>
            </w:r>
          </w:p>
        </w:tc>
        <w:tc>
          <w:tcPr>
            <w:tcW w:w="0" w:type="dxa"/>
            <w:vAlign w:val="bottom"/>
          </w:tcPr>
          <w:p>
            <w:pPr>
              <w:spacing w:after="0"/>
              <w:rPr>
                <w:sz w:val="1"/>
                <w:szCs w:val="1"/>
                <w:color w:val="auto"/>
              </w:rPr>
            </w:pPr>
          </w:p>
        </w:tc>
      </w:tr>
      <w:tr>
        <w:trPr>
          <w:trHeight w:val="230"/>
        </w:trPr>
        <w:tc>
          <w:tcPr>
            <w:tcW w:w="60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386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400</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397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534</w:t>
            </w:r>
          </w:p>
        </w:tc>
        <w:tc>
          <w:tcPr>
            <w:tcW w:w="0" w:type="dxa"/>
            <w:vAlign w:val="bottom"/>
          </w:tcPr>
          <w:p>
            <w:pPr>
              <w:spacing w:after="0"/>
              <w:rPr>
                <w:sz w:val="1"/>
                <w:szCs w:val="1"/>
                <w:color w:val="auto"/>
              </w:rPr>
            </w:pPr>
          </w:p>
        </w:tc>
      </w:tr>
      <w:tr>
        <w:trPr>
          <w:trHeight w:val="196"/>
        </w:trPr>
        <w:tc>
          <w:tcPr>
            <w:tcW w:w="602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273,953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264,818</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273,869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264,840</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computation</w:t>
            </w:r>
          </w:p>
        </w:tc>
        <w:tc>
          <w:tcPr>
            <w:tcW w:w="112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that were not included in the diluted earnings per share calculation because the effect would have been anti-dilutive was: 265,378 for the three and six months ended June 30, 2024; and 150,062 for the three and six months ended June 30, 2023. Additionally, the dilutive effect of performance share units and restricted share units granted are included in the Company’s calculation of diluted net income per share.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2024, 1,229,638 shares were still available for issuance under the Plan. No further grants may be made under the Company’s 2004 Equity Compensation Plan.</w:t>
      </w:r>
    </w:p>
    <w:p>
      <w:pPr>
        <w:spacing w:after="0" w:line="19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center"/>
              <w:ind w:right="1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center"/>
              <w:ind w:right="192"/>
              <w:spacing w:after="0"/>
              <w:rPr>
                <w:sz w:val="20"/>
                <w:szCs w:val="20"/>
                <w:color w:val="auto"/>
              </w:rPr>
            </w:pPr>
            <w:r>
              <w:rPr>
                <w:rFonts w:ascii="Times New Roman" w:cs="Times New Roman" w:eastAsia="Times New Roman" w:hAnsi="Times New Roman"/>
                <w:sz w:val="22"/>
                <w:szCs w:val="22"/>
                <w:color w:val="auto"/>
                <w:w w:val="97"/>
              </w:rPr>
              <w:t>Six Months Ended</w:t>
            </w:r>
          </w:p>
        </w:tc>
      </w:tr>
      <w:tr>
        <w:trPr>
          <w:trHeight w:val="257"/>
        </w:trPr>
        <w:tc>
          <w:tcPr>
            <w:tcW w:w="4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672"/>
              <w:spacing w:after="0"/>
              <w:rPr>
                <w:sz w:val="20"/>
                <w:szCs w:val="20"/>
                <w:color w:val="auto"/>
              </w:rPr>
            </w:pPr>
            <w:r>
              <w:rPr>
                <w:rFonts w:ascii="Times New Roman" w:cs="Times New Roman" w:eastAsia="Times New Roman" w:hAnsi="Times New Roman"/>
                <w:sz w:val="22"/>
                <w:szCs w:val="22"/>
                <w:color w:val="auto"/>
                <w:w w:val="98"/>
              </w:rPr>
              <w:t>June 30,</w:t>
            </w:r>
          </w:p>
        </w:tc>
        <w:tc>
          <w:tcPr>
            <w:tcW w:w="11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22"/>
                <w:szCs w:val="22"/>
                <w:color w:val="auto"/>
                <w:w w:val="98"/>
              </w:rPr>
              <w:t>June 30,</w:t>
            </w:r>
          </w:p>
        </w:tc>
        <w:tc>
          <w:tcPr>
            <w:tcW w:w="1040" w:type="dxa"/>
            <w:vAlign w:val="bottom"/>
            <w:tcBorders>
              <w:bottom w:val="single" w:sz="8" w:color="auto"/>
            </w:tcBorders>
          </w:tcPr>
          <w:p>
            <w:pPr>
              <w:spacing w:after="0"/>
              <w:rPr>
                <w:sz w:val="22"/>
                <w:szCs w:val="22"/>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5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1,082</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1,962</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1,188</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4,405</w:t>
            </w:r>
          </w:p>
        </w:tc>
      </w:tr>
      <w:tr>
        <w:trPr>
          <w:trHeight w:val="282"/>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six months ended June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3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531,437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40.03</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227,284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38.10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486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(156,857)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31.59</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Share units issued</w:t>
            </w:r>
          </w:p>
        </w:tc>
        <w:tc>
          <w:tcPr>
            <w:tcW w:w="4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(96,425)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43.40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86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(11,599)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41.69</w:t>
            </w:r>
          </w:p>
        </w:tc>
        <w:tc>
          <w:tcPr>
            <w:tcW w:w="0" w:type="dxa"/>
            <w:vAlign w:val="bottom"/>
          </w:tcPr>
          <w:p>
            <w:pPr>
              <w:spacing w:after="0"/>
              <w:rPr>
                <w:sz w:val="1"/>
                <w:szCs w:val="1"/>
                <w:color w:val="auto"/>
              </w:rPr>
            </w:pPr>
          </w:p>
        </w:tc>
      </w:tr>
      <w:tr>
        <w:trPr>
          <w:trHeight w:val="223"/>
        </w:trPr>
        <w:tc>
          <w:tcPr>
            <w:tcW w:w="47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33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493,840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41.14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40" w:type="dxa"/>
            <w:vAlign w:val="bottom"/>
            <w:vMerge w:val="restart"/>
          </w:tcPr>
          <w:p>
            <w:pPr>
              <w:jc w:val="right"/>
              <w:ind w:right="2192"/>
              <w:spacing w:after="0"/>
              <w:rPr>
                <w:sz w:val="20"/>
                <w:szCs w:val="20"/>
                <w:color w:val="auto"/>
              </w:rPr>
            </w:pPr>
            <w:r>
              <w:rPr>
                <w:rFonts w:ascii="Times New Roman" w:cs="Times New Roman" w:eastAsia="Times New Roman" w:hAnsi="Times New Roman"/>
                <w:sz w:val="22"/>
                <w:szCs w:val="22"/>
                <w:color w:val="auto"/>
              </w:rPr>
              <w:t>18</w:t>
            </w: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2024 and 2023 was $38.10 and $45.06,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400" w:type="dxa"/>
            <w:vAlign w:val="bottom"/>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0" w:type="dxa"/>
            <w:vAlign w:val="bottom"/>
            <w:gridSpan w:val="4"/>
          </w:tcPr>
          <w:p>
            <w:pPr>
              <w:jc w:val="center"/>
              <w:ind w:right="232"/>
              <w:spacing w:after="0"/>
              <w:rPr>
                <w:sz w:val="20"/>
                <w:szCs w:val="20"/>
                <w:color w:val="auto"/>
              </w:rPr>
            </w:pPr>
            <w:r>
              <w:rPr>
                <w:rFonts w:ascii="Times New Roman" w:cs="Times New Roman" w:eastAsia="Times New Roman" w:hAnsi="Times New Roman"/>
                <w:sz w:val="22"/>
                <w:szCs w:val="22"/>
                <w:color w:val="auto"/>
                <w:w w:val="98"/>
              </w:rPr>
              <w:t>Six Months Ended</w:t>
            </w:r>
          </w:p>
        </w:tc>
      </w:tr>
      <w:tr>
        <w:trPr>
          <w:trHeight w:val="257"/>
        </w:trPr>
        <w:tc>
          <w:tcPr>
            <w:tcW w:w="484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22"/>
                <w:szCs w:val="22"/>
                <w:color w:val="auto"/>
                <w:w w:val="98"/>
              </w:rPr>
              <w:t>June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22"/>
                <w:szCs w:val="22"/>
                <w:color w:val="auto"/>
                <w:w w:val="98"/>
              </w:rPr>
              <w:t>June 30,</w:t>
            </w:r>
          </w:p>
        </w:tc>
        <w:tc>
          <w:tcPr>
            <w:tcW w:w="1160" w:type="dxa"/>
            <w:vAlign w:val="bottom"/>
            <w:tcBorders>
              <w:bottom w:val="single" w:sz="8" w:color="auto"/>
            </w:tcBorders>
          </w:tcPr>
          <w:p>
            <w:pPr>
              <w:spacing w:after="0"/>
              <w:rPr>
                <w:sz w:val="22"/>
                <w:szCs w:val="22"/>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6"/>
              </w:rPr>
              <w:t>724</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22"/>
                <w:szCs w:val="22"/>
                <w:color w:val="auto"/>
                <w:w w:val="9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759</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1,570</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1,440</w:t>
            </w: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182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361</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six months ended June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94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8"/>
              </w:rPr>
              <w:t>Stock Units</w:t>
            </w:r>
          </w:p>
        </w:tc>
        <w:tc>
          <w:tcPr>
            <w:tcW w:w="240" w:type="dxa"/>
            <w:vAlign w:val="bottom"/>
          </w:tcPr>
          <w:p>
            <w:pPr>
              <w:spacing w:after="0"/>
              <w:rPr>
                <w:sz w:val="22"/>
                <w:szCs w:val="22"/>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192,217</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45.06</w:t>
            </w:r>
          </w:p>
        </w:tc>
      </w:tr>
      <w:tr>
        <w:trPr>
          <w:trHeight w:val="229"/>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4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104,661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36.61</w:t>
            </w:r>
          </w:p>
        </w:tc>
      </w:tr>
      <w:tr>
        <w:trPr>
          <w:trHeight w:val="230"/>
        </w:trPr>
        <w:tc>
          <w:tcPr>
            <w:tcW w:w="79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(64,618)</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44.45</w:t>
            </w:r>
          </w:p>
        </w:tc>
      </w:tr>
      <w:tr>
        <w:trPr>
          <w:trHeight w:val="230"/>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(4,966)</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41.75</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227,294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41.39</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six months ended June 30, 2024 and 2023 was $36.61 and $45.61,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60" w:type="dxa"/>
            <w:vAlign w:val="bottom"/>
            <w:gridSpan w:val="4"/>
          </w:tcPr>
          <w:p>
            <w:pPr>
              <w:jc w:val="right"/>
              <w:ind w:right="51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57"/>
        </w:trPr>
        <w:tc>
          <w:tcPr>
            <w:tcW w:w="4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June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920" w:type="dxa"/>
            <w:vAlign w:val="bottom"/>
            <w:tcBorders>
              <w:bottom w:val="single" w:sz="8" w:color="auto"/>
            </w:tcBorders>
          </w:tcPr>
          <w:p>
            <w:pPr>
              <w:spacing w:after="0"/>
              <w:rPr>
                <w:sz w:val="22"/>
                <w:szCs w:val="22"/>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7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5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71</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22"/>
                <w:szCs w:val="22"/>
                <w:color w:val="auto"/>
                <w:w w:val="72"/>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222</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299</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pacing w:after="0" w:line="149" w:lineRule="exact"/>
        <w:rPr>
          <w:sz w:val="20"/>
          <w:szCs w:val="20"/>
          <w:color w:val="auto"/>
        </w:rPr>
      </w:pPr>
    </w:p>
    <w:p>
      <w:pPr>
        <w:ind w:right="9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2024</w:t>
            </w:r>
          </w:p>
        </w:tc>
        <w:tc>
          <w:tcPr>
            <w:tcW w:w="10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45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80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30"/>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192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4.00%</w:t>
            </w:r>
          </w:p>
        </w:tc>
        <w:tc>
          <w:tcPr>
            <w:tcW w:w="800" w:type="dxa"/>
            <w:vAlign w:val="bottom"/>
          </w:tcPr>
          <w:p>
            <w:pPr>
              <w:spacing w:after="0"/>
              <w:rPr>
                <w:sz w:val="19"/>
                <w:szCs w:val="19"/>
                <w:color w:val="auto"/>
              </w:rPr>
            </w:pPr>
          </w:p>
        </w:tc>
        <w:tc>
          <w:tcPr>
            <w:tcW w:w="254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4.03%</w:t>
            </w:r>
          </w:p>
        </w:tc>
      </w:tr>
      <w:tr>
        <w:trPr>
          <w:trHeight w:val="229"/>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28.30%</w:t>
            </w:r>
          </w:p>
        </w:tc>
        <w:tc>
          <w:tcPr>
            <w:tcW w:w="80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27.80%</w:t>
            </w:r>
          </w:p>
        </w:tc>
      </w:tr>
      <w:tr>
        <w:trPr>
          <w:trHeight w:val="230"/>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192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3.43%</w:t>
            </w:r>
          </w:p>
        </w:tc>
        <w:tc>
          <w:tcPr>
            <w:tcW w:w="800" w:type="dxa"/>
            <w:vAlign w:val="bottom"/>
          </w:tcPr>
          <w:p>
            <w:pPr>
              <w:spacing w:after="0"/>
              <w:rPr>
                <w:sz w:val="19"/>
                <w:szCs w:val="19"/>
                <w:color w:val="auto"/>
              </w:rPr>
            </w:pPr>
          </w:p>
        </w:tc>
        <w:tc>
          <w:tcPr>
            <w:tcW w:w="254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2.53%</w:t>
            </w:r>
          </w:p>
        </w:tc>
      </w:tr>
      <w:tr>
        <w:trPr>
          <w:trHeight w:val="230"/>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1920" w:type="dxa"/>
            <w:vAlign w:val="bottom"/>
            <w:shd w:val="clear" w:color="auto" w:fill="CCEEFF"/>
          </w:tcPr>
          <w:p>
            <w:pPr>
              <w:jc w:val="right"/>
              <w:ind w:right="17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8.12</w:t>
            </w:r>
          </w:p>
        </w:tc>
        <w:tc>
          <w:tcPr>
            <w:tcW w:w="800" w:type="dxa"/>
            <w:vAlign w:val="bottom"/>
            <w:shd w:val="clear" w:color="auto" w:fill="CCEEFF"/>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4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11.37</w:t>
            </w:r>
          </w:p>
        </w:tc>
      </w:tr>
    </w:tbl>
    <w:p>
      <w:pPr>
        <w:spacing w:after="0" w:line="21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six months ended June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29"/>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0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7"/>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Life (years)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882,442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37.03</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119,548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35.78</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(2,055)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39.64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Expired</w:t>
            </w:r>
          </w:p>
        </w:tc>
        <w:tc>
          <w:tcPr>
            <w:tcW w:w="14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(1,367)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41.66</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(12,088)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35.02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0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986,480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36.90</w:t>
            </w:r>
          </w:p>
        </w:tc>
        <w:tc>
          <w:tcPr>
            <w:tcW w:w="20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5.6</w:t>
            </w:r>
          </w:p>
        </w:tc>
        <w:tc>
          <w:tcPr>
            <w:tcW w:w="4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1,598</w:t>
            </w:r>
          </w:p>
        </w:tc>
      </w:tr>
      <w:tr>
        <w:trPr>
          <w:trHeight w:val="20"/>
        </w:trPr>
        <w:tc>
          <w:tcPr>
            <w:tcW w:w="50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502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795,896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36.30</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4.7</w:t>
            </w:r>
          </w:p>
        </w:tc>
        <w:tc>
          <w:tcPr>
            <w:tcW w:w="420" w:type="dxa"/>
            <w:vAlign w:val="bottom"/>
            <w:tcBorders>
              <w:bottom w:val="single" w:sz="8" w:color="auto"/>
            </w:tcBorders>
            <w:gridSpan w:val="2"/>
            <w:shd w:val="clear" w:color="auto" w:fill="CCEEFF"/>
          </w:tcPr>
          <w:p>
            <w:pPr>
              <w:jc w:val="right"/>
              <w:ind w:right="1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1,414</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2720" w:type="dxa"/>
            <w:vAlign w:val="bottom"/>
            <w:gridSpan w:val="4"/>
          </w:tcPr>
          <w:p>
            <w:pPr>
              <w:jc w:val="center"/>
              <w:ind w:left="27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4"/>
          </w:tcPr>
          <w:p>
            <w:pPr>
              <w:jc w:val="center"/>
              <w:ind w:right="192"/>
              <w:spacing w:after="0"/>
              <w:rPr>
                <w:sz w:val="20"/>
                <w:szCs w:val="20"/>
                <w:color w:val="auto"/>
              </w:rPr>
            </w:pPr>
            <w:r>
              <w:rPr>
                <w:rFonts w:ascii="Times New Roman" w:cs="Times New Roman" w:eastAsia="Times New Roman" w:hAnsi="Times New Roman"/>
                <w:sz w:val="22"/>
                <w:szCs w:val="22"/>
                <w:color w:val="auto"/>
                <w:w w:val="98"/>
              </w:rPr>
              <w:t>Six Months Ended</w:t>
            </w:r>
          </w:p>
        </w:tc>
      </w:tr>
      <w:tr>
        <w:trPr>
          <w:trHeight w:val="257"/>
        </w:trPr>
        <w:tc>
          <w:tcPr>
            <w:tcW w:w="48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center"/>
              <w:ind w:right="532"/>
              <w:spacing w:after="0"/>
              <w:rPr>
                <w:sz w:val="20"/>
                <w:szCs w:val="20"/>
                <w:color w:val="auto"/>
              </w:rPr>
            </w:pPr>
            <w:r>
              <w:rPr>
                <w:rFonts w:ascii="Times New Roman" w:cs="Times New Roman" w:eastAsia="Times New Roman" w:hAnsi="Times New Roman"/>
                <w:sz w:val="22"/>
                <w:szCs w:val="22"/>
                <w:color w:val="auto"/>
                <w:w w:val="98"/>
              </w:rPr>
              <w:t>June 30,</w:t>
            </w:r>
          </w:p>
        </w:tc>
        <w:tc>
          <w:tcPr>
            <w:tcW w:w="3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22"/>
                <w:szCs w:val="22"/>
                <w:color w:val="auto"/>
                <w:w w:val="98"/>
              </w:rPr>
              <w:t>June 30,</w:t>
            </w:r>
          </w:p>
        </w:tc>
        <w:tc>
          <w:tcPr>
            <w:tcW w:w="1040" w:type="dxa"/>
            <w:vAlign w:val="bottom"/>
            <w:tcBorders>
              <w:bottom w:val="single" w:sz="8" w:color="auto"/>
            </w:tcBorders>
          </w:tcPr>
          <w:p>
            <w:pPr>
              <w:spacing w:after="0"/>
              <w:rPr>
                <w:sz w:val="22"/>
                <w:szCs w:val="22"/>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04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w w:val="9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w w:val="9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2"/>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six months ended June 30,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r>
      <w:tr>
        <w:trPr>
          <w:trHeight w:val="230"/>
        </w:trPr>
        <w:tc>
          <w:tcPr>
            <w:tcW w:w="72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restricted stock awards granted during the six months ended June 30, 2024 and 2023.</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w:t>
      </w:r>
    </w:p>
    <w:p>
      <w:pPr>
        <w:spacing w:after="0" w:line="191"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The following table provides the compensation cost and income tax benefit for stock-based compensation related to stock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00" w:type="dxa"/>
            <w:vAlign w:val="bottom"/>
            <w:gridSpan w:val="4"/>
          </w:tcPr>
          <w:p>
            <w:pPr>
              <w:jc w:val="center"/>
              <w:ind w:left="33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60" w:type="dxa"/>
            <w:vAlign w:val="bottom"/>
            <w:gridSpan w:val="4"/>
          </w:tcPr>
          <w:p>
            <w:pPr>
              <w:jc w:val="center"/>
              <w:ind w:right="252"/>
              <w:spacing w:after="0"/>
              <w:rPr>
                <w:sz w:val="20"/>
                <w:szCs w:val="20"/>
                <w:color w:val="auto"/>
              </w:rPr>
            </w:pPr>
            <w:r>
              <w:rPr>
                <w:rFonts w:ascii="Times New Roman" w:cs="Times New Roman" w:eastAsia="Times New Roman" w:hAnsi="Times New Roman"/>
                <w:sz w:val="22"/>
                <w:szCs w:val="22"/>
                <w:color w:val="auto"/>
                <w:w w:val="98"/>
              </w:rPr>
              <w:t>Six Months Ended</w:t>
            </w:r>
          </w:p>
        </w:tc>
      </w:tr>
      <w:tr>
        <w:trPr>
          <w:trHeight w:val="257"/>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352"/>
              <w:spacing w:after="0"/>
              <w:rPr>
                <w:sz w:val="20"/>
                <w:szCs w:val="20"/>
                <w:color w:val="auto"/>
              </w:rPr>
            </w:pPr>
            <w:r>
              <w:rPr>
                <w:rFonts w:ascii="Times New Roman" w:cs="Times New Roman" w:eastAsia="Times New Roman" w:hAnsi="Times New Roman"/>
                <w:sz w:val="22"/>
                <w:szCs w:val="22"/>
                <w:color w:val="auto"/>
                <w:w w:val="98"/>
              </w:rPr>
              <w:t>June 30,</w:t>
            </w: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ind w:left="732"/>
              <w:spacing w:after="0"/>
              <w:rPr>
                <w:sz w:val="20"/>
                <w:szCs w:val="20"/>
                <w:color w:val="auto"/>
              </w:rPr>
            </w:pPr>
            <w:r>
              <w:rPr>
                <w:rFonts w:ascii="Times New Roman" w:cs="Times New Roman" w:eastAsia="Times New Roman" w:hAnsi="Times New Roman"/>
                <w:sz w:val="22"/>
                <w:szCs w:val="22"/>
                <w:color w:val="auto"/>
                <w:w w:val="98"/>
              </w:rPr>
              <w:t>June 30,</w:t>
            </w:r>
          </w:p>
        </w:tc>
        <w:tc>
          <w:tcPr>
            <w:tcW w:w="1180" w:type="dxa"/>
            <w:vAlign w:val="bottom"/>
            <w:tcBorders>
              <w:bottom w:val="single" w:sz="8" w:color="auto"/>
            </w:tcBorders>
          </w:tcPr>
          <w:p>
            <w:pPr>
              <w:spacing w:after="0"/>
              <w:rPr>
                <w:sz w:val="22"/>
                <w:szCs w:val="22"/>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12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6"/>
              </w:rPr>
              <w:t>840</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570</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840</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780</w:t>
            </w:r>
          </w:p>
        </w:tc>
      </w:tr>
      <w:tr>
        <w:trPr>
          <w:trHeight w:val="282"/>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233</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six months ended June 30,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Weighted</w:t>
            </w:r>
          </w:p>
        </w:tc>
      </w:tr>
      <w:tr>
        <w:trPr>
          <w:trHeight w:val="229"/>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14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Stock Awards</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29"/>
        </w:trPr>
        <w:tc>
          <w:tcPr>
            <w:tcW w:w="7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8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22,813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36.82</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(22,813)</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36.82</w:t>
            </w:r>
          </w:p>
        </w:tc>
      </w:tr>
      <w:tr>
        <w:trPr>
          <w:trHeight w:val="223"/>
        </w:trPr>
        <w:tc>
          <w:tcPr>
            <w:tcW w:w="7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weighted-average fair value at the date of grant for stock awards granted during the six months ended June 30, 2024 and 2023 was $36.82 and $41.78,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center"/>
              <w:ind w:right="92"/>
              <w:spacing w:after="0" w:line="246" w:lineRule="exact"/>
              <w:rPr>
                <w:sz w:val="20"/>
                <w:szCs w:val="20"/>
                <w:color w:val="auto"/>
              </w:rPr>
            </w:pPr>
            <w:r>
              <w:rPr>
                <w:rFonts w:ascii="Times New Roman" w:cs="Times New Roman" w:eastAsia="Times New Roman" w:hAnsi="Times New Roman"/>
                <w:sz w:val="22"/>
                <w:szCs w:val="22"/>
                <w:color w:val="auto"/>
                <w:w w:val="98"/>
              </w:rPr>
              <w:t>Pension Benefits</w:t>
            </w: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6"/>
          </w:tcPr>
          <w:p>
            <w:pPr>
              <w:jc w:val="right"/>
              <w:ind w:right="76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4"/>
          </w:tcPr>
          <w:p>
            <w:pPr>
              <w:jc w:val="right"/>
              <w:ind w:right="812"/>
              <w:spacing w:after="0" w:line="196" w:lineRule="exact"/>
              <w:rPr>
                <w:sz w:val="20"/>
                <w:szCs w:val="20"/>
                <w:color w:val="auto"/>
              </w:rPr>
            </w:pPr>
            <w:r>
              <w:rPr>
                <w:rFonts w:ascii="Times New Roman" w:cs="Times New Roman" w:eastAsia="Times New Roman" w:hAnsi="Times New Roman"/>
                <w:sz w:val="22"/>
                <w:szCs w:val="22"/>
                <w:color w:val="auto"/>
              </w:rPr>
              <w:t>Six Months Ended</w:t>
            </w:r>
          </w:p>
        </w:tc>
        <w:tc>
          <w:tcPr>
            <w:tcW w:w="20" w:type="dxa"/>
            <w:vAlign w:val="bottom"/>
          </w:tcPr>
          <w:p>
            <w:pPr>
              <w:spacing w:after="0"/>
              <w:rPr>
                <w:sz w:val="17"/>
                <w:szCs w:val="17"/>
                <w:color w:val="auto"/>
              </w:rPr>
            </w:pPr>
          </w:p>
        </w:tc>
      </w:tr>
      <w:tr>
        <w:trPr>
          <w:trHeight w:val="257"/>
        </w:trPr>
        <w:tc>
          <w:tcPr>
            <w:tcW w:w="4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22"/>
                <w:szCs w:val="22"/>
                <w:color w:val="auto"/>
              </w:rPr>
              <w:t>June 30,</w:t>
            </w:r>
          </w:p>
        </w:tc>
        <w:tc>
          <w:tcPr>
            <w:tcW w:w="10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22"/>
                <w:szCs w:val="22"/>
                <w:color w:val="auto"/>
              </w:rPr>
              <w:t>June 30,</w:t>
            </w:r>
          </w:p>
        </w:tc>
        <w:tc>
          <w:tcPr>
            <w:tcW w:w="1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714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801</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7,816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8,617</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(4,696)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(5,673)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(9,392)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(11,345)</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162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342</w:t>
            </w:r>
          </w:p>
        </w:tc>
        <w:tc>
          <w:tcPr>
            <w:tcW w:w="20" w:type="dxa"/>
            <w:vAlign w:val="bottom"/>
          </w:tcPr>
          <w:p>
            <w:pPr>
              <w:spacing w:after="0"/>
              <w:rPr>
                <w:sz w:val="19"/>
                <w:szCs w:val="19"/>
                <w:color w:val="auto"/>
              </w:rPr>
            </w:pPr>
          </w:p>
        </w:tc>
      </w:tr>
      <w:tr>
        <w:trPr>
          <w:trHeight w:val="229"/>
        </w:trPr>
        <w:tc>
          <w:tcPr>
            <w:tcW w:w="44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1,502</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1,618</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center"/>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802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33</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4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Other</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jc w:val="center"/>
              <w:ind w:right="17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54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right"/>
              <w:ind w:right="692"/>
              <w:spacing w:after="0" w:line="196" w:lineRule="exact"/>
              <w:rPr>
                <w:sz w:val="20"/>
                <w:szCs w:val="20"/>
                <w:color w:val="auto"/>
              </w:rPr>
            </w:pPr>
            <w:r>
              <w:rPr>
                <w:rFonts w:ascii="Times New Roman" w:cs="Times New Roman" w:eastAsia="Times New Roman" w:hAnsi="Times New Roman"/>
                <w:sz w:val="22"/>
                <w:szCs w:val="22"/>
                <w:color w:val="auto"/>
              </w:rPr>
              <w:t>Six Months Ended</w:t>
            </w:r>
          </w:p>
        </w:tc>
        <w:tc>
          <w:tcPr>
            <w:tcW w:w="20" w:type="dxa"/>
            <w:vAlign w:val="bottom"/>
          </w:tcPr>
          <w:p>
            <w:pPr>
              <w:spacing w:after="0"/>
              <w:rPr>
                <w:sz w:val="17"/>
                <w:szCs w:val="17"/>
                <w:color w:val="auto"/>
              </w:rPr>
            </w:pPr>
          </w:p>
        </w:tc>
      </w:tr>
      <w:tr>
        <w:trPr>
          <w:trHeight w:val="257"/>
        </w:trPr>
        <w:tc>
          <w:tcPr>
            <w:tcW w:w="4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9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color w:val="auto"/>
              </w:rPr>
              <w:t>June 30,</w:t>
            </w:r>
          </w:p>
        </w:tc>
        <w:tc>
          <w:tcPr>
            <w:tcW w:w="1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726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674</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2,224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2,238</w:t>
            </w:r>
          </w:p>
        </w:tc>
        <w:tc>
          <w:tcPr>
            <w:tcW w:w="20" w:type="dxa"/>
            <w:vAlign w:val="bottom"/>
          </w:tcPr>
          <w:p>
            <w:pPr>
              <w:spacing w:after="0"/>
              <w:rPr>
                <w:sz w:val="19"/>
                <w:szCs w:val="19"/>
                <w:color w:val="auto"/>
              </w:rPr>
            </w:pPr>
          </w:p>
        </w:tc>
      </w:tr>
      <w:tr>
        <w:trPr>
          <w:trHeight w:val="229"/>
        </w:trPr>
        <w:tc>
          <w:tcPr>
            <w:tcW w:w="44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(1,105)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line="229" w:lineRule="exact"/>
              <w:rPr>
                <w:sz w:val="20"/>
                <w:szCs w:val="20"/>
                <w:color w:val="auto"/>
              </w:rPr>
            </w:pPr>
            <w:r>
              <w:rPr>
                <w:rFonts w:ascii="Times New Roman" w:cs="Times New Roman" w:eastAsia="Times New Roman" w:hAnsi="Times New Roman"/>
                <w:sz w:val="22"/>
                <w:szCs w:val="22"/>
                <w:color w:val="auto"/>
              </w:rPr>
              <w:t>(1,093)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(2,210)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(2,186)</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(267)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line="229" w:lineRule="exact"/>
              <w:rPr>
                <w:sz w:val="20"/>
                <w:szCs w:val="20"/>
                <w:color w:val="auto"/>
              </w:rPr>
            </w:pPr>
            <w:r>
              <w:rPr>
                <w:rFonts w:ascii="Times New Roman" w:cs="Times New Roman" w:eastAsia="Times New Roman" w:hAnsi="Times New Roman"/>
                <w:sz w:val="22"/>
                <w:szCs w:val="22"/>
                <w:color w:val="auto"/>
              </w:rPr>
              <w:t>(330)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(534)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(659)</w:t>
            </w:r>
          </w:p>
        </w:tc>
        <w:tc>
          <w:tcPr>
            <w:tcW w:w="20" w:type="dxa"/>
            <w:vAlign w:val="bottom"/>
          </w:tcPr>
          <w:p>
            <w:pPr>
              <w:spacing w:after="0"/>
              <w:rPr>
                <w:sz w:val="19"/>
                <w:szCs w:val="19"/>
                <w:color w:val="auto"/>
              </w:rPr>
            </w:pPr>
          </w:p>
        </w:tc>
      </w:tr>
      <w:tr>
        <w:trPr>
          <w:trHeight w:val="223"/>
        </w:trPr>
        <w:tc>
          <w:tcPr>
            <w:tcW w:w="44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40" w:type="dxa"/>
            <w:vAlign w:val="bottom"/>
            <w:tcBorders>
              <w:top w:val="single" w:sz="8" w:color="auto"/>
              <w:bottom w:val="single" w:sz="8" w:color="auto"/>
            </w:tcBorders>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67</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 net”.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cash contributions made to the Pension Plan during the first six months of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Rate Activity</w:t>
      </w:r>
    </w:p>
    <w:p>
      <w:pPr>
        <w:spacing w:after="0" w:line="22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On May 23, 2024, Aqua Pennsylvania filed an application with the Pennsylvania Public Utility Commission designed to increase rates by $126,675 or 18.9% on an annual basis. The Company anticipates a final order to be issued by February 2025.</w:t>
      </w:r>
    </w:p>
    <w:p>
      <w:pPr>
        <w:spacing w:after="0" w:line="1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On January 19, 2024, Aqua New Jersey filed an application with the New Jersey Board of Public Utilities designed to increase water rates by $8,328 or 17.3% on an annual basis. The Company anticipates a final order to be issued by September 2024.</w:t>
      </w:r>
    </w:p>
    <w:p>
      <w:pPr>
        <w:spacing w:after="0" w:line="135"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On January 2, 2024, Aqua Illinois filed an application with the Illinois Commerce Commission designed to increase water and wastewater rates by $19,196 or 18.9% on an annual basis. The Company anticipates a final order to be issued by December 2024.</w:t>
      </w:r>
    </w:p>
    <w:p>
      <w:pPr>
        <w:spacing w:after="0" w:line="179" w:lineRule="exact"/>
        <w:rPr>
          <w:sz w:val="20"/>
          <w:szCs w:val="20"/>
          <w:color w:val="auto"/>
        </w:rPr>
      </w:pPr>
    </w:p>
    <w:p>
      <w:pPr>
        <w:jc w:val="both"/>
        <w:ind w:right="240"/>
        <w:spacing w:after="0" w:line="238" w:lineRule="auto"/>
        <w:rPr>
          <w:sz w:val="20"/>
          <w:szCs w:val="20"/>
          <w:color w:val="auto"/>
        </w:rPr>
      </w:pPr>
      <w:r>
        <w:rPr>
          <w:rFonts w:ascii="Times New Roman" w:cs="Times New Roman" w:eastAsia="Times New Roman" w:hAnsi="Times New Roman"/>
          <w:sz w:val="22"/>
          <w:szCs w:val="22"/>
          <w:color w:val="auto"/>
        </w:rPr>
        <w:t>On December 29, 2023, Peoples Natural Gas filed an application with the Pennsylvania Public Utility Commission designed to increase natural gas rates by $156,024 or 18.7% on an annual basis. The Company received a recommended decision from the administrative law judge on July 15, 2024 and anticipates a final order to be issued by September 2024.</w:t>
      </w:r>
    </w:p>
    <w:p>
      <w:pPr>
        <w:spacing w:after="0" w:line="17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On December 13, 2023, the Company’s regulated water and wastewater utility operating divisions in Ohio received an order from the Public Utilities Commission of Ohio designed to increase operating revenues by $4,850 annually. New rates for water and sewer service went into effect on December 13, 2023.</w:t>
      </w:r>
    </w:p>
    <w:p>
      <w:pPr>
        <w:spacing w:after="0" w:line="165" w:lineRule="exact"/>
        <w:rPr>
          <w:sz w:val="20"/>
          <w:szCs w:val="20"/>
          <w:color w:val="auto"/>
        </w:rPr>
      </w:pPr>
    </w:p>
    <w:p>
      <w:pPr>
        <w:jc w:val="both"/>
        <w:ind w:right="240"/>
        <w:spacing w:after="0" w:line="229" w:lineRule="auto"/>
        <w:rPr>
          <w:sz w:val="20"/>
          <w:szCs w:val="20"/>
          <w:color w:val="auto"/>
        </w:rPr>
      </w:pPr>
      <w:r>
        <w:rPr>
          <w:rFonts w:ascii="Times New Roman" w:cs="Times New Roman" w:eastAsia="Times New Roman" w:hAnsi="Times New Roman"/>
          <w:sz w:val="22"/>
          <w:szCs w:val="22"/>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 annually. The rates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on March 28, 2023 and implemented on an interim basis effective April 1, 2023 did not change with the final order.</w:t>
      </w:r>
    </w:p>
    <w:p>
      <w:pPr>
        <w:spacing w:after="0" w:line="206"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2"/>
          <w:szCs w:val="22"/>
          <w:color w:val="auto"/>
        </w:rPr>
        <w:t>On July 27, 2023, the Company’s regulated water and wastewater operating subsidiary in Virginia, Aqua Virginia, filed an application with the State Corporation Commission designed to increase revenues by $6,911 or 29.5% on an annual basis. In February 2024, the Company implemented interim rates which may be subject to refund for the difference between interim and final approved rates pending the final order.</w:t>
      </w:r>
    </w:p>
    <w:p>
      <w:pPr>
        <w:spacing w:after="0" w:line="17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 then by an additional $3,743 and $4,130 in the second and third years, respectively. In February 2023, the Company had implemented interim rates, based on an estimate of the final outcome of the order, and no refunds or additional billings are required for the difference between interim and final approved rates.</w:t>
      </w:r>
    </w:p>
    <w:p>
      <w:pPr>
        <w:spacing w:after="0" w:line="181"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During the first six months of 2024, two of the Company’s water utility operating divisions in Ohio implemented base rate increases designed to increase total operating revenues on an annual basis by $1,627. Further, during the first six months of 2024, the Company implemented infrastructure rehabilitation surcharges designed to increase total operating revenues on an annual basis by $15,729 in its water and wastewater utility operating divisions in Pennsylvania and Illinois, and by $2,293 in its natural gas operating division in Kentucky.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22"/>
                <w:szCs w:val="22"/>
                <w:color w:val="auto"/>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812"/>
              <w:spacing w:after="0"/>
              <w:rPr>
                <w:sz w:val="20"/>
                <w:szCs w:val="20"/>
                <w:color w:val="auto"/>
              </w:rPr>
            </w:pPr>
            <w:r>
              <w:rPr>
                <w:rFonts w:ascii="Times New Roman" w:cs="Times New Roman" w:eastAsia="Times New Roman" w:hAnsi="Times New Roman"/>
                <w:sz w:val="22"/>
                <w:szCs w:val="22"/>
                <w:color w:val="auto"/>
              </w:rPr>
              <w:t>Six Months Ended</w:t>
            </w:r>
          </w:p>
        </w:tc>
      </w:tr>
      <w:tr>
        <w:trPr>
          <w:trHeight w:val="257"/>
        </w:trPr>
        <w:tc>
          <w:tcPr>
            <w:tcW w:w="4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color w:val="auto"/>
              </w:rPr>
              <w:t>June 30,</w:t>
            </w:r>
          </w:p>
        </w:tc>
        <w:tc>
          <w:tcPr>
            <w:tcW w:w="10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22"/>
                <w:szCs w:val="22"/>
                <w:color w:val="auto"/>
              </w:rPr>
              <w:t>June 30,</w:t>
            </w:r>
          </w:p>
        </w:tc>
        <w:tc>
          <w:tcPr>
            <w:tcW w:w="1200" w:type="dxa"/>
            <w:vAlign w:val="bottom"/>
            <w:tcBorders>
              <w:bottom w:val="single" w:sz="8" w:color="auto"/>
            </w:tcBorders>
          </w:tcPr>
          <w:p>
            <w:pPr>
              <w:spacing w:after="0"/>
              <w:rPr>
                <w:sz w:val="22"/>
                <w:szCs w:val="22"/>
                <w:color w:val="auto"/>
              </w:rPr>
            </w:pPr>
          </w:p>
        </w:tc>
      </w:tr>
      <w:tr>
        <w:trPr>
          <w:trHeight w:val="263"/>
        </w:trPr>
        <w:tc>
          <w:tcPr>
            <w:tcW w:w="4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2023</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300" w:type="dxa"/>
            <w:vAlign w:val="bottom"/>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8,535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8,431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17,411</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16,535</w:t>
            </w:r>
          </w:p>
        </w:tc>
      </w:tr>
      <w:tr>
        <w:trPr>
          <w:trHeight w:val="230"/>
        </w:trPr>
        <w:tc>
          <w:tcPr>
            <w:tcW w:w="4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4,297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4,175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8,600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8,205</w:t>
            </w:r>
          </w:p>
        </w:tc>
      </w:tr>
      <w:tr>
        <w:trPr>
          <w:trHeight w:val="230"/>
        </w:trPr>
        <w:tc>
          <w:tcPr>
            <w:tcW w:w="4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5,009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4,935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12,520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11,567</w:t>
            </w:r>
          </w:p>
        </w:tc>
      </w:tr>
      <w:tr>
        <w:trPr>
          <w:trHeight w:val="230"/>
        </w:trPr>
        <w:tc>
          <w:tcPr>
            <w:tcW w:w="4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1,925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3,398</w:t>
            </w:r>
          </w:p>
        </w:tc>
      </w:tr>
      <w:tr>
        <w:trPr>
          <w:trHeight w:val="229"/>
        </w:trPr>
        <w:tc>
          <w:tcPr>
            <w:tcW w:w="4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1,882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3,377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1,647</w:t>
            </w:r>
          </w:p>
        </w:tc>
      </w:tr>
      <w:tr>
        <w:trPr>
          <w:trHeight w:val="230"/>
        </w:trPr>
        <w:tc>
          <w:tcPr>
            <w:tcW w:w="448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585</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911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1,524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1,874</w:t>
            </w:r>
          </w:p>
        </w:tc>
      </w:tr>
      <w:tr>
        <w:trPr>
          <w:trHeight w:val="250"/>
        </w:trPr>
        <w:tc>
          <w:tcPr>
            <w:tcW w:w="448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300" w:type="dxa"/>
            <w:vAlign w:val="bottom"/>
            <w:tcBorders>
              <w:bottom w:val="single" w:sz="8" w:color="auto"/>
            </w:tcBorders>
            <w:shd w:val="clear" w:color="auto" w:fill="CCEE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22,233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20,348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47,257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43,226</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48"/>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4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Segment Information</w:t>
      </w:r>
    </w:p>
    <w:p>
      <w:pPr>
        <w:spacing w:after="0" w:line="21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6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June 30, 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color w:val="auto"/>
              </w:rPr>
              <w:t>June 30, 2023</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302,479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128,188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3,739</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434,406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293,672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138,983</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4,045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436,700</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(2,772)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133,508</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41,933</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85,661</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68,212</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(5,229)</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(2,808)</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(12,389)</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91,268</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Six Months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June 30, 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color w:val="auto"/>
              </w:rPr>
              <w:t>June 30, 2023</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582,372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452,519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11,584</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1,046,475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560,972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580,278</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21,900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1,163,150</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98,264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(2,791)</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271,502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281,521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298,248</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169,455</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140,061</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(9,910)</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(7,886)</w:t>
            </w: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(1,226)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(38,980)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(5,113)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(56,798)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(4,475)</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(31,900)</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(18,649)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137,176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(21,903)</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282,702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right="520" w:hanging="328"/>
        <w:spacing w:after="0" w:line="245"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regulated water and regulated natural gas segments report interest expense that includes long-term debt that was pushed-down to the regulated operating subsidiaries from Essential Utilities,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June 30,</w:t>
            </w: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3420" w:type="dxa"/>
            <w:vAlign w:val="bottom"/>
          </w:tcPr>
          <w:p>
            <w:pPr>
              <w:spacing w:after="0"/>
              <w:rPr>
                <w:sz w:val="22"/>
                <w:szCs w:val="22"/>
                <w:color w:val="auto"/>
              </w:rPr>
            </w:pPr>
          </w:p>
        </w:tc>
        <w:tc>
          <w:tcPr>
            <w:tcW w:w="33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2024</w:t>
            </w: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6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34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assets:</w:t>
            </w:r>
          </w:p>
        </w:tc>
        <w:tc>
          <w:tcPr>
            <w:tcW w:w="14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spacing w:after="0"/>
              <w:rPr>
                <w:sz w:val="19"/>
                <w:szCs w:val="19"/>
                <w:color w:val="auto"/>
              </w:rPr>
            </w:pPr>
          </w:p>
        </w:tc>
      </w:tr>
      <w:tr>
        <w:trPr>
          <w:trHeight w:val="229"/>
        </w:trPr>
        <w:tc>
          <w:tcPr>
            <w:tcW w:w="34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water</w:t>
            </w:r>
          </w:p>
        </w:tc>
        <w:tc>
          <w:tcPr>
            <w:tcW w:w="3320" w:type="dxa"/>
            <w:vAlign w:val="bottom"/>
            <w:gridSpan w:val="2"/>
          </w:tcPr>
          <w:p>
            <w:pPr>
              <w:jc w:val="right"/>
              <w:ind w:right="16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9,638,046</w:t>
            </w:r>
          </w:p>
        </w:tc>
        <w:tc>
          <w:tcPr>
            <w:tcW w:w="860" w:type="dxa"/>
            <w:vAlign w:val="bottom"/>
            <w:gridSpan w:val="2"/>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9,386,347</w:t>
            </w:r>
          </w:p>
        </w:tc>
      </w:tr>
      <w:tr>
        <w:trPr>
          <w:trHeight w:val="229"/>
        </w:trPr>
        <w:tc>
          <w:tcPr>
            <w:tcW w:w="34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natural gas</w:t>
            </w:r>
          </w:p>
        </w:tc>
        <w:tc>
          <w:tcPr>
            <w:tcW w:w="14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7,156,351</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6,965,350</w:t>
            </w:r>
          </w:p>
        </w:tc>
      </w:tr>
      <w:tr>
        <w:trPr>
          <w:trHeight w:val="230"/>
        </w:trPr>
        <w:tc>
          <w:tcPr>
            <w:tcW w:w="342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44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457,719</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489,762</w:t>
            </w:r>
          </w:p>
        </w:tc>
      </w:tr>
      <w:tr>
        <w:trPr>
          <w:trHeight w:val="223"/>
        </w:trPr>
        <w:tc>
          <w:tcPr>
            <w:tcW w:w="3420" w:type="dxa"/>
            <w:vAlign w:val="bottom"/>
            <w:tcBorders>
              <w:bottom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Consolidated</w:t>
            </w:r>
          </w:p>
        </w:tc>
        <w:tc>
          <w:tcPr>
            <w:tcW w:w="14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6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8"/>
              </w:rPr>
              <w:t>17,252,116</w:t>
            </w: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16,841,459</w:t>
            </w: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Commitments and Contingencies</w:t>
      </w:r>
    </w:p>
    <w:p>
      <w:pPr>
        <w:spacing w:after="0" w:line="226"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2024, the aggregate amount of $23,052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June 30, 2024, estimates that approximately $855 of the amount accrued for these matters are probable of recovery through insurance, which amount is also reported in the Company’s condensed consolidated balance sheet as deferred charges and other assets, net.</w:t>
      </w:r>
    </w:p>
    <w:p>
      <w:pPr>
        <w:spacing w:after="0" w:line="19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 the Company submitted a claim for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expenses incurred to its insurance carrier for potential recovery of a portion of these costs and is currently in litigation with one of its carriers seeking to enforce its claims. The Company continues to assess the potential loss contingency on this matter.</w:t>
      </w:r>
    </w:p>
    <w:p>
      <w:pPr>
        <w:spacing w:after="0" w:line="172"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February and April 2024, the MDL court issued its final approval of the DuPont and 3M class action settlements, respectively. In April 2024 and May 2024, Tyco Fire Products LP and BASF Corp, respectively, filed similar class action settlements in the MDL court to resolve claims. In June 2024, Tyco Fire Products LP settlement was granted preliminary approval by the MDL court. The Company submitted the phase one public water system claims requirements pursuant to the Dupont and 3M settlement agreements and will submit other requirements within the time period provided by the MDL court. The amount of recovery, if any, by the Company is uncertain.</w:t>
      </w:r>
    </w:p>
    <w:p>
      <w:pPr>
        <w:spacing w:after="0" w:line="199"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3" w:lineRule="exact"/>
        <w:rPr>
          <w:sz w:val="20"/>
          <w:szCs w:val="20"/>
          <w:color w:val="auto"/>
        </w:rPr>
      </w:pPr>
    </w:p>
    <w:p>
      <w:pPr>
        <w:ind w:right="440"/>
        <w:spacing w:after="0" w:line="230"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$1,846 at June 30, 2024 and represents a reserve for unpaid claim costs, including an estimate for the cost of incurred but not reported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The Company’s effective tax rate was an expense of 2.4% and a benefit of 2.6% for the three and six months ended June 30, 2024, respectively. The Company’s effective tax rate was a benefit of 0.3% and 12.7% for the three and six months ended June 30, 2023, respectively. The change in the effective tax rate for the second quarter is mainly due to the decrease in tax benefit associated with the tax deduction for continued qualifying infrastructure investment. The decrease in income tax benefit for the first half of the year is primarily attributed to the gain recognized from the sale of the Company’s interest in three non-utility local microgrid and distributed energy projects in the first quarter of 2024. In determining its interim tax provision, the Company reflects its estimated permanent and flow-through tax differences for the taxable year. The Company uses the flow-through method to account for the tax deduction for qualifying utility infrastructure at its regulated Pennsylvania and New Jersey subsidiaries.</w:t>
      </w:r>
    </w:p>
    <w:p>
      <w:pPr>
        <w:spacing w:after="0" w:line="17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The statutory Federal tax rate is 21.0% for the six months ended June 30, 2024 and 2023. For states with a corporate net income tax, the state corporate net income tax rates range from 2.5% to 9.50% for all periods presented.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1"/>
          <w:szCs w:val="21"/>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evaluated the safe harbor and intends to adopt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as the accounting treatment is expected to be determined in the next rate case that was filed in May 2024.</w:t>
      </w:r>
    </w:p>
    <w:p>
      <w:pPr>
        <w:spacing w:after="0" w:line="228" w:lineRule="exact"/>
        <w:rPr>
          <w:sz w:val="20"/>
          <w:szCs w:val="20"/>
          <w:color w:val="auto"/>
        </w:rPr>
      </w:pPr>
    </w:p>
    <w:p>
      <w:pPr>
        <w:ind w:right="5060"/>
        <w:spacing w:after="0" w:line="444" w:lineRule="auto"/>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Recent Accounting Pronouncements and Disclosure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Pronouncements to be adopted upon the effective date:</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The ASU enhances the transparency and decision usefulness of income tax disclosures and is effective for annual periods beginning after December 15, 2024 on a prospective basis. Early adoption is permitted. The Company is currently evaluating the impact of this ASU on its condensed consolidated financial statements and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November 2023, the FASB issued ASU 2023-07 Segment Reporting – Improving Reportable Segment Disclosures (Topic</w:t>
      </w:r>
    </w:p>
    <w:p>
      <w:pPr>
        <w:spacing w:after="0" w:line="1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280).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Company is currently assessing the timing and impact of adopting the updated provisions.</w:t>
      </w:r>
    </w:p>
    <w:p>
      <w:pPr>
        <w:spacing w:after="0" w:line="196"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2"/>
          <w:szCs w:val="22"/>
          <w:color w:val="auto"/>
        </w:rPr>
        <w:t>In March 2024, the U.S. Securities and Exchange Commission (SEC) issued its final climate disclosure rule, which requires the disclosure of Scope 1 and Scope 2 greenhouse gas emissions and other climate-related topics in annual reports and registration statements, when material. A number of petitions have been filed in federal courts seeking to challenge the SEC’s climate disclosure rule. As a result, in April 2024, the SEC placed a pause on its implementation of the new rule. We are currently evaluating the impact of the new rule and, depending on the outcome of the proceedings, will include the required disclosures once it becomes effective.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2680"/>
        <w:spacing w:after="0" w:line="439" w:lineRule="auto"/>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 Forward-looking Statements</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the threat of cyber-attacks and data breaches, changes in capital requirements and funding, our ability to close acquisitions, changes to the capital markets, impact of public health threats, and our ability to assimilate acquired operations, as well as those risks, uncertainties and other factors discussed in our Annual Report on Form 10-K for the fiscal year ended December 31, 2023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Information</w:t>
      </w:r>
    </w:p>
    <w:p>
      <w:pPr>
        <w:spacing w:after="0" w:line="2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October 1, 2023, the Company sold its regulated natural gas utility assets in West Virginia, which represented approximately</w:t>
      </w:r>
    </w:p>
    <w:p>
      <w:pPr>
        <w:spacing w:after="0" w:line="229" w:lineRule="auto"/>
        <w:rPr>
          <w:sz w:val="20"/>
          <w:szCs w:val="20"/>
          <w:color w:val="auto"/>
        </w:rPr>
      </w:pPr>
      <w:r>
        <w:rPr>
          <w:rFonts w:ascii="Times New Roman" w:cs="Times New Roman" w:eastAsia="Times New Roman" w:hAnsi="Times New Roman"/>
          <w:sz w:val="22"/>
          <w:szCs w:val="22"/>
          <w:color w:val="auto"/>
        </w:rPr>
        <w:t>two percent of the Company’s regulated natural gas customers. Initially the sale closed for an estimated purchase price of</w:t>
      </w:r>
    </w:p>
    <w:p>
      <w:pPr>
        <w:spacing w:after="0" w:line="228" w:lineRule="auto"/>
        <w:rPr>
          <w:sz w:val="20"/>
          <w:szCs w:val="20"/>
          <w:color w:val="auto"/>
        </w:rPr>
      </w:pPr>
      <w:r>
        <w:rPr>
          <w:rFonts w:ascii="Times New Roman" w:cs="Times New Roman" w:eastAsia="Times New Roman" w:hAnsi="Times New Roman"/>
          <w:sz w:val="21"/>
          <w:szCs w:val="21"/>
          <w:color w:val="auto"/>
        </w:rPr>
        <w:t>$39,965, subject to working capital and other adjustments. In March 2024, the Company received an additional $1,213 from the</w:t>
      </w:r>
    </w:p>
    <w:p>
      <w:pPr>
        <w:spacing w:after="0" w:line="230" w:lineRule="auto"/>
        <w:rPr>
          <w:sz w:val="20"/>
          <w:szCs w:val="20"/>
          <w:color w:val="auto"/>
        </w:rPr>
      </w:pPr>
      <w:r>
        <w:rPr>
          <w:rFonts w:ascii="Times New Roman" w:cs="Times New Roman" w:eastAsia="Times New Roman" w:hAnsi="Times New Roman"/>
          <w:sz w:val="22"/>
          <w:szCs w:val="22"/>
          <w:color w:val="auto"/>
        </w:rPr>
        <w:t>buyer. The additional proceeds were based on finalizing closing working capital and other adjustments, resulting in a final</w:t>
      </w:r>
    </w:p>
    <w:p>
      <w:pPr>
        <w:spacing w:after="0" w:line="228" w:lineRule="auto"/>
        <w:rPr>
          <w:sz w:val="20"/>
          <w:szCs w:val="20"/>
          <w:color w:val="auto"/>
        </w:rPr>
      </w:pPr>
      <w:r>
        <w:rPr>
          <w:rFonts w:ascii="Times New Roman" w:cs="Times New Roman" w:eastAsia="Times New Roman" w:hAnsi="Times New Roman"/>
          <w:sz w:val="21"/>
          <w:szCs w:val="21"/>
          <w:color w:val="auto"/>
        </w:rPr>
        <w:t>purchase price of $41,178 and a loss of an inconsequential amount. In October 2023, the Company entered into an agreement to</w:t>
      </w:r>
    </w:p>
    <w:p>
      <w:pPr>
        <w:spacing w:after="0" w:line="218" w:lineRule="auto"/>
        <w:rPr>
          <w:sz w:val="20"/>
          <w:szCs w:val="20"/>
          <w:color w:val="auto"/>
        </w:rPr>
      </w:pPr>
      <w:r>
        <w:rPr>
          <w:rFonts w:ascii="Times New Roman" w:cs="Times New Roman" w:eastAsia="Times New Roman" w:hAnsi="Times New Roman"/>
          <w:sz w:val="22"/>
          <w:szCs w:val="22"/>
          <w:color w:val="auto"/>
        </w:rPr>
        <w:t>sell its interest in three non-utility local microgrid and distributed energy projects for $165,000. The sale was completed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2024, and the Company recognized a gain of $91,236 in the first quarter of 2024. These transactions are consistent with</w:t>
      </w:r>
    </w:p>
    <w:p>
      <w:pPr>
        <w:spacing w:after="0" w:line="219" w:lineRule="auto"/>
        <w:rPr>
          <w:sz w:val="20"/>
          <w:szCs w:val="20"/>
          <w:color w:val="auto"/>
        </w:rPr>
      </w:pPr>
      <w:r>
        <w:rPr>
          <w:rFonts w:ascii="Times New Roman" w:cs="Times New Roman" w:eastAsia="Times New Roman" w:hAnsi="Times New Roman"/>
          <w:sz w:val="22"/>
          <w:szCs w:val="22"/>
          <w:color w:val="auto"/>
        </w:rPr>
        <w:t>the Company’s long-term strategy of focusing on its core business and will allow the Company to prioritize the growth of its</w:t>
      </w:r>
    </w:p>
    <w:p>
      <w:pPr>
        <w:spacing w:after="0" w:line="217" w:lineRule="auto"/>
        <w:rPr>
          <w:sz w:val="20"/>
          <w:szCs w:val="20"/>
          <w:color w:val="auto"/>
        </w:rPr>
      </w:pPr>
      <w:r>
        <w:rPr>
          <w:rFonts w:ascii="Times New Roman" w:cs="Times New Roman" w:eastAsia="Times New Roman" w:hAnsi="Times New Roman"/>
          <w:sz w:val="22"/>
          <w:szCs w:val="22"/>
          <w:color w:val="auto"/>
        </w:rPr>
        <w:t>utilities in states where it has scale. The Company used the proceeds from these transactions to finance its capital expenditures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water and wastewater acquisitions, in place of external funding from equity and debt issuances.</w:t>
      </w:r>
    </w:p>
    <w:p>
      <w:pPr>
        <w:spacing w:after="0" w:line="192"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condensed consolidated financial statements and related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1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Our industry has been significantly impacted by inflation, higher interest rates, and other macroeconomic factors. This resulted in an increase in our operating and capital spending requirements in 2022 and 2023. As of the current period, inflation decelerated compared with the prior year, however, it is still above historical levels. Additionally, interest rates remain elevated to curb inflation. We experienced moderate macroeconomic pressures during the first half of 2024, which we expect to continue through the remainder of 2024.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Environmental Compliance</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On April 10, 2024, the U.S. Environmental Protection Agency (“EPA”) announced the final National Primary Drinking Water Regulation (“NPDWR”) for the treatment of six per- and polyfluoroalkyl substances or compounds (“PFAS”). The NPDWR established the maximum contaminant levels (MCLs) in drinking water and allows for a five-year window to comply. In 2023, the Company performed its initial analysis of the NPDWR and estimated an investment of at least $450,000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estimated annual operating expenses of approximately five percent of the installed capital expenditures, in today’s dollars, related to testing, treatment, and disposal. These were preliminary estimates and actual capital expenditures and expenses may differ based upon a variety of factors, including supply chain issues and site-by-site</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requirements.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w:t>
      </w:r>
    </w:p>
    <w:p>
      <w:pPr>
        <w:spacing w:after="0" w:line="17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April 19, 2024, the U.S. Environmental Protection Agency (“EPA”) announced a final rule that designated two PFAS chemicals, perfluorooctanoic acid (“PFOA”) and perfluorooctanesulfonic acid (“PFOS”), as hazardous substances under the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EPA issued a separate CERCLA enforcement discretion policy that makes it clear that EPA will focus enforcement on parties who significantly contributed to the release of PFAS chemicals into the environment, including parties that have manufactured PFAS or used PFAS in the 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 fertilizer substitute. The potential liabilities to the Company, if any, resulting from this rule are currently being evaluated. As of July 2024, multiple lawsuits were filed by various companies and industry groups against the EPA's PFAS rule and are awaiting court action.</w:t>
      </w:r>
    </w:p>
    <w:p>
      <w:pPr>
        <w:spacing w:after="0" w:line="198"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The Company is also monitoring ongoing litigation and settlement activity with manufacturers of PFAS in these proceedings. For more information, see Part I - Item I - Note 14 to the Company’s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Act 12 Recent Development</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On June 13, 2024, the Pennsylvania Public Utility Commission approved revised guidelines and procedures designed to increase public involvement and provide a consistent process for evaluating the acquisition and valuation of municipal or authority-owned water and wastewater systems under Act 12 of 2016 (“Act 12”). The Company supports refinements to Act 12 that would provide transparency in the acquisition process and timely regulatory review in Pennsylvania.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20"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95"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1"/>
          <w:szCs w:val="21"/>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$426,426 for the first half of 2024, compared to $621,422 for the first half of 2023. The net change in working capital and other assets and liabilities resulted in a decrease in cash from operations of $8,617 for the first half of 2024 compared to an increase of $185,901 for the first half of 2023. The change in working capital in 2024 as compared to 2023 was primarily driven by the year over year decrease in accounts receivable, unbilled revenues and deferred purchased gas cost balances, and most significantly in gas inventory. In 2023, there was a larger decline in natural gas commodity prices as compared to in 2024.</w:t>
      </w:r>
    </w:p>
    <w:p>
      <w:pPr>
        <w:spacing w:after="0" w:line="200" w:lineRule="exact"/>
        <w:rPr>
          <w:sz w:val="20"/>
          <w:szCs w:val="20"/>
          <w:color w:val="auto"/>
        </w:rPr>
      </w:pPr>
    </w:p>
    <w:p>
      <w:pPr>
        <w:spacing w:after="0" w:line="22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During the first six months of 2024, we incurred $548,868 of capital expenditures, issued $789,946 of long-term debt, received $166,982 from the sale of assets, repaid short-term debt, and made sinking fund contributions and other long-term debt repayments in aggregate of $664,829.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and proceeds from the sale of the non-utility energy projects were used for capital expenditures, repayment of existing indebtedness, and general corporate purposes. Cash flows used in financing activities were lower during the first half of 2024 principally as a result of the decrease in the amount of the paydown of loans payable associated with the financing of inventory.</w:t>
      </w:r>
    </w:p>
    <w:p>
      <w:pPr>
        <w:spacing w:after="0" w:line="192"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On January 8, 2024, the Company issued $500,000 of long-term debt (the “2024 Senior Notes”), less expenses of $4,610, due in 2034 with an interest rate of 5.375%. 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borrowings were used to repay existing indebtedness and for general corporate purposes.</w:t>
      </w:r>
    </w:p>
    <w:p>
      <w:pPr>
        <w:spacing w:after="0" w:line="192" w:lineRule="exact"/>
        <w:rPr>
          <w:sz w:val="20"/>
          <w:szCs w:val="20"/>
          <w:color w:val="auto"/>
        </w:rPr>
      </w:pPr>
    </w:p>
    <w:p>
      <w:pPr>
        <w:ind w:right="460"/>
        <w:spacing w:after="0" w:line="225"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(“2022 ATM”) with third-party sales agents, under which the Company offered and sold shares of its common stock, from time to time, at its option, pursuant to the Company’s then-effective shelf registration statement on Form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S-3 (File No. 333-255235) that expired in April 2024. During the six months ended June 30, 2024, there were no sales of common stock under the 2022 ATM. As of December 31, 2023, the Company had issued 10,260,833 shares of common stock for net proceeds of $386,023 under the 2022 ATM. The Company used the net proceeds from the sales of shares through the 2022 ATM for working capital, capital expenditures, water and wastewater utility acquisitions, and repaying outstanding indebtedness.</w:t>
      </w:r>
    </w:p>
    <w:p>
      <w:pPr>
        <w:spacing w:after="0" w:line="17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At June 30, 2024, we had $18,819 of cash and cash equivalents compared to $4,612 at December 31, 2023. During the first six months of 2024, we used the proceeds from long-term debt, the proceeds from issuance of common stock, and proceeds from the sale of the non-utility energy projects, as well as internally generated funds, to fund the cash requirements discussed above and to pay dividends.</w:t>
      </w:r>
    </w:p>
    <w:p>
      <w:pPr>
        <w:spacing w:after="0" w:line="19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At June 30, 2024 our $1,000,000 unsecured revolving credit facility, which expires in December 2027, had $553,226 available for borrowing. Additionally, at June 30, 2024, we had short-term lines of credit of $435,500, primarily used for working capital, of which $342,233 was available for borrowing. On June 12, 2024, Aqua Pennsylvania and Peoples Natural Gas Companies amended the terms of its respective $100,000 and $300,000 364-day revolving credit agreements by extending the maturity dates to June 10, 2025 and revised the interest rate index from the Bloomberg Short-Term Bank Yield Index (BSBY) to the Secured Overnight Financing Rate (SOFR). Our short-term lines of credit of $435,500 are subject to renewal on an annual basis. Although we believe we will be able to renew these facilities, there is no assurance that they will be renewed, or what the terms of any such renewal will be.</w:t>
      </w:r>
    </w:p>
    <w:p>
      <w:pPr>
        <w:spacing w:after="0" w:line="178"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w:t>
      </w:r>
    </w:p>
    <w:p>
      <w:pPr>
        <w:spacing w:after="0" w:line="19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1"/>
          <w:szCs w:val="21"/>
          <w:color w:val="auto"/>
        </w:rPr>
        <w:t>As of June 30, 2024, our credit ratings remained at investment grade levels. On March 19, 2024, S&amp;P lowered its credit rating for the Company, Aqua Pennsylvania, and Peoples Natural Gas Companies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August 29, 2023, Moody’s Investors Service (“Moody’s”) affirmed the Company’s senior unsecured notes rating of Baa2 and stable outlook; and, affirmed Peoples Natural Gas Companies’ senior secured notes rating of Baa1 and revised its outlook from stable to negative.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w:t>
      </w: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1760"/>
        <w:spacing w:after="0" w:line="441" w:lineRule="auto"/>
        <w:rPr>
          <w:sz w:val="20"/>
          <w:szCs w:val="20"/>
          <w:color w:val="auto"/>
        </w:rPr>
      </w:pPr>
      <w:r>
        <w:rPr>
          <w:rFonts w:ascii="Times New Roman" w:cs="Times New Roman" w:eastAsia="Times New Roman" w:hAnsi="Times New Roman"/>
          <w:sz w:val="22"/>
          <w:szCs w:val="22"/>
          <w:color w:val="auto"/>
        </w:rPr>
        <w:t>project costs and increases in operating costs efficiently and timely through various rate-making mechanisms. Results of Operations</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Consolidated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June 30, 2024 and 2023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Pr>
          <w:p>
            <w:pPr>
              <w:spacing w:after="0"/>
              <w:rPr>
                <w:sz w:val="19"/>
                <w:szCs w:val="19"/>
                <w:color w:val="auto"/>
              </w:rPr>
            </w:pPr>
          </w:p>
        </w:tc>
        <w:tc>
          <w:tcPr>
            <w:tcW w:w="24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434,406</w:t>
            </w:r>
          </w:p>
        </w:tc>
        <w:tc>
          <w:tcPr>
            <w:tcW w:w="34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436,700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1,046,475</w:t>
            </w:r>
          </w:p>
        </w:tc>
        <w:tc>
          <w:tcPr>
            <w:tcW w:w="3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1,163,150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142,512</w:t>
            </w:r>
          </w:p>
        </w:tc>
        <w:tc>
          <w:tcPr>
            <w:tcW w:w="3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133,508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279,412</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271,502</w:t>
            </w:r>
          </w:p>
        </w:tc>
        <w:tc>
          <w:tcPr>
            <w:tcW w:w="0" w:type="dxa"/>
            <w:vAlign w:val="bottom"/>
          </w:tcPr>
          <w:p>
            <w:pPr>
              <w:spacing w:after="0"/>
              <w:rPr>
                <w:sz w:val="1"/>
                <w:szCs w:val="1"/>
                <w:color w:val="auto"/>
              </w:rPr>
            </w:pPr>
          </w:p>
        </w:tc>
      </w:tr>
      <w:tr>
        <w:trPr>
          <w:trHeight w:val="169"/>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180" w:type="dxa"/>
            <w:vAlign w:val="bottom"/>
            <w:tcBorders>
              <w:bottom w:val="single" w:sz="8" w:color="auto"/>
            </w:tcBorders>
            <w:shd w:val="clear" w:color="auto" w:fill="CCEEFF"/>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33,728</w:t>
            </w:r>
          </w:p>
        </w:tc>
        <w:tc>
          <w:tcPr>
            <w:tcW w:w="3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41,933</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163,403</w:t>
            </w:r>
          </w:p>
        </w:tc>
        <w:tc>
          <w:tcPr>
            <w:tcW w:w="3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298,248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75,385</w:t>
            </w:r>
          </w:p>
        </w:tc>
        <w:tc>
          <w:tcPr>
            <w:tcW w:w="3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91,268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341,157</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282,702</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32.8%</w:t>
            </w:r>
          </w:p>
        </w:tc>
        <w:tc>
          <w:tcPr>
            <w:tcW w:w="340" w:type="dxa"/>
            <w:vAlign w:val="bottom"/>
          </w:tcPr>
          <w:p>
            <w:pPr>
              <w:spacing w:after="0"/>
              <w:rPr>
                <w:sz w:val="16"/>
                <w:szCs w:val="16"/>
                <w:color w:val="auto"/>
              </w:rPr>
            </w:pPr>
          </w:p>
        </w:tc>
        <w:tc>
          <w:tcPr>
            <w:tcW w:w="9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30.6%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26.7%</w:t>
            </w:r>
          </w:p>
        </w:tc>
        <w:tc>
          <w:tcPr>
            <w:tcW w:w="32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23.3%</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15.6%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25.6%</w:t>
            </w: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20.9%</w:t>
            </w:r>
          </w:p>
        </w:tc>
        <w:tc>
          <w:tcPr>
            <w:tcW w:w="340" w:type="dxa"/>
            <w:vAlign w:val="bottom"/>
          </w:tcPr>
          <w:p>
            <w:pPr>
              <w:spacing w:after="0"/>
              <w:rPr>
                <w:sz w:val="16"/>
                <w:szCs w:val="16"/>
                <w:color w:val="auto"/>
              </w:rPr>
            </w:pPr>
          </w:p>
        </w:tc>
        <w:tc>
          <w:tcPr>
            <w:tcW w:w="9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19.6%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17.2%</w:t>
            </w:r>
          </w:p>
        </w:tc>
        <w:tc>
          <w:tcPr>
            <w:tcW w:w="32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14.6%</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16.8%</w:t>
            </w:r>
          </w:p>
        </w:tc>
        <w:tc>
          <w:tcPr>
            <w:tcW w:w="340" w:type="dxa"/>
            <w:vAlign w:val="bottom"/>
          </w:tcPr>
          <w:p>
            <w:pPr>
              <w:spacing w:after="0"/>
              <w:rPr>
                <w:sz w:val="16"/>
                <w:szCs w:val="16"/>
                <w:color w:val="auto"/>
              </w:rPr>
            </w:pPr>
          </w:p>
        </w:tc>
        <w:tc>
          <w:tcPr>
            <w:tcW w:w="9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15.6%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13.9%</w:t>
            </w:r>
          </w:p>
        </w:tc>
        <w:tc>
          <w:tcPr>
            <w:tcW w:w="32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12.0%</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17.4%</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20.9%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-2.6%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-12.7%</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June 30, 2024 compared with three months ended June 30, 2023</w:t>
      </w:r>
    </w:p>
    <w:p>
      <w:pPr>
        <w:spacing w:after="0" w:line="21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Consolidated operating revenues decreased by $2,294 or 0.5% as compared to the same period in 2023. Revenues from our Regulated Water segment increased by $8,807. Revenues from our Regulated Natural Gas segment and Other business segment decreased by $10,795 and $306, respectively. A detailed discussion of the factors contributing to the changes in segment revenue is included below under the section, Segment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$9,004 or 6.7%, primarily due to:</w:t>
      </w:r>
    </w:p>
    <w:p>
      <w:pPr>
        <w:spacing w:after="0" w:line="206" w:lineRule="exact"/>
        <w:rPr>
          <w:sz w:val="20"/>
          <w:szCs w:val="20"/>
          <w:color w:val="auto"/>
        </w:rPr>
      </w:pPr>
    </w:p>
    <w:p>
      <w:pPr>
        <w:ind w:left="340" w:right="160"/>
        <w:spacing w:after="0" w:line="235" w:lineRule="auto"/>
        <w:rPr>
          <w:sz w:val="20"/>
          <w:szCs w:val="20"/>
          <w:color w:val="auto"/>
        </w:rPr>
      </w:pPr>
      <w:r>
        <w:rPr>
          <w:rFonts w:ascii="Times New Roman" w:cs="Times New Roman" w:eastAsia="Times New Roman" w:hAnsi="Times New Roman"/>
          <w:sz w:val="22"/>
          <w:szCs w:val="22"/>
          <w:color w:val="auto"/>
        </w:rPr>
        <w:t>an increase in customer assistance surcharge costs of $2,563 in our Regulated Natural Gas segment, which has an equivalent offsetting amount in revenues;</w:t>
      </w:r>
    </w:p>
    <w:p>
      <w:pPr>
        <w:spacing w:after="0" w:line="1" w:lineRule="exact"/>
        <w:rPr>
          <w:sz w:val="20"/>
          <w:szCs w:val="20"/>
          <w:color w:val="auto"/>
        </w:rPr>
      </w:pPr>
    </w:p>
    <w:p>
      <w:pPr>
        <w:ind w:left="340" w:right="180"/>
        <w:spacing w:after="0" w:line="217"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$1,286; an increase in employee related costs of $625;</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$387;</w:t>
      </w:r>
    </w:p>
    <w:p>
      <w:pPr>
        <w:ind w:left="340" w:right="2520"/>
        <w:spacing w:after="0" w:line="217" w:lineRule="auto"/>
        <w:rPr>
          <w:sz w:val="20"/>
          <w:szCs w:val="20"/>
          <w:color w:val="auto"/>
        </w:rPr>
      </w:pPr>
      <w:r>
        <w:rPr>
          <w:rFonts w:ascii="Times New Roman" w:cs="Times New Roman" w:eastAsia="Times New Roman" w:hAnsi="Times New Roman"/>
          <w:sz w:val="22"/>
          <w:szCs w:val="22"/>
          <w:color w:val="auto"/>
        </w:rPr>
        <w:t>lower capitalization of overhead costs of $4,391 in our Regulated Natural Gas segment; offset by a decrease in bad debt expense of $975; and,</w:t>
      </w:r>
    </w:p>
    <w:p>
      <w:pPr>
        <w:spacing w:after="0" w:line="1" w:lineRule="exact"/>
        <w:rPr>
          <w:sz w:val="20"/>
          <w:szCs w:val="20"/>
          <w:color w:val="auto"/>
        </w:rPr>
      </w:pPr>
    </w:p>
    <w:p>
      <w:pPr>
        <w:ind w:left="340" w:right="300"/>
        <w:spacing w:after="0" w:line="231" w:lineRule="auto"/>
        <w:rPr>
          <w:sz w:val="20"/>
          <w:szCs w:val="20"/>
          <w:color w:val="auto"/>
        </w:rPr>
      </w:pPr>
      <w:r>
        <w:rPr>
          <w:rFonts w:ascii="Times New Roman" w:cs="Times New Roman" w:eastAsia="Times New Roman" w:hAnsi="Times New Roman"/>
          <w:sz w:val="22"/>
          <w:szCs w:val="22"/>
          <w:color w:val="auto"/>
        </w:rPr>
        <w:t>a decrease in operations and maintenance expense of $2,422 as a result of the sale of both the regulated natural gas utility assets in West Virginia in October 2023 and the three non-utility local microgrid and distributed energy projects in January 2024.</w:t>
      </w:r>
    </w:p>
    <w:p>
      <w:pPr>
        <w:spacing w:after="0" w:line="177"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Purchased gas decreased by $8,205 or 19.6%. Purchased gas represents the cost of gas sold by Peoples, which for the regulated gas business has a corresponding offset in revenue. The decrease is the result of lower gas usage of $8,669 due to warmer weather conditions during the second quarter of 2024 as well as the sale of Peoples West Virginia, offset by an increase in the average cost of gas of $464.</w:t>
      </w:r>
    </w:p>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Depreciation and amortization expense increased by $4,985 or 5.8% principally due to continued capital expenditures to expand and improve our utility facilities and our acquisitions of new utility systems.</w:t>
      </w:r>
    </w:p>
    <w:p>
      <w:pPr>
        <w:spacing w:after="0" w:line="145" w:lineRule="exact"/>
        <w:rPr>
          <w:sz w:val="20"/>
          <w:szCs w:val="20"/>
          <w:color w:val="auto"/>
        </w:rPr>
      </w:pPr>
    </w:p>
    <w:p>
      <w:pPr>
        <w:ind w:right="760"/>
        <w:spacing w:after="0" w:line="245" w:lineRule="auto"/>
        <w:rPr>
          <w:sz w:val="20"/>
          <w:szCs w:val="20"/>
          <w:color w:val="auto"/>
        </w:rPr>
      </w:pPr>
      <w:r>
        <w:rPr>
          <w:rFonts w:ascii="Times New Roman" w:cs="Times New Roman" w:eastAsia="Times New Roman" w:hAnsi="Times New Roman"/>
          <w:sz w:val="22"/>
          <w:szCs w:val="22"/>
          <w:color w:val="auto"/>
        </w:rPr>
        <w:t>Taxes other than income taxes increased by $1,885 or 9.3% largely due to an increase in pumping fees in our Aqua Texas subsidiary during the second quarter of 2024 as compared to the prior period.</w:t>
      </w:r>
    </w:p>
    <w:p>
      <w:pPr>
        <w:spacing w:after="0" w:line="18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Interest expense increased by $4,557 or 6.7% for the quarter. Interest expense increased by $3,927 in our Regulated Water segment and decreased by $113 in our Regulated Natural Gas segment. Refer to Segment Results of Operations below for further details. Interest expense in Other relates to our corporate operations, and this increased by $743 during the second quarter of 2024.</w:t>
      </w:r>
    </w:p>
    <w:p>
      <w:pPr>
        <w:spacing w:after="0" w:line="17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$1,805 or 52.7% due to an increase in the average balance of utility plant construction work in progress, to which AFUDC is applied.</w:t>
      </w:r>
    </w:p>
    <w:p>
      <w:pPr>
        <w:spacing w:after="0" w:line="18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effective income tax rate was an expense of 2.4% and a benefit of 0.3% in the second quarter of 2024 and 2023, respectively. The decrease in the income tax benefit is primarily the result of a decrease in income tax benefit associated with the tax deduction for continued qualifying infrastructure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Six months ended June 30, 2024 compared with six months ended June 30, 2023</w:t>
      </w:r>
    </w:p>
    <w:p>
      <w:pPr>
        <w:spacing w:after="0" w:line="21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color w:val="auto"/>
        </w:rPr>
        <w:t>Consolidated operating revenues decreased by $116,675 or 10.0% for the six months ended June 30, 2024, as compared to the same period in 2023. Revenues from our Regulated Water segment increased by $21,400. Revenues from our Regulated Natural Gas segment and Other business segment decreased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by $127,759 and $10,316, respectively. A detailed discussion of the factors contributing to the changes in segment net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increased by $7,910 or 2.9%, primarily due to:</w:t>
      </w:r>
    </w:p>
    <w:p>
      <w:pPr>
        <w:spacing w:after="0" w:line="220" w:lineRule="exact"/>
        <w:rPr>
          <w:sz w:val="20"/>
          <w:szCs w:val="20"/>
          <w:color w:val="auto"/>
        </w:rPr>
      </w:pPr>
    </w:p>
    <w:p>
      <w:pPr>
        <w:ind w:left="340" w:right="260"/>
        <w:spacing w:after="0" w:line="235" w:lineRule="auto"/>
        <w:rPr>
          <w:sz w:val="20"/>
          <w:szCs w:val="20"/>
          <w:color w:val="auto"/>
        </w:rPr>
      </w:pPr>
      <w:r>
        <w:rPr>
          <w:rFonts w:ascii="Times New Roman" w:cs="Times New Roman" w:eastAsia="Times New Roman" w:hAnsi="Times New Roman"/>
          <w:sz w:val="22"/>
          <w:szCs w:val="22"/>
          <w:color w:val="auto"/>
        </w:rPr>
        <w:t>an increase in employee related costs of $2,628, primarily resulting from higher salary, medical, and prescription costs and increased contributions to the Company’s defined contribution plan;</w:t>
      </w:r>
    </w:p>
    <w:p>
      <w:pPr>
        <w:spacing w:after="0" w:line="1" w:lineRule="exact"/>
        <w:rPr>
          <w:sz w:val="20"/>
          <w:szCs w:val="20"/>
          <w:color w:val="auto"/>
        </w:rPr>
      </w:pPr>
    </w:p>
    <w:p>
      <w:pPr>
        <w:ind w:left="340" w:right="240"/>
        <w:spacing w:after="0" w:line="217"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$2,784, primarily due to increased purchased water, wastewater, and power costs; and</w:t>
      </w:r>
    </w:p>
    <w:p>
      <w:pPr>
        <w:spacing w:after="0" w:line="1" w:lineRule="exact"/>
        <w:rPr>
          <w:sz w:val="20"/>
          <w:szCs w:val="20"/>
          <w:color w:val="auto"/>
        </w:rPr>
      </w:pPr>
    </w:p>
    <w:p>
      <w:pPr>
        <w:ind w:left="340" w:right="120"/>
        <w:spacing w:after="0" w:line="224"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$2,413; lower capitalization of overhead costs of $2,046 in our Regulated Natural Gas segment;</w:t>
      </w:r>
    </w:p>
    <w:p>
      <w:pPr>
        <w:spacing w:after="0" w:line="217" w:lineRule="auto"/>
        <w:rPr>
          <w:sz w:val="20"/>
          <w:szCs w:val="20"/>
          <w:color w:val="auto"/>
        </w:rPr>
      </w:pPr>
      <w:r>
        <w:rPr>
          <w:rFonts w:ascii="Times New Roman" w:cs="Times New Roman" w:eastAsia="Times New Roman" w:hAnsi="Times New Roman"/>
          <w:sz w:val="22"/>
          <w:szCs w:val="22"/>
          <w:color w:val="auto"/>
        </w:rPr>
        <w:t>an increase in bad debt expense of $2,249; offset by,</w:t>
      </w:r>
    </w:p>
    <w:p>
      <w:pPr>
        <w:ind w:left="340" w:right="240"/>
        <w:spacing w:after="0" w:line="221" w:lineRule="auto"/>
        <w:rPr>
          <w:sz w:val="20"/>
          <w:szCs w:val="20"/>
          <w:color w:val="auto"/>
        </w:rPr>
      </w:pPr>
      <w:r>
        <w:rPr>
          <w:rFonts w:ascii="Times New Roman" w:cs="Times New Roman" w:eastAsia="Times New Roman" w:hAnsi="Times New Roman"/>
          <w:sz w:val="22"/>
          <w:szCs w:val="22"/>
          <w:color w:val="auto"/>
        </w:rPr>
        <w:t>a decrease in operation and maintenance expense of $4,134 as a result of the sale of both the regulated natural gas utility assets in West Virginia in October 2023 and the three non-utility local microgrid and distributed energy projects in January 2024; and</w:t>
      </w:r>
    </w:p>
    <w:p>
      <w:pPr>
        <w:spacing w:after="0" w:line="3" w:lineRule="exact"/>
        <w:rPr>
          <w:sz w:val="20"/>
          <w:szCs w:val="20"/>
          <w:color w:val="auto"/>
        </w:rPr>
      </w:pPr>
    </w:p>
    <w:p>
      <w:pPr>
        <w:ind w:left="340" w:right="320"/>
        <w:spacing w:after="0" w:line="231" w:lineRule="auto"/>
        <w:rPr>
          <w:sz w:val="20"/>
          <w:szCs w:val="20"/>
          <w:color w:val="auto"/>
        </w:rPr>
      </w:pPr>
      <w:r>
        <w:rPr>
          <w:rFonts w:ascii="Times New Roman" w:cs="Times New Roman" w:eastAsia="Times New Roman" w:hAnsi="Times New Roman"/>
          <w:sz w:val="22"/>
          <w:szCs w:val="22"/>
          <w:color w:val="auto"/>
        </w:rPr>
        <w:t>a decrease in customer assistance surcharge costs of $234 in our Regulated Natural Gas segment, which has an equivalent offsetting amount in revenues.</w:t>
      </w:r>
    </w:p>
    <w:p>
      <w:pPr>
        <w:spacing w:after="0" w:line="178"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22"/>
          <w:szCs w:val="22"/>
          <w:color w:val="auto"/>
        </w:rPr>
        <w:t>Purchased gas decreased by $134,845 or 45.2%. Purchased gas represents the cost of gas sold by Peoples for the Regulated Natural Gas business and has a corresponding offset in revenue. The decrease is the result of the lower average cost of gas of $107,452 during the six month period compared to prior period, and the impact of lower gas usage of $27,393 due to warmer weather conditions as well as the sale of Peoples West Virginia.</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$10,995 or 6.5% principally due to continued capital expenditures to expand and improve our utility facilities and our acquisitions of new utility systems.</w:t>
      </w:r>
    </w:p>
    <w:p>
      <w:pPr>
        <w:spacing w:after="0" w:line="186"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Taxes other than income taxes increased by $4,031 or 9.3% largely due to an increase in property taxes and payroll taxes in our Regulated Natural Gas segment during the first quarter of 2024 and an increase in pumping fees in our Aqua Texas subsidiary during the second quarter of 2024 as compared with the prior period.</w:t>
      </w:r>
    </w:p>
    <w:p>
      <w:pPr>
        <w:spacing w:after="0" w:line="19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Interest expense increased by $4,992 or 3.6% for the first six months of 2024. Interest expense increased by $9,004 in our Regulated Water segment and decreased by $2,264 for our Regulated Natural Gas segment. Refer to Segment Results of Operations below for further details. Interest expense in Other relates to our corporate operations, and this decreased by $1,748 primarily due to lower average borrowings on our revolving credit facility in 2024.</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$798 or by 8.8% due to the increase in the average balance of utility plant construction work in progress, to which AFUDC is applied.</w:t>
      </w:r>
    </w:p>
    <w:p>
      <w:pPr>
        <w:spacing w:after="0" w:line="158" w:lineRule="exact"/>
        <w:rPr>
          <w:sz w:val="20"/>
          <w:szCs w:val="20"/>
          <w:color w:val="auto"/>
        </w:rPr>
      </w:pPr>
    </w:p>
    <w:p>
      <w:pPr>
        <w:jc w:val="both"/>
        <w:ind w:right="480"/>
        <w:spacing w:after="0" w:line="238" w:lineRule="auto"/>
        <w:rPr>
          <w:sz w:val="20"/>
          <w:szCs w:val="20"/>
          <w:color w:val="auto"/>
        </w:rPr>
      </w:pPr>
      <w:r>
        <w:rPr>
          <w:rFonts w:ascii="Times New Roman" w:cs="Times New Roman" w:eastAsia="Times New Roman" w:hAnsi="Times New Roman"/>
          <w:sz w:val="22"/>
          <w:szCs w:val="22"/>
          <w:color w:val="auto"/>
        </w:rPr>
        <w:t>Gain on sale of assets was $91,828 and $469 during the first half of 2024 and 2023, respectively. During the first quarter of 2024, the Company completed the sale of its interest in three non-utility local microgrid and distributed energy projects and recognized a gain of $91,236.</w:t>
      </w:r>
    </w:p>
    <w:p>
      <w:pPr>
        <w:spacing w:after="0" w:line="17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Our effective income tax rate was a benefit of 2.6% in the first six months of 2024 and a benefit of 12.7% in the first six months of 2023. The decrease in the income tax benefit is primarily attributed to the gain recognized from the sale of the Company’s interest in three non-utility local microgrid and distributed energy projects in the first quarter of 2024, partially offset by increase in tax benefit associated with the tax deduction for continued qualifying infrastructure investment in our Regulated Natural Gas segment.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Segment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24"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9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 June 30, 2024 and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Pr>
          <w:p>
            <w:pPr>
              <w:spacing w:after="0"/>
              <w:rPr>
                <w:sz w:val="19"/>
                <w:szCs w:val="19"/>
                <w:color w:val="auto"/>
              </w:rPr>
            </w:pPr>
          </w:p>
        </w:tc>
        <w:tc>
          <w:tcPr>
            <w:tcW w:w="24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302,479</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293,672</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582,372</w:t>
            </w:r>
          </w:p>
        </w:tc>
        <w:tc>
          <w:tcPr>
            <w:tcW w:w="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560,972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95,575</w:t>
            </w:r>
          </w:p>
        </w:tc>
        <w:tc>
          <w:tcPr>
            <w:tcW w:w="3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93,227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186,258</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176,029</w:t>
            </w:r>
          </w:p>
        </w:tc>
        <w:tc>
          <w:tcPr>
            <w:tcW w:w="0" w:type="dxa"/>
            <w:vAlign w:val="bottom"/>
          </w:tcPr>
          <w:p>
            <w:pPr>
              <w:spacing w:after="0"/>
              <w:rPr>
                <w:sz w:val="1"/>
                <w:szCs w:val="1"/>
                <w:color w:val="auto"/>
              </w:rPr>
            </w:pPr>
          </w:p>
        </w:tc>
      </w:tr>
      <w:tr>
        <w:trPr>
          <w:trHeight w:val="170"/>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180" w:type="dxa"/>
            <w:vAlign w:val="bottom"/>
            <w:tcBorders>
              <w:bottom w:val="single" w:sz="8" w:color="auto"/>
            </w:tcBorders>
            <w:shd w:val="clear" w:color="auto" w:fill="CCEEFF"/>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87,679</w:t>
            </w:r>
          </w:p>
        </w:tc>
        <w:tc>
          <w:tcPr>
            <w:tcW w:w="3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90,027</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151,583</w:t>
            </w:r>
          </w:p>
        </w:tc>
        <w:tc>
          <w:tcPr>
            <w:tcW w:w="3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167,429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31.4%</w:t>
            </w:r>
          </w:p>
        </w:tc>
        <w:tc>
          <w:tcPr>
            <w:tcW w:w="0" w:type="dxa"/>
            <w:vAlign w:val="bottom"/>
          </w:tcPr>
          <w:p>
            <w:pPr>
              <w:spacing w:after="0"/>
              <w:rPr>
                <w:sz w:val="1"/>
                <w:szCs w:val="1"/>
                <w:color w:val="auto"/>
              </w:rPr>
            </w:pPr>
          </w:p>
        </w:tc>
      </w:tr>
      <w:tr>
        <w:trPr>
          <w:trHeight w:val="23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Pr>
          <w:p>
            <w:pPr>
              <w:spacing w:after="0"/>
              <w:rPr>
                <w:sz w:val="19"/>
                <w:szCs w:val="19"/>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19.0%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spacing w:after="0"/>
              <w:rPr>
                <w:sz w:val="19"/>
                <w:szCs w:val="19"/>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29.8%</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June 30, 2024 compared with three months ended June 30, 2023</w:t>
      </w:r>
    </w:p>
    <w:p>
      <w:pPr>
        <w:spacing w:after="0" w:line="224"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$8,807 or 3.0% for the second quarter of 2024 as compared to the same period in 2023,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$15,082;</w:t>
      </w:r>
    </w:p>
    <w:p>
      <w:pPr>
        <w:ind w:left="340" w:right="38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$3,113 associated with a larger customer base due to utility acquisitions and organic growth; offset by</w:t>
      </w:r>
    </w:p>
    <w:p>
      <w:pPr>
        <w:spacing w:after="0"/>
        <w:rPr>
          <w:sz w:val="20"/>
          <w:szCs w:val="20"/>
          <w:color w:val="auto"/>
        </w:rPr>
      </w:pPr>
      <w:r>
        <w:rPr>
          <w:rFonts w:ascii="Times New Roman" w:cs="Times New Roman" w:eastAsia="Times New Roman" w:hAnsi="Times New Roman"/>
          <w:sz w:val="22"/>
          <w:szCs w:val="22"/>
          <w:color w:val="auto"/>
        </w:rPr>
        <w:t>a decrease in volume consumption of $9,681.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$2,348 or 2.5% primarily due to the following:</w:t>
      </w:r>
    </w:p>
    <w:p>
      <w:pPr>
        <w:spacing w:after="0" w:line="220" w:lineRule="exact"/>
        <w:rPr>
          <w:sz w:val="20"/>
          <w:szCs w:val="20"/>
          <w:color w:val="auto"/>
        </w:rPr>
      </w:pPr>
    </w:p>
    <w:p>
      <w:pPr>
        <w:ind w:left="340" w:right="120"/>
        <w:spacing w:after="0" w:line="229"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$1,286; an increase in employee related costs of $998 primarily resulting from higher medical and prescription expenses;</w:t>
      </w:r>
    </w:p>
    <w:p>
      <w:pPr>
        <w:ind w:left="340" w:right="3400"/>
        <w:spacing w:after="0" w:line="231"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$387; offset by a decrease in bad debt expense of $772.</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$4,394 or 8.3% primarily due to continued capital investment to expand and improve our utility facilities and our acquisitions of new utility systems.</w:t>
      </w:r>
    </w:p>
    <w:p>
      <w:pPr>
        <w:spacing w:after="0" w:line="186"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$3,927 or 12.9% for the quarter primarily due to higher push down debt borrowings and operating company debt issuances for the Regulated Water segment.</w:t>
      </w:r>
    </w:p>
    <w:p>
      <w:pPr>
        <w:spacing w:after="0" w:line="186" w:lineRule="exact"/>
        <w:rPr>
          <w:sz w:val="20"/>
          <w:szCs w:val="20"/>
          <w:color w:val="auto"/>
        </w:rPr>
      </w:pPr>
    </w:p>
    <w:p>
      <w:pPr>
        <w:ind w:right="760"/>
        <w:spacing w:after="0" w:line="245" w:lineRule="auto"/>
        <w:rPr>
          <w:sz w:val="20"/>
          <w:szCs w:val="20"/>
          <w:color w:val="auto"/>
        </w:rPr>
      </w:pPr>
      <w:r>
        <w:rPr>
          <w:rFonts w:ascii="Times New Roman" w:cs="Times New Roman" w:eastAsia="Times New Roman" w:hAnsi="Times New Roman"/>
          <w:sz w:val="22"/>
          <w:szCs w:val="22"/>
          <w:color w:val="auto"/>
        </w:rPr>
        <w:t>AFUDC increased by $1,022 or by 34.8% due to the increase in the average balance of utility plant construction work in progress, to which AFUDC is applied.</w:t>
      </w:r>
    </w:p>
    <w:p>
      <w:pPr>
        <w:spacing w:after="0" w:line="172"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14.2% in the second quarter of 2024, compared to an expense of 15.0% in the second quarter of 2023. The decrease in the effective tax rate is primarily the result of the increase in the income tax benefit associated with the tax deduction for qualifying infrastructure.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Six months ended June 30, 2024 compared with six months ended June 30, 2023</w:t>
      </w:r>
    </w:p>
    <w:p>
      <w:pPr>
        <w:spacing w:after="0" w:line="22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Revenues increased by $21,400 or 3.8% for the first six months of 2024 as compared to the same period in 2023,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$26,460;</w:t>
      </w:r>
    </w:p>
    <w:p>
      <w:pPr>
        <w:ind w:left="340" w:right="42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$6,103 associated with a larger customer base due to utility acquisitions and organic growth; offset by</w:t>
      </w:r>
    </w:p>
    <w:p>
      <w:pPr>
        <w:ind w:left="340"/>
        <w:spacing w:after="0" w:line="231" w:lineRule="auto"/>
        <w:rPr>
          <w:sz w:val="20"/>
          <w:szCs w:val="20"/>
          <w:color w:val="auto"/>
        </w:rPr>
      </w:pPr>
      <w:r>
        <w:rPr>
          <w:rFonts w:ascii="Times New Roman" w:cs="Times New Roman" w:eastAsia="Times New Roman" w:hAnsi="Times New Roman"/>
          <w:sz w:val="22"/>
          <w:szCs w:val="22"/>
          <w:color w:val="auto"/>
        </w:rPr>
        <w:t>a decrease in non-utility revenue of $2,622, primarily due to higher developer fees earned during the first quarter of 2023; and a decrease in volume consumption of $8,589.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$10,229 or 5.8% primarily due to the following:</w:t>
      </w:r>
    </w:p>
    <w:p>
      <w:pPr>
        <w:spacing w:after="0" w:line="220" w:lineRule="exact"/>
        <w:rPr>
          <w:sz w:val="20"/>
          <w:szCs w:val="20"/>
          <w:color w:val="auto"/>
        </w:rPr>
      </w:pPr>
    </w:p>
    <w:p>
      <w:pPr>
        <w:ind w:left="340" w:right="340"/>
        <w:spacing w:after="0" w:line="229" w:lineRule="auto"/>
        <w:rPr>
          <w:sz w:val="20"/>
          <w:szCs w:val="20"/>
          <w:color w:val="auto"/>
        </w:rPr>
      </w:pPr>
      <w:r>
        <w:rPr>
          <w:rFonts w:ascii="Times New Roman" w:cs="Times New Roman" w:eastAsia="Times New Roman" w:hAnsi="Times New Roman"/>
          <w:sz w:val="22"/>
          <w:szCs w:val="22"/>
          <w:color w:val="auto"/>
        </w:rPr>
        <w:t>an increase in employee related costs of $2,813 primarily resulting from higher salary, medical, and prescription costs and increased contributions to the Company’s defined contribution plan;</w:t>
      </w:r>
    </w:p>
    <w:p>
      <w:pPr>
        <w:ind w:left="340" w:right="280"/>
        <w:spacing w:after="0" w:line="224"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$2,784, primarily due to increased purchased water, wastewater, and power costs;</w:t>
      </w:r>
    </w:p>
    <w:p>
      <w:pPr>
        <w:ind w:left="340" w:right="160"/>
        <w:spacing w:after="0" w:line="217"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$2,413;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bad debt expense of $3,686.</w:t>
      </w:r>
    </w:p>
    <w:p>
      <w:pPr>
        <w:spacing w:after="0" w:line="19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$8,121 or 7.6% primarily due to continued capital investment to expand and improve our utility facilities and our acquisitions of new utility systems.</w:t>
      </w:r>
    </w:p>
    <w:p>
      <w:pPr>
        <w:spacing w:after="0" w:line="18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$9,004 or 14.9% primarily due to higher push down debt borrowings and operating company debt issuances for the Regulated Water segment.</w:t>
      </w:r>
    </w:p>
    <w:p>
      <w:pPr>
        <w:spacing w:after="0" w:line="186"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18.9% in the first six months of 2024 and an expense of 14.9% in the first six months of 2023. The increase in effective tax rate is primarily the result of changes in the jurisdictional earnings mix, decrease in the amortization of certain regulatory liabilities associated with deferred taxes and decrease in the income tax benefit associated with the tax deduction for qualifying infrastructure.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June 30,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19"/>
                <w:szCs w:val="19"/>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128,188</w:t>
            </w:r>
          </w:p>
        </w:tc>
        <w:tc>
          <w:tcPr>
            <w:tcW w:w="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138,983</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452,519</w:t>
            </w:r>
          </w:p>
        </w:tc>
        <w:tc>
          <w:tcPr>
            <w:tcW w:w="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580,278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49,709</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41,114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95,626</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98,264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32,680</w:t>
            </w:r>
          </w:p>
        </w:tc>
        <w:tc>
          <w:tcPr>
            <w:tcW w:w="32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39,665</w:t>
            </w:r>
          </w:p>
        </w:tc>
        <w:tc>
          <w:tcPr>
            <w:tcW w:w="2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158,222</w:t>
            </w:r>
          </w:p>
        </w:tc>
        <w:tc>
          <w:tcPr>
            <w:tcW w:w="32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281,521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(1,717)</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13,630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208,223</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137,176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16"/>
                <w:szCs w:val="16"/>
                <w:color w:val="auto"/>
              </w:rPr>
            </w:pPr>
          </w:p>
        </w:tc>
        <w:tc>
          <w:tcPr>
            <w:tcW w:w="12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38.8%</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35.0%</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6"/>
                <w:szCs w:val="16"/>
                <w:color w:val="auto"/>
              </w:rPr>
            </w:pPr>
          </w:p>
        </w:tc>
        <w:tc>
          <w:tcPr>
            <w:tcW w:w="12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16"/>
                <w:szCs w:val="16"/>
                <w:color w:val="auto"/>
              </w:rPr>
            </w:pPr>
          </w:p>
        </w:tc>
        <w:tc>
          <w:tcPr>
            <w:tcW w:w="12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 (loss)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85.1%</w:t>
            </w:r>
          </w:p>
        </w:tc>
        <w:tc>
          <w:tcPr>
            <w:tcW w:w="3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-4213.3%</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June 30, 2024 compared with three months ended June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decreased by $10,795 or by 7.8% due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purchased gas costs of $6,985; refer to purchased gas costs discussion below for further information;</w:t>
      </w:r>
    </w:p>
    <w:p>
      <w:pPr>
        <w:ind w:left="340" w:right="660"/>
        <w:spacing w:after="0" w:line="224" w:lineRule="auto"/>
        <w:rPr>
          <w:sz w:val="20"/>
          <w:szCs w:val="20"/>
          <w:color w:val="auto"/>
        </w:rPr>
      </w:pPr>
      <w:r>
        <w:rPr>
          <w:rFonts w:ascii="Times New Roman" w:cs="Times New Roman" w:eastAsia="Times New Roman" w:hAnsi="Times New Roman"/>
          <w:sz w:val="22"/>
          <w:szCs w:val="22"/>
          <w:color w:val="auto"/>
        </w:rPr>
        <w:t>impact of lower volumes of $726 due to the sale of Peoples West Virginia in 2023 and $5,567 primarily due to warmer weather conditions in 2024 compared to prior period;</w:t>
      </w:r>
    </w:p>
    <w:p>
      <w:pPr>
        <w:ind w:left="340" w:right="760"/>
        <w:spacing w:after="0" w:line="217" w:lineRule="auto"/>
        <w:rPr>
          <w:sz w:val="20"/>
          <w:szCs w:val="20"/>
          <w:color w:val="auto"/>
        </w:rPr>
      </w:pPr>
      <w:r>
        <w:rPr>
          <w:rFonts w:ascii="Times New Roman" w:cs="Times New Roman" w:eastAsia="Times New Roman" w:hAnsi="Times New Roman"/>
          <w:sz w:val="22"/>
          <w:szCs w:val="22"/>
          <w:color w:val="auto"/>
        </w:rPr>
        <w:t>decrease in other utility revenues of $2,013 resulting from the sale of the Company’s interest in three non-utility local microgrid and distributed energy projects; offset by</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of $3,267 due to higher rates and other surcharges, and</w:t>
      </w:r>
    </w:p>
    <w:p>
      <w:pPr>
        <w:ind w:left="340" w:right="880"/>
        <w:spacing w:after="0" w:line="231" w:lineRule="auto"/>
        <w:rPr>
          <w:sz w:val="20"/>
          <w:szCs w:val="20"/>
          <w:color w:val="auto"/>
        </w:rPr>
      </w:pPr>
      <w:r>
        <w:rPr>
          <w:rFonts w:ascii="Times New Roman" w:cs="Times New Roman" w:eastAsia="Times New Roman" w:hAnsi="Times New Roman"/>
          <w:sz w:val="22"/>
          <w:szCs w:val="22"/>
          <w:color w:val="auto"/>
        </w:rPr>
        <w:t>an increase in customer assistance surcharge of $2,563, which has an equivalent offsetting amount in operations and maintenance expense.</w:t>
      </w:r>
    </w:p>
    <w:p>
      <w:pPr>
        <w:spacing w:after="0" w:line="17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June 30, 2024 increased by $8,595 or 20.9% primarily due to the following:</w:t>
      </w:r>
    </w:p>
    <w:p>
      <w:pPr>
        <w:spacing w:after="0" w:line="158" w:lineRule="exact"/>
        <w:rPr>
          <w:sz w:val="20"/>
          <w:szCs w:val="20"/>
          <w:color w:val="auto"/>
        </w:rPr>
      </w:pPr>
    </w:p>
    <w:p>
      <w:pPr>
        <w:ind w:left="340" w:right="820"/>
        <w:spacing w:after="0" w:line="235" w:lineRule="auto"/>
        <w:rPr>
          <w:sz w:val="20"/>
          <w:szCs w:val="20"/>
          <w:color w:val="auto"/>
        </w:rPr>
      </w:pPr>
      <w:r>
        <w:rPr>
          <w:rFonts w:ascii="Times New Roman" w:cs="Times New Roman" w:eastAsia="Times New Roman" w:hAnsi="Times New Roman"/>
          <w:sz w:val="22"/>
          <w:szCs w:val="22"/>
          <w:color w:val="auto"/>
        </w:rPr>
        <w:t>an increase in customer assistance surcharge costs of $2,563, which has an equivalent offsetting amount in revenues; lower capitalization of overhead costs of $4,391; offset by</w:t>
      </w:r>
    </w:p>
    <w:p>
      <w:pPr>
        <w:spacing w:after="0" w:line="1" w:lineRule="exact"/>
        <w:rPr>
          <w:sz w:val="20"/>
          <w:szCs w:val="20"/>
          <w:color w:val="auto"/>
        </w:rPr>
      </w:pPr>
    </w:p>
    <w:p>
      <w:pPr>
        <w:ind w:left="340" w:right="300"/>
        <w:spacing w:after="0" w:line="217" w:lineRule="auto"/>
        <w:rPr>
          <w:sz w:val="20"/>
          <w:szCs w:val="20"/>
          <w:color w:val="auto"/>
        </w:rPr>
      </w:pPr>
      <w:r>
        <w:rPr>
          <w:rFonts w:ascii="Times New Roman" w:cs="Times New Roman" w:eastAsia="Times New Roman" w:hAnsi="Times New Roman"/>
          <w:sz w:val="22"/>
          <w:szCs w:val="22"/>
          <w:color w:val="auto"/>
        </w:rPr>
        <w:t>a decrease in operation and maintenance expense of $2,422 as a result of the sale of both the regulated natural gas utility assets in West Virginia in October 2023 and the three non-utility local microgrid and distributed energy projects in January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decreased by $6,985 or 17.6% as a result of the impact of: lower gas usage of $7,187 due to warmer weather conditions and $1,567 from the sale of Peoples West Virginia, offset by an increase in the average cost of gas of $1,769 during the current period compared to the prior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$444 or 1.4% primarily due to continued capital investment.</w:t>
      </w:r>
    </w:p>
    <w:p>
      <w:pPr>
        <w:spacing w:after="0" w:line="2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AFUDC increased by $783 or by 161.8% due to the increase in the average balance of utility plant construction work in progress, to which AFUDC is applied.</w:t>
      </w:r>
    </w:p>
    <w:p>
      <w:pPr>
        <w:spacing w:after="0" w:line="18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Our effective income tax benefit decreased in the second quarter of 2024 compared to second quarter of 2023. The decrease in the income tax benefit is primarily attributed to the decrease in income tax benefit associated with the tax deduction for continued qualifying infrastructure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Six months ended June 30, 2024 compared with six months ended June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decreased by $127,759 or 22.0% due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purchased gas costs of $123,299; refer to purchased gas costs discussion below for further information;</w:t>
      </w:r>
    </w:p>
    <w:p>
      <w:pPr>
        <w:ind w:left="340" w:right="220"/>
        <w:spacing w:after="0" w:line="224" w:lineRule="auto"/>
        <w:rPr>
          <w:sz w:val="20"/>
          <w:szCs w:val="20"/>
          <w:color w:val="auto"/>
        </w:rPr>
      </w:pPr>
      <w:r>
        <w:rPr>
          <w:rFonts w:ascii="Times New Roman" w:cs="Times New Roman" w:eastAsia="Times New Roman" w:hAnsi="Times New Roman"/>
          <w:sz w:val="22"/>
          <w:szCs w:val="22"/>
          <w:color w:val="auto"/>
        </w:rPr>
        <w:t>lower gas usage of $3,639 due to the sale of Peoples West Virginia and $2,314 primarily due to warmer weather conditions; and</w:t>
      </w:r>
    </w:p>
    <w:p>
      <w:pPr>
        <w:ind w:left="340" w:right="600"/>
        <w:spacing w:after="0" w:line="217" w:lineRule="auto"/>
        <w:rPr>
          <w:sz w:val="20"/>
          <w:szCs w:val="20"/>
          <w:color w:val="auto"/>
        </w:rPr>
      </w:pPr>
      <w:r>
        <w:rPr>
          <w:rFonts w:ascii="Times New Roman" w:cs="Times New Roman" w:eastAsia="Times New Roman" w:hAnsi="Times New Roman"/>
          <w:sz w:val="22"/>
          <w:szCs w:val="22"/>
          <w:color w:val="auto"/>
        </w:rPr>
        <w:t>a decrease in other utility revenues of $3,142 resulting from the sale of the Company’s interest in three non-utility local microgrid and distributed energy projects; offset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of $5,746 due to higher rates and other surcharges.</w:t>
      </w:r>
    </w:p>
    <w:p>
      <w:pPr>
        <w:spacing w:after="0" w:line="19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first half of 2024, we experienced actual HDDs of 2,616 days, which was warmer by 10.7% than the actual HDDs of 2,931 days in the first six months of 2023 for Pittsburgh Pennsylvania, which we use as a proxy for our western Pennsylvania service territory.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decreased by $2,638 or 2.7% primarily due to the following: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bad debt expense of $1,464;</w:t>
      </w:r>
    </w:p>
    <w:p>
      <w:pPr>
        <w:spacing w:after="0" w:line="217" w:lineRule="auto"/>
        <w:rPr>
          <w:sz w:val="20"/>
          <w:szCs w:val="20"/>
          <w:color w:val="auto"/>
        </w:rPr>
      </w:pPr>
      <w:r>
        <w:rPr>
          <w:rFonts w:ascii="Times New Roman" w:cs="Times New Roman" w:eastAsia="Times New Roman" w:hAnsi="Times New Roman"/>
          <w:sz w:val="22"/>
          <w:szCs w:val="22"/>
          <w:color w:val="auto"/>
        </w:rPr>
        <w:t>lower capitalization of overhead costs of $2,046;</w:t>
      </w:r>
    </w:p>
    <w:p>
      <w:pPr>
        <w:ind w:left="340" w:right="280"/>
        <w:spacing w:after="0" w:line="221" w:lineRule="auto"/>
        <w:rPr>
          <w:sz w:val="20"/>
          <w:szCs w:val="20"/>
          <w:color w:val="auto"/>
        </w:rPr>
      </w:pPr>
      <w:r>
        <w:rPr>
          <w:rFonts w:ascii="Times New Roman" w:cs="Times New Roman" w:eastAsia="Times New Roman" w:hAnsi="Times New Roman"/>
          <w:sz w:val="22"/>
          <w:szCs w:val="22"/>
          <w:color w:val="auto"/>
        </w:rPr>
        <w:t>a decrease in operation and maintenance expense of $4,134 as a result of the sale of both the regulated natural gas utility assets in West Virginia in October 2023 and the three non-utility local microgrid and distributed energy projects in January 2024;</w:t>
      </w:r>
    </w:p>
    <w:p>
      <w:pPr>
        <w:spacing w:after="0" w:line="3" w:lineRule="exact"/>
        <w:rPr>
          <w:sz w:val="20"/>
          <w:szCs w:val="20"/>
          <w:color w:val="auto"/>
        </w:rPr>
      </w:pPr>
    </w:p>
    <w:p>
      <w:pPr>
        <w:ind w:left="340" w:right="220"/>
        <w:spacing w:after="0" w:line="237" w:lineRule="auto"/>
        <w:rPr>
          <w:sz w:val="20"/>
          <w:szCs w:val="20"/>
          <w:color w:val="auto"/>
        </w:rPr>
      </w:pPr>
      <w:r>
        <w:rPr>
          <w:rFonts w:ascii="Times New Roman" w:cs="Times New Roman" w:eastAsia="Times New Roman" w:hAnsi="Times New Roman"/>
          <w:sz w:val="22"/>
          <w:szCs w:val="22"/>
          <w:color w:val="auto"/>
        </w:rPr>
        <w:t>a decrease in customer assistance surcharge costs of $234, which has an equivalent offsetting amount in revenues; offset by an increase in materials and supplies of $1,422.</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Purchased gas decreased by $123,299 or 43.8% during the second half of 2024 compared with the same period in 2023 as a result of the impact of: (1) a decrease in the average cost of gas of $105,353; and (2) lower gas usage of $13,181 due to warmer weather conditions and $4,765 due to the sale of Peoples West Virginia in October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$2,727 or 4.4% primarily due to continued capital investment in pipe replacement.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other than income taxes increased by $1,213 or 10.9% mainly due to an increase in property taxes and payroll taxes.</w:t>
      </w:r>
    </w:p>
    <w:p>
      <w:pPr>
        <w:spacing w:after="0" w:line="206"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Interest expense, net, decreased by $2,264 or 4.7% due to interest incurred in the first quarter of 2023 on refunded gas cost collections, partially offset by an increase in interest expense resulting from higher push down debt borrowings of the Regulated Natural Gas segment with Essential Utilities, Inc.</w:t>
      </w:r>
    </w:p>
    <w:p>
      <w:pPr>
        <w:spacing w:after="0" w:line="1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AFUDC increased by $1,034 due to the increase in the average balance of utility plant construction work in progress, to which AFUDC is applied.</w:t>
      </w:r>
    </w:p>
    <w:p>
      <w:pPr>
        <w:spacing w:after="0" w:line="15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Gain on sale of assets was $91,581 and $0 during the first half of 2024 and 2023, respectively. During the first quarter of 2024, the Company completed the sale of its interest in three non-utility local microgrid and distributed energy projects and recognized a gain of $91,236.</w:t>
      </w:r>
    </w:p>
    <w:p>
      <w:pPr>
        <w:spacing w:after="0" w:line="17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Our effective income tax rate was a benefit of 23.0% in the first six months of 2024 and a benefit of 70.7% in the first six months of 2023. The decrease in income tax benefit is primarily attributed to the gain recognized from the sale of the Company’s interest in three non-utility local microgrid and distributed energy projects in the first quarter of 2024, partially offset by an increase in tax benefit associated with the tax deduction for continued qualifying infrastructure investment.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16,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condensed consolidated financial statements in this report.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2023, filed February 29, 2024,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June 30, 2024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14 to the Company’s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0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2023, under “Part 1, Item 1A – Risk Factors”.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Security Trading Plans of Directors and Executive Officers</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During the quarter ended June 30, 2024,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Shares</w:t>
            </w:r>
          </w:p>
        </w:tc>
        <w:tc>
          <w:tcPr>
            <w:tcW w:w="2080" w:type="dxa"/>
            <w:vAlign w:val="bottom"/>
          </w:tcPr>
          <w:p>
            <w:pPr>
              <w:spacing w:after="0"/>
              <w:rPr>
                <w:sz w:val="16"/>
                <w:szCs w:val="16"/>
                <w:color w:val="auto"/>
              </w:rPr>
            </w:pPr>
          </w:p>
        </w:tc>
      </w:tr>
      <w:tr>
        <w:trPr>
          <w:trHeight w:val="175"/>
        </w:trPr>
        <w:tc>
          <w:tcPr>
            <w:tcW w:w="2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of Common Stock to be</w:t>
            </w:r>
          </w:p>
        </w:tc>
        <w:tc>
          <w:tcPr>
            <w:tcW w:w="2080" w:type="dxa"/>
            <w:vAlign w:val="bottom"/>
          </w:tcPr>
          <w:p>
            <w:pPr>
              <w:spacing w:after="0"/>
              <w:rPr>
                <w:sz w:val="15"/>
                <w:szCs w:val="15"/>
                <w:color w:val="auto"/>
              </w:rPr>
            </w:pPr>
          </w:p>
        </w:tc>
      </w:tr>
      <w:tr>
        <w:trPr>
          <w:trHeight w:val="164"/>
        </w:trPr>
        <w:tc>
          <w:tcPr>
            <w:tcW w:w="2440" w:type="dxa"/>
            <w:vAlign w:val="bottom"/>
          </w:tcPr>
          <w:p>
            <w:pPr>
              <w:spacing w:after="0"/>
              <w:rPr>
                <w:sz w:val="14"/>
                <w:szCs w:val="14"/>
                <w:color w:val="auto"/>
              </w:rPr>
            </w:pPr>
          </w:p>
        </w:tc>
        <w:tc>
          <w:tcPr>
            <w:tcW w:w="2460" w:type="dxa"/>
            <w:vAlign w:val="bottom"/>
          </w:tcPr>
          <w:p>
            <w:pPr>
              <w:jc w:val="center"/>
              <w:ind w:left="477"/>
              <w:spacing w:after="0" w:line="165" w:lineRule="exact"/>
              <w:rPr>
                <w:sz w:val="20"/>
                <w:szCs w:val="20"/>
                <w:color w:val="auto"/>
              </w:rPr>
            </w:pPr>
            <w:r>
              <w:rPr>
                <w:rFonts w:ascii="Times New Roman" w:cs="Times New Roman" w:eastAsia="Times New Roman" w:hAnsi="Times New Roman"/>
                <w:sz w:val="16"/>
                <w:szCs w:val="16"/>
                <w:b w:val="1"/>
                <w:bCs w:val="1"/>
                <w:color w:val="auto"/>
              </w:rPr>
              <w:t>Character of Trading</w:t>
            </w:r>
          </w:p>
        </w:tc>
        <w:tc>
          <w:tcPr>
            <w:tcW w:w="1940" w:type="dxa"/>
            <w:vAlign w:val="bottom"/>
          </w:tcPr>
          <w:p>
            <w:pPr>
              <w:jc w:val="center"/>
              <w:ind w:left="133"/>
              <w:spacing w:after="0" w:line="165" w:lineRule="exact"/>
              <w:rPr>
                <w:sz w:val="20"/>
                <w:szCs w:val="20"/>
                <w:color w:val="auto"/>
              </w:rPr>
            </w:pPr>
            <w:r>
              <w:rPr>
                <w:rFonts w:ascii="Times New Roman" w:cs="Times New Roman" w:eastAsia="Times New Roman" w:hAnsi="Times New Roman"/>
                <w:sz w:val="16"/>
                <w:szCs w:val="16"/>
                <w:b w:val="1"/>
                <w:bCs w:val="1"/>
                <w:color w:val="auto"/>
              </w:rPr>
              <w:t>Date of Adoption/</w:t>
            </w:r>
          </w:p>
        </w:tc>
        <w:tc>
          <w:tcPr>
            <w:tcW w:w="23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Purchased/Sold Pursuant to</w:t>
            </w:r>
          </w:p>
        </w:tc>
        <w:tc>
          <w:tcPr>
            <w:tcW w:w="2080" w:type="dxa"/>
            <w:vAlign w:val="bottom"/>
          </w:tcPr>
          <w:p>
            <w:pPr>
              <w:spacing w:after="0"/>
              <w:rPr>
                <w:sz w:val="14"/>
                <w:szCs w:val="14"/>
                <w:color w:val="auto"/>
              </w:rPr>
            </w:pPr>
          </w:p>
        </w:tc>
      </w:tr>
      <w:tr>
        <w:trPr>
          <w:trHeight w:val="216"/>
        </w:trPr>
        <w:tc>
          <w:tcPr>
            <w:tcW w:w="24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Name &amp; Title</w:t>
            </w:r>
          </w:p>
        </w:tc>
        <w:tc>
          <w:tcPr>
            <w:tcW w:w="246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9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2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Duration of Plan</w:t>
            </w:r>
          </w:p>
        </w:tc>
      </w:tr>
      <w:tr>
        <w:trPr>
          <w:trHeight w:val="160"/>
        </w:trPr>
        <w:tc>
          <w:tcPr>
            <w:tcW w:w="24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Christopher Luning,</w:t>
            </w:r>
          </w:p>
        </w:tc>
        <w:tc>
          <w:tcPr>
            <w:tcW w:w="2460" w:type="dxa"/>
            <w:vAlign w:val="bottom"/>
            <w:shd w:val="clear" w:color="auto" w:fill="CCEEFF"/>
          </w:tcPr>
          <w:p>
            <w:pPr>
              <w:ind w:left="480"/>
              <w:spacing w:after="0" w:line="160" w:lineRule="exact"/>
              <w:rPr>
                <w:sz w:val="20"/>
                <w:szCs w:val="20"/>
                <w:color w:val="auto"/>
              </w:rPr>
            </w:pPr>
            <w:r>
              <w:rPr>
                <w:rFonts w:ascii="Times New Roman" w:cs="Times New Roman" w:eastAsia="Times New Roman" w:hAnsi="Times New Roman"/>
                <w:sz w:val="18"/>
                <w:szCs w:val="18"/>
                <w:color w:val="auto"/>
              </w:rPr>
              <w:t>Rule 10b5-1(c) Trading</w:t>
            </w:r>
          </w:p>
        </w:tc>
        <w:tc>
          <w:tcPr>
            <w:tcW w:w="194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8"/>
                <w:szCs w:val="18"/>
                <w:color w:val="auto"/>
              </w:rPr>
              <w:t>Terminated - April 2,</w:t>
            </w:r>
          </w:p>
        </w:tc>
        <w:tc>
          <w:tcPr>
            <w:tcW w:w="232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8"/>
                <w:szCs w:val="18"/>
                <w:color w:val="auto"/>
              </w:rPr>
              <w:t>Up to 30,000 shares to be</w:t>
            </w:r>
          </w:p>
        </w:tc>
        <w:tc>
          <w:tcPr>
            <w:tcW w:w="2080" w:type="dxa"/>
            <w:vAlign w:val="bottom"/>
            <w:shd w:val="clear" w:color="auto" w:fill="CCEEFF"/>
          </w:tcPr>
          <w:p>
            <w:pPr>
              <w:jc w:val="right"/>
              <w:ind w:right="156"/>
              <w:spacing w:after="0" w:line="160" w:lineRule="exact"/>
              <w:rPr>
                <w:sz w:val="20"/>
                <w:szCs w:val="20"/>
                <w:color w:val="auto"/>
              </w:rPr>
            </w:pPr>
            <w:r>
              <w:rPr>
                <w:rFonts w:ascii="Times New Roman" w:cs="Times New Roman" w:eastAsia="Times New Roman" w:hAnsi="Times New Roman"/>
                <w:sz w:val="18"/>
                <w:szCs w:val="18"/>
                <w:color w:val="auto"/>
              </w:rPr>
              <w:t>3/5/2024 - 3/31/2025</w:t>
            </w:r>
          </w:p>
        </w:tc>
      </w:tr>
      <w:tr>
        <w:trPr>
          <w:trHeight w:val="216"/>
        </w:trPr>
        <w:tc>
          <w:tcPr>
            <w:tcW w:w="4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&amp; General Arrangement</w:t>
            </w:r>
          </w:p>
        </w:tc>
        <w:tc>
          <w:tcPr>
            <w:tcW w:w="19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2024</w:t>
            </w:r>
          </w:p>
        </w:tc>
        <w:tc>
          <w:tcPr>
            <w:tcW w:w="23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080" w:type="dxa"/>
            <w:vAlign w:val="bottom"/>
            <w:shd w:val="clear" w:color="auto" w:fill="CCEEFF"/>
          </w:tcPr>
          <w:p>
            <w:pPr>
              <w:spacing w:after="0"/>
              <w:rPr>
                <w:sz w:val="18"/>
                <w:szCs w:val="18"/>
                <w:color w:val="auto"/>
              </w:rPr>
            </w:pPr>
          </w:p>
        </w:tc>
      </w:tr>
      <w:tr>
        <w:trPr>
          <w:trHeight w:val="2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Counsel</w:t>
            </w:r>
          </w:p>
        </w:tc>
        <w:tc>
          <w:tcPr>
            <w:tcW w:w="24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1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Eighth Amendment to Credit Agreement, dated June 12, 2024, by and between Aqua Pennsylvania, Inc. PNC National Bank</w:t>
            </w:r>
          </w:p>
        </w:tc>
      </w:tr>
      <w:tr>
        <w:trPr>
          <w:trHeight w:val="190"/>
        </w:trPr>
        <w:tc>
          <w:tcPr>
            <w:tcW w:w="2160" w:type="dxa"/>
            <w:vAlign w:val="bottom"/>
            <w:tcBorders>
              <w:top w:val="single" w:sz="8" w:color="CCEEFF"/>
            </w:tcBorders>
            <w:shd w:val="clear" w:color="auto" w:fill="CCEEFF"/>
          </w:tcPr>
          <w:p>
            <w:pPr>
              <w:spacing w:after="0"/>
              <w:rPr>
                <w:sz w:val="16"/>
                <w:szCs w:val="16"/>
                <w:color w:val="auto"/>
              </w:rPr>
            </w:pPr>
          </w:p>
        </w:tc>
        <w:tc>
          <w:tcPr>
            <w:tcW w:w="9020" w:type="dxa"/>
            <w:vAlign w:val="bottom"/>
            <w:tcBorders>
              <w:top w:val="single" w:sz="8" w:color="0563C1"/>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563C1"/>
              </w:rPr>
              <w:t>Association, Citizens Bank N.A., and The Huntington National Bank</w:t>
            </w:r>
          </w:p>
        </w:tc>
        <w:tc>
          <w:tcPr>
            <w:tcW w:w="60" w:type="dxa"/>
            <w:vAlign w:val="bottom"/>
            <w:tcBorders>
              <w:top w:val="single" w:sz="8" w:color="CCEEFF"/>
            </w:tcBorders>
            <w:shd w:val="clear" w:color="auto" w:fill="CCEEFF"/>
          </w:tcPr>
          <w:p>
            <w:pPr>
              <w:spacing w:after="0"/>
              <w:rPr>
                <w:sz w:val="16"/>
                <w:szCs w:val="16"/>
                <w:color w:val="auto"/>
              </w:rPr>
            </w:pPr>
          </w:p>
        </w:tc>
      </w:tr>
      <w:tr>
        <w:trPr>
          <w:trHeight w:val="189"/>
        </w:trPr>
        <w:tc>
          <w:tcPr>
            <w:tcW w:w="2160" w:type="dxa"/>
            <w:vAlign w:val="bottom"/>
            <w:tcBorders>
              <w:top w:val="single" w:sz="8" w:color="CCEEFF"/>
            </w:tcBorders>
          </w:tcPr>
          <w:p>
            <w:pPr>
              <w:spacing w:after="0"/>
              <w:rPr>
                <w:sz w:val="16"/>
                <w:szCs w:val="16"/>
                <w:color w:val="auto"/>
              </w:rPr>
            </w:pPr>
          </w:p>
        </w:tc>
        <w:tc>
          <w:tcPr>
            <w:tcW w:w="4980" w:type="dxa"/>
            <w:vAlign w:val="bottom"/>
            <w:tcBorders>
              <w:top w:val="single" w:sz="8" w:color="0563C1"/>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Fourth Amendment to Credit Agreement, dated June 12, 2024, by and between PNG Companies LLC, PNC National Bank</w:t>
            </w:r>
          </w:p>
        </w:tc>
      </w:tr>
      <w:tr>
        <w:trPr>
          <w:trHeight w:val="189"/>
        </w:trPr>
        <w:tc>
          <w:tcPr>
            <w:tcW w:w="216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0563C1"/>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563C1"/>
              </w:rPr>
              <w:t>Association, Citizens Bank N.A., and The Huntington National Bank</w:t>
            </w:r>
          </w:p>
        </w:tc>
        <w:tc>
          <w:tcPr>
            <w:tcW w:w="160" w:type="dxa"/>
            <w:vAlign w:val="bottom"/>
            <w:tcBorders>
              <w:top w:val="single" w:sz="8" w:color="CCEEFF"/>
            </w:tcBorders>
            <w:gridSpan w:val="2"/>
            <w:shd w:val="clear" w:color="auto" w:fill="CCEEFF"/>
          </w:tcPr>
          <w:p>
            <w:pPr>
              <w:spacing w:after="0"/>
              <w:rPr>
                <w:sz w:val="16"/>
                <w:szCs w:val="16"/>
                <w:color w:val="auto"/>
              </w:rPr>
            </w:pPr>
          </w:p>
        </w:tc>
      </w:tr>
      <w:tr>
        <w:trPr>
          <w:trHeight w:val="189"/>
        </w:trPr>
        <w:tc>
          <w:tcPr>
            <w:tcW w:w="2160" w:type="dxa"/>
            <w:vAlign w:val="bottom"/>
            <w:tcBorders>
              <w:top w:val="single" w:sz="8" w:color="CCEEFF"/>
            </w:tcBorders>
          </w:tcPr>
          <w:p>
            <w:pPr>
              <w:spacing w:after="0"/>
              <w:rPr>
                <w:sz w:val="16"/>
                <w:szCs w:val="16"/>
                <w:color w:val="auto"/>
              </w:rPr>
            </w:pPr>
          </w:p>
        </w:tc>
        <w:tc>
          <w:tcPr>
            <w:tcW w:w="4980" w:type="dxa"/>
            <w:vAlign w:val="bottom"/>
            <w:tcBorders>
              <w:top w:val="single" w:sz="8" w:color="0563C1"/>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r>
      <w:tr>
        <w:trPr>
          <w:trHeight w:val="229"/>
        </w:trPr>
        <w:tc>
          <w:tcPr>
            <w:tcW w:w="2160" w:type="dxa"/>
            <w:vAlign w:val="bottom"/>
            <w:tcBorders>
              <w:top w:val="single" w:sz="8" w:color="CCEEFF"/>
            </w:tcBorders>
          </w:tcPr>
          <w:p>
            <w:pPr>
              <w:spacing w:after="0"/>
              <w:rPr>
                <w:sz w:val="19"/>
                <w:szCs w:val="19"/>
                <w:color w:val="auto"/>
              </w:rPr>
            </w:pPr>
          </w:p>
        </w:tc>
        <w:tc>
          <w:tcPr>
            <w:tcW w:w="4980" w:type="dxa"/>
            <w:vAlign w:val="bottom"/>
            <w:tcBorders>
              <w:top w:val="single" w:sz="8" w:color="0563C1"/>
            </w:tcBorders>
          </w:tcPr>
          <w:p>
            <w:pPr>
              <w:spacing w:after="0"/>
              <w:rPr>
                <w:sz w:val="19"/>
                <w:szCs w:val="19"/>
                <w:color w:val="auto"/>
              </w:rPr>
            </w:pPr>
          </w:p>
        </w:tc>
        <w:tc>
          <w:tcPr>
            <w:tcW w:w="1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r>
      <w:tr>
        <w:trPr>
          <w:trHeight w:val="229"/>
        </w:trPr>
        <w:tc>
          <w:tcPr>
            <w:tcW w:w="2160" w:type="dxa"/>
            <w:vAlign w:val="bottom"/>
            <w:tcBorders>
              <w:top w:val="single" w:sz="8" w:color="CCEEFF"/>
            </w:tcBorders>
          </w:tcPr>
          <w:p>
            <w:pPr>
              <w:spacing w:after="0"/>
              <w:rPr>
                <w:sz w:val="19"/>
                <w:szCs w:val="19"/>
                <w:color w:val="auto"/>
              </w:rPr>
            </w:pPr>
          </w:p>
        </w:tc>
        <w:tc>
          <w:tcPr>
            <w:tcW w:w="4980" w:type="dxa"/>
            <w:vAlign w:val="bottom"/>
            <w:tcBorders>
              <w:top w:val="single" w:sz="8" w:color="0563C1"/>
            </w:tcBorders>
          </w:tcPr>
          <w:p>
            <w:pPr>
              <w:spacing w:after="0"/>
              <w:rPr>
                <w:sz w:val="19"/>
                <w:szCs w:val="19"/>
                <w:color w:val="auto"/>
              </w:rPr>
            </w:pPr>
          </w:p>
        </w:tc>
        <w:tc>
          <w:tcPr>
            <w:tcW w:w="1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r>
      <w:tr>
        <w:trPr>
          <w:trHeight w:val="230"/>
        </w:trPr>
        <w:tc>
          <w:tcPr>
            <w:tcW w:w="2160" w:type="dxa"/>
            <w:vAlign w:val="bottom"/>
            <w:tcBorders>
              <w:top w:val="single" w:sz="8" w:color="CCEEFF"/>
            </w:tcBorders>
          </w:tcPr>
          <w:p>
            <w:pPr>
              <w:spacing w:after="0"/>
              <w:rPr>
                <w:sz w:val="19"/>
                <w:szCs w:val="19"/>
                <w:color w:val="auto"/>
              </w:rPr>
            </w:pPr>
          </w:p>
        </w:tc>
        <w:tc>
          <w:tcPr>
            <w:tcW w:w="4980" w:type="dxa"/>
            <w:vAlign w:val="bottom"/>
            <w:tcBorders>
              <w:top w:val="single" w:sz="8" w:color="0563C1"/>
            </w:tcBorders>
          </w:tcPr>
          <w:p>
            <w:pPr>
              <w:spacing w:after="0"/>
              <w:rPr>
                <w:sz w:val="19"/>
                <w:szCs w:val="19"/>
                <w:color w:val="auto"/>
              </w:rPr>
            </w:pPr>
          </w:p>
        </w:tc>
        <w:tc>
          <w:tcPr>
            <w:tcW w:w="1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r>
      <w:tr>
        <w:trPr>
          <w:trHeight w:val="230"/>
        </w:trPr>
        <w:tc>
          <w:tcPr>
            <w:tcW w:w="2160" w:type="dxa"/>
            <w:vAlign w:val="bottom"/>
            <w:tcBorders>
              <w:top w:val="single" w:sz="8" w:color="CCEEFF"/>
            </w:tcBorders>
          </w:tcPr>
          <w:p>
            <w:pPr>
              <w:spacing w:after="0"/>
              <w:rPr>
                <w:sz w:val="19"/>
                <w:szCs w:val="19"/>
                <w:color w:val="auto"/>
              </w:rPr>
            </w:pPr>
          </w:p>
        </w:tc>
        <w:tc>
          <w:tcPr>
            <w:tcW w:w="4980" w:type="dxa"/>
            <w:vAlign w:val="bottom"/>
            <w:tcBorders>
              <w:top w:val="single" w:sz="8" w:color="0563C1"/>
            </w:tcBorders>
          </w:tcPr>
          <w:p>
            <w:pPr>
              <w:spacing w:after="0"/>
              <w:rPr>
                <w:sz w:val="19"/>
                <w:szCs w:val="19"/>
                <w:color w:val="auto"/>
              </w:rPr>
            </w:pPr>
          </w:p>
        </w:tc>
        <w:tc>
          <w:tcPr>
            <w:tcW w:w="12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189"/>
        </w:trPr>
        <w:tc>
          <w:tcPr>
            <w:tcW w:w="2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2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2024, formatted in Inline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XBRL (included in Exhibit 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6, 2024</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100"/>
          </w:cols>
          <w:pgMar w:left="320" w:top="112" w:right="479" w:bottom="1440" w:gutter="0" w:footer="0" w:header="0"/>
        </w:sectPr>
      </w:pPr>
    </w:p>
    <w:bookmarkStart w:id="47" w:name="page48"/>
    <w:bookmarkEnd w:id="47"/>
    <w:p>
      <w:pPr>
        <w:jc w:val="right"/>
        <w:ind w:right="199"/>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EIGHTH AMENDMENT TO CREDIT AGREEMENT</w:t>
      </w:r>
    </w:p>
    <w:p>
      <w:pPr>
        <w:spacing w:after="0" w:line="182"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THIS EIGHTH AMENDMENT TO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this 12th day of June,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AQUA PENNSYLVANIA, INC., a Pennsylvania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 the several banks and other financial institutions or entities parties on the date hereof to the Existing Credit Agreement (as defined below) and listed on the signature pages hereto as a “Continuing Bank” (each a “</w:t>
      </w:r>
      <w:r>
        <w:rPr>
          <w:rFonts w:ascii="Times New Roman" w:cs="Times New Roman" w:eastAsia="Times New Roman" w:hAnsi="Times New Roman"/>
          <w:sz w:val="22"/>
          <w:szCs w:val="22"/>
          <w:u w:val="single" w:color="auto"/>
          <w:color w:val="auto"/>
        </w:rPr>
        <w:t>Continuing Bank</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Continuing Banks</w:t>
      </w:r>
      <w:r>
        <w:rPr>
          <w:rFonts w:ascii="Times New Roman" w:cs="Times New Roman" w:eastAsia="Times New Roman" w:hAnsi="Times New Roman"/>
          <w:sz w:val="22"/>
          <w:szCs w:val="22"/>
          <w:color w:val="auto"/>
        </w:rPr>
        <w:t>”), the bank party on the date hereof to the Existing Credit Agreement and listed on the signature page hereto as the “Departing Bank” (the “</w:t>
      </w:r>
      <w:r>
        <w:rPr>
          <w:rFonts w:ascii="Times New Roman" w:cs="Times New Roman" w:eastAsia="Times New Roman" w:hAnsi="Times New Roman"/>
          <w:sz w:val="22"/>
          <w:szCs w:val="22"/>
          <w:u w:val="single" w:color="auto"/>
          <w:color w:val="auto"/>
        </w:rPr>
        <w:t>Departing Bank</w:t>
      </w:r>
      <w:r>
        <w:rPr>
          <w:rFonts w:ascii="Times New Roman" w:cs="Times New Roman" w:eastAsia="Times New Roman" w:hAnsi="Times New Roman"/>
          <w:sz w:val="22"/>
          <w:szCs w:val="22"/>
          <w:color w:val="auto"/>
        </w:rPr>
        <w:t>”; together with the Continuing Banks, each a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Banks</w:t>
      </w:r>
      <w:r>
        <w:rPr>
          <w:rFonts w:ascii="Times New Roman" w:cs="Times New Roman" w:eastAsia="Times New Roman" w:hAnsi="Times New Roman"/>
          <w:sz w:val="22"/>
          <w:szCs w:val="22"/>
          <w:color w:val="auto"/>
        </w:rPr>
        <w:t>”), and PNC BANK, NATIONAL ASSOCIATION in its capacity as agent for the Continuing Banks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35" w:lineRule="auto"/>
        <w:tabs>
          <w:tab w:leader="none" w:pos="148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Agent and the Banks are parties to an Amended and Restated Credit Agreement, dated as of November 17, 2016 (as heretofore amended, supplemented, modified, or restated,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the Existing Credit Agreement, as amended by this Amendment and as may be further amended, supplemented, modified or restated from time to time,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 pursuant to which the Banks have made available to the Borrower a revolving credit facility in an aggregate amount of $100,000,000 (the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The loans under the Facility are evidenced by the Borrower’s Notes to the Banks in the aggregate principal amount of $100,000,000.</w:t>
      </w:r>
    </w:p>
    <w:p>
      <w:pPr>
        <w:spacing w:after="0" w:line="178"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Departing Bank has agreed to be replaced as a Bank.</w:t>
      </w:r>
    </w:p>
    <w:p>
      <w:pPr>
        <w:spacing w:after="0" w:line="206" w:lineRule="exact"/>
        <w:rPr>
          <w:rFonts w:ascii="Times New Roman" w:cs="Times New Roman" w:eastAsia="Times New Roman" w:hAnsi="Times New Roman"/>
          <w:sz w:val="22"/>
          <w:szCs w:val="22"/>
          <w:color w:val="auto"/>
        </w:rPr>
      </w:pPr>
    </w:p>
    <w:p>
      <w:pPr>
        <w:jc w:val="both"/>
        <w:ind w:left="180" w:right="199" w:firstLine="652"/>
        <w:spacing w:after="0" w:line="239" w:lineRule="auto"/>
        <w:tabs>
          <w:tab w:leader="none" w:pos="147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Agent and the Continuing Banks desire to (i) extend the Termination Date; (ii) transition the interest rate provisions in the Existing Credit Agreement from BSBY based rates to SOFR based rates and (iii) modify certain other provisions of the Existing Credit Agreement, all on the terms and subject to the conditions herein set forth.</w:t>
      </w:r>
    </w:p>
    <w:p>
      <w:pPr>
        <w:spacing w:after="0" w:line="180" w:lineRule="exact"/>
        <w:rPr>
          <w:rFonts w:ascii="Times New Roman" w:cs="Times New Roman" w:eastAsia="Times New Roman" w:hAnsi="Times New Roman"/>
          <w:sz w:val="22"/>
          <w:szCs w:val="22"/>
          <w:color w:val="auto"/>
        </w:rPr>
      </w:pPr>
    </w:p>
    <w:p>
      <w:pPr>
        <w:jc w:val="both"/>
        <w:ind w:left="180" w:right="199" w:firstLine="652"/>
        <w:spacing w:after="0" w:line="238" w:lineRule="auto"/>
        <w:tabs>
          <w:tab w:leader="none" w:pos="148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Departing Bank has agreed to execute its signature page hereto solely as the Departing Bank in acceptance of the termination of its commitment and obligations under the Existing Credit Agreement as a “Bank” (as defined in the Existing Credit Agreement) thereunder, and not as a Bank party to the Amended Credit Agreement, as described in further detail in its signature page.</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NOW THEREFORE, the parties hereto, intending to be legally bound hereby, agree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follows: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80" w:right="199" w:firstLine="1300"/>
        <w:spacing w:after="0" w:line="258" w:lineRule="auto"/>
        <w:tabs>
          <w:tab w:leader="none" w:pos="2097"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Capitalized terms used herein and not otherwise defined herein shall have the meanings given to such terms in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105410</wp:posOffset>
            </wp:positionV>
            <wp:extent cx="552894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jc w:val="both"/>
        <w:ind w:left="180" w:right="199" w:firstLine="1300"/>
        <w:spacing w:after="0"/>
        <w:tabs>
          <w:tab w:leader="none" w:pos="2097"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 to Existing Credit Agreement</w:t>
      </w:r>
      <w:r>
        <w:rPr>
          <w:rFonts w:ascii="Times New Roman" w:cs="Times New Roman" w:eastAsia="Times New Roman" w:hAnsi="Times New Roman"/>
          <w:sz w:val="22"/>
          <w:szCs w:val="22"/>
          <w:color w:val="auto"/>
        </w:rPr>
        <w:t>. Effective on the Effective Date, the text of each of the Existing Credit Agreement and each of the Schedules and Exhibits thereto are hereby amended to read in full as set forth in the pages of the Amended Credit Agreement, Schedules and Exhibits attached as Annex A hereto.</w:t>
      </w:r>
    </w:p>
    <w:p>
      <w:pPr>
        <w:spacing w:after="0" w:line="176" w:lineRule="exact"/>
        <w:rPr>
          <w:rFonts w:ascii="Times New Roman" w:cs="Times New Roman" w:eastAsia="Times New Roman" w:hAnsi="Times New Roman"/>
          <w:sz w:val="22"/>
          <w:szCs w:val="22"/>
          <w:color w:val="010000"/>
        </w:rPr>
      </w:pPr>
    </w:p>
    <w:p>
      <w:pPr>
        <w:jc w:val="both"/>
        <w:ind w:left="180" w:right="199" w:firstLine="1300"/>
        <w:spacing w:after="0" w:line="238" w:lineRule="auto"/>
        <w:tabs>
          <w:tab w:leader="none" w:pos="2097"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The Borrower shall execute and deliver to the Agent on the Effective Date an amended and restated Note for each Continuing Bank in an amount equal to the amount of such Continuing Bank’s Revolving Commitment outstanding immediately after giving effect to this Amendment (such Notes being collectively referred to as the “</w:t>
      </w: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and each as a “</w:t>
      </w:r>
      <w:r>
        <w:rPr>
          <w:rFonts w:ascii="Times New Roman" w:cs="Times New Roman" w:eastAsia="Times New Roman" w:hAnsi="Times New Roman"/>
          <w:sz w:val="22"/>
          <w:szCs w:val="22"/>
          <w:u w:val="single" w:color="auto"/>
          <w:color w:val="auto"/>
        </w:rPr>
        <w:t>New Note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010000"/>
        </w:rPr>
      </w:pPr>
    </w:p>
    <w:p>
      <w:pPr>
        <w:ind w:left="2100" w:hanging="620"/>
        <w:spacing w:after="0"/>
        <w:tabs>
          <w:tab w:leader="none" w:pos="2100"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Effective Date Reallocations; Treatment of Outstanding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left="180" w:right="199" w:firstLine="1948"/>
        <w:spacing w:after="0" w:line="242" w:lineRule="auto"/>
        <w:tabs>
          <w:tab w:leader="none" w:pos="2769"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(i) all “Revolving Credit Loans” (as defined in the Existing Credit Agreement) made under the Existing Credit Agreement which are outstanding on the Effective Date shall continue as Revolving Credit Loans under (and shall be governed by the terms of) the Amended Credit Agreement and shall have the same Interest Periods as in effect under the Existing Credit Agreement, (ii) all “Swing Line Loans” (as defined in the Existing Credit Agreement) made under the Existing Credit Agreement which are outstanding on the Effective Date shall continue under (and shall be governed by the terms of) the Amended Credit Agreement and the other Loan Documents, (iii) the Departing Bank’s outstanding “Revolving Credit Loans” under (and as defined in) the Existing Credit Agreement as of the Effective Date shall be repaid in full in cash in immediately available funds (accompanied by any accrued and unpaid interest and fees thereon and any other amounts or liabilities owing to the Departing Bank under the Existing Credit Agreement), the Departing Bank’s “Revolving Commitment” under and as defined in the Existing Credit Agreement shall be terminated and be of no further force and effect, the Departing Bank shall not be a Bank for any purpose under the Amended Credit Agreement and the other Loan Documents (provided that the Departing Bank shall retain its rights as a “Bank”, as defined in the Existing Credit Agreement, under the Existing Credit Agreement to expense reimbursement and indemnification pursuant to, and in accordance with, the terms of the Existing Credit Agreement), and the Departing Bank shall be released from any obligation or liability under the Existing Credit Agreement, (iv) all obligations under the Existing Credit Agreement or any Loan Document owed to any Continuing Bank (but not, for the avoidance of doubt, owed to the Departing Bank or an Affiliate of the Departing Bank) which are outstanding on the Effective Date and are not being paid on such date shall continue as obligations under Amended Credit Agreement and the other Loan Documents, (v) the Agent shall make such reallocations, sales, assignments or other relevant actions in respect of each Continuing Bank’s credit and loan exposure under the Existing Credit Agreement as are necessary in order that such Continuing Bank’s pro rata share of the outstanding Revolving Credit Loans under the Amended Credit Agreement reflect such Continuing Bank’s pro rata share of the outstanding aggregate Revolving Credit Loans on the Effective Date based on its Commitment Percentage after giving effect to this Amendment, and (vi) the Borrower shall compensate the Departing Bank for any and all losses, costs and expenses incurred by the Departing Bank in connection with the repayment of any “BSBY Rate Loans” (as defined in the Existing Credit Agreement), on the terms and in the manner set forth in the Existing Credit Agreement, provided, however, that,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509270</wp:posOffset>
            </wp:positionV>
            <wp:extent cx="55289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doubt, the Continuing Banks under this Amendment agree to waive any right to compensation under Section 2.13 of the Existing Credit Agreement in connection with the reallocation and transactions described above. Without limiting the foregoing, the parties hereto (including, without limitation, the Departing Bank) hereby agree that the consent of the Departing Bank shall be limited to the acknowledgments and agreements set forth in this Section 4, and shall not be required as a condition to the effectiveness of any other amendments, restatements, supplements or modifications to the Existing Credit Agreement or the Loan Documents.</w:t>
      </w:r>
    </w:p>
    <w:p>
      <w:pPr>
        <w:spacing w:after="0" w:line="184" w:lineRule="exact"/>
        <w:rPr>
          <w:sz w:val="20"/>
          <w:szCs w:val="20"/>
          <w:color w:val="auto"/>
        </w:rPr>
      </w:pPr>
    </w:p>
    <w:p>
      <w:pPr>
        <w:jc w:val="both"/>
        <w:ind w:left="180" w:right="199" w:firstLine="1948"/>
        <w:spacing w:after="0" w:line="234" w:lineRule="auto"/>
        <w:tabs>
          <w:tab w:leader="none" w:pos="278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to the extent necessary, each Continuing Bank shall fund Revolving Credit Loans (or receive payment of its “Revolving Credit Loans”, as defined in the Existing Credit Agreement), such that the Revolving Credit Loans of each of the Continuing Banks on the Effective Date are equal to its Commitment Percentage of the Revolving Credit Loans of all of the Continuing Banks outstanding on the Effective Date, in each case after giving effect to this Amendment. The requirements under Section 9.6 of the Existing Credit Agreement and requirements in respect of minimum borrowing, pro rata borrowing and pro rata payment requirements contained elsewhere in the Amended Credit Agreement shall not apply to the transactions effected pursuant to this Section 4.</w:t>
      </w:r>
    </w:p>
    <w:p>
      <w:pPr>
        <w:spacing w:after="0" w:line="18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6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in more detail in Section 5 hereof, it is the express intent of the parties hereto that the Amended Credit Agreement is entered into not in substitution for, and not in payment of, the obligations of the Borrower under the Existing Credit Agreement and is in no way intended to constitute a novation of any of the Borrower’s indebtedness which was evidenced by the Existing Credit Agreement or any of the other Loan Documents.</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097"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Novation; Transitional Arrangements</w:t>
      </w:r>
      <w:r>
        <w:rPr>
          <w:rFonts w:ascii="Times New Roman" w:cs="Times New Roman" w:eastAsia="Times New Roman" w:hAnsi="Times New Roman"/>
          <w:sz w:val="22"/>
          <w:szCs w:val="22"/>
          <w:color w:val="auto"/>
        </w:rPr>
        <w:t xml:space="preserve">. This Amendment shall not constitute a termination of the Existing Credit Agreement nor a novation of any indebtedness or other obligations owing to the Agent or any Bank under the Existing Credit Agreement. On the Effective Date, the credit facilities described in the Existing Credit Agreement shall be amended, supplemented and modified in their entirety by the facilities described in the Amended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BSBY Rate Loan (as defined in the Existing Credit Agreement) outstanding immediately before giving effect to this Amendment shall continue to bear interest after the Effective Date at the applicable BSBY Rate (as defined in the Existing Credit Agreement) for the Interest Period (as defined in the Existing Credit Agreement) in effect for such outstanding BSBY Rate Loan immediately before giving effect to this Amendment plus seventy (70) basis points (0.70%) until the end of such Interest Period. At the end of the applicable Interest Period for any such outstanding BSBY Rate Loan, the Borrower shall either (a) convert such Loan to a Base Rate Loan or a Term SOFR Rate Loan in accordance with the terms of the Amended Credit Agreement or (b) repay such Loan in full in accordance with the terms of the Amended Credit Agreement.</w:t>
      </w:r>
    </w:p>
    <w:p>
      <w:pPr>
        <w:spacing w:after="0" w:line="177" w:lineRule="exact"/>
        <w:rPr>
          <w:rFonts w:ascii="Times New Roman" w:cs="Times New Roman" w:eastAsia="Times New Roman" w:hAnsi="Times New Roman"/>
          <w:sz w:val="22"/>
          <w:szCs w:val="22"/>
          <w:color w:val="010000"/>
        </w:rPr>
      </w:pPr>
    </w:p>
    <w:p>
      <w:pPr>
        <w:jc w:val="both"/>
        <w:ind w:left="180" w:right="199" w:firstLine="1300"/>
        <w:spacing w:after="0" w:line="251" w:lineRule="auto"/>
        <w:tabs>
          <w:tab w:leader="none" w:pos="2097" w:val="left"/>
        </w:tabs>
        <w:numPr>
          <w:ilvl w:val="0"/>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Borrower’s Ratification</w:t>
      </w:r>
      <w:r>
        <w:rPr>
          <w:rFonts w:ascii="Times New Roman" w:cs="Times New Roman" w:eastAsia="Times New Roman" w:hAnsi="Times New Roman"/>
          <w:sz w:val="21"/>
          <w:szCs w:val="21"/>
          <w:color w:val="auto"/>
        </w:rPr>
        <w:t>. The Borrower agrees that it has no defenses, set-offs, counterclaims or challenges against the Continuing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334645</wp:posOffset>
            </wp:positionV>
            <wp:extent cx="552894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jc w:val="both"/>
        <w:ind w:left="180" w:right="199"/>
        <w:spacing w:after="0"/>
        <w:rPr>
          <w:sz w:val="20"/>
          <w:szCs w:val="20"/>
          <w:color w:val="auto"/>
        </w:rPr>
      </w:pPr>
      <w:r>
        <w:rPr>
          <w:rFonts w:ascii="Times New Roman" w:cs="Times New Roman" w:eastAsia="Times New Roman" w:hAnsi="Times New Roman"/>
          <w:sz w:val="22"/>
          <w:szCs w:val="22"/>
          <w:color w:val="auto"/>
        </w:rPr>
        <w:t>in writing in accordance with their terms. The Borrower hereby ratifies and confirms its obligations under the Loan Documents as amended hereby and agrees that the execution and delivery of this Amendment does not in any way diminish or invalidate any of its obligations thereunder.</w:t>
      </w:r>
    </w:p>
    <w:p>
      <w:pPr>
        <w:spacing w:after="0" w:line="177" w:lineRule="exact"/>
        <w:rPr>
          <w:sz w:val="20"/>
          <w:szCs w:val="20"/>
          <w:color w:val="auto"/>
        </w:rPr>
      </w:pPr>
    </w:p>
    <w:p>
      <w:pPr>
        <w:ind w:left="180" w:right="199" w:firstLine="1300"/>
        <w:spacing w:after="0" w:line="258" w:lineRule="auto"/>
        <w:tabs>
          <w:tab w:leader="none" w:pos="2097"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hereby represents and warrants to the Agent and the Continuing Banks that:</w:t>
      </w:r>
    </w:p>
    <w:p>
      <w:pPr>
        <w:spacing w:after="0" w:line="158" w:lineRule="exact"/>
        <w:rPr>
          <w:rFonts w:ascii="Times New Roman" w:cs="Times New Roman" w:eastAsia="Times New Roman" w:hAnsi="Times New Roman"/>
          <w:sz w:val="22"/>
          <w:szCs w:val="22"/>
          <w:color w:val="010000"/>
        </w:rPr>
      </w:pPr>
    </w:p>
    <w:p>
      <w:pPr>
        <w:jc w:val="both"/>
        <w:ind w:left="180" w:right="199" w:firstLine="1948"/>
        <w:spacing w:after="0" w:line="245" w:lineRule="auto"/>
        <w:tabs>
          <w:tab w:leader="none" w:pos="2769"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before giving effect to this Amendment, the representations and warranties of the Borrower set forth in the Existing Credit Agreement, and immediately after giving effect to this Amendment,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Effective Date (except representations and warranties which relate solely to an earlier date or time, which representations and warranties shall be true and correct in all material respects (or all respects, as applicable) on and as of the specific dates or times referred to therein); provided, however, that for purposes of the representations in Section 3.1 thereof, the annual and quarterly financial information referred to in such Section shall be deemed to be the most recent such information furnished to each Continuing Bank;</w:t>
      </w:r>
    </w:p>
    <w:p>
      <w:pPr>
        <w:spacing w:after="0" w:line="173" w:lineRule="exact"/>
        <w:rPr>
          <w:rFonts w:ascii="Times New Roman" w:cs="Times New Roman" w:eastAsia="Times New Roman" w:hAnsi="Times New Roman"/>
          <w:sz w:val="21"/>
          <w:szCs w:val="21"/>
          <w:color w:val="auto"/>
        </w:rPr>
      </w:pPr>
    </w:p>
    <w:p>
      <w:pPr>
        <w:jc w:val="both"/>
        <w:ind w:left="180" w:right="199" w:firstLine="1948"/>
        <w:spacing w:after="0" w:line="239" w:lineRule="auto"/>
        <w:tabs>
          <w:tab w:leader="none" w:pos="278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giving effect to this Amendment, there exists no Default or Event of Default under the Existing Credit Agreement, and immediately after giving effect to this Amendment there exists no Default or Event of Default under the Amended Credit Agreement;</w:t>
      </w:r>
    </w:p>
    <w:p>
      <w:pPr>
        <w:spacing w:after="0" w:line="180"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6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(including the Amended Credit Agreement) has been duly authorized, executed and delivered so as to constitute the legal, valid and binding obligation of the Borrower, enforceable in accordance with its terms; and</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8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Amendment or the Amended Credit Agreement (except for those which have been obtained on or prior to the date hereof).</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All of the above representations and warranties shall survive the making of this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Amendment.</w:t>
      </w:r>
    </w:p>
    <w:p>
      <w:pPr>
        <w:spacing w:after="0" w:line="182" w:lineRule="exact"/>
        <w:rPr>
          <w:sz w:val="20"/>
          <w:szCs w:val="20"/>
          <w:color w:val="auto"/>
        </w:rPr>
      </w:pPr>
    </w:p>
    <w:p>
      <w:pPr>
        <w:jc w:val="both"/>
        <w:ind w:left="180" w:right="199" w:firstLine="1300"/>
        <w:spacing w:after="0" w:line="244" w:lineRule="auto"/>
        <w:tabs>
          <w:tab w:leader="none" w:pos="2097"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337820</wp:posOffset>
            </wp:positionV>
            <wp:extent cx="552894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jc w:val="both"/>
        <w:ind w:left="180" w:right="199" w:firstLine="1948"/>
        <w:spacing w:after="0" w:line="244" w:lineRule="auto"/>
        <w:tabs>
          <w:tab w:leader="none" w:pos="276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received the following, all of which shall be in form and substance satisfactory to the Agent and shall be duly completed and executed by the Borrower, the Agent and the Banks, as applicable:</w:t>
      </w:r>
    </w:p>
    <w:p>
      <w:pPr>
        <w:spacing w:after="0" w:line="173" w:lineRule="exact"/>
        <w:rPr>
          <w:rFonts w:ascii="Times New Roman" w:cs="Times New Roman" w:eastAsia="Times New Roman" w:hAnsi="Times New Roman"/>
          <w:sz w:val="22"/>
          <w:szCs w:val="22"/>
          <w:color w:val="auto"/>
        </w:rPr>
      </w:pPr>
    </w:p>
    <w:p>
      <w:pPr>
        <w:ind w:left="3420" w:hanging="644"/>
        <w:spacing w:after="0"/>
        <w:tabs>
          <w:tab w:leader="none" w:pos="34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w:t>
      </w:r>
    </w:p>
    <w:p>
      <w:pPr>
        <w:spacing w:after="0" w:line="206" w:lineRule="exact"/>
        <w:rPr>
          <w:rFonts w:ascii="Times New Roman" w:cs="Times New Roman" w:eastAsia="Times New Roman" w:hAnsi="Times New Roman"/>
          <w:sz w:val="22"/>
          <w:szCs w:val="22"/>
          <w:color w:val="auto"/>
        </w:rPr>
      </w:pPr>
    </w:p>
    <w:p>
      <w:pPr>
        <w:ind w:left="3420" w:hanging="644"/>
        <w:spacing w:after="0"/>
        <w:tabs>
          <w:tab w:leader="none" w:pos="34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Notes;</w:t>
      </w:r>
    </w:p>
    <w:p>
      <w:pPr>
        <w:spacing w:after="0" w:line="206" w:lineRule="exact"/>
        <w:rPr>
          <w:rFonts w:ascii="Times New Roman" w:cs="Times New Roman" w:eastAsia="Times New Roman" w:hAnsi="Times New Roman"/>
          <w:sz w:val="22"/>
          <w:szCs w:val="22"/>
          <w:color w:val="auto"/>
        </w:rPr>
      </w:pPr>
    </w:p>
    <w:p>
      <w:pPr>
        <w:ind w:left="3420" w:right="219" w:hanging="644"/>
        <w:spacing w:after="0" w:line="236" w:lineRule="auto"/>
        <w:tabs>
          <w:tab w:leader="none" w:pos="34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certified by the Secretary or an Assistant Secretary of the Borrower as of a recent date, of resolutions of the board of directors of the Borrower in effect on the date hereof authorizing the execution, delivery and performance of this Amendment and the other documents and transactions contemplated hereby;</w:t>
      </w:r>
    </w:p>
    <w:p>
      <w:pPr>
        <w:spacing w:after="0" w:line="181" w:lineRule="exact"/>
        <w:rPr>
          <w:rFonts w:ascii="Times New Roman" w:cs="Times New Roman" w:eastAsia="Times New Roman" w:hAnsi="Times New Roman"/>
          <w:sz w:val="22"/>
          <w:szCs w:val="22"/>
          <w:color w:val="auto"/>
        </w:rPr>
      </w:pPr>
    </w:p>
    <w:p>
      <w:pPr>
        <w:ind w:left="3420" w:right="219" w:hanging="644"/>
        <w:spacing w:after="0" w:line="236" w:lineRule="auto"/>
        <w:tabs>
          <w:tab w:leader="none" w:pos="346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181" w:lineRule="exact"/>
        <w:rPr>
          <w:rFonts w:ascii="Times New Roman" w:cs="Times New Roman" w:eastAsia="Times New Roman" w:hAnsi="Times New Roman"/>
          <w:sz w:val="22"/>
          <w:szCs w:val="22"/>
          <w:color w:val="auto"/>
        </w:rPr>
      </w:pPr>
    </w:p>
    <w:p>
      <w:pPr>
        <w:ind w:left="3420" w:right="279" w:hanging="644"/>
        <w:spacing w:after="0" w:line="248" w:lineRule="auto"/>
        <w:tabs>
          <w:tab w:leader="none" w:pos="3469"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qualifies as a legal entity customer under the Beneficial Ownership Regulations, an executed Certificate of Beneficial Ownership for the Borrower and such other documentation and other information requested by the Agent and the Continuing Banks in connection with applicable “know your customer” and anti-money laundering rules and regulations, including the USA Patriot Act;</w:t>
      </w:r>
    </w:p>
    <w:p>
      <w:pPr>
        <w:spacing w:after="0" w:line="170" w:lineRule="exact"/>
        <w:rPr>
          <w:rFonts w:ascii="Times New Roman" w:cs="Times New Roman" w:eastAsia="Times New Roman" w:hAnsi="Times New Roman"/>
          <w:sz w:val="21"/>
          <w:szCs w:val="21"/>
          <w:color w:val="auto"/>
        </w:rPr>
      </w:pPr>
    </w:p>
    <w:p>
      <w:pPr>
        <w:ind w:left="3420" w:right="199" w:hanging="644"/>
        <w:spacing w:after="0" w:line="258" w:lineRule="auto"/>
        <w:tabs>
          <w:tab w:leader="none" w:pos="346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for the Borrower in the State of its formation dated as of a recent date; and</w:t>
      </w:r>
    </w:p>
    <w:p>
      <w:pPr>
        <w:spacing w:after="0" w:line="158" w:lineRule="exact"/>
        <w:rPr>
          <w:rFonts w:ascii="Times New Roman" w:cs="Times New Roman" w:eastAsia="Times New Roman" w:hAnsi="Times New Roman"/>
          <w:sz w:val="22"/>
          <w:szCs w:val="22"/>
          <w:color w:val="auto"/>
        </w:rPr>
      </w:pPr>
    </w:p>
    <w:p>
      <w:pPr>
        <w:jc w:val="both"/>
        <w:ind w:left="3420" w:right="459" w:hanging="644"/>
        <w:spacing w:after="0" w:line="261" w:lineRule="auto"/>
        <w:tabs>
          <w:tab w:leader="none" w:pos="346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additional documents, certificates and information as the Agent or the Continuing Banks may require pursuant to the terms hereof or otherwise reasonably request.</w:t>
      </w:r>
    </w:p>
    <w:p>
      <w:pPr>
        <w:spacing w:after="0" w:line="157" w:lineRule="exact"/>
        <w:rPr>
          <w:rFonts w:ascii="Times New Roman" w:cs="Times New Roman" w:eastAsia="Times New Roman" w:hAnsi="Times New Roman"/>
          <w:sz w:val="21"/>
          <w:szCs w:val="21"/>
          <w:color w:val="auto"/>
        </w:rPr>
      </w:pPr>
    </w:p>
    <w:p>
      <w:pPr>
        <w:jc w:val="both"/>
        <w:ind w:left="180" w:right="199" w:firstLine="1948"/>
        <w:spacing w:after="0" w:line="238" w:lineRule="auto"/>
        <w:tabs>
          <w:tab w:leader="none" w:pos="278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76"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w:t>
      </w:r>
    </w:p>
    <w:p>
      <w:pPr>
        <w:spacing w:after="0" w:line="2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342900</wp:posOffset>
            </wp:positionV>
            <wp:extent cx="55289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jc w:val="both"/>
        <w:ind w:left="180" w:right="199" w:firstLine="1948"/>
        <w:spacing w:after="0"/>
        <w:tabs>
          <w:tab w:leader="none" w:pos="27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Credit Loans of the Departing Bank outstanding under the Existing Credit Agreement as of the Effective Date, including any accrued interest thereon, and all fees owed to the Departing Bank under the Existing Credit Agreement, shall have been paid in full.</w:t>
      </w:r>
    </w:p>
    <w:p>
      <w:pPr>
        <w:spacing w:after="0" w:line="176"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received such fees as shall have been agreed.</w:t>
      </w:r>
    </w:p>
    <w:p>
      <w:pPr>
        <w:spacing w:after="0" w:line="206"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8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received, to the extent invoiced, reimbursement of all fees and expenses of counsel to the Agent required to be paid or reimbursed by the Borrower hereunder.</w:t>
      </w:r>
    </w:p>
    <w:p>
      <w:pPr>
        <w:spacing w:after="0" w:line="173"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22"/>
          <w:szCs w:val="22"/>
          <w:color w:val="auto"/>
        </w:rPr>
        <w:t>All of the foregoing fees shall be in all respects, fully earned, due and payable on the Effective Date and non-refundable and non- creditable thereafter.</w:t>
      </w:r>
    </w:p>
    <w:p>
      <w:pPr>
        <w:spacing w:after="0" w:line="158" w:lineRule="exact"/>
        <w:rPr>
          <w:sz w:val="20"/>
          <w:szCs w:val="20"/>
          <w:color w:val="auto"/>
        </w:rPr>
      </w:pPr>
    </w:p>
    <w:p>
      <w:pPr>
        <w:jc w:val="both"/>
        <w:ind w:left="180" w:right="199" w:firstLine="1300"/>
        <w:spacing w:after="0" w:line="235" w:lineRule="auto"/>
        <w:tabs>
          <w:tab w:leader="none" w:pos="2097"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Amendment constitutes the sole agreement of the parties hereto with respect to the transactions contemplated hereby and shall supersede all oral negotiations and the terms of prior writings with respect thereto. From and after the Effective Date, all references in the Amended Credit Agreement and each of the other Loan Documents to the Credit Agreement shall be deemed to be references to the Amended Credit Agreement as modified hereby. This Amendment shall constitute a Loan Document for all purposes under the Amended Credit Agreement and each of the other Loan Documents.</w:t>
      </w:r>
    </w:p>
    <w:p>
      <w:pPr>
        <w:spacing w:after="0" w:line="183" w:lineRule="exact"/>
        <w:rPr>
          <w:rFonts w:ascii="Times New Roman" w:cs="Times New Roman" w:eastAsia="Times New Roman" w:hAnsi="Times New Roman"/>
          <w:sz w:val="22"/>
          <w:szCs w:val="22"/>
          <w:color w:val="010000"/>
        </w:rPr>
      </w:pPr>
    </w:p>
    <w:p>
      <w:pPr>
        <w:jc w:val="both"/>
        <w:ind w:left="180" w:right="199" w:firstLine="1300"/>
        <w:spacing w:after="0" w:line="238" w:lineRule="auto"/>
        <w:tabs>
          <w:tab w:leader="none" w:pos="2137"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Times New Roman" w:cs="Times New Roman" w:eastAsia="Times New Roman" w:hAnsi="Times New Roman"/>
          <w:sz w:val="22"/>
          <w:szCs w:val="22"/>
          <w:color w:val="010000"/>
        </w:rPr>
      </w:pPr>
    </w:p>
    <w:p>
      <w:pPr>
        <w:ind w:left="2140" w:hanging="660"/>
        <w:spacing w:after="0"/>
        <w:tabs>
          <w:tab w:leader="none" w:pos="2140"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left="180" w:right="199" w:firstLine="1948"/>
        <w:spacing w:after="0" w:line="239" w:lineRule="auto"/>
        <w:tabs>
          <w:tab w:leader="none" w:pos="276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all of the Agent’s reasonable out-of-pocket fees and expenses incurred in connection with this Amendment and the transactions contemplated hereby, including, without limitation, the reasonable fees and expenses of counsel to the Agent.</w:t>
      </w:r>
    </w:p>
    <w:p>
      <w:pPr>
        <w:spacing w:after="0" w:line="180" w:lineRule="exact"/>
        <w:rPr>
          <w:rFonts w:ascii="Times New Roman" w:cs="Times New Roman" w:eastAsia="Times New Roman" w:hAnsi="Times New Roman"/>
          <w:sz w:val="22"/>
          <w:szCs w:val="22"/>
          <w:color w:val="auto"/>
        </w:rPr>
      </w:pPr>
    </w:p>
    <w:p>
      <w:pPr>
        <w:jc w:val="both"/>
        <w:ind w:left="180" w:right="199" w:firstLine="1948"/>
        <w:spacing w:after="0" w:line="236" w:lineRule="auto"/>
        <w:tabs>
          <w:tab w:leader="none" w:pos="278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conditions, provisions and covenants in the Loan Documents and all other documents delivered to the Agent and the Banks in connection therewith shall remain unaltered and in full force and effect except as expressly modified or amended hereby. To the extent that any term or provision of this Amendment is or may be deemed expressly inconsistent with any term or provision in any Loan Document or any other document executed in connection therewith, the terms and provisions hereof shall control.</w:t>
      </w:r>
    </w:p>
    <w:p>
      <w:pPr>
        <w:spacing w:after="0" w:line="181" w:lineRule="exact"/>
        <w:rPr>
          <w:rFonts w:ascii="Times New Roman" w:cs="Times New Roman" w:eastAsia="Times New Roman" w:hAnsi="Times New Roman"/>
          <w:sz w:val="22"/>
          <w:szCs w:val="22"/>
          <w:color w:val="auto"/>
        </w:rPr>
      </w:pPr>
    </w:p>
    <w:p>
      <w:pPr>
        <w:jc w:val="both"/>
        <w:ind w:left="180" w:right="199" w:firstLine="1948"/>
        <w:spacing w:after="0" w:line="239" w:lineRule="auto"/>
        <w:tabs>
          <w:tab w:leader="none" w:pos="276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neither operate as a waiver of any right, power or remedy of the Agent or the Continuing Banks under any of the Loan Documents nor constitute a waiver of any Default or Event of Default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342265</wp:posOffset>
            </wp:positionV>
            <wp:extent cx="552894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p>
      <w:pPr>
        <w:jc w:val="both"/>
        <w:ind w:left="180" w:right="199" w:firstLine="1948"/>
        <w:spacing w:after="0" w:line="251" w:lineRule="auto"/>
        <w:tabs>
          <w:tab w:leader="none" w:pos="278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Agent’s and the Continuing Banks’ agreement to amend the existing revolving credit facility on the terms hereof, the Borrower hereby waives and releases the Agent and the Continuing Banks and their respective officers, attorneys, agents and employees from any liability, suit, damage, claim, loss or expense of any kind or failure whatsoever and howsoever arising that it ever had up until, or has as of, the date of this Amendment.</w:t>
      </w:r>
    </w:p>
    <w:p>
      <w:pPr>
        <w:spacing w:after="0" w:line="168" w:lineRule="exact"/>
        <w:rPr>
          <w:rFonts w:ascii="Times New Roman" w:cs="Times New Roman" w:eastAsia="Times New Roman" w:hAnsi="Times New Roman"/>
          <w:sz w:val="21"/>
          <w:szCs w:val="21"/>
          <w:color w:val="auto"/>
        </w:rPr>
      </w:pPr>
    </w:p>
    <w:p>
      <w:pPr>
        <w:jc w:val="both"/>
        <w:ind w:left="180" w:right="199" w:firstLine="1948"/>
        <w:spacing w:after="0" w:line="244" w:lineRule="auto"/>
        <w:tabs>
          <w:tab w:leader="none" w:pos="276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constitutes the entire agreement of the parties with respect to the subject matter hereof and supersedes all prior and contemporaneous understandings and agreements.</w:t>
      </w:r>
    </w:p>
    <w:p>
      <w:pPr>
        <w:spacing w:after="0" w:line="173" w:lineRule="exact"/>
        <w:rPr>
          <w:rFonts w:ascii="Times New Roman" w:cs="Times New Roman" w:eastAsia="Times New Roman" w:hAnsi="Times New Roman"/>
          <w:sz w:val="22"/>
          <w:szCs w:val="22"/>
          <w:color w:val="auto"/>
        </w:rPr>
      </w:pPr>
    </w:p>
    <w:p>
      <w:pPr>
        <w:ind w:left="180" w:right="199" w:firstLine="1948"/>
        <w:spacing w:after="0" w:line="258" w:lineRule="auto"/>
        <w:tabs>
          <w:tab w:leader="none" w:pos="278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by and construed according to the laws of the Commonwealth of Pennsylvania.</w:t>
      </w:r>
    </w:p>
    <w:p>
      <w:pPr>
        <w:spacing w:after="0" w:line="158" w:lineRule="exact"/>
        <w:rPr>
          <w:rFonts w:ascii="Times New Roman" w:cs="Times New Roman" w:eastAsia="Times New Roman" w:hAnsi="Times New Roman"/>
          <w:sz w:val="22"/>
          <w:szCs w:val="22"/>
          <w:color w:val="auto"/>
        </w:rPr>
      </w:pPr>
    </w:p>
    <w:p>
      <w:pPr>
        <w:ind w:left="180" w:right="199" w:firstLine="1948"/>
        <w:spacing w:after="0" w:line="258" w:lineRule="auto"/>
        <w:tabs>
          <w:tab w:leader="none" w:pos="27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inure to the benefit of, and be binding upon,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used in this Amendment are for convenience of reference only, do not form a part of this Amendment and shall not affect in any way the meaning or interpretation of this Amendment.</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one or more counterparts, each of which counterparts when executed and delivered shall be deemed to be an original, and all of which shall constitute one and the same instrument. Delivery of an executed counterpart of a signature page to this Amendment by facsimile or other electronic transmission will be effective as delivery of a manually executed counterpart hereof.</w:t>
      </w:r>
    </w:p>
    <w:p>
      <w:pPr>
        <w:spacing w:after="0" w:line="176"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7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modification hereof or any agreement referred to herein shall be binding or enforceable unless in writing and signed on behalf of the party against whom enforcement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629285</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Borrower, the Agent and the Banks have caused this Amendment to be executed by their duly authorized officers as of the date first above written.</w:t>
      </w:r>
    </w:p>
    <w:p>
      <w:pPr>
        <w:spacing w:after="0" w:line="200" w:lineRule="exact"/>
        <w:rPr>
          <w:sz w:val="20"/>
          <w:szCs w:val="20"/>
          <w:color w:val="auto"/>
        </w:rPr>
      </w:pPr>
    </w:p>
    <w:p>
      <w:pPr>
        <w:spacing w:after="0" w:line="20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260" w:type="dxa"/>
            <w:vAlign w:val="bottom"/>
          </w:tcPr>
          <w:p>
            <w:pPr>
              <w:ind w:left="3460"/>
              <w:spacing w:after="0"/>
              <w:rPr>
                <w:sz w:val="20"/>
                <w:szCs w:val="20"/>
                <w:color w:val="auto"/>
              </w:rPr>
            </w:pPr>
            <w:r>
              <w:rPr>
                <w:rFonts w:ascii="Times New Roman" w:cs="Times New Roman" w:eastAsia="Times New Roman" w:hAnsi="Times New Roman"/>
                <w:sz w:val="22"/>
                <w:szCs w:val="22"/>
                <w:color w:val="auto"/>
              </w:rPr>
              <w:t>By:</w:t>
            </w:r>
          </w:p>
        </w:tc>
        <w:tc>
          <w:tcPr>
            <w:tcW w:w="4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Brian Dingerdissen</w:t>
            </w:r>
          </w:p>
        </w:tc>
      </w:tr>
      <w:tr>
        <w:trPr>
          <w:trHeight w:val="236"/>
        </w:trPr>
        <w:tc>
          <w:tcPr>
            <w:tcW w:w="4260" w:type="dxa"/>
            <w:vAlign w:val="bottom"/>
          </w:tcPr>
          <w:p>
            <w:pPr>
              <w:ind w:left="346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9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Brian Dingerdissen</w:t>
            </w:r>
          </w:p>
        </w:tc>
        <w:tc>
          <w:tcPr>
            <w:tcW w:w="2500" w:type="dxa"/>
            <w:vAlign w:val="bottom"/>
          </w:tcPr>
          <w:p>
            <w:pPr>
              <w:spacing w:after="0"/>
              <w:rPr>
                <w:sz w:val="20"/>
                <w:szCs w:val="20"/>
                <w:color w:val="auto"/>
              </w:rPr>
            </w:pPr>
          </w:p>
        </w:tc>
      </w:tr>
      <w:tr>
        <w:trPr>
          <w:trHeight w:val="282"/>
        </w:trPr>
        <w:tc>
          <w:tcPr>
            <w:tcW w:w="4260" w:type="dxa"/>
            <w:vAlign w:val="bottom"/>
          </w:tcPr>
          <w:p>
            <w:pPr>
              <w:ind w:left="3460"/>
              <w:spacing w:after="0"/>
              <w:rPr>
                <w:sz w:val="20"/>
                <w:szCs w:val="20"/>
                <w:color w:val="auto"/>
              </w:rPr>
            </w:pPr>
            <w:r>
              <w:rPr>
                <w:rFonts w:ascii="Times New Roman" w:cs="Times New Roman" w:eastAsia="Times New Roman" w:hAnsi="Times New Roman"/>
                <w:sz w:val="22"/>
                <w:szCs w:val="22"/>
                <w:color w:val="auto"/>
              </w:rPr>
              <w:t>Title:</w:t>
            </w:r>
          </w:p>
        </w:tc>
        <w:tc>
          <w:tcPr>
            <w:tcW w:w="4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 Investor Relations &amp; Treasurer</w:t>
            </w:r>
          </w:p>
        </w:tc>
      </w:tr>
      <w:tr>
        <w:trPr>
          <w:trHeight w:val="1041"/>
        </w:trPr>
        <w:tc>
          <w:tcPr>
            <w:tcW w:w="4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r>
        <w:trPr>
          <w:trHeight w:val="20"/>
        </w:trPr>
        <w:tc>
          <w:tcPr>
            <w:tcW w:w="426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5" w:name="page56"/>
    <w:bookmarkEnd w:id="55"/>
    <w:tbl>
      <w:tblPr>
        <w:tblLayout w:type="fixed"/>
        <w:tblInd w:w="180" w:type="dxa"/>
        <w:tblCellMar>
          <w:top w:w="0" w:type="dxa"/>
          <w:left w:w="0" w:type="dxa"/>
          <w:bottom w:w="0" w:type="dxa"/>
          <w:right w:w="0" w:type="dxa"/>
        </w:tblCellMar>
      </w:tblP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CONTINUING BANKS:</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PNC BANK, NATIONAL ASSOCIATION,</w:t>
            </w:r>
          </w:p>
        </w:tc>
        <w:tc>
          <w:tcPr>
            <w:tcW w:w="0" w:type="dxa"/>
            <w:vAlign w:val="bottom"/>
          </w:tcPr>
          <w:p>
            <w:pPr>
              <w:spacing w:after="0"/>
              <w:rPr>
                <w:sz w:val="1"/>
                <w:szCs w:val="1"/>
                <w:color w:val="auto"/>
              </w:rPr>
            </w:pPr>
          </w:p>
        </w:tc>
      </w:tr>
      <w:tr>
        <w:trPr>
          <w:trHeight w:val="282"/>
        </w:trPr>
        <w:tc>
          <w:tcPr>
            <w:tcW w:w="2840" w:type="dxa"/>
            <w:vAlign w:val="bottom"/>
          </w:tcPr>
          <w:p>
            <w:pPr>
              <w:spacing w:after="0"/>
              <w:rPr>
                <w:sz w:val="24"/>
                <w:szCs w:val="24"/>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as Agent and as a Bank</w:t>
            </w:r>
          </w:p>
        </w:tc>
        <w:tc>
          <w:tcPr>
            <w:tcW w:w="0" w:type="dxa"/>
            <w:vAlign w:val="bottom"/>
          </w:tcPr>
          <w:p>
            <w:pPr>
              <w:spacing w:after="0"/>
              <w:rPr>
                <w:sz w:val="1"/>
                <w:szCs w:val="1"/>
                <w:color w:val="auto"/>
              </w:rPr>
            </w:pPr>
          </w:p>
        </w:tc>
      </w:tr>
      <w:tr>
        <w:trPr>
          <w:trHeight w:val="690"/>
        </w:trPr>
        <w:tc>
          <w:tcPr>
            <w:tcW w:w="284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Domenic D’Ginto</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2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Domenic D’Ginto</w:t>
            </w:r>
          </w:p>
        </w:tc>
        <w:tc>
          <w:tcPr>
            <w:tcW w:w="0" w:type="dxa"/>
            <w:vAlign w:val="bottom"/>
          </w:tcPr>
          <w:p>
            <w:pPr>
              <w:spacing w:after="0"/>
              <w:rPr>
                <w:sz w:val="1"/>
                <w:szCs w:val="1"/>
                <w:color w:val="auto"/>
              </w:rPr>
            </w:pPr>
          </w:p>
        </w:tc>
      </w:tr>
      <w:tr>
        <w:trPr>
          <w:trHeight w:val="282"/>
        </w:trPr>
        <w:tc>
          <w:tcPr>
            <w:tcW w:w="284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CITIZENS BANK, N.A., as a Bank</w:t>
      </w:r>
    </w:p>
    <w:p>
      <w:pPr>
        <w:spacing w:after="0" w:line="223" w:lineRule="exact"/>
        <w:rPr>
          <w:sz w:val="20"/>
          <w:szCs w:val="20"/>
          <w:color w:val="auto"/>
        </w:rPr>
      </w:pPr>
    </w:p>
    <w:tbl>
      <w:tblPr>
        <w:tblLayout w:type="fixed"/>
        <w:tblInd w:w="366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A. Paul Dawley</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 Paul Dawley</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THE HUNTINGTON NATIONAL BANK,</w:t>
      </w:r>
    </w:p>
    <w:p>
      <w:pPr>
        <w:spacing w:after="0" w:line="1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10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Christopher Olsen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00" w:type="dxa"/>
            <w:vAlign w:val="bottom"/>
            <w:vMerge w:val="restart"/>
          </w:tcPr>
          <w:p>
            <w:pPr>
              <w:ind w:left="3480"/>
              <w:spacing w:after="0"/>
              <w:rPr>
                <w:sz w:val="20"/>
                <w:szCs w:val="20"/>
                <w:color w:val="auto"/>
              </w:rPr>
            </w:pPr>
            <w:r>
              <w:rPr>
                <w:rFonts w:ascii="Times New Roman" w:cs="Times New Roman" w:eastAsia="Times New Roman" w:hAnsi="Times New Roman"/>
                <w:sz w:val="22"/>
                <w:szCs w:val="22"/>
                <w:color w:val="auto"/>
              </w:rPr>
              <w:t>Name:</w:t>
            </w:r>
          </w:p>
        </w:tc>
        <w:tc>
          <w:tcPr>
            <w:tcW w:w="16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Christopher Olsen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10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Title:</w:t>
            </w:r>
          </w:p>
        </w:tc>
        <w:tc>
          <w:tcPr>
            <w:tcW w:w="1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10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H-9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9"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THE EIGHTH AMENDMENT TO CREDIT AGREEMENT OF</w:t>
      </w:r>
    </w:p>
    <w:p>
      <w:pPr>
        <w:jc w:val="center"/>
        <w:ind w:right="19"/>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182" w:lineRule="exact"/>
        <w:rPr>
          <w:sz w:val="20"/>
          <w:szCs w:val="20"/>
          <w:color w:val="auto"/>
        </w:rPr>
      </w:pPr>
    </w:p>
    <w:p>
      <w:pPr>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The undersigned is executing this signature page solely as the Departing Bank in its acceptance of the termination of its commitments and obligations under the Existing Credit Agreement as a Bank thereunder, and not as a Bank party to the Amended Credit Agreement. The undersigned hereby acknowledges that the Existing Credit Agreement is being amended pursuant to the Eighth Amendment to Credit Agreement (the “Eighth Amendment”) to which this signature page is attached and the undersigned shall not constitute a party to said Eighth Amendment as a Bank other than as the Departing Bank for purposes of effectuating the amendments to the Existing Credit Agreement contemplated by the Eighth Amendment.</w:t>
      </w:r>
    </w:p>
    <w:p>
      <w:pPr>
        <w:spacing w:after="0" w:line="19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TD BANK, N.A., as the Departing Bank</w:t>
      </w:r>
    </w:p>
    <w:p>
      <w:pPr>
        <w:spacing w:after="0" w:line="4" w:lineRule="exact"/>
        <w:rPr>
          <w:sz w:val="20"/>
          <w:szCs w:val="20"/>
          <w:color w:val="auto"/>
        </w:rPr>
      </w:pP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Jennifer L. Suspenski</w:t>
      </w: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Jennifer L. Suspenski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-158115</wp:posOffset>
            </wp:positionV>
            <wp:extent cx="2785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7" w:name="page58"/>
    <w:bookmarkEnd w:id="57"/>
    <w:p>
      <w:pPr>
        <w:jc w:val="right"/>
        <w:ind w:right="199"/>
        <w:spacing w:after="0"/>
        <w:rPr>
          <w:sz w:val="20"/>
          <w:szCs w:val="20"/>
          <w:color w:val="auto"/>
        </w:rPr>
      </w:pPr>
      <w:r>
        <w:rPr>
          <w:rFonts w:ascii="Times New Roman" w:cs="Times New Roman" w:eastAsia="Times New Roman" w:hAnsi="Times New Roman"/>
          <w:sz w:val="22"/>
          <w:szCs w:val="22"/>
          <w:color w:val="auto"/>
        </w:rPr>
        <w:t>ANNEX A TO EIGHTH AMENDMENT</w:t>
      </w:r>
    </w:p>
    <w:p>
      <w:pPr>
        <w:spacing w:after="0" w:line="5"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DEAL CUSIP No. 03837YAA6</w:t>
      </w: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REVOLVER CUSIP No. 03837YAB4</w:t>
      </w: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AMENDED AND RESTATED CREDIT AGREEMENT</w:t>
      </w:r>
    </w:p>
    <w:p>
      <w:pPr>
        <w:spacing w:after="0" w:line="2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AQUA PENNSYLVANIA, INC.</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THE BANKS PARTY HERETO</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November 17,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200" w:right="199"/>
        <w:spacing w:after="0" w:line="236" w:lineRule="auto"/>
        <w:rPr>
          <w:sz w:val="20"/>
          <w:szCs w:val="20"/>
          <w:color w:val="auto"/>
        </w:rPr>
      </w:pPr>
      <w:r>
        <w:rPr>
          <w:rFonts w:ascii="Times New Roman" w:cs="Times New Roman" w:eastAsia="Times New Roman" w:hAnsi="Times New Roman"/>
          <w:sz w:val="22"/>
          <w:szCs w:val="22"/>
          <w:b w:val="1"/>
          <w:bCs w:val="1"/>
          <w:color w:val="auto"/>
        </w:rPr>
        <w:t>As Amended by the First Amendment to Credit Agreement, dated as of November 16, 2017, Second Amendment to Credit Agreement, dated as of November 9, 2018, Third Amendment to Credit Agreement, dated as of November 6, 2019, Fourth Amendment to Credit Agreement, dated as of November 6, 2020, Fifth Amendment to Credit Agreement, dated as of November 5, 2021, Sixth Amendment to Credit Agreement dated as of June 30, 2022, Seventh Amendment to Credit Agreement, dated as of June 29, 2023, and Eighth Amendment to Credit Agreement, dated as of 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924560</wp:posOffset>
            </wp:positionV>
            <wp:extent cx="552894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tbl>
      <w:tblPr>
        <w:tblLayout w:type="fixed"/>
        <w:tblInd w:w="18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BACKGROUND</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43"/>
        </w:trPr>
        <w:tc>
          <w:tcPr>
            <w:tcW w:w="7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1. DEFINITIONS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Defined Terms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Other Definitional Provisions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Construction</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Benchmark Replacement Notification; Conforming Changes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Divisions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43"/>
        </w:trPr>
        <w:tc>
          <w:tcPr>
            <w:tcW w:w="7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2. THE CREDITS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Revolving Credit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Swing Line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General Provisions Regarding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Revolving Credit Notes; Repayment of Revolving Credit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Interest on Revolving Credit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Default Rate; Additional Interest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Termination, Reduction, Extension of Commitments; Additional Banks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Optional and Mandatory Prepayments of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43"/>
        </w:trPr>
        <w:tc>
          <w:tcPr>
            <w:tcW w:w="118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2.10</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 SOFR Rate Unascertainable; Increased Costs; Illegality; Benchmark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161"/>
        </w:trPr>
        <w:tc>
          <w:tcPr>
            <w:tcW w:w="1180" w:type="dxa"/>
            <w:vAlign w:val="bottom"/>
            <w:vMerge w:val="continue"/>
          </w:tcPr>
          <w:p>
            <w:pPr>
              <w:spacing w:after="0"/>
              <w:rPr>
                <w:sz w:val="13"/>
                <w:szCs w:val="13"/>
                <w:color w:val="auto"/>
              </w:rPr>
            </w:pPr>
          </w:p>
        </w:tc>
        <w:tc>
          <w:tcPr>
            <w:tcW w:w="68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Replacement Setting</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80" w:type="dxa"/>
            <w:vAlign w:val="bottom"/>
          </w:tcPr>
          <w:p>
            <w:pPr>
              <w:spacing w:after="0"/>
              <w:rPr>
                <w:sz w:val="7"/>
                <w:szCs w:val="7"/>
                <w:color w:val="auto"/>
              </w:rPr>
            </w:pPr>
          </w:p>
        </w:tc>
        <w:tc>
          <w:tcPr>
            <w:tcW w:w="68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2.11</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Requirements of Law</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2.12</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Indemnity</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2.14</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Pro Rata Treatment, etc.</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2.15</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Payments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2.16</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Conversion and Continuation Options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2.17</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Defaulting Banks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Conforming Changes Relating to the Term SOFR Rate</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43"/>
        </w:trPr>
        <w:tc>
          <w:tcPr>
            <w:tcW w:w="79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3. REPRESENTATIONS AND WARRANTIES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Financial Condition</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Adverse Change</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Existence; Compliance with Law</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Corporate Power; Authorization; Enforceable Obligations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Legal Bar</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Material Litigation</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Default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Federal Regulations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3.11</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Investment Company Act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3.12</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Purpose of Loans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3.13</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3.14</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Ownership of the Borrower</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3.15</w:t>
            </w:r>
          </w:p>
        </w:tc>
        <w:tc>
          <w:tcPr>
            <w:tcW w:w="6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Patents, Trademarks, etc.</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82"/>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3.16</w:t>
            </w:r>
          </w:p>
        </w:tc>
        <w:tc>
          <w:tcPr>
            <w:tcW w:w="6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Ownership of Property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702"/>
        </w:trPr>
        <w:tc>
          <w:tcPr>
            <w:tcW w:w="1180" w:type="dxa"/>
            <w:vAlign w:val="bottom"/>
          </w:tcPr>
          <w:p>
            <w:pPr>
              <w:spacing w:after="0"/>
              <w:rPr>
                <w:sz w:val="24"/>
                <w:szCs w:val="24"/>
                <w:color w:val="auto"/>
              </w:rPr>
            </w:pPr>
          </w:p>
        </w:tc>
        <w:tc>
          <w:tcPr>
            <w:tcW w:w="680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180" w:type="dxa"/>
            <w:vAlign w:val="bottom"/>
            <w:tcBorders>
              <w:bottom w:val="single" w:sz="8" w:color="9A9A9A"/>
            </w:tcBorders>
          </w:tcPr>
          <w:p>
            <w:pPr>
              <w:spacing w:after="0"/>
              <w:rPr>
                <w:sz w:val="8"/>
                <w:szCs w:val="8"/>
                <w:color w:val="auto"/>
              </w:rPr>
            </w:pPr>
          </w:p>
        </w:tc>
        <w:tc>
          <w:tcPr>
            <w:tcW w:w="6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EEEEEE"/>
            </w:tcBorders>
          </w:tcPr>
          <w:p>
            <w:pPr>
              <w:spacing w:after="0" w:line="20" w:lineRule="exact"/>
              <w:rPr>
                <w:sz w:val="1"/>
                <w:szCs w:val="1"/>
                <w:color w:val="auto"/>
              </w:rPr>
            </w:pPr>
          </w:p>
        </w:tc>
        <w:tc>
          <w:tcPr>
            <w:tcW w:w="68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59" w:name="page60"/>
    <w:bookmarkEnd w:id="59"/>
    <w:tbl>
      <w:tblPr>
        <w:tblLayout w:type="fixed"/>
        <w:tblInd w:w="180" w:type="dxa"/>
        <w:tblCellMar>
          <w:top w:w="0" w:type="dxa"/>
          <w:left w:w="0" w:type="dxa"/>
          <w:bottom w:w="0" w:type="dxa"/>
          <w:right w:w="0" w:type="dxa"/>
        </w:tblCellMar>
      </w:tblPr>
      <w:tr>
        <w:trPr>
          <w:trHeight w:val="253"/>
        </w:trPr>
        <w:tc>
          <w:tcPr>
            <w:tcW w:w="11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3.17</w:t>
            </w:r>
          </w:p>
        </w:tc>
        <w:tc>
          <w:tcPr>
            <w:tcW w:w="6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Licenses, etc.</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3.18</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Labor Matters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3.19</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Partnerships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3.20</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Material Misstatements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Covered Entity is a Sanctioned Person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3.22</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EEA Financial Institutions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3.23</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Anti-Corruption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3.24</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Certificate of Beneficial Ownership</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w:t>
            </w:r>
          </w:p>
        </w:tc>
        <w:tc>
          <w:tcPr>
            <w:tcW w:w="6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 CONDITIONS PRECEDENT; CLOSING</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4.1</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Conditions to Closing</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4.2</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Conditions to Each Loan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4.3</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4.4</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Transitional Arrangements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w:t>
            </w:r>
          </w:p>
        </w:tc>
        <w:tc>
          <w:tcPr>
            <w:tcW w:w="6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 AFFIRMATIVE COVENANTS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5.1</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5.2</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Certificates; Other Information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5.3</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Payment of Obligations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5.4</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Conduct of Business and Maintenance of Existence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5.5</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Maintenance of Property; Insurance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5.6</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Inspection of Property; Books and Records; Discussions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5.7</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5.8</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Environmental Laws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5.9</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Covenants of the Indenture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Guarantees of Obligations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Anti-Money Laundering/International Trade Law Compliance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Certificate of Beneficial Ownership and Other Additional Information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w:t>
            </w:r>
          </w:p>
        </w:tc>
        <w:tc>
          <w:tcPr>
            <w:tcW w:w="6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 NEGATIVE COVENANTS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6.1</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Financial Covenants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6.2</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 on Certain Debt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6.3</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 on Liens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6.4</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Limitations on Fundamental Changes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6.5</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 on Sale of Assets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6.6</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Limitations on Acquisitions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6.7</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Limitation on Distributions and Investments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6.8</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6.9</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Sale and Leaseback</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Fiscal Year</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Continuation of or Change in Business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w:t>
            </w:r>
          </w:p>
        </w:tc>
        <w:tc>
          <w:tcPr>
            <w:tcW w:w="6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7. EVENTS OF DEFAULT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7.1</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Events of Default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7.2</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Remedies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w:t>
            </w:r>
          </w:p>
        </w:tc>
        <w:tc>
          <w:tcPr>
            <w:tcW w:w="6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 THE AGENT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8.1</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Appointment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9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4"/>
              </w:rPr>
              <w:t>8.2</w:t>
            </w:r>
          </w:p>
        </w:tc>
        <w:tc>
          <w:tcPr>
            <w:tcW w:w="240" w:type="dxa"/>
            <w:vAlign w:val="bottom"/>
          </w:tcPr>
          <w:p>
            <w:pPr>
              <w:spacing w:after="0"/>
              <w:rPr>
                <w:sz w:val="21"/>
                <w:szCs w:val="21"/>
                <w:color w:val="auto"/>
              </w:rPr>
            </w:pPr>
          </w:p>
        </w:tc>
        <w:tc>
          <w:tcPr>
            <w:tcW w:w="6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82"/>
        </w:trPr>
        <w:tc>
          <w:tcPr>
            <w:tcW w:w="9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4"/>
              </w:rPr>
              <w:t>8.3</w:t>
            </w:r>
          </w:p>
        </w:tc>
        <w:tc>
          <w:tcPr>
            <w:tcW w:w="2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Exculpatory Provisions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702"/>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2</w:t>
            </w:r>
          </w:p>
        </w:tc>
        <w:tc>
          <w:tcPr>
            <w:tcW w:w="800" w:type="dxa"/>
            <w:vAlign w:val="bottom"/>
          </w:tcPr>
          <w:p>
            <w:pPr>
              <w:spacing w:after="0"/>
              <w:rPr>
                <w:sz w:val="24"/>
                <w:szCs w:val="24"/>
                <w:color w:val="auto"/>
              </w:rPr>
            </w:pPr>
          </w:p>
        </w:tc>
      </w:tr>
      <w:tr>
        <w:trPr>
          <w:trHeight w:val="96"/>
        </w:trPr>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7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r>
        <w:trPr>
          <w:trHeight w:val="20"/>
        </w:trPr>
        <w:tc>
          <w:tcPr>
            <w:tcW w:w="9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7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60" w:name="page61"/>
    <w:bookmarkEnd w:id="60"/>
    <w:tbl>
      <w:tblPr>
        <w:tblLayout w:type="fixed"/>
        <w:tblInd w:w="180" w:type="dxa"/>
        <w:tblCellMar>
          <w:top w:w="0" w:type="dxa"/>
          <w:left w:w="0" w:type="dxa"/>
          <w:bottom w:w="0" w:type="dxa"/>
          <w:right w:w="0" w:type="dxa"/>
        </w:tblCellMar>
      </w:tblPr>
      <w:tr>
        <w:trPr>
          <w:trHeight w:val="25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8.4</w:t>
            </w:r>
          </w:p>
        </w:tc>
        <w:tc>
          <w:tcPr>
            <w:tcW w:w="6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Reliance by Agent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16"/>
        </w:trPr>
        <w:tc>
          <w:tcPr>
            <w:tcW w:w="1180" w:type="dxa"/>
            <w:vAlign w:val="bottom"/>
          </w:tcPr>
          <w:p>
            <w:pPr>
              <w:ind w:left="660"/>
              <w:spacing w:after="0" w:line="217" w:lineRule="exact"/>
              <w:rPr>
                <w:sz w:val="20"/>
                <w:szCs w:val="20"/>
                <w:color w:val="auto"/>
              </w:rPr>
            </w:pPr>
            <w:r>
              <w:rPr>
                <w:rFonts w:ascii="Times New Roman" w:cs="Times New Roman" w:eastAsia="Times New Roman" w:hAnsi="Times New Roman"/>
                <w:sz w:val="22"/>
                <w:szCs w:val="22"/>
                <w:color w:val="auto"/>
              </w:rPr>
              <w:t>8.5</w:t>
            </w:r>
          </w:p>
        </w:tc>
        <w:tc>
          <w:tcPr>
            <w:tcW w:w="69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Notice of Default</w:t>
            </w:r>
          </w:p>
        </w:tc>
        <w:tc>
          <w:tcPr>
            <w:tcW w:w="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64</w:t>
            </w: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8.6</w:t>
            </w:r>
          </w:p>
        </w:tc>
        <w:tc>
          <w:tcPr>
            <w:tcW w:w="6960" w:type="dxa"/>
            <w:vAlign w:val="bottom"/>
          </w:tcPr>
          <w:p>
            <w:pPr>
              <w:ind w:left="16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Agent and Other Banks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8.7</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Agent in its Individual Capacity</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Successor Agent</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8.10</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Beneficiaries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8.11</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USA Patriot Act; No Reliance on Agent’s Customer Identification Program</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8.12</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ERISA Matters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8.13</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Erroneous Payments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8.14</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Advisory or Fiduciary Relationship</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8.15</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Agent May File Proofs of Claim</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8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9. MISCELLANEOUS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Amendments and Waivers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Waiver; Cumulative Remedies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Survival of Representations and Warranties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Payment of Expenses and Taxes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16"/>
        </w:trPr>
        <w:tc>
          <w:tcPr>
            <w:tcW w:w="1180" w:type="dxa"/>
            <w:vAlign w:val="bottom"/>
          </w:tcPr>
          <w:p>
            <w:pPr>
              <w:ind w:left="660"/>
              <w:spacing w:after="0" w:line="217" w:lineRule="exact"/>
              <w:rPr>
                <w:sz w:val="20"/>
                <w:szCs w:val="20"/>
                <w:color w:val="auto"/>
              </w:rPr>
            </w:pPr>
            <w:r>
              <w:rPr>
                <w:rFonts w:ascii="Times New Roman" w:cs="Times New Roman" w:eastAsia="Times New Roman" w:hAnsi="Times New Roman"/>
                <w:sz w:val="22"/>
                <w:szCs w:val="22"/>
                <w:color w:val="auto"/>
              </w:rPr>
              <w:t>9.7</w:t>
            </w:r>
          </w:p>
        </w:tc>
        <w:tc>
          <w:tcPr>
            <w:tcW w:w="69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Confidentiality</w:t>
            </w:r>
          </w:p>
        </w:tc>
        <w:tc>
          <w:tcPr>
            <w:tcW w:w="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79</w:t>
            </w: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9.8</w:t>
            </w:r>
          </w:p>
        </w:tc>
        <w:tc>
          <w:tcPr>
            <w:tcW w:w="6960" w:type="dxa"/>
            <w:vAlign w:val="bottom"/>
          </w:tcPr>
          <w:p>
            <w:pPr>
              <w:ind w:left="160"/>
              <w:spacing w:after="0" w:line="253" w:lineRule="exact"/>
              <w:rPr>
                <w:sz w:val="20"/>
                <w:szCs w:val="20"/>
                <w:color w:val="auto"/>
              </w:rPr>
            </w:pPr>
            <w:r>
              <w:rPr>
                <w:rFonts w:ascii="Times New Roman" w:cs="Times New Roman" w:eastAsia="Times New Roman" w:hAnsi="Times New Roman"/>
                <w:sz w:val="22"/>
                <w:szCs w:val="22"/>
                <w:color w:val="auto"/>
              </w:rPr>
              <w:t>Adjustments;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9.10</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Integration</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9.12</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9.13</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Submission To Jurisdiction; Waivers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9.14</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Acknowledgments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9.15</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WAIVERS OF JURY TRIAL</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9.16</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9.17</w:t>
            </w:r>
          </w:p>
        </w:tc>
        <w:tc>
          <w:tcPr>
            <w:tcW w:w="69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82"/>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9.18</w:t>
            </w:r>
          </w:p>
        </w:tc>
        <w:tc>
          <w:tcPr>
            <w:tcW w:w="6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945"/>
        </w:trPr>
        <w:tc>
          <w:tcPr>
            <w:tcW w:w="1180" w:type="dxa"/>
            <w:vAlign w:val="bottom"/>
          </w:tcPr>
          <w:p>
            <w:pPr>
              <w:spacing w:after="0"/>
              <w:rPr>
                <w:sz w:val="24"/>
                <w:szCs w:val="24"/>
                <w:color w:val="auto"/>
              </w:rPr>
            </w:pPr>
          </w:p>
        </w:tc>
        <w:tc>
          <w:tcPr>
            <w:tcW w:w="69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3</w:t>
            </w:r>
          </w:p>
        </w:tc>
        <w:tc>
          <w:tcPr>
            <w:tcW w:w="540" w:type="dxa"/>
            <w:vAlign w:val="bottom"/>
          </w:tcPr>
          <w:p>
            <w:pPr>
              <w:spacing w:after="0"/>
              <w:rPr>
                <w:sz w:val="24"/>
                <w:szCs w:val="24"/>
                <w:color w:val="auto"/>
              </w:rPr>
            </w:pPr>
          </w:p>
        </w:tc>
      </w:tr>
      <w:tr>
        <w:trPr>
          <w:trHeight w:val="96"/>
        </w:trPr>
        <w:tc>
          <w:tcPr>
            <w:tcW w:w="1180" w:type="dxa"/>
            <w:vAlign w:val="bottom"/>
            <w:tcBorders>
              <w:bottom w:val="single" w:sz="8" w:color="9A9A9A"/>
            </w:tcBorders>
          </w:tcPr>
          <w:p>
            <w:pPr>
              <w:spacing w:after="0"/>
              <w:rPr>
                <w:sz w:val="8"/>
                <w:szCs w:val="8"/>
                <w:color w:val="auto"/>
              </w:rPr>
            </w:pPr>
          </w:p>
        </w:tc>
        <w:tc>
          <w:tcPr>
            <w:tcW w:w="69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r>
      <w:tr>
        <w:trPr>
          <w:trHeight w:val="20"/>
        </w:trPr>
        <w:tc>
          <w:tcPr>
            <w:tcW w:w="1180" w:type="dxa"/>
            <w:vAlign w:val="bottom"/>
            <w:tcBorders>
              <w:bottom w:val="single" w:sz="8" w:color="EEEEEE"/>
            </w:tcBorders>
          </w:tcPr>
          <w:p>
            <w:pPr>
              <w:spacing w:after="0" w:line="20" w:lineRule="exact"/>
              <w:rPr>
                <w:sz w:val="1"/>
                <w:szCs w:val="1"/>
                <w:color w:val="auto"/>
              </w:rPr>
            </w:pPr>
          </w:p>
        </w:tc>
        <w:tc>
          <w:tcPr>
            <w:tcW w:w="69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61" w:name="page62"/>
    <w:bookmarkEnd w:id="61"/>
    <w:tbl>
      <w:tblPr>
        <w:tblLayout w:type="fixed"/>
        <w:tblInd w:w="180" w:type="dxa"/>
        <w:tblCellMar>
          <w:top w:w="0" w:type="dxa"/>
          <w:left w:w="0" w:type="dxa"/>
          <w:bottom w:w="0" w:type="dxa"/>
          <w:right w:w="0" w:type="dxa"/>
        </w:tblCellMar>
      </w:tblP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SCHEDULES</w:t>
            </w:r>
          </w:p>
        </w:tc>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20"/>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SCHEDULE I</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Bank and Commitment Information</w:t>
            </w:r>
          </w:p>
        </w:tc>
      </w:tr>
      <w:tr>
        <w:trPr>
          <w:trHeight w:val="243"/>
        </w:trPr>
        <w:tc>
          <w:tcPr>
            <w:tcW w:w="12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SCHEDULE</w:t>
            </w:r>
          </w:p>
        </w:tc>
        <w:tc>
          <w:tcPr>
            <w:tcW w:w="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Existing Litigation</w:t>
            </w:r>
          </w:p>
        </w:tc>
      </w:tr>
      <w:tr>
        <w:trPr>
          <w:trHeight w:val="243"/>
        </w:trPr>
        <w:tc>
          <w:tcPr>
            <w:tcW w:w="12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SCHEDULE</w:t>
            </w:r>
          </w:p>
        </w:tc>
        <w:tc>
          <w:tcPr>
            <w:tcW w:w="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3.11</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r>
      <w:tr>
        <w:trPr>
          <w:trHeight w:val="243"/>
        </w:trPr>
        <w:tc>
          <w:tcPr>
            <w:tcW w:w="12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SCHEDULE</w:t>
            </w:r>
          </w:p>
        </w:tc>
        <w:tc>
          <w:tcPr>
            <w:tcW w:w="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3.13</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r>
      <w:tr>
        <w:trPr>
          <w:trHeight w:val="243"/>
        </w:trPr>
        <w:tc>
          <w:tcPr>
            <w:tcW w:w="12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SCHEDULE</w:t>
            </w:r>
          </w:p>
        </w:tc>
        <w:tc>
          <w:tcPr>
            <w:tcW w:w="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3.19</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Interests in Partnerships</w:t>
            </w:r>
          </w:p>
        </w:tc>
      </w:tr>
      <w:tr>
        <w:trPr>
          <w:trHeight w:val="282"/>
        </w:trPr>
        <w:tc>
          <w:tcPr>
            <w:tcW w:w="12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SCHEDULE</w:t>
            </w: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6.3</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EXHIBITS</w:t>
            </w:r>
          </w:p>
        </w:tc>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20"/>
        </w:trPr>
        <w:tc>
          <w:tcPr>
            <w:tcW w:w="1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EXHIBIT A</w:t>
            </w:r>
          </w:p>
        </w:tc>
        <w:tc>
          <w:tcPr>
            <w:tcW w:w="70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Form of Borrowing Request</w:t>
            </w:r>
          </w:p>
        </w:tc>
      </w:tr>
      <w:tr>
        <w:trPr>
          <w:trHeight w:val="243"/>
        </w:trPr>
        <w:tc>
          <w:tcPr>
            <w:tcW w:w="19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EXHIBIT B-1</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Form of Note</w:t>
            </w:r>
          </w:p>
        </w:tc>
      </w:tr>
      <w:tr>
        <w:trPr>
          <w:trHeight w:val="243"/>
        </w:trPr>
        <w:tc>
          <w:tcPr>
            <w:tcW w:w="19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EXHIBIT B-2</w:t>
            </w:r>
          </w:p>
        </w:tc>
        <w:tc>
          <w:tcPr>
            <w:tcW w:w="3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Form of Swing Line Note</w:t>
            </w:r>
          </w:p>
        </w:tc>
      </w:tr>
      <w:tr>
        <w:trPr>
          <w:trHeight w:val="282"/>
        </w:trPr>
        <w:tc>
          <w:tcPr>
            <w:tcW w:w="1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EXHIBIT C</w:t>
            </w:r>
          </w:p>
        </w:tc>
        <w:tc>
          <w:tcPr>
            <w:tcW w:w="70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Form of Assignment and Acceptance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CREDIT AGREEMENT</w:t>
      </w:r>
    </w:p>
    <w:p>
      <w:pPr>
        <w:spacing w:after="0" w:line="210" w:lineRule="exact"/>
        <w:rPr>
          <w:sz w:val="20"/>
          <w:szCs w:val="20"/>
          <w:color w:val="auto"/>
        </w:rPr>
      </w:pPr>
    </w:p>
    <w:p>
      <w:pPr>
        <w:jc w:val="both"/>
        <w:ind w:left="180" w:right="199" w:firstLine="1296"/>
        <w:spacing w:after="0" w:line="251" w:lineRule="auto"/>
        <w:rPr>
          <w:sz w:val="20"/>
          <w:szCs w:val="20"/>
          <w:color w:val="auto"/>
        </w:rPr>
      </w:pPr>
      <w:r>
        <w:rPr>
          <w:rFonts w:ascii="Times New Roman" w:cs="Times New Roman" w:eastAsia="Times New Roman" w:hAnsi="Times New Roman"/>
          <w:sz w:val="21"/>
          <w:szCs w:val="21"/>
          <w:color w:val="auto"/>
        </w:rPr>
        <w:t>THIS AMENDED AND RESTATED CREDIT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dated as of November 17, 2016, by and among </w:t>
      </w:r>
      <w:r>
        <w:rPr>
          <w:rFonts w:ascii="Times New Roman" w:cs="Times New Roman" w:eastAsia="Times New Roman" w:hAnsi="Times New Roman"/>
          <w:sz w:val="21"/>
          <w:szCs w:val="21"/>
          <w:b w:val="1"/>
          <w:bCs w:val="1"/>
          <w:color w:val="auto"/>
        </w:rPr>
        <w:t>AQUA PENNSYLVANIA, INC.</w:t>
      </w:r>
      <w:r>
        <w:rPr>
          <w:rFonts w:ascii="Times New Roman" w:cs="Times New Roman" w:eastAsia="Times New Roman" w:hAnsi="Times New Roman"/>
          <w:sz w:val="21"/>
          <w:szCs w:val="21"/>
          <w:color w:val="auto"/>
        </w:rPr>
        <w:t>, a Pennsylvania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the several banks and other financial institutions from time to time parties to this Agreement (the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 a national banking association, as administrative agent (in such capacity,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10" w:lineRule="exact"/>
        <w:rPr>
          <w:sz w:val="20"/>
          <w:szCs w:val="20"/>
          <w:color w:val="auto"/>
        </w:rPr>
      </w:pPr>
    </w:p>
    <w:p>
      <w:pPr>
        <w:jc w:val="both"/>
        <w:ind w:left="180" w:right="199" w:firstLine="1300"/>
        <w:spacing w:after="0" w:line="238" w:lineRule="auto"/>
        <w:tabs>
          <w:tab w:leader="none" w:pos="233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Banks have made available to the Borrower a revolving credit facility in the maximum principal amount of $100,000,000 on the terms and conditions contained in that certain Credit Agreement dated as of November 30, 2010 (as amended and in effect immediately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by and among the Borrower, the Banks and the Agent.</w:t>
      </w:r>
    </w:p>
    <w:p>
      <w:pPr>
        <w:spacing w:after="0" w:line="176"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32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Banks and the Agent desire to amend and to restate the terms of the Existing Credit Agreement, all upon the terms and conditions set forth herein.</w:t>
      </w:r>
    </w:p>
    <w:p>
      <w:pPr>
        <w:spacing w:after="0" w:line="158" w:lineRule="exact"/>
        <w:rPr>
          <w:sz w:val="20"/>
          <w:szCs w:val="20"/>
          <w:color w:val="auto"/>
        </w:rPr>
      </w:pPr>
    </w:p>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NOW, THEREFORE, the parties hereto, in consideration of their mutual covenants and agreements hereinafter set forth and intending to be legally bound hereby, covenant and agree that the Existing Credit Agreement is amended and restated in its entirety as follows: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SECTION 1. DEFINITIONS</w:t>
      </w:r>
    </w:p>
    <w:p>
      <w:pPr>
        <w:spacing w:after="0" w:line="206" w:lineRule="exact"/>
        <w:rPr>
          <w:sz w:val="20"/>
          <w:szCs w:val="20"/>
          <w:color w:val="auto"/>
        </w:rPr>
      </w:pPr>
    </w:p>
    <w:p>
      <w:pPr>
        <w:ind w:left="180" w:right="6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following meanings:</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Revolving Credit Commitment Percentage</w:t>
      </w:r>
      <w:r>
        <w:rPr>
          <w:rFonts w:ascii="Times New Roman" w:cs="Times New Roman" w:eastAsia="Times New Roman" w:hAnsi="Times New Roman"/>
          <w:sz w:val="22"/>
          <w:szCs w:val="22"/>
          <w:color w:val="auto"/>
        </w:rPr>
        <w:t>”: with respect to any non-Defaulting Bank, the quotient (expressed as a percentage) of such Bank’s aggregate Commitment divided by the aggregate Commitments of all non-Defaulting Banks.</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 any EEA Financial Institution or (b) any UK Financial Institution.</w:t>
      </w:r>
    </w:p>
    <w:p>
      <w:pPr>
        <w:spacing w:after="0" w:line="158"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1"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(a) the U.S. Foreign Corrupt Practices Act of 1977, as amended; (b) the U.K. Bribery Act 2010, as amended; and (c) any other applicable Law relating to anti-bribery or anti-corruption in any jurisdiction in which the Borrower is located or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342265</wp:posOffset>
            </wp:positionV>
            <wp:extent cx="552894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63" w:name="page64"/>
    <w:bookmarkEnd w:id="63"/>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xml:space="preserve">”: any Laws relating to terrorism, trade sanctions programs and embargoes, import/export licensing, money laundering, bribery or anti-corruption (including the FCPA) and any regulation, order, or directive promulgated, issued or enforced pursuant to such Laws (including, without limitation, any of the foregoing promulgated by the U.S. Department of the Treasury’s Office of Foreign Assets Control, the U.S. Department of State, the United Nations Security Council, the European Union and member states, His Majesty’s Treasury of the United Kingdom, the Hong Kong Monetary Authority, or other relevant sanctions authority and the Bank Secrecy Act, 31 U.S.C. § 5311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all as amended, supplemented or replaced from time to time.</w:t>
      </w:r>
    </w:p>
    <w:p>
      <w:pPr>
        <w:spacing w:after="0" w:line="18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an assignment and acceptance entered into by a Bank and an assignee, and acknowledged by the Agent,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such other form as shall be approved by the Agent.</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left="180" w:right="19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for any day, a fluctuating per annum rate of interest equal to the highest of (i) the Overnight Bank Funding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 (ii) the Prime Rate, and (iii) the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1.00%, so long as the Daily Simple SOFR is offered, ascertainable and not unlawful;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to the extent any such determination affects the calculation of the Base Rate, the definition hereof shall be calculated without reference to clause (iii) until the circumstances giving rise to such event no longer exist.</w:t>
      </w:r>
    </w:p>
    <w:p>
      <w:pPr>
        <w:spacing w:after="0" w:line="1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Borrowing</w:t>
      </w:r>
      <w:r>
        <w:rPr>
          <w:rFonts w:ascii="Times New Roman" w:cs="Times New Roman" w:eastAsia="Times New Roman" w:hAnsi="Times New Roman"/>
          <w:sz w:val="22"/>
          <w:szCs w:val="22"/>
          <w:color w:val="auto"/>
        </w:rPr>
        <w:t>”: a Borrowing comprised of Base Rate Loans.</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any Revolving Credit Loan bearing interest at a rate determined by reference to the Base Rate.</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Option</w:t>
      </w:r>
      <w:r>
        <w:rPr>
          <w:rFonts w:ascii="Times New Roman" w:cs="Times New Roman" w:eastAsia="Times New Roman" w:hAnsi="Times New Roman"/>
          <w:sz w:val="22"/>
          <w:szCs w:val="22"/>
          <w:color w:val="auto"/>
        </w:rPr>
        <w:t xml:space="preserve">”: the option of the Borrower to have Revolving Credit Loans bear interest at the rate and under the terms specified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4" w:name="page65"/>
    <w:bookmarkEnd w:id="64"/>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for the Borrower, each of the following: (i) each individual, if any, who, directly or indirectly, owns 25% or more of the Borrower’s Capital Stock; and (ii) a single individual with significant responsibility to control, manage, or direct the Borrower.</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Regulations</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as defined in the heading of this Agreement.</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a Swing Line Loan made by the Swing Line Bank or each group of Revolving Credit Loans of a single Type made by the Banks on a single date and, in the case of Term SOFR Rate Loans, as to which a single Interest Period is in effect.</w:t>
      </w:r>
    </w:p>
    <w:p>
      <w:pPr>
        <w:spacing w:after="0" w:line="173" w:lineRule="exact"/>
        <w:rPr>
          <w:sz w:val="20"/>
          <w:szCs w:val="20"/>
          <w:color w:val="auto"/>
        </w:rPr>
      </w:pPr>
    </w:p>
    <w:p>
      <w:pPr>
        <w:ind w:left="1480"/>
        <w:spacing w:after="0"/>
        <w:tabs>
          <w:tab w:leader="none" w:pos="36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w:t>
        <w:tab/>
        <w:t>a request made pursuant to Section 2.1(c) in the form of</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a day other than a Saturday, Sunday or other day on which commercial banks in Philadelphia, Pennsylvania are authorized or required by law to be closed, or are in fact closed, for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at any time, a lease with respect to which the lessee is required to recognize the acquisition of an asset and the incurrence of a liability in accordance with GAAP.</w:t>
      </w:r>
    </w:p>
    <w:p>
      <w:pPr>
        <w:spacing w:after="0" w:line="158"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80"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for the Borrower, a certificate in form and substance acceptable to the Agent (as amended or modified by the Agent from time to time in its sole discretion), certifying, among other things, the Beneficial Owner of the Borrower.</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the occurrence, after the date of this Agreement, of any of the</w:t>
      </w:r>
    </w:p>
    <w:p>
      <w:pPr>
        <w:spacing w:after="0" w:line="4"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22"/>
          <w:szCs w:val="22"/>
          <w:color w:val="auto"/>
        </w:rPr>
        <w:t>following:</w:t>
        <w:tab/>
        <w:t>(a) the adoption or taking effect of any Law, (b) any change in any Law or in the</w:t>
      </w:r>
    </w:p>
    <w:p>
      <w:pPr>
        <w:ind w:left="180"/>
        <w:spacing w:after="0" w:line="230" w:lineRule="auto"/>
        <w:rPr>
          <w:sz w:val="20"/>
          <w:szCs w:val="20"/>
          <w:color w:val="auto"/>
        </w:rPr>
      </w:pPr>
      <w:r>
        <w:rPr>
          <w:rFonts w:ascii="Times New Roman" w:cs="Times New Roman" w:eastAsia="Times New Roman" w:hAnsi="Times New Roman"/>
          <w:sz w:val="22"/>
          <w:szCs w:val="22"/>
          <w:color w:val="auto"/>
        </w:rPr>
        <w:t>administration,  interpretation,  implementation  or  application  thereof  by  any  Governmental</w:t>
      </w:r>
    </w:p>
    <w:p>
      <w:pPr>
        <w:ind w:left="180"/>
        <w:spacing w:after="0" w:line="231" w:lineRule="auto"/>
        <w:rPr>
          <w:sz w:val="20"/>
          <w:szCs w:val="20"/>
          <w:color w:val="auto"/>
        </w:rPr>
      </w:pPr>
      <w:r>
        <w:rPr>
          <w:rFonts w:ascii="Times New Roman" w:cs="Times New Roman" w:eastAsia="Times New Roman" w:hAnsi="Times New Roman"/>
          <w:sz w:val="22"/>
          <w:szCs w:val="22"/>
          <w:color w:val="auto"/>
        </w:rPr>
        <w:t>Authority or (c) the making or issuance of any request, rule, guideline or directive (whether or not</w:t>
      </w:r>
    </w:p>
    <w:p>
      <w:pPr>
        <w:ind w:left="180"/>
        <w:spacing w:after="0"/>
        <w:rPr>
          <w:sz w:val="20"/>
          <w:szCs w:val="20"/>
          <w:color w:val="auto"/>
        </w:rPr>
      </w:pPr>
      <w:r>
        <w:rPr>
          <w:rFonts w:ascii="Times New Roman" w:cs="Times New Roman" w:eastAsia="Times New Roman" w:hAnsi="Times New Roman"/>
          <w:sz w:val="21"/>
          <w:szCs w:val="21"/>
          <w:color w:val="auto"/>
        </w:rPr>
        <w:t>having the force of Law) by any Governmental Authority; provided that notwithstanding anything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herein to the contrary, (x) the Dodd-Frank Wall Street Reform and Consumer Protection Act and all</w:t>
      </w:r>
    </w:p>
    <w:p>
      <w:pPr>
        <w:ind w:left="180"/>
        <w:spacing w:after="0" w:line="231" w:lineRule="auto"/>
        <w:rPr>
          <w:sz w:val="20"/>
          <w:szCs w:val="20"/>
          <w:color w:val="auto"/>
        </w:rPr>
      </w:pPr>
      <w:r>
        <w:rPr>
          <w:rFonts w:ascii="Times New Roman" w:cs="Times New Roman" w:eastAsia="Times New Roman" w:hAnsi="Times New Roman"/>
          <w:sz w:val="22"/>
          <w:szCs w:val="22"/>
          <w:color w:val="auto"/>
        </w:rPr>
        <w:t>requests, rules, regulations, guidelines, interpretations or directives thereunder or issued in</w:t>
      </w:r>
    </w:p>
    <w:p>
      <w:pPr>
        <w:ind w:left="180"/>
        <w:spacing w:after="0" w:line="231" w:lineRule="auto"/>
        <w:rPr>
          <w:sz w:val="20"/>
          <w:szCs w:val="20"/>
          <w:color w:val="auto"/>
        </w:rPr>
      </w:pPr>
      <w:r>
        <w:rPr>
          <w:rFonts w:ascii="Times New Roman" w:cs="Times New Roman" w:eastAsia="Times New Roman" w:hAnsi="Times New Roman"/>
          <w:sz w:val="22"/>
          <w:szCs w:val="22"/>
          <w:color w:val="auto"/>
        </w:rPr>
        <w:t>connection therewith (whether or not having the force of Law) and (y) all requests, rules,</w:t>
      </w:r>
    </w:p>
    <w:p>
      <w:pPr>
        <w:ind w:left="180"/>
        <w:spacing w:after="0" w:line="231" w:lineRule="auto"/>
        <w:rPr>
          <w:sz w:val="20"/>
          <w:szCs w:val="20"/>
          <w:color w:val="auto"/>
        </w:rPr>
      </w:pPr>
      <w:r>
        <w:rPr>
          <w:rFonts w:ascii="Times New Roman" w:cs="Times New Roman" w:eastAsia="Times New Roman" w:hAnsi="Times New Roman"/>
          <w:sz w:val="22"/>
          <w:szCs w:val="22"/>
          <w:color w:val="auto"/>
        </w:rPr>
        <w:t>regulations, guidelines, interpretations or directives promulgated by the Bank for International</w:t>
      </w:r>
    </w:p>
    <w:p>
      <w:pPr>
        <w:ind w:left="180"/>
        <w:spacing w:after="0" w:line="230" w:lineRule="auto"/>
        <w:rPr>
          <w:sz w:val="20"/>
          <w:szCs w:val="20"/>
          <w:color w:val="auto"/>
        </w:rPr>
      </w:pPr>
      <w:r>
        <w:rPr>
          <w:rFonts w:ascii="Times New Roman" w:cs="Times New Roman" w:eastAsia="Times New Roman" w:hAnsi="Times New Roman"/>
          <w:sz w:val="22"/>
          <w:szCs w:val="22"/>
          <w:color w:val="auto"/>
        </w:rPr>
        <w:t>Settlements, the Basel Committee on Banking Supervision (or any successor or similar authority)</w:t>
      </w:r>
    </w:p>
    <w:p>
      <w:pPr>
        <w:ind w:left="180"/>
        <w:spacing w:after="0" w:line="231" w:lineRule="auto"/>
        <w:rPr>
          <w:sz w:val="20"/>
          <w:szCs w:val="20"/>
          <w:color w:val="auto"/>
        </w:rPr>
      </w:pPr>
      <w:r>
        <w:rPr>
          <w:rFonts w:ascii="Times New Roman" w:cs="Times New Roman" w:eastAsia="Times New Roman" w:hAnsi="Times New Roman"/>
          <w:sz w:val="22"/>
          <w:szCs w:val="22"/>
          <w:color w:val="auto"/>
        </w:rPr>
        <w:t>or the United States or foreign regulatory authorities (whether or not having the force of Law), in</w:t>
      </w:r>
    </w:p>
    <w:p>
      <w:pPr>
        <w:ind w:left="180"/>
        <w:spacing w:after="0" w:line="230" w:lineRule="auto"/>
        <w:rPr>
          <w:sz w:val="20"/>
          <w:szCs w:val="20"/>
          <w:color w:val="auto"/>
        </w:rPr>
      </w:pPr>
      <w:r>
        <w:rPr>
          <w:rFonts w:ascii="Times New Roman" w:cs="Times New Roman" w:eastAsia="Times New Roman" w:hAnsi="Times New Roman"/>
          <w:sz w:val="22"/>
          <w:szCs w:val="22"/>
          <w:color w:val="auto"/>
        </w:rPr>
        <w:t>each case pursuant to Basel III, shall in each case be deemed to be a Change in Law regardless of</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date enacted, adopted, issued, promulgated or implemented.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5" w:name="page66"/>
    <w:bookmarkEnd w:id="65"/>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when used in reference to any Loan, refers to whether such Loan, or the advances comprising such Loans, are Revolving Credit Loans or Swing Line Loans and, when used in reference to any Bank, refers to whether such Bank has any outstanding Revolving Credit Loans.</w:t>
      </w:r>
    </w:p>
    <w:p>
      <w:pPr>
        <w:spacing w:after="0" w:line="15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as defined in Section 4.3.</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as defined in Section 4.3.</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as to any Bank, the obligation of such Bank to make Loans to the Borrower hereunder in an aggregate principal amount at any one time outstanding not to exceed the amount set forth opposite such Bank’s name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or in the Assignment and Acceptance pursuant to which such Bank becomes a party to this Agreement, as the same may be permanently terminated, reduced and extended from time to time pursuant to the provisions of Section 2.9 or changed by subsequent assignments pursuant to subsection 9.6(b).</w:t>
      </w:r>
    </w:p>
    <w:p>
      <w:pPr>
        <w:spacing w:after="0" w:line="181" w:lineRule="exact"/>
        <w:rPr>
          <w:sz w:val="20"/>
          <w:szCs w:val="20"/>
          <w:color w:val="auto"/>
        </w:rPr>
      </w:pPr>
    </w:p>
    <w:p>
      <w:pPr>
        <w:jc w:val="both"/>
        <w:ind w:left="180" w:right="19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 Percentage</w:t>
      </w:r>
      <w:r>
        <w:rPr>
          <w:rFonts w:ascii="Times New Roman" w:cs="Times New Roman" w:eastAsia="Times New Roman" w:hAnsi="Times New Roman"/>
          <w:sz w:val="21"/>
          <w:szCs w:val="21"/>
          <w:color w:val="auto"/>
        </w:rPr>
        <w:t>”: as to any Bank at any time, the proportion (expressed as a percentage) that such Bank’s Commitment bears to the Total Commitment (or, at any time after the Commitments shall have expired or been terminated, the percentage which the amount of such Bank’s Loans constitutes of the aggregate amount of the Loans of the Banks then outstanding).</w:t>
      </w:r>
    </w:p>
    <w:p>
      <w:pPr>
        <w:spacing w:after="0" w:line="162"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Commonly Controlled Entity</w:t>
      </w:r>
      <w:r>
        <w:rPr>
          <w:rFonts w:ascii="Times New Roman" w:cs="Times New Roman" w:eastAsia="Times New Roman" w:hAnsi="Times New Roman"/>
          <w:sz w:val="22"/>
          <w:szCs w:val="22"/>
          <w:color w:val="auto"/>
        </w:rPr>
        <w:t>”: an entity, whether or not incorporated, which is under common control with the Borrower within the meaning of Section 4001 of ERISA or is part of a group which includes the Borrower and which is treated as a single employer under Section 414 of the Code.</w:t>
      </w:r>
    </w:p>
    <w:p>
      <w:pPr>
        <w:spacing w:after="0" w:line="180"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or Anti-Terrorism Laws with respect to the conduct of a Covered Entity.</w:t>
      </w:r>
    </w:p>
    <w:p>
      <w:pPr>
        <w:spacing w:after="0" w:line="178" w:lineRule="exact"/>
        <w:rPr>
          <w:sz w:val="20"/>
          <w:szCs w:val="20"/>
          <w:color w:val="auto"/>
        </w:rPr>
      </w:pPr>
    </w:p>
    <w:p>
      <w:pPr>
        <w:jc w:val="both"/>
        <w:ind w:left="180" w:right="19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with respect to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6" w:name="page67"/>
    <w:bookmarkEnd w:id="66"/>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Loan Documents).</w:t>
      </w:r>
    </w:p>
    <w:p>
      <w:pPr>
        <w:spacing w:after="0" w:line="180"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Assets</w:t>
      </w:r>
      <w:r>
        <w:rPr>
          <w:rFonts w:ascii="Times New Roman" w:cs="Times New Roman" w:eastAsia="Times New Roman" w:hAnsi="Times New Roman"/>
          <w:sz w:val="22"/>
          <w:szCs w:val="22"/>
          <w:color w:val="auto"/>
        </w:rPr>
        <w:t>”: at any time, the amount at which all assets (including, without duplication, the capitalized value of any leasehold interest under any Capital Lease) of the Borrower would be reflected on a consolidated balance sheet of the Borrower at such time.</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w:t>
      </w:r>
      <w:r>
        <w:rPr>
          <w:rFonts w:ascii="Times New Roman" w:cs="Times New Roman" w:eastAsia="Times New Roman" w:hAnsi="Times New Roman"/>
          <w:sz w:val="22"/>
          <w:szCs w:val="22"/>
          <w:color w:val="auto"/>
        </w:rPr>
        <w:t xml:space="preserve">”: for any period, Consolidated Net Income for such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of income taxes and interest expense deducted from earnings in determining such Consolidated Net Income.</w:t>
      </w:r>
    </w:p>
    <w:p>
      <w:pPr>
        <w:spacing w:after="0" w:line="173" w:lineRule="exact"/>
        <w:rPr>
          <w:sz w:val="20"/>
          <w:szCs w:val="20"/>
          <w:color w:val="auto"/>
        </w:rPr>
      </w:pPr>
    </w:p>
    <w:p>
      <w:pPr>
        <w:jc w:val="both"/>
        <w:ind w:left="180" w:right="19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Funded Debt</w:t>
      </w:r>
      <w:r>
        <w:rPr>
          <w:rFonts w:ascii="Times New Roman" w:cs="Times New Roman" w:eastAsia="Times New Roman" w:hAnsi="Times New Roman"/>
          <w:sz w:val="21"/>
          <w:szCs w:val="21"/>
          <w:color w:val="auto"/>
        </w:rPr>
        <w:t>”: at any time, all Debt of the Borrower determined on a consolidated basis consisting of, without duplication (a) borrowed money Debt, including without limitation capitalized lease obligations;(b) reimbursement obligations in respect of letters of credit, bank guarantees and the like; and (c) Debt in the nature of a Contingent Obligation, whether or not required to be reflected on a balance sheet of the Borrower in accordance with GAAP.</w:t>
      </w:r>
    </w:p>
    <w:p>
      <w:pPr>
        <w:spacing w:after="0" w:line="16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for any period, the amount of cash interest expense deducted from earnings of the Borrower in determining Consolidated Net Income for such period in accordance with GAAP.</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for any fiscal period, net earnings (or loss) after income and other taxes computed on the basis of income of the Borrower for such period determined on a consolidated basis in accordance with GAAP, but excluding:</w:t>
      </w:r>
    </w:p>
    <w:p>
      <w:pPr>
        <w:spacing w:after="0" w:line="173" w:lineRule="exact"/>
        <w:rPr>
          <w:sz w:val="20"/>
          <w:szCs w:val="20"/>
          <w:color w:val="auto"/>
        </w:rPr>
      </w:pPr>
    </w:p>
    <w:p>
      <w:pPr>
        <w:ind w:left="1480" w:right="239" w:firstLine="648"/>
        <w:spacing w:after="0" w:line="258" w:lineRule="auto"/>
        <w:tabs>
          <w:tab w:leader="none" w:pos="277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extraordinary items included in such calculation of net earnings (or loss);</w:t>
      </w:r>
    </w:p>
    <w:p>
      <w:pPr>
        <w:spacing w:after="0" w:line="123" w:lineRule="exact"/>
        <w:rPr>
          <w:rFonts w:ascii="Times New Roman" w:cs="Times New Roman" w:eastAsia="Times New Roman" w:hAnsi="Times New Roman"/>
          <w:sz w:val="22"/>
          <w:szCs w:val="22"/>
          <w:color w:val="auto"/>
        </w:rPr>
      </w:pPr>
    </w:p>
    <w:p>
      <w:pPr>
        <w:ind w:left="2780" w:hanging="652"/>
        <w:spacing w:after="0" w:line="253" w:lineRule="exact"/>
        <w:tabs>
          <w:tab w:leader="none" w:pos="27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or loss resulting from the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or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of fixed</w:t>
      </w:r>
    </w:p>
    <w:p>
      <w:pPr>
        <w:spacing w:after="0" w:line="62"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w:t>
      </w:r>
    </w:p>
    <w:p>
      <w:pPr>
        <w:spacing w:after="0" w:line="182"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of any Subsidiary accrued prior to the date it became a</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82" w:lineRule="exact"/>
        <w:rPr>
          <w:rFonts w:ascii="Times New Roman" w:cs="Times New Roman" w:eastAsia="Times New Roman" w:hAnsi="Times New Roman"/>
          <w:sz w:val="22"/>
          <w:szCs w:val="22"/>
          <w:color w:val="auto"/>
        </w:rPr>
      </w:pPr>
    </w:p>
    <w:p>
      <w:pPr>
        <w:ind w:left="1480" w:right="499" w:firstLine="648"/>
        <w:spacing w:after="0" w:line="244" w:lineRule="auto"/>
        <w:tabs>
          <w:tab w:leader="none" w:pos="278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of any Person, substantially all assets of which have been acquired in any manner, realized by such Person prior to the date of such acquisition; and</w:t>
      </w:r>
    </w:p>
    <w:p>
      <w:pPr>
        <w:spacing w:after="0" w:line="173" w:lineRule="exact"/>
        <w:rPr>
          <w:rFonts w:ascii="Times New Roman" w:cs="Times New Roman" w:eastAsia="Times New Roman" w:hAnsi="Times New Roman"/>
          <w:sz w:val="22"/>
          <w:szCs w:val="22"/>
          <w:color w:val="auto"/>
        </w:rPr>
      </w:pPr>
    </w:p>
    <w:p>
      <w:pPr>
        <w:ind w:left="1480" w:right="1019" w:firstLine="648"/>
        <w:spacing w:after="0" w:line="258" w:lineRule="auto"/>
        <w:tabs>
          <w:tab w:leader="none" w:pos="277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arising from the acquisition of any Securities of the Borrower or any Subsidiary thereof.</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Shareholders’ Equity</w:t>
      </w:r>
      <w:r>
        <w:rPr>
          <w:rFonts w:ascii="Times New Roman" w:cs="Times New Roman" w:eastAsia="Times New Roman" w:hAnsi="Times New Roman"/>
          <w:sz w:val="22"/>
          <w:szCs w:val="22"/>
          <w:color w:val="auto"/>
        </w:rPr>
        <w:t>”: at a particular date, the net book value of the shareholders’ equity of the Borrower as would be shown on a consolidated balance sheet at such time determined in accordance with GAAP.</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7" w:name="page68"/>
    <w:bookmarkEnd w:id="67"/>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with respect to any Person (for the purpose of this definition, the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any obligation (except the endorsement in the ordinary course of business of instruments for deposit or collection) of the Obligor guaranteeing or in effect guaranteeing any indebtedness of any other Person (for the purpose of this definition,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 any manner, whether directly or indirectly, including (without limitation) indebtedness incurred through an agreement, contingent or otherwise, by the Obligor:</w:t>
      </w:r>
    </w:p>
    <w:p>
      <w:pPr>
        <w:spacing w:after="0" w:line="181" w:lineRule="exact"/>
        <w:rPr>
          <w:sz w:val="20"/>
          <w:szCs w:val="20"/>
          <w:color w:val="auto"/>
        </w:rPr>
      </w:pPr>
    </w:p>
    <w:p>
      <w:pPr>
        <w:ind w:left="180" w:right="219" w:firstLine="1948"/>
        <w:spacing w:after="0" w:line="258" w:lineRule="auto"/>
        <w:tabs>
          <w:tab w:leader="none" w:pos="276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such indebtedness of the Primary Obligor or any Property or assets constituting security therefor;</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to advance or supply funds</w:t>
      </w:r>
    </w:p>
    <w:p>
      <w:pPr>
        <w:spacing w:after="0" w:line="206" w:lineRule="exact"/>
        <w:rPr>
          <w:sz w:val="20"/>
          <w:szCs w:val="20"/>
          <w:color w:val="auto"/>
        </w:rPr>
      </w:pPr>
    </w:p>
    <w:p>
      <w:pPr>
        <w:ind w:left="4080" w:hanging="1304"/>
        <w:spacing w:after="0"/>
        <w:tabs>
          <w:tab w:leader="none" w:pos="40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payment of such indebtedness</w:t>
      </w:r>
    </w:p>
    <w:p>
      <w:pPr>
        <w:spacing w:after="0" w:line="14" w:lineRule="exact"/>
        <w:rPr>
          <w:rFonts w:ascii="Times New Roman" w:cs="Times New Roman" w:eastAsia="Times New Roman" w:hAnsi="Times New Roman"/>
          <w:sz w:val="22"/>
          <w:szCs w:val="22"/>
          <w:color w:val="auto"/>
        </w:rPr>
      </w:pPr>
    </w:p>
    <w:p>
      <w:pPr>
        <w:ind w:left="1480" w:right="5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such indebtedness otherwise appears on Borrower’s balance sheet as indebtedness), or</w:t>
      </w:r>
    </w:p>
    <w:p>
      <w:pPr>
        <w:spacing w:after="0" w:line="178"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working capital or other balance sheet</w:t>
      </w:r>
    </w:p>
    <w:p>
      <w:pPr>
        <w:spacing w:after="0" w:line="14" w:lineRule="exact"/>
        <w:rPr>
          <w:rFonts w:ascii="Times New Roman" w:cs="Times New Roman" w:eastAsia="Times New Roman" w:hAnsi="Times New Roman"/>
          <w:sz w:val="22"/>
          <w:szCs w:val="22"/>
          <w:color w:val="auto"/>
        </w:rPr>
      </w:pPr>
    </w:p>
    <w:p>
      <w:pPr>
        <w:jc w:val="both"/>
        <w:ind w:left="1480" w:right="2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 or any income statement condition of the Primary Obligor or otherwise to advance or make available funds for the purchase or payment of such indebtedness or obligation; or</w:t>
      </w:r>
    </w:p>
    <w:p>
      <w:pPr>
        <w:spacing w:after="0" w:line="178" w:lineRule="exact"/>
        <w:rPr>
          <w:sz w:val="20"/>
          <w:szCs w:val="20"/>
          <w:color w:val="auto"/>
        </w:rPr>
      </w:pPr>
    </w:p>
    <w:p>
      <w:pPr>
        <w:ind w:left="180" w:right="299" w:firstLine="1944"/>
        <w:spacing w:after="0" w:line="244" w:lineRule="auto"/>
        <w:rPr>
          <w:sz w:val="20"/>
          <w:szCs w:val="20"/>
          <w:color w:val="auto"/>
        </w:rPr>
      </w:pPr>
      <w:r>
        <w:rPr>
          <w:rFonts w:ascii="Times New Roman" w:cs="Times New Roman" w:eastAsia="Times New Roman" w:hAnsi="Times New Roman"/>
          <w:sz w:val="22"/>
          <w:szCs w:val="22"/>
          <w:color w:val="auto"/>
        </w:rPr>
        <w:t>(c) to lease Property or to purchase Securities or other Property or services primarily for the purpose of assuring the owner of such indebtedness or obligation of the ability of the Primary Obligor to make payment of the indebtedness or obligation.</w:t>
      </w:r>
    </w:p>
    <w:p>
      <w:pPr>
        <w:spacing w:after="0" w:line="173" w:lineRule="exact"/>
        <w:rPr>
          <w:sz w:val="20"/>
          <w:szCs w:val="20"/>
          <w:color w:val="auto"/>
        </w:rPr>
      </w:pPr>
    </w:p>
    <w:p>
      <w:pPr>
        <w:jc w:val="both"/>
        <w:ind w:left="180" w:right="199" w:firstLine="1296"/>
        <w:spacing w:after="0" w:line="255" w:lineRule="auto"/>
        <w:rPr>
          <w:sz w:val="20"/>
          <w:szCs w:val="20"/>
          <w:color w:val="auto"/>
        </w:rPr>
      </w:pPr>
      <w:r>
        <w:rPr>
          <w:rFonts w:ascii="Times New Roman" w:cs="Times New Roman" w:eastAsia="Times New Roman" w:hAnsi="Times New Roman"/>
          <w:sz w:val="21"/>
          <w:szCs w:val="21"/>
          <w:color w:val="auto"/>
        </w:rPr>
        <w:t>For purposes of computing the amount of any Contingent Obligation, in connection with any computation of indebtedness or other liability, it shall be assumed that, without duplication, the indebtedness or other liabilities of the Primary Obligor that are the subject of such Contingent Obligation are direct obligations of the issuer of such Contingent Obligation.</w:t>
      </w:r>
    </w:p>
    <w:p>
      <w:pPr>
        <w:spacing w:after="0" w:line="162"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(a) the Borrower, each of the Borrower’s Subsidiaries and all Guarantors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78"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the interest rate per annum determined by the Agent (rounded upwards, at the Agent’s discretion, to the nearest 1/100th of 1%) equal to SOFR for the day (the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2 Business Days prior to (i) such SOFR Rate Day if such SOFR Rate Day is a Business Day or (ii) the Business Day immediately preceding such SOFR Rate Day if such SOFR Rate Day is not 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8" w:name="page69"/>
    <w:bookmarkEnd w:id="68"/>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77"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with respect to any Person, at any time, without duplication, all of (i) its liabilities for borrowed money, (ii) liabilities secured by any Lien existing on property owned by such Person (whether or not such liabilities have been assumed), (iii) its liabilities in respect to Capital Leases; (iv) its liabilities under Contingent Obligations; and (v) all other obligations which are required by GAAP to be shown as liabilities on its balance sheet but excluding (x) deferred taxes and other deferred or long-term liabilities and other amounts not in respect of borrowed money and (y) the aggregate amount of accounts receivable sold, factored or otherwise transferred for value without recourse (other than for breach of representations).</w:t>
      </w:r>
    </w:p>
    <w:p>
      <w:pPr>
        <w:spacing w:after="0" w:line="178"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any of the events specified in Section 7, whether or not any requirement for the giving of notice, the lapse of time, or both, or any other condition precedent therein set forth, has been satisfied.</w:t>
      </w:r>
    </w:p>
    <w:p>
      <w:pPr>
        <w:spacing w:after="0" w:line="173" w:lineRule="exact"/>
        <w:rPr>
          <w:sz w:val="20"/>
          <w:szCs w:val="20"/>
          <w:color w:val="auto"/>
        </w:rPr>
      </w:pPr>
    </w:p>
    <w:p>
      <w:pPr>
        <w:jc w:val="both"/>
        <w:ind w:left="180" w:right="19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Bank</w:t>
      </w:r>
      <w:r>
        <w:rPr>
          <w:rFonts w:ascii="Times New Roman" w:cs="Times New Roman" w:eastAsia="Times New Roman" w:hAnsi="Times New Roman"/>
          <w:sz w:val="21"/>
          <w:szCs w:val="21"/>
          <w:color w:val="auto"/>
        </w:rPr>
        <w:t>”: any Bank, as determined by the Agent, that has (a) failed to fund any portion of its Revolving Credit Loans or participations in Swing Line Loans within three Business Days of the date required to be funded by it hereunder, (b) notified the Borrower, the Agent, the Swing Line Bank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Business Days after request by the Agent, to confirm that it will comply with the terms of this Agreement relating to its obligations to fund prospective Revolving Credit Loans or participations in Swing Line Loans, (d) otherwise failed to pay over to the Agent or any other Bank any other amount required to be paid by it hereunder within three Business Days of the date when due, unless the subject of a good faith dispute, or (e) (i) become or is insolvent or has a parent company that has become or is insolvent,</w:t>
      </w:r>
    </w:p>
    <w:p>
      <w:pPr>
        <w:spacing w:after="0" w:line="6" w:lineRule="exact"/>
        <w:rPr>
          <w:sz w:val="20"/>
          <w:szCs w:val="20"/>
          <w:color w:val="auto"/>
        </w:rPr>
      </w:pPr>
    </w:p>
    <w:p>
      <w:pPr>
        <w:ind w:left="4460" w:right="1379" w:hanging="4276"/>
        <w:spacing w:after="0" w:line="671" w:lineRule="auto"/>
        <w:tabs>
          <w:tab w:leader="none" w:pos="51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the subject of a Bail-In Action, or (iii) become the subject of a bankruptcy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-239395</wp:posOffset>
            </wp:positionV>
            <wp:extent cx="55289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9" w:name="page70"/>
    <w:bookmarkEnd w:id="69"/>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(it being understood that a Defaulting Bank shall cease to be a Defaulting Bank if the Borrower, the Agent and the Swing Line Bank shall each agree that such Defaulting Bank has adequately remedied all matters that caused such Bank to be a Defaulting Bank).</w:t>
      </w:r>
    </w:p>
    <w:p>
      <w:pPr>
        <w:spacing w:after="0" w:line="183"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in respect of any corporation, (a) dividends, distributions or other payments on account of any capital stock of the corporation (except distributions in common stock of such corporation); (b) the redemption or acquisition of such stock or of warrants, rights or other options to purchase such stock (except when solely in exchange for common stock of such corporation); and (c) any payment on account of, or the setting apart of any assets for a sinking or other analogous fund for, the purchase, redemption, defeasance, retirement or other acquisition of any share of any class of capital stock of such corporation or any warrants or options to purchase any such stock.</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dollars in lawful currency of the United States of America.</w:t>
      </w:r>
    </w:p>
    <w:p>
      <w:pPr>
        <w:spacing w:after="0" w:line="206" w:lineRule="exact"/>
        <w:rPr>
          <w:sz w:val="20"/>
          <w:szCs w:val="20"/>
          <w:color w:val="auto"/>
        </w:rPr>
      </w:pPr>
    </w:p>
    <w:p>
      <w:pPr>
        <w:jc w:val="both"/>
        <w:ind w:left="180" w:right="19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(i) any credit institution or investment firm established in any EEA Member Country which is subject to the supervision of an EEA Resolution Authority,</w:t>
      </w:r>
    </w:p>
    <w:p>
      <w:pPr>
        <w:spacing w:after="0" w:line="1" w:lineRule="exact"/>
        <w:rPr>
          <w:sz w:val="20"/>
          <w:szCs w:val="20"/>
          <w:color w:val="auto"/>
        </w:rPr>
      </w:pPr>
    </w:p>
    <w:p>
      <w:pPr>
        <w:jc w:val="both"/>
        <w:ind w:left="180" w:right="199" w:firstLine="4"/>
        <w:spacing w:after="0" w:line="234" w:lineRule="auto"/>
        <w:tabs>
          <w:tab w:leader="none" w:pos="50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established in an EEA Member Country which is a parent of an institution described in clause (i) of this definition, or (iii) any financial institution established in an EEA Member Country which is a subsidiary of an institution described in clauses (i) or (ii) of this definition and is subject to consolidated supervision with its parent.</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Amendment</w:t>
      </w:r>
      <w:r>
        <w:rPr>
          <w:rFonts w:ascii="Times New Roman" w:cs="Times New Roman" w:eastAsia="Times New Roman" w:hAnsi="Times New Roman"/>
          <w:sz w:val="22"/>
          <w:szCs w:val="22"/>
          <w:color w:val="auto"/>
        </w:rPr>
        <w:t>”: the Eighth Amendment to Credit Agreement by and among the Borrower, the Banks party thereto and the Agent, dated as of the Eighth Amendment Effective Date.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Amendment Effective Date</w:t>
      </w:r>
      <w:r>
        <w:rPr>
          <w:rFonts w:ascii="Times New Roman" w:cs="Times New Roman" w:eastAsia="Times New Roman" w:hAnsi="Times New Roman"/>
          <w:sz w:val="22"/>
          <w:szCs w:val="22"/>
          <w:color w:val="auto"/>
        </w:rPr>
        <w:t>” means June 12, 2024.</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any and all applicable foreign, Federal, state, local or municipal laws, rules, orders, regulations, statutes, ordinances, codes, decrees or binding requirements of any Governmental Authority, or binding Requirement of Law (including common law) regulating, relating to or imposing liability or standards of conduct concerning protection of the environment or public health, remediation of environmental conditions, or damages arising from such conditions, as now or may at any time hereafter be in effect.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0" w:name="page71"/>
    <w:bookmarkEnd w:id="70"/>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to Capital Ratio</w:t>
      </w:r>
      <w:r>
        <w:rPr>
          <w:rFonts w:ascii="Times New Roman" w:cs="Times New Roman" w:eastAsia="Times New Roman" w:hAnsi="Times New Roman"/>
          <w:sz w:val="22"/>
          <w:szCs w:val="22"/>
          <w:color w:val="auto"/>
        </w:rPr>
        <w:t>”: at the date of determination, the ratio of Consolidated Shareholders’ Equity to the sum of (i) Consolidated Funded Debt and (ii) Consolidated Shareholders’ Equity.</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 as amended from time to time.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has the meaning assigned to it in Section 8.13(a).</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has the meaning assigned to it in Section 8.13(d).</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has the meaning assigned to it in Section</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8.13(d).</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has the meaning assigned to it in Section</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8.13(d).</w:t>
      </w:r>
    </w:p>
    <w:p>
      <w:pPr>
        <w:spacing w:after="0" w:line="18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has the meaning assigned to it in Section 8.13(d).</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(or any successor person), as in effect from time to time.</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any of the events specified in Section 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requirement for the giving of notice, the lapse of time, or both, or any other condition, has been satisfied.</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as defined in subsection 2.12(a).</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as defined in the Background to this Agreement.</w:t>
      </w:r>
    </w:p>
    <w:p>
      <w:pPr>
        <w:spacing w:after="0" w:line="206"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Exposure</w:t>
      </w:r>
      <w:r>
        <w:rPr>
          <w:rFonts w:ascii="Times New Roman" w:cs="Times New Roman" w:eastAsia="Times New Roman" w:hAnsi="Times New Roman"/>
          <w:sz w:val="22"/>
          <w:szCs w:val="22"/>
          <w:color w:val="auto"/>
        </w:rPr>
        <w:t xml:space="preserve">”: as to any Bank at any date, an amount equal to the sum of (a) the aggregate principal amount of all Loans made by such Bank then outstanding and (b) the principal amount of such Bank’s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Swing Line Loans then outstanding based on its Commitment Percentage.</w:t>
      </w:r>
    </w:p>
    <w:p>
      <w:pPr>
        <w:spacing w:after="0" w:line="180" w:lineRule="exact"/>
        <w:rPr>
          <w:sz w:val="20"/>
          <w:szCs w:val="20"/>
          <w:color w:val="auto"/>
        </w:rPr>
      </w:pPr>
    </w:p>
    <w:p>
      <w:pPr>
        <w:jc w:val="both"/>
        <w:ind w:left="180" w:right="19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Sections 1471 through 1474 of the Code, as of the date of this Agreement (or any amended or successor version that is substantially comparable and not materially more onerous to comply with), any current or future regulations or official interpretations thereof and any agreement entered into pursuant to Section 1471(b)(1) of the Code.</w:t>
      </w:r>
    </w:p>
    <w:p>
      <w:pPr>
        <w:spacing w:after="0" w:line="16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shall mean the Foreign Corrupt Practices Act of 1977, as amended, and the rules and regulations thereunder.</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the collective reference to the letter or letters from the Agent to the Borrower regarding certain fees payable by the Borrower, including, without limitation, the letter dated May 29, 2024.</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1" w:name="page72"/>
    <w:bookmarkEnd w:id="71"/>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as defined in subsection 2.4(a).</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Bank</w:t>
      </w:r>
      <w:r>
        <w:rPr>
          <w:rFonts w:ascii="Times New Roman" w:cs="Times New Roman" w:eastAsia="Times New Roman" w:hAnsi="Times New Roman"/>
          <w:sz w:val="22"/>
          <w:szCs w:val="22"/>
          <w:color w:val="auto"/>
        </w:rPr>
        <w:t>”: any Bank that is not created or organized under the Laws of the United States, any State thereof or the District of Columbia.</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at any time with respect to the determination of the character or amount of any asset or liability or item of income or expense, or any consolidation or other accounting computation, generally accepted accounting principles as applied to the public utility industry, as such principles shall be in effect on the date of, or at the end of the period covered by, the financial statements from which such asset, liability, item of income, or item of expense, is derived, or, in the case of any such computation, as in effect on the date when such computation is required to be determined, subject to Section 1.3(b).</w:t>
      </w:r>
    </w:p>
    <w:p>
      <w:pPr>
        <w:spacing w:after="0" w:line="183"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any Material Subsidiary which becomes a “Guarantor” after the date hereof pursuant to Section 5.11.</w:t>
      </w:r>
    </w:p>
    <w:p>
      <w:pPr>
        <w:spacing w:after="0" w:line="158" w:lineRule="exact"/>
        <w:rPr>
          <w:sz w:val="20"/>
          <w:szCs w:val="20"/>
          <w:color w:val="auto"/>
        </w:rPr>
      </w:pPr>
    </w:p>
    <w:p>
      <w:pPr>
        <w:ind w:left="1480"/>
        <w:spacing w:after="0"/>
        <w:tabs>
          <w:tab w:leader="none" w:pos="27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w:t>
        <w:tab/>
        <w:t>any Guaranty Agreement entered into by a Guarantor pursuant to</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Section 5.11.</w:t>
      </w:r>
    </w:p>
    <w:p>
      <w:pPr>
        <w:spacing w:after="0" w:line="182"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the Indenture of Mortgage dated as of January 1, 1941 between the Borrower and The Bank of New York Mellon Trust Company, N.A., as successor Trustee, as amended and supplemented.</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w:t>
      </w:r>
      <w:r>
        <w:rPr>
          <w:rFonts w:ascii="Times New Roman" w:cs="Times New Roman" w:eastAsia="Times New Roman" w:hAnsi="Times New Roman"/>
          <w:sz w:val="22"/>
          <w:szCs w:val="22"/>
          <w:color w:val="auto"/>
        </w:rPr>
        <w:t>”: with respect to any Multiemployer Plan, the condition that such Plan is insolvent within the meaning of Section 4245 of ERISA.</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Insolvent</w:t>
      </w:r>
      <w:r>
        <w:rPr>
          <w:rFonts w:ascii="Times New Roman" w:cs="Times New Roman" w:eastAsia="Times New Roman" w:hAnsi="Times New Roman"/>
          <w:sz w:val="22"/>
          <w:szCs w:val="22"/>
          <w:color w:val="auto"/>
        </w:rPr>
        <w:t>”: pertaining to a condition of Insolvency.</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Ratio</w:t>
      </w:r>
      <w:r>
        <w:rPr>
          <w:rFonts w:ascii="Times New Roman" w:cs="Times New Roman" w:eastAsia="Times New Roman" w:hAnsi="Times New Roman"/>
          <w:sz w:val="22"/>
          <w:szCs w:val="22"/>
          <w:color w:val="auto"/>
        </w:rPr>
        <w:t>”: at the date of determination, the ratio of Consolidated EBIT to Consolidated Interest Expense, in each case for the prior four (4) consecutive fiscal quarters.</w:t>
      </w:r>
    </w:p>
    <w:p>
      <w:pPr>
        <w:spacing w:after="0" w:line="173"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(a) as to any Base Rate Loan or Swing Line Loan, the last day of each month, (b) as to any Term SOFR Rate Loan having an Interest Period of three months or less, the last day of such Interest Period, and (c) as to any Term SOFR Rate Loan having an Interest Period longer than three months, each day which is three months, or a whole multiple thereof, after the first day of such Interest Period and the last day of such Interest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2" w:name="page73"/>
    <w:bookmarkEnd w:id="72"/>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with respect to any Term SOFR Rate Loan:</w:t>
      </w:r>
    </w:p>
    <w:p>
      <w:pPr>
        <w:spacing w:after="0" w:line="206" w:lineRule="exact"/>
        <w:rPr>
          <w:sz w:val="20"/>
          <w:szCs w:val="20"/>
          <w:color w:val="auto"/>
        </w:rPr>
      </w:pPr>
    </w:p>
    <w:p>
      <w:pPr>
        <w:jc w:val="both"/>
        <w:ind w:left="840" w:right="219" w:firstLine="1288"/>
        <w:spacing w:after="0" w:line="239" w:lineRule="auto"/>
        <w:tabs>
          <w:tab w:leader="none" w:pos="279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the period commencing on the borrowing or conversion date, as the case may be, with respect to such Term SOFR Rate Loan and ending one, three or six months thereafter, as selected by the Borrower in their notice of borrowing or notice of conversion, given with respect thereto; and</w:t>
      </w:r>
    </w:p>
    <w:p>
      <w:pPr>
        <w:spacing w:after="0" w:line="180" w:lineRule="exact"/>
        <w:rPr>
          <w:rFonts w:ascii="Times New Roman" w:cs="Times New Roman" w:eastAsia="Times New Roman" w:hAnsi="Times New Roman"/>
          <w:sz w:val="22"/>
          <w:szCs w:val="22"/>
          <w:color w:val="auto"/>
        </w:rPr>
      </w:pPr>
    </w:p>
    <w:p>
      <w:pPr>
        <w:ind w:left="840" w:right="199" w:firstLine="1288"/>
        <w:spacing w:after="0" w:line="238" w:lineRule="auto"/>
        <w:tabs>
          <w:tab w:leader="none" w:pos="283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each period commencing on the last day of the next preceding Interest Period applicable to such Term SOFR Rate Loan and ending one, three or six months thereafter, as selected by the Borrower by irrevocable notice to the Agent not less than three Business Days prior to the last day of the then current Interest Period with respect thereto;</w:t>
      </w:r>
    </w:p>
    <w:p>
      <w:pPr>
        <w:spacing w:after="0" w:line="177" w:lineRule="exact"/>
        <w:rPr>
          <w:sz w:val="20"/>
          <w:szCs w:val="20"/>
          <w:color w:val="auto"/>
        </w:rPr>
      </w:pPr>
    </w:p>
    <w:p>
      <w:pPr>
        <w:ind w:left="840" w:right="95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the foregoing provisions relating to Interest Periods are subject to the following:</w:t>
      </w:r>
    </w:p>
    <w:p>
      <w:pPr>
        <w:spacing w:after="0" w:line="158" w:lineRule="exact"/>
        <w:rPr>
          <w:sz w:val="20"/>
          <w:szCs w:val="20"/>
          <w:color w:val="auto"/>
        </w:rPr>
      </w:pPr>
    </w:p>
    <w:p>
      <w:pPr>
        <w:ind w:left="840" w:right="239" w:firstLine="1288"/>
        <w:spacing w:after="0" w:line="239" w:lineRule="auto"/>
        <w:tabs>
          <w:tab w:leader="none" w:pos="279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180" w:lineRule="exact"/>
        <w:rPr>
          <w:rFonts w:ascii="Times New Roman" w:cs="Times New Roman" w:eastAsia="Times New Roman" w:hAnsi="Times New Roman"/>
          <w:sz w:val="22"/>
          <w:szCs w:val="22"/>
          <w:color w:val="auto"/>
        </w:rPr>
      </w:pPr>
    </w:p>
    <w:p>
      <w:pPr>
        <w:ind w:left="840" w:right="219" w:firstLine="1288"/>
        <w:spacing w:after="0" w:line="239" w:lineRule="auto"/>
        <w:tabs>
          <w:tab w:leader="none" w:pos="28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0" w:lineRule="exact"/>
        <w:rPr>
          <w:rFonts w:ascii="Times New Roman" w:cs="Times New Roman" w:eastAsia="Times New Roman" w:hAnsi="Times New Roman"/>
          <w:sz w:val="22"/>
          <w:szCs w:val="22"/>
          <w:color w:val="auto"/>
        </w:rPr>
      </w:pPr>
    </w:p>
    <w:p>
      <w:pPr>
        <w:ind w:left="840" w:right="1139" w:firstLine="1288"/>
        <w:spacing w:after="0" w:line="258" w:lineRule="auto"/>
        <w:tabs>
          <w:tab w:leader="none" w:pos="285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Interest Period that otherwise would extend beyond the Termination Date shall end on the Termination Date; and</w:t>
      </w:r>
    </w:p>
    <w:p>
      <w:pPr>
        <w:spacing w:after="0" w:line="158" w:lineRule="exact"/>
        <w:rPr>
          <w:rFonts w:ascii="Times New Roman" w:cs="Times New Roman" w:eastAsia="Times New Roman" w:hAnsi="Times New Roman"/>
          <w:sz w:val="22"/>
          <w:szCs w:val="22"/>
          <w:color w:val="auto"/>
        </w:rPr>
      </w:pPr>
    </w:p>
    <w:p>
      <w:pPr>
        <w:ind w:left="840" w:right="539" w:firstLine="1288"/>
        <w:spacing w:after="0" w:line="244" w:lineRule="auto"/>
        <w:tabs>
          <w:tab w:leader="none" w:pos="28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select Interest Periods so as not to require a payment or prepayment of any Term SOFR Rate Loan during an Interest Period for such Loan.</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means all Laws relating to economic and financial sanctions, trade embargoes, export controls, customs and anti-boycott measures.</w:t>
      </w:r>
    </w:p>
    <w:p>
      <w:pPr>
        <w:spacing w:after="0" w:line="158"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investments (by loan or extension of credit, purchase, advance, guaranty, capital contribution or otherwise) made in cash or by delivery of Property, by the Borrower (i) in any Person, whether by acquisition of stock or other ownership interest, indebtedness or other obligation or Security, or by loan, advance or capital contribution, or (ii) in any Property or (iii) any agreement to do any of the foregoing.</w:t>
      </w:r>
    </w:p>
    <w:p>
      <w:pPr>
        <w:spacing w:after="0" w:line="177" w:lineRule="exact"/>
        <w:rPr>
          <w:sz w:val="20"/>
          <w:szCs w:val="20"/>
          <w:color w:val="auto"/>
        </w:rPr>
      </w:pPr>
    </w:p>
    <w:p>
      <w:pPr>
        <w:jc w:val="both"/>
        <w:ind w:left="180" w:right="19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3" w:name="page74"/>
    <w:bookmarkEnd w:id="73"/>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this Agreement, the Notes and any Guaranty.</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the collective reference to the Revolving Credit Loans and the Swing Line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Loans.</w:t>
      </w:r>
    </w:p>
    <w:p>
      <w:pPr>
        <w:spacing w:after="0" w:line="18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means material in relation to the business, operations, affairs, financial condition, assets or properties of the Borrower and its subsidiaries taken as a whole.</w:t>
      </w:r>
    </w:p>
    <w:p>
      <w:pPr>
        <w:spacing w:after="0" w:line="158"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a material adverse effect on (a) the validity or enforceability of this Agreement or any other Loan Document, (b) the business, Property, assets, financial condition or results of operations of the Borrower, (c) the ability of the Borrower duly and punctually to pay its Debts and perform its obligations hereunder, or (d) the ability of the Agent or any of the Banks, to the extent permitted, to enforce their legal remedies pursuant to this Agreement or any other Loan Document.</w:t>
      </w:r>
    </w:p>
    <w:p>
      <w:pPr>
        <w:spacing w:after="0" w:line="181"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a Subsidiary of the Borrower the assets or net earnings of which, determined in accordance with GAAP, constitute more than 5% of the Borrower’s Consolidated Assets or Consolidated Net Income, as the case may be.</w:t>
      </w:r>
    </w:p>
    <w:p>
      <w:pPr>
        <w:spacing w:after="0" w:line="173"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Materials of Environmental Concern</w:t>
      </w:r>
      <w:r>
        <w:rPr>
          <w:rFonts w:ascii="Times New Roman" w:cs="Times New Roman" w:eastAsia="Times New Roman" w:hAnsi="Times New Roman"/>
          <w:sz w:val="22"/>
          <w:szCs w:val="22"/>
          <w:color w:val="auto"/>
        </w:rPr>
        <w:t>”: any gasoline or petroleum (including crude oil or any fraction thereof) or petroleum products or any hazardous or toxic substances, materials or wastes, or pollutants or contaminants defined or regulated as such in or under any Environmental Law, including, without limitation, asbestos, polychlorinated biphenyls, and ureaformaldehyde insulation.</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Moody’s Investors Service, Inc.</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 Plan which is a multiemployer plan as defined in Section 4001(a)(3) of ERISA.</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Bank</w:t>
      </w:r>
      <w:r>
        <w:rPr>
          <w:rFonts w:ascii="Times New Roman" w:cs="Times New Roman" w:eastAsia="Times New Roman" w:hAnsi="Times New Roman"/>
          <w:sz w:val="22"/>
          <w:szCs w:val="22"/>
          <w:color w:val="auto"/>
        </w:rPr>
        <w:t>”: at any time, all Banks other than any Defaulting Banks at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such time.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Revolving Credit Notes and the Swing Line Notes.</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as defined in subsection 2.12(b).</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as set forth on its public website from time to time, and as published on the next succeeding Business Day as the overnight bank funding rate by the NYFRB (or by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4" w:name="page75"/>
    <w:bookmarkEnd w:id="74"/>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 xml:space="preserve">such other recognized electronic source (such as Bloomberg) selected by the Agent for the purpose of displaying such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Company</w:t>
      </w:r>
      <w:r>
        <w:rPr>
          <w:rFonts w:ascii="Times New Roman" w:cs="Times New Roman" w:eastAsia="Times New Roman" w:hAnsi="Times New Roman"/>
          <w:sz w:val="22"/>
          <w:szCs w:val="22"/>
          <w:color w:val="auto"/>
        </w:rPr>
        <w:t>”: Essential Utilities, Inc., a Pennsylvania corporation.</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as defined in Section 9.6(f).</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 established pursuant to Subtitle A of Title IV of ERISA.</w:t>
      </w:r>
    </w:p>
    <w:p>
      <w:pPr>
        <w:spacing w:after="0" w:line="158" w:lineRule="exact"/>
        <w:rPr>
          <w:sz w:val="20"/>
          <w:szCs w:val="20"/>
          <w:color w:val="auto"/>
        </w:rPr>
      </w:pPr>
    </w:p>
    <w:p>
      <w:pPr>
        <w:jc w:val="both"/>
        <w:ind w:left="180" w:right="199"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an acquisition by the Borrower of the stock or assets of a Person engaged in businesses similar or incidental or ancillary to Borrower’s existing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least 30 days prior to the consummation of any such acquisition for which cash consideration paid by the Borrower (including the assumption of Debt in connection therewith) exceeds $70,000,000, no Default or Event of Default shall exist or would exist if such acquisition were consummated on such date (assuming for purposes of the covenants contained in Section 6.1 that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adjustments are made to the financial statements of the Borrower reflecting such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historical EBIT of the Person to be acquired (or the assets of which are to be acquired) shall be included for purposes of calculating such covenant compliance only if historical financial statements of such Person are received by the Agent at least 30 days prior to the consummation of such acquisition), and the Borrower shall have delivered to the Agent a certificate of a Responsible Officer showing calculations in reasonable detail demonstrating such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compliance with the covenants contained in Section 6.1,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such acquisition for which cash consideration paid by the Borrower (including the assumption of Debt in connection therewith) exceeds $75,000,000, shall also have been consented to by the Required Banks.</w:t>
      </w:r>
    </w:p>
    <w:p>
      <w:pPr>
        <w:spacing w:after="0" w:line="1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Investments in:</w:t>
      </w:r>
    </w:p>
    <w:p>
      <w:pPr>
        <w:spacing w:after="0" w:line="206" w:lineRule="exact"/>
        <w:rPr>
          <w:sz w:val="20"/>
          <w:szCs w:val="20"/>
          <w:color w:val="auto"/>
        </w:rPr>
      </w:pPr>
    </w:p>
    <w:p>
      <w:pPr>
        <w:ind w:left="2780" w:hanging="652"/>
        <w:spacing w:after="0"/>
        <w:tabs>
          <w:tab w:leader="none" w:pos="27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Material or Wholly-Owned Subsidiaries thereof;</w:t>
      </w:r>
    </w:p>
    <w:p>
      <w:pPr>
        <w:spacing w:after="0" w:line="206"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to be used in the ordinary course of business of the</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82" w:lineRule="exact"/>
        <w:rPr>
          <w:rFonts w:ascii="Times New Roman" w:cs="Times New Roman" w:eastAsia="Times New Roman" w:hAnsi="Times New Roman"/>
          <w:sz w:val="22"/>
          <w:szCs w:val="22"/>
          <w:color w:val="auto"/>
        </w:rPr>
      </w:pPr>
    </w:p>
    <w:p>
      <w:pPr>
        <w:ind w:left="1480" w:right="279" w:firstLine="648"/>
        <w:spacing w:after="0" w:line="258" w:lineRule="auto"/>
        <w:tabs>
          <w:tab w:leader="none" w:pos="277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assets arising from the sale or purchase of goods and services in the ordinary course of business of the Borrower;</w:t>
      </w:r>
    </w:p>
    <w:p>
      <w:pPr>
        <w:spacing w:after="0" w:line="158" w:lineRule="exact"/>
        <w:rPr>
          <w:rFonts w:ascii="Times New Roman" w:cs="Times New Roman" w:eastAsia="Times New Roman" w:hAnsi="Times New Roman"/>
          <w:sz w:val="22"/>
          <w:szCs w:val="22"/>
          <w:color w:val="auto"/>
        </w:rPr>
      </w:pPr>
    </w:p>
    <w:p>
      <w:pPr>
        <w:jc w:val="both"/>
        <w:ind w:left="1480" w:right="379" w:firstLine="648"/>
        <w:spacing w:after="0" w:line="239" w:lineRule="auto"/>
        <w:tabs>
          <w:tab w:leader="none" w:pos="278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the United States of America, or any agency or instrumentality thereof or obligations guaranteed by the United States of America, provided that such obligations mature within one (1) year from the date of acquisition thereof;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5" w:name="page76"/>
    <w:bookmarkEnd w:id="75"/>
    <w:p>
      <w:pPr>
        <w:ind w:left="1480" w:right="279" w:firstLine="648"/>
        <w:spacing w:after="0" w:line="250" w:lineRule="exact"/>
        <w:tabs>
          <w:tab w:leader="none" w:pos="277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or banker’s acceptances, maturing within one (1) year from the date of acquisition, with banks or trust companies organized under the laws of the United States, the unsecured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debt obligations of which are rated “A3” or higher by Moody’s or “A-” or higher by S&amp;P, and issued, or in the case of banker’s acceptance, accepted, by a bank or trust company having capital, surplus and undivided profits aggregating at least $250,000,000;</w:t>
      </w:r>
    </w:p>
    <w:p>
      <w:pPr>
        <w:spacing w:after="0" w:line="181" w:lineRule="exact"/>
        <w:rPr>
          <w:rFonts w:ascii="Times New Roman" w:cs="Times New Roman" w:eastAsia="Times New Roman" w:hAnsi="Times New Roman"/>
          <w:sz w:val="22"/>
          <w:szCs w:val="22"/>
          <w:color w:val="auto"/>
        </w:rPr>
      </w:pPr>
    </w:p>
    <w:p>
      <w:pPr>
        <w:ind w:left="1480" w:right="259" w:firstLine="648"/>
        <w:spacing w:after="0" w:line="258" w:lineRule="auto"/>
        <w:tabs>
          <w:tab w:leader="none" w:pos="278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given the highest rating by either S&amp;P or Moody’s maturing not more than 270 days from the date of creation thereof;</w:t>
      </w:r>
    </w:p>
    <w:p>
      <w:pPr>
        <w:spacing w:after="0" w:line="158" w:lineRule="exact"/>
        <w:rPr>
          <w:rFonts w:ascii="Times New Roman" w:cs="Times New Roman" w:eastAsia="Times New Roman" w:hAnsi="Times New Roman"/>
          <w:sz w:val="22"/>
          <w:szCs w:val="22"/>
          <w:color w:val="auto"/>
        </w:rPr>
      </w:pPr>
    </w:p>
    <w:p>
      <w:pPr>
        <w:ind w:left="1480" w:right="199" w:firstLine="648"/>
        <w:spacing w:after="0" w:line="244" w:lineRule="auto"/>
        <w:tabs>
          <w:tab w:leader="none" w:pos="278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 funds registered with the Securities and Exchange Commission under the Investment Company Act of 1940 that hold themselves out as “money market funds;”</w:t>
      </w:r>
    </w:p>
    <w:p>
      <w:pPr>
        <w:spacing w:after="0" w:line="173" w:lineRule="exact"/>
        <w:rPr>
          <w:rFonts w:ascii="Times New Roman" w:cs="Times New Roman" w:eastAsia="Times New Roman" w:hAnsi="Times New Roman"/>
          <w:sz w:val="22"/>
          <w:szCs w:val="22"/>
          <w:color w:val="auto"/>
        </w:rPr>
      </w:pPr>
    </w:p>
    <w:p>
      <w:pPr>
        <w:ind w:left="1480" w:right="459" w:firstLine="648"/>
        <w:spacing w:after="0" w:line="258" w:lineRule="auto"/>
        <w:tabs>
          <w:tab w:leader="none" w:pos="278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credit extended on usual and customary terms in the ordinary course of business;</w:t>
      </w:r>
    </w:p>
    <w:p>
      <w:pPr>
        <w:spacing w:after="0" w:line="158" w:lineRule="exact"/>
        <w:rPr>
          <w:rFonts w:ascii="Times New Roman" w:cs="Times New Roman" w:eastAsia="Times New Roman" w:hAnsi="Times New Roman"/>
          <w:sz w:val="22"/>
          <w:szCs w:val="22"/>
          <w:color w:val="auto"/>
        </w:rPr>
      </w:pPr>
    </w:p>
    <w:p>
      <w:pPr>
        <w:ind w:left="1480" w:right="239" w:firstLine="648"/>
        <w:spacing w:after="0" w:line="258" w:lineRule="auto"/>
        <w:tabs>
          <w:tab w:leader="none" w:pos="27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employees to meet expenses incurred by such employees in the ordinary course of business;</w:t>
      </w:r>
    </w:p>
    <w:p>
      <w:pPr>
        <w:spacing w:after="0" w:line="158"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and</w:t>
      </w:r>
    </w:p>
    <w:p>
      <w:pPr>
        <w:spacing w:after="0" w:line="206" w:lineRule="exact"/>
        <w:rPr>
          <w:rFonts w:ascii="Times New Roman" w:cs="Times New Roman" w:eastAsia="Times New Roman" w:hAnsi="Times New Roman"/>
          <w:sz w:val="22"/>
          <w:szCs w:val="22"/>
          <w:color w:val="auto"/>
        </w:rPr>
      </w:pPr>
    </w:p>
    <w:p>
      <w:pPr>
        <w:ind w:left="1480" w:right="239" w:firstLine="648"/>
        <w:spacing w:after="0" w:line="258" w:lineRule="auto"/>
        <w:tabs>
          <w:tab w:leader="none" w:pos="278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loans, advances and investments not exceeding in the aggregate $2,000,000 at any one time outstanding.</w:t>
      </w:r>
    </w:p>
    <w:p>
      <w:pPr>
        <w:spacing w:after="0" w:line="158" w:lineRule="exact"/>
        <w:rPr>
          <w:rFonts w:ascii="Times New Roman" w:cs="Times New Roman" w:eastAsia="Times New Roman" w:hAnsi="Times New Roman"/>
          <w:sz w:val="22"/>
          <w:szCs w:val="22"/>
          <w:color w:val="auto"/>
        </w:rPr>
      </w:pPr>
    </w:p>
    <w:p>
      <w:pPr>
        <w:ind w:left="1480" w:right="219" w:firstLine="648"/>
        <w:spacing w:after="0" w:line="236" w:lineRule="auto"/>
        <w:tabs>
          <w:tab w:leader="none" w:pos="27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tax exempt obligations of any state of the United States of America, or any municipality of any such State, in each case rated “Aa2” or higher by Moody’s or “AA” or higher by S&amp;P or an equivalent credit rating by another credit rating agency of recognized national standing, provided that such obligations mature or can be tendered by the holder within 365 days from the date of acquisition thereof; and</w:t>
      </w:r>
    </w:p>
    <w:p>
      <w:pPr>
        <w:spacing w:after="0" w:line="181" w:lineRule="exact"/>
        <w:rPr>
          <w:rFonts w:ascii="Times New Roman" w:cs="Times New Roman" w:eastAsia="Times New Roman" w:hAnsi="Times New Roman"/>
          <w:sz w:val="22"/>
          <w:szCs w:val="22"/>
          <w:color w:val="auto"/>
        </w:rPr>
      </w:pPr>
    </w:p>
    <w:p>
      <w:pPr>
        <w:ind w:left="2820" w:hanging="692"/>
        <w:spacing w:after="0"/>
        <w:tabs>
          <w:tab w:leader="none" w:pos="2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repurchase agreements.</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 individual, partnership, corporation, business trust, joint stock company, limited liability company, trust, unincorporated association, joint venture, Governmental Authority or other entity of whatever nature.</w:t>
      </w:r>
    </w:p>
    <w:p>
      <w:pPr>
        <w:spacing w:after="0" w:line="17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at a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Debt Domain, Intralinks, Syndtrak or a substantially similar electronic</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transmission.</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PNC Bank, National Association, a national banking association.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6" w:name="page77"/>
    <w:bookmarkEnd w:id="76"/>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rate of interest per annum announced from time to time by Agent as its prime rate in effect at its principal office in Philadelphia, Pennsylvania, which rate may not be the lowest or most favorable rate then being charged to commercial borrowers or others by the Agent and may not be tied to any external rate of interest or index; each change in the Prime Rate shall be effective on the date such change is announced as effective.</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any interest in any kind of property or asset, whether real, personal or mixed, and whether tangible or intangible.</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Regulation U of the Board of Governors of the Federal Reserve System as from time to time in effect, and all official rulings and interpretations thereunder or thereof.</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Regulation X of the Board of Governors of the Federal Reserve System as from time to time in effect, and all official rulings and interpretations thereunder or thereof.</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with respect to any Person, such Person’s Affiliates and the partners, directors, officers, employees, agents and advisors of such Person and of such Person’s Affiliates.</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with respect to any Multiemployer Plan, the condition that such plan is in reorganization within the meaning of Section 4241 of ERISA.</w:t>
      </w:r>
    </w:p>
    <w:p>
      <w:pPr>
        <w:spacing w:after="0" w:line="158" w:lineRule="exact"/>
        <w:rPr>
          <w:sz w:val="20"/>
          <w:szCs w:val="20"/>
          <w:color w:val="auto"/>
        </w:rPr>
      </w:pPr>
    </w:p>
    <w:p>
      <w:pPr>
        <w:jc w:val="both"/>
        <w:ind w:left="180" w:right="199"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Compliance Event</w:t>
      </w:r>
      <w:r>
        <w:rPr>
          <w:rFonts w:ascii="Times New Roman" w:cs="Times New Roman" w:eastAsia="Times New Roman" w:hAnsi="Times New Roman"/>
          <w:sz w:val="21"/>
          <w:szCs w:val="21"/>
          <w:color w:val="auto"/>
        </w:rPr>
        <w:t>”: any event or occurrence where a Covered Entity becomes a Sanctioned Person, or is charged by indictment, criminal complaint or similar charging instrument, arraigned, or custodially detained in connection with any Anti-Terrorism Law or Anti-Corruption Law or any predicate crime to any Anti-Terrorism Law or Anti-Corruption Law, or has knowledge of facts or circumstances to the effect that it is reasonably likely that any aspect of its operations is in actual or probable violation of any Anti-Terrorism Law or Anti-Corruption Law.</w:t>
      </w:r>
    </w:p>
    <w:p>
      <w:pPr>
        <w:spacing w:after="0" w:line="17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any of the events set forth in Section 4043(b) of ERISA, except to the extent that notice thereof has been waived by the PBGC.</w:t>
      </w:r>
    </w:p>
    <w:p>
      <w:pPr>
        <w:spacing w:after="0" w:line="158" w:lineRule="exact"/>
        <w:rPr>
          <w:sz w:val="20"/>
          <w:szCs w:val="20"/>
          <w:color w:val="auto"/>
        </w:rPr>
      </w:pPr>
    </w:p>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Banks</w:t>
      </w:r>
      <w:r>
        <w:rPr>
          <w:rFonts w:ascii="Times New Roman" w:cs="Times New Roman" w:eastAsia="Times New Roman" w:hAnsi="Times New Roman"/>
          <w:sz w:val="21"/>
          <w:szCs w:val="21"/>
          <w:color w:val="auto"/>
        </w:rPr>
        <w:t>”: at any time, (a) Banks the Exposures of which aggregate at least 51% of the Total Exposure at such time of the Banks, or (b) if there are no Loans outstanding, Banks whose Commitments aggregate at least 51% of the Total Commitment at such time.</w:t>
      </w:r>
    </w:p>
    <w:p>
      <w:pPr>
        <w:spacing w:after="0" w:line="123" w:lineRule="exact"/>
        <w:rPr>
          <w:sz w:val="20"/>
          <w:szCs w:val="20"/>
          <w:color w:val="auto"/>
        </w:rPr>
      </w:pPr>
    </w:p>
    <w:p>
      <w:pPr>
        <w:jc w:val="both"/>
        <w:ind w:left="180" w:right="199" w:firstLine="1296"/>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as to any Person, the Certificate of Incorporation,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Operating Agreement or other organizational or governing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an EEA Resolution Authority or, with respect to any UK Financial Institution, a UK Resolution Authority.</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as to the Borrower, any officer of the Borrower.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7" w:name="page78"/>
    <w:bookmarkEnd w:id="77"/>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the revolving loans made by the Banks to the Borrower pursuant to Section 2.1(a). Each Loan shall be a Term SOFR Rate Loan or a Base Rate Loan.</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xml:space="preserve">”: a promissory note of the Borrower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as the same may be amended, supplemented or otherwise modified from time to time.</w:t>
      </w:r>
    </w:p>
    <w:p>
      <w:pPr>
        <w:spacing w:after="0" w:line="158"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at any time, any country, area, territory, or jurisdiction that is the subject or target of comprehensive U.S. sanctions, which countries, territories, and regions include, as of the Sixth Amendment Effective Date, the Crimea region of Ukraine, Cuba, Iran, North Korea, Syria, and the separatist-controlled portions of the Donetsk and Luhansk regions of Ukraine.</w:t>
      </w:r>
    </w:p>
    <w:p>
      <w:pPr>
        <w:spacing w:after="0" w:line="177"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at any time,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S&amp;P Global Ratings, a business unit of Standard &amp; Poor’s Financial Services, LLC, or any successor thereto.</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“security” as defined in Section 2(1) of the Securities Act of 1933, as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amended.</w:t>
      </w:r>
    </w:p>
    <w:p>
      <w:pPr>
        <w:spacing w:after="0" w:line="18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Single Employer Plan</w:t>
      </w:r>
      <w:r>
        <w:rPr>
          <w:rFonts w:ascii="Times New Roman" w:cs="Times New Roman" w:eastAsia="Times New Roman" w:hAnsi="Times New Roman"/>
          <w:sz w:val="22"/>
          <w:szCs w:val="22"/>
          <w:color w:val="auto"/>
        </w:rPr>
        <w:t>”: any Plan which is covered by Title IV of ERISA, but which is not a Multiemployer Plan.</w:t>
      </w:r>
    </w:p>
    <w:p>
      <w:pPr>
        <w:spacing w:after="0" w:line="158" w:lineRule="exact"/>
        <w:rPr>
          <w:sz w:val="20"/>
          <w:szCs w:val="20"/>
          <w:color w:val="auto"/>
        </w:rPr>
      </w:pPr>
    </w:p>
    <w:p>
      <w:pPr>
        <w:jc w:val="both"/>
        <w:ind w:left="180" w:right="19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the Sixth Amendment to Credit Agreement by and among the Borrower, the Banks party thereto and the Agent, dated as of the Sixth Amendment Effective Date.</w:t>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Sixth Amendment Effective Date</w:t>
      </w:r>
      <w:r>
        <w:rPr>
          <w:rFonts w:ascii="Times New Roman" w:cs="Times New Roman" w:eastAsia="Times New Roman" w:hAnsi="Times New Roman"/>
          <w:sz w:val="22"/>
          <w:szCs w:val="22"/>
          <w:color w:val="auto"/>
        </w:rPr>
        <w:t>” means June 30, 2022.</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for any day, a rate equal to the secured overnight financing rate as administered by the Federal Reserve Bank of New York (or a successor administrator of the secured overnight financing rate).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ten (10) basis points (0.10%).</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a rate of interest per annum equal to zero basis points (0.00%).</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as to any Person, as of the time of determination, the financial condition under which the following conditions are satisfied:</w:t>
      </w:r>
    </w:p>
    <w:p>
      <w:pPr>
        <w:spacing w:after="0" w:line="158" w:lineRule="exact"/>
        <w:rPr>
          <w:sz w:val="20"/>
          <w:szCs w:val="20"/>
          <w:color w:val="auto"/>
        </w:rPr>
      </w:pPr>
    </w:p>
    <w:p>
      <w:pPr>
        <w:jc w:val="both"/>
        <w:ind w:left="1480" w:right="659" w:firstLine="648"/>
        <w:spacing w:after="0" w:line="282" w:lineRule="auto"/>
        <w:tabs>
          <w:tab w:leader="none" w:pos="277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assets of such Person will exceed the debts and liabilities, subordinated, contingent or otherwise, of such Person; and</w:t>
      </w:r>
    </w:p>
    <w:p>
      <w:pPr>
        <w:spacing w:after="0" w:line="134" w:lineRule="exact"/>
        <w:rPr>
          <w:rFonts w:ascii="Times New Roman" w:cs="Times New Roman" w:eastAsia="Times New Roman" w:hAnsi="Times New Roman"/>
          <w:sz w:val="21"/>
          <w:szCs w:val="21"/>
          <w:color w:val="auto"/>
        </w:rPr>
      </w:pPr>
    </w:p>
    <w:p>
      <w:pPr>
        <w:ind w:left="1480" w:right="339" w:firstLine="648"/>
        <w:spacing w:after="0" w:line="258" w:lineRule="auto"/>
        <w:tabs>
          <w:tab w:leader="none" w:pos="278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saleable value of the Property of such Person will be greater than the amount that will be required to pay the probable liability 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8" w:name="page79"/>
    <w:bookmarkEnd w:id="78"/>
    <w:p>
      <w:pPr>
        <w:ind w:left="1480" w:right="319"/>
        <w:spacing w:after="0" w:line="258" w:lineRule="auto"/>
        <w:rPr>
          <w:sz w:val="20"/>
          <w:szCs w:val="20"/>
          <w:color w:val="auto"/>
        </w:rPr>
      </w:pPr>
      <w:r>
        <w:rPr>
          <w:rFonts w:ascii="Times New Roman" w:cs="Times New Roman" w:eastAsia="Times New Roman" w:hAnsi="Times New Roman"/>
          <w:sz w:val="22"/>
          <w:szCs w:val="22"/>
          <w:color w:val="auto"/>
        </w:rPr>
        <w:t>such Person on its debts and other liabilities, subordinated, contingent or otherwise, as such debts and other liabilities become absolute and matured; and</w:t>
      </w:r>
    </w:p>
    <w:p>
      <w:pPr>
        <w:spacing w:after="0" w:line="158" w:lineRule="exact"/>
        <w:rPr>
          <w:sz w:val="20"/>
          <w:szCs w:val="20"/>
          <w:color w:val="auto"/>
        </w:rPr>
      </w:pPr>
    </w:p>
    <w:p>
      <w:pPr>
        <w:jc w:val="both"/>
        <w:ind w:left="1480" w:right="279" w:firstLine="648"/>
        <w:spacing w:after="0" w:line="244" w:lineRule="auto"/>
        <w:tabs>
          <w:tab w:leader="none" w:pos="277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will be able to pay its debts and liabilities, subordinated, contingent or otherwise, as such debts and liabilities become absolute and matured; and</w:t>
      </w:r>
    </w:p>
    <w:p>
      <w:pPr>
        <w:spacing w:after="0" w:line="173" w:lineRule="exact"/>
        <w:rPr>
          <w:rFonts w:ascii="Times New Roman" w:cs="Times New Roman" w:eastAsia="Times New Roman" w:hAnsi="Times New Roman"/>
          <w:sz w:val="22"/>
          <w:szCs w:val="22"/>
          <w:color w:val="auto"/>
        </w:rPr>
      </w:pPr>
    </w:p>
    <w:p>
      <w:pPr>
        <w:ind w:left="1480" w:right="279" w:firstLine="648"/>
        <w:spacing w:after="0" w:line="244" w:lineRule="auto"/>
        <w:tabs>
          <w:tab w:leader="none" w:pos="278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will not have unreasonably small capital with which to conduct the businesses in which it is engaged as such businesses are then conducted and are proposed to be conducted after the date thereof.</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as to any Person, (i) any corporation, limited liability company, company or trust of which 50% or more (by number of shares or number of votes) of the outstanding capital stock, interests, shares or similar items of beneficial interest normally entitled to vote for the election of one or more directors, managers or trustees (regardless of any contingency which does or may suspend or dilute the voting rights) is at such time owned directly or indirectly by such person or one or more of such Person’s Subsidiaries, or any partnership of which such Person is a general partner or of which 50% or more of the partnership interests is at the time directly or indirectly owned by such Person or one or more of such Person’s Subsidiaries, and</w:t>
      </w:r>
    </w:p>
    <w:p>
      <w:pPr>
        <w:spacing w:after="0" w:line="4" w:lineRule="exact"/>
        <w:rPr>
          <w:sz w:val="20"/>
          <w:szCs w:val="20"/>
          <w:color w:val="auto"/>
        </w:rPr>
      </w:pPr>
    </w:p>
    <w:p>
      <w:pPr>
        <w:jc w:val="both"/>
        <w:ind w:left="180" w:right="199" w:firstLine="4"/>
        <w:spacing w:after="0" w:line="234" w:lineRule="auto"/>
        <w:tabs>
          <w:tab w:leader="none" w:pos="5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company, trust, partnership or other entity which is controlled or capable of being controlled by such Person or one or more of such Person’s subsidiaries. Unless otherwise indicated, all references to a “Subsidiary” or to “Subsidiaries” in this Agreement shall refer to a Subsidiary of the Borrower.</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means the Sixty-Second Supplemental Indenture to the Indenture dated as of July 27, 2023.</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Bank</w:t>
      </w:r>
      <w:r>
        <w:rPr>
          <w:rFonts w:ascii="Times New Roman" w:cs="Times New Roman" w:eastAsia="Times New Roman" w:hAnsi="Times New Roman"/>
          <w:sz w:val="22"/>
          <w:szCs w:val="22"/>
          <w:color w:val="auto"/>
        </w:rPr>
        <w:t>”: PNC Bank, National Association, or any other Bank to which the Swing Line Commitment is assigned pursuant to the terms of Section 9.6.</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Collateral Account</w:t>
      </w:r>
      <w:r>
        <w:rPr>
          <w:rFonts w:ascii="Times New Roman" w:cs="Times New Roman" w:eastAsia="Times New Roman" w:hAnsi="Times New Roman"/>
          <w:sz w:val="22"/>
          <w:szCs w:val="22"/>
          <w:color w:val="auto"/>
        </w:rPr>
        <w:t>”: as defined in Section 2.17(b)(ii).</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Commitment</w:t>
      </w:r>
      <w:r>
        <w:rPr>
          <w:rFonts w:ascii="Times New Roman" w:cs="Times New Roman" w:eastAsia="Times New Roman" w:hAnsi="Times New Roman"/>
          <w:sz w:val="22"/>
          <w:szCs w:val="22"/>
          <w:color w:val="auto"/>
        </w:rPr>
        <w:t xml:space="preserve">”: the amount set forth opposite the Swing Line Bank’s name under the heading “Swing Line Commitment”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as such amount may be reduced pursuant to Section 2.2(f).</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Loans</w:t>
      </w:r>
      <w:r>
        <w:rPr>
          <w:rFonts w:ascii="Times New Roman" w:cs="Times New Roman" w:eastAsia="Times New Roman" w:hAnsi="Times New Roman"/>
          <w:sz w:val="22"/>
          <w:szCs w:val="22"/>
          <w:color w:val="auto"/>
        </w:rPr>
        <w:t>”: as defined in Section 2.2(a).</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Note</w:t>
      </w:r>
      <w:r>
        <w:rPr>
          <w:rFonts w:ascii="Times New Roman" w:cs="Times New Roman" w:eastAsia="Times New Roman" w:hAnsi="Times New Roman"/>
          <w:sz w:val="22"/>
          <w:szCs w:val="22"/>
          <w:color w:val="auto"/>
        </w:rPr>
        <w:t>”: as defined in Section 2.2(c), as the same may be amended, supplemented or otherwise modified from time to time.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Repayment Date</w:t>
      </w:r>
      <w:r>
        <w:rPr>
          <w:rFonts w:ascii="Times New Roman" w:cs="Times New Roman" w:eastAsia="Times New Roman" w:hAnsi="Times New Roman"/>
          <w:sz w:val="22"/>
          <w:szCs w:val="22"/>
          <w:color w:val="auto"/>
        </w:rPr>
        <w:t>”: as defined in Section 2.2(b).</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as defined in subsection 2.12(a).</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Facilities</w:t>
      </w:r>
      <w:r>
        <w:rPr>
          <w:rFonts w:ascii="Times New Roman" w:cs="Times New Roman" w:eastAsia="Times New Roman" w:hAnsi="Times New Roman"/>
          <w:sz w:val="22"/>
          <w:szCs w:val="22"/>
          <w:color w:val="auto"/>
        </w:rPr>
        <w:t>”: means collectively: (i) the term loan facility evidenced by that certain Term Loan Agreement, dated as of September 29, 2014, by and among the Borrower, the lenders party thereto, and Agent; and (ii) the term loan facility evidenced by that certain Term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9" w:name="page80"/>
    <w:bookmarkEnd w:id="79"/>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Loan Agreement, dated as of May 6, 2015, by and among the Borrower, the lenders party thereto, and Agent.</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CME Group Benchmark Administration Limited (CBA) (or a successor administrator of the Term SOFR Reference Rate selected by the Agent in its reasonable discretion).</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with respect to any amount to which the Term SOFR Rate Option applies, for any Interest Period, the interest rate per annum determined by the Agent (rounded upwards, at the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21"/>
          <w:szCs w:val="21"/>
          <w:u w:val="single" w:color="auto"/>
          <w:color w:val="auto"/>
        </w:rPr>
        <w:t>Term SOFR Determination Date</w:t>
      </w:r>
      <w:r>
        <w:rPr>
          <w:rFonts w:ascii="Times New Roman" w:cs="Times New Roman" w:eastAsia="Times New Roman" w:hAnsi="Times New Roman"/>
          <w:sz w:val="21"/>
          <w:szCs w:val="21"/>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 Borrowing</w:t>
      </w:r>
      <w:r>
        <w:rPr>
          <w:rFonts w:ascii="Times New Roman" w:cs="Times New Roman" w:eastAsia="Times New Roman" w:hAnsi="Times New Roman"/>
          <w:sz w:val="21"/>
          <w:szCs w:val="21"/>
          <w:color w:val="auto"/>
        </w:rPr>
        <w:t>”: a Borrowing comprised of Term SOFR Rate Loans.</w:t>
      </w:r>
    </w:p>
    <w:p>
      <w:pPr>
        <w:spacing w:after="0" w:line="21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Loan</w:t>
      </w:r>
      <w:r>
        <w:rPr>
          <w:rFonts w:ascii="Times New Roman" w:cs="Times New Roman" w:eastAsia="Times New Roman" w:hAnsi="Times New Roman"/>
          <w:sz w:val="22"/>
          <w:szCs w:val="22"/>
          <w:color w:val="auto"/>
        </w:rPr>
        <w:t>”: a Revolving Credit Loan that bears interest based on the Term SOFR Rate.</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Option</w:t>
      </w:r>
      <w:r>
        <w:rPr>
          <w:rFonts w:ascii="Times New Roman" w:cs="Times New Roman" w:eastAsia="Times New Roman" w:hAnsi="Times New Roman"/>
          <w:sz w:val="22"/>
          <w:szCs w:val="22"/>
          <w:color w:val="auto"/>
        </w:rPr>
        <w:t xml:space="preserve">”: the option of the Borrower to have Revolving Credit Loans bear interest at the rate and under the terms specified in </w:t>
      </w:r>
      <w:r>
        <w:rPr>
          <w:rFonts w:ascii="Times New Roman" w:cs="Times New Roman" w:eastAsia="Times New Roman" w:hAnsi="Times New Roman"/>
          <w:sz w:val="22"/>
          <w:szCs w:val="22"/>
          <w:u w:val="single" w:color="auto"/>
          <w:color w:val="auto"/>
        </w:rPr>
        <w:t>Section 2.6(b).</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the forward-looking term rate based on SOFR.</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the earlier of (a) June 10, 2025 or any later date to which the Termination Date shall have been extended pursuant to subsection 2.8(d) hereof and (b) the date the Commitments are terminated as provided herein.</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Commitment</w:t>
      </w:r>
      <w:r>
        <w:rPr>
          <w:rFonts w:ascii="Times New Roman" w:cs="Times New Roman" w:eastAsia="Times New Roman" w:hAnsi="Times New Roman"/>
          <w:sz w:val="22"/>
          <w:szCs w:val="22"/>
          <w:color w:val="auto"/>
        </w:rPr>
        <w:t>”: at any time, the aggregate amount of the Banks’ Commitments, as in effect at such time.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Exposure</w:t>
      </w:r>
      <w:r>
        <w:rPr>
          <w:rFonts w:ascii="Times New Roman" w:cs="Times New Roman" w:eastAsia="Times New Roman" w:hAnsi="Times New Roman"/>
          <w:sz w:val="22"/>
          <w:szCs w:val="22"/>
          <w:color w:val="auto"/>
        </w:rPr>
        <w:t>”:  at any time, the aggregate amount of the Banks’ Exposures at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such time.</w:t>
      </w:r>
    </w:p>
    <w:p>
      <w:pPr>
        <w:spacing w:after="0" w:line="182"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the collective reference to Term SOFR Rate Loans whose Interest Periods begin on the same date and end on the same later date (whether or not such Loans originally were made on the same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0" w:name="page81"/>
    <w:bookmarkEnd w:id="80"/>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respect of any Revolving Credit Loan or Borrowing of Revolving Credit Loans, shall refer to the Rate by reference to which interest on such Revolving Credit Loan or on the Revolving Credit Loans comprising such Borrowing is determined. For purposes hereof, “Rate” shall include the Term SOFR Rate and the Base Rate.</w:t>
      </w:r>
    </w:p>
    <w:p>
      <w:pPr>
        <w:spacing w:after="0" w:line="180"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7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46" w:lineRule="exact"/>
        <w:rPr>
          <w:sz w:val="20"/>
          <w:szCs w:val="20"/>
          <w:color w:val="auto"/>
        </w:rPr>
      </w:pPr>
    </w:p>
    <w:p>
      <w:pPr>
        <w:jc w:val="both"/>
        <w:ind w:left="180" w:right="199" w:firstLine="1296"/>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Owned Subsidiary</w:t>
      </w:r>
      <w:r>
        <w:rPr>
          <w:rFonts w:ascii="Times New Roman" w:cs="Times New Roman" w:eastAsia="Times New Roman" w:hAnsi="Times New Roman"/>
          <w:sz w:val="22"/>
          <w:szCs w:val="22"/>
          <w:color w:val="auto"/>
        </w:rPr>
        <w:t>”: at any time, any Subsidiary one hundred percent (100%) of all of the equity Securities (except directors’ qualifying shares) and voting Securities of which are owned by any one or more of the Borrower at such time.</w:t>
      </w:r>
    </w:p>
    <w:p>
      <w:pPr>
        <w:spacing w:after="0" w:line="177" w:lineRule="exact"/>
        <w:rPr>
          <w:sz w:val="20"/>
          <w:szCs w:val="20"/>
          <w:color w:val="auto"/>
        </w:rPr>
      </w:pPr>
    </w:p>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180" w:right="6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Other Definitional Provisions</w:t>
      </w:r>
      <w:r>
        <w:rPr>
          <w:rFonts w:ascii="Times New Roman" w:cs="Times New Roman" w:eastAsia="Times New Roman" w:hAnsi="Times New Roman"/>
          <w:sz w:val="22"/>
          <w:szCs w:val="22"/>
          <w:color w:val="auto"/>
        </w:rPr>
        <w:t>. (a) Unless otherwise specified therein, all terms defined in this Agreement shall have the defined meanings when used in the Notes or any certificate or other document made or delivered pursuant hereto.</w:t>
      </w:r>
    </w:p>
    <w:p>
      <w:pPr>
        <w:spacing w:after="0" w:line="173" w:lineRule="exact"/>
        <w:rPr>
          <w:sz w:val="20"/>
          <w:szCs w:val="20"/>
          <w:color w:val="auto"/>
        </w:rPr>
      </w:pPr>
    </w:p>
    <w:p>
      <w:pPr>
        <w:ind w:left="180" w:right="479" w:firstLine="1948"/>
        <w:spacing w:after="0" w:line="239" w:lineRule="auto"/>
        <w:tabs>
          <w:tab w:leader="none" w:pos="256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1" w:name="page82"/>
    <w:bookmarkEnd w:id="81"/>
    <w:p>
      <w:pPr>
        <w:ind w:left="180" w:right="23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(a) Unless the context of this Agreement otherwise clearly requires, references to the plural include the singular, the singular the plural and the part the whole, “or” has the inclusive meaning represented by the phrase “and/or,” and “including” has the meaning represented by the phrase “including without limitation.” References in this Agreement to “determination” of or by the Agent or the Banks shall be deemed to include good faith estimates by the Agent or the Banks (in the case of quantitative determinations) and good faith beliefs by the Agent or the Banks (in the case of qualitative determinations). Whenever the Agent or the Banks are granted the right herein to act in their sole discretion or to grant or withhold consent such right shall be exercised in good faith, except as otherwise provided herein. Except as otherwise expressly provided, all references herein to the “knowledge of” or “best knowledge of” the Borrower shall be deemed to refer to the knowledge of a Responsible Officer thereof. The words “hereof,” “herein,” “hereunder”, “hereby” and similar terms in this Agreement refer to this Agreement as a whole and not to any particular provision of this Agreement. The section and other headings contained in this Agreement and the Table of Contents preceding this Agreement are for reference purposes only and shall not control or affect the construction of this Agreement or the interpretation thereof in any respect. Section, subsection, schedule and exhibit references are to this Agreement unless otherwise specified.</w:t>
      </w:r>
    </w:p>
    <w:p>
      <w:pPr>
        <w:spacing w:after="0" w:line="190" w:lineRule="exact"/>
        <w:rPr>
          <w:sz w:val="20"/>
          <w:szCs w:val="20"/>
          <w:color w:val="auto"/>
        </w:rPr>
      </w:pPr>
    </w:p>
    <w:p>
      <w:pPr>
        <w:ind w:left="180" w:right="219" w:firstLine="1944"/>
        <w:spacing w:after="0" w:line="233" w:lineRule="auto"/>
        <w:rPr>
          <w:sz w:val="20"/>
          <w:szCs w:val="20"/>
          <w:color w:val="auto"/>
        </w:rPr>
      </w:pPr>
      <w:r>
        <w:rPr>
          <w:rFonts w:ascii="Times New Roman" w:cs="Times New Roman" w:eastAsia="Times New Roman" w:hAnsi="Times New Roman"/>
          <w:sz w:val="22"/>
          <w:szCs w:val="22"/>
          <w:color w:val="auto"/>
        </w:rPr>
        <w:t>(b)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As used herein and in the Notes, and any certificate or other document made or delivered pursuant hereto, accounting terms relating to the Borrower and any Subsidiary thereof not defined in subsection 1.1 and accounting terms partly defined in subsection 1.1, to the extent not defined, shall have the respective meanings given to them under GAAP. In the event that any future change in GAAP, without more, materially affects the Borrower’s compliance with any financial covenant herein, the Borrower, the Banks and the Agent shall use their best efforts to modify such covenant in order to account for such change and to secure for the Banks the intended benefits of such covenant.</w:t>
      </w:r>
    </w:p>
    <w:p>
      <w:pPr>
        <w:spacing w:after="0" w:line="187" w:lineRule="exact"/>
        <w:rPr>
          <w:sz w:val="20"/>
          <w:szCs w:val="20"/>
          <w:color w:val="auto"/>
        </w:rPr>
      </w:pPr>
    </w:p>
    <w:p>
      <w:pPr>
        <w:ind w:left="18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Benchmark Replacement Notification; Conforming Changes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of this Agreement provides a mechanism for determining an alternative rate of interest in the event that any Benchmark is no longer available or in certain other circumstances. The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Agent may select information sources or services in its reasonable discretion to ascertain any Benchmark, any component definition thereof or rates referred to in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2" w:name="page83"/>
    <w:bookmarkEnd w:id="82"/>
    <w:p>
      <w:pPr>
        <w:ind w:left="180" w:right="239"/>
        <w:spacing w:after="0" w:line="251" w:lineRule="auto"/>
        <w:rPr>
          <w:sz w:val="20"/>
          <w:szCs w:val="20"/>
          <w:color w:val="auto"/>
        </w:rPr>
      </w:pPr>
      <w:r>
        <w:rPr>
          <w:rFonts w:ascii="Times New Roman" w:cs="Times New Roman" w:eastAsia="Times New Roman" w:hAnsi="Times New Roman"/>
          <w:sz w:val="21"/>
          <w:szCs w:val="21"/>
          <w:color w:val="auto"/>
        </w:rPr>
        <w:t>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8"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2. THE CREDITS</w:t>
      </w:r>
    </w:p>
    <w:p>
      <w:pPr>
        <w:spacing w:after="0" w:line="206" w:lineRule="exact"/>
        <w:rPr>
          <w:sz w:val="20"/>
          <w:szCs w:val="20"/>
          <w:color w:val="auto"/>
        </w:rPr>
      </w:pPr>
    </w:p>
    <w:p>
      <w:pPr>
        <w:ind w:left="180" w:right="239" w:firstLine="648"/>
        <w:spacing w:after="0" w:line="23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(a) Subject to the terms and conditions and relying upon the representations and warranties herein set forth, each Bank, severally and not jointly, agrees to make Revolving Credit Loans to the Borrower, at any time or from time to time on or after the date hereof and until the Termination Date or until the Commitment of such Bank shall have been terminated in accordance with the terms hereof, in an aggregate principal amount at any time outstanding which, when added to such Bank’s Commitment Percentage of the principal amount of Swing Line Loans then outstanding does not exceed such Bank’s Commitment subject, however, to the conditions that (i) at no time shall (x) the sum of the outstanding aggregate principal amount of all Loans made by all Banks exceed (y) the Total Commitment and (ii) at all times the outstanding aggregate principal amount of all Revolving Credit Loans required to be made by each Bank shall equal the product of (x) its Commitment Percentage times (y) the outstanding aggregate principal amount of all Revolving Credit Loans required to be made pursuant to subsection 2.1 at such time. Such Commitments may be terminated or reduced from time to time pursuant to Section 2.8. Within the foregoing limits, the Borrower may borrow, repay and reborrow under the Commitment on or after the date hereof and prior to the Termination Date, subject to the terms, provisions and limitations set forth herein.</w:t>
      </w:r>
    </w:p>
    <w:p>
      <w:pPr>
        <w:spacing w:after="0" w:line="191" w:lineRule="exact"/>
        <w:rPr>
          <w:sz w:val="20"/>
          <w:szCs w:val="20"/>
          <w:color w:val="auto"/>
        </w:rPr>
      </w:pPr>
    </w:p>
    <w:p>
      <w:pPr>
        <w:ind w:left="180" w:right="219" w:firstLine="1944"/>
        <w:spacing w:after="0" w:line="233" w:lineRule="auto"/>
        <w:rPr>
          <w:sz w:val="20"/>
          <w:szCs w:val="20"/>
          <w:color w:val="auto"/>
        </w:rPr>
      </w:pPr>
      <w:r>
        <w:rPr>
          <w:rFonts w:ascii="Times New Roman" w:cs="Times New Roman" w:eastAsia="Times New Roman" w:hAnsi="Times New Roman"/>
          <w:sz w:val="22"/>
          <w:szCs w:val="22"/>
          <w:color w:val="auto"/>
        </w:rPr>
        <w:t xml:space="preserve">(b) Each Revolving Credit Loan shall be made as part of a Borrowing consisting of Revolving Credit Loans made by the Banks ratably in accordance with their Commitment Percentages;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Bank to make any Revolving Credit Loan shall not in itself relieve any other Bank of its obligation to lend hereunder (it being understood, however, that no Bank shall be responsible for the failure of any other Bank to make any Revolving Credit Loan required to be made by such other Bank). The Revolving Credit Loans comprising any Term SOFR Rate Borrowing shall be in a minimum aggregate principal amount of $500,000 or a whole multiple of $100,000 in excess thereof (or an aggregate principal amount equal to the remaining balance of the available Commitments) and the Revolving Credit Loans comprising any Base Rate Borrowing shall be in a minimum aggregate principal amount of $250,000 or a whole multiple of $50,000 in excess thereof (or an aggregate principal amount equal to the remaining balance of the available Commitments). Each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3" w:name="page84"/>
    <w:bookmarkEnd w:id="83"/>
    <w:p>
      <w:pPr>
        <w:ind w:left="180" w:right="539"/>
        <w:spacing w:after="0" w:line="258" w:lineRule="auto"/>
        <w:rPr>
          <w:sz w:val="20"/>
          <w:szCs w:val="20"/>
          <w:color w:val="auto"/>
        </w:rPr>
      </w:pPr>
      <w:r>
        <w:rPr>
          <w:rFonts w:ascii="Times New Roman" w:cs="Times New Roman" w:eastAsia="Times New Roman" w:hAnsi="Times New Roman"/>
          <w:sz w:val="22"/>
          <w:szCs w:val="22"/>
          <w:color w:val="auto"/>
        </w:rPr>
        <w:t>Borrowing of Revolving Credit Loans shall be comprised entirely of Term SOFR Rate Loans or Base Rate Loans, as the Borrower may request pursuant to Section 2.1.</w:t>
      </w:r>
    </w:p>
    <w:p>
      <w:pPr>
        <w:spacing w:after="0" w:line="158" w:lineRule="exact"/>
        <w:rPr>
          <w:sz w:val="20"/>
          <w:szCs w:val="20"/>
          <w:color w:val="auto"/>
        </w:rPr>
      </w:pPr>
    </w:p>
    <w:p>
      <w:pPr>
        <w:ind w:left="180" w:right="199" w:firstLine="1948"/>
        <w:spacing w:after="0" w:line="233" w:lineRule="auto"/>
        <w:tabs>
          <w:tab w:leader="none" w:pos="255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request a Borrowing, the Borrower shall hand deliver or telecopy (or notify by telephone and promptly confirm by hand delivery or telecopy) to the Agent the information requested by the form of Borrowing Request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 in the case of a Term SOFR Rate Borrowing, not later than 11:00 a.m., Philadelphia time, three Business Days before a proposed Borrowing and (ii) in the case of a Base Rate Borrowing, not later than 11:00 a.m., Philadelphia time, on the day of a proposed Borrowing. Such notice shall be irrevocable and shall in each case specify (x) whether the Borrowing then being requested is to be a Term SOFR Rate Borrowing or a Base Rate Borrowing; (y) the date of such Borrowing (which shall be a Business Day) and the amount thereof; and (z) if such Borrowing is to be a Term SOFR Rate Borrowing, the Interest Period with respect thereto. If no election as to the Type of Borrowing is specified in any such notice, then the requested Borrowing shall be a Base Rate Borrowing. If no Interest Period with respect to any Term SOFR Rate Borrowing is specified in any such notice, then the Borrower shall be deemed to have selected an Interest Period of one month’s duration. The Agent shall promptly advise the Banks of any notice given pursuant to this Section 2.1 and of each Bank’s portion of the requested Borrowing.</w:t>
      </w:r>
    </w:p>
    <w:p>
      <w:pPr>
        <w:spacing w:after="0" w:line="177" w:lineRule="exact"/>
        <w:rPr>
          <w:sz w:val="20"/>
          <w:szCs w:val="20"/>
          <w:color w:val="auto"/>
        </w:rPr>
      </w:pPr>
    </w:p>
    <w:p>
      <w:pPr>
        <w:ind w:left="18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 (a) Subject to the terms and conditions hereof, the Swing Line Bank may in its discretion make swing line loans (the “</w:t>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 xml:space="preserve">”) to the Borrower from time to time until the Termination Date or until the Swing Line Commitment is terminated in accordance with the terms hereof in the aggregate up to the amount of the Swing Line Commitment for periods requested by the Borrower and agreed to by the Swing Line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no Swing Line Loan shall be made if, after giving effect to the making of such Loan and the simultaneous application of the proceeds thereof, the Total Exposure would exceed the Total Commitment. Within the foregoing limits, the Borrower may borrow, repay and reborrow under the Swing Line Commitment, subject to and in accordance with the terms and limitations hereof.</w:t>
      </w:r>
    </w:p>
    <w:p>
      <w:pPr>
        <w:spacing w:after="0" w:line="175" w:lineRule="exact"/>
        <w:rPr>
          <w:sz w:val="20"/>
          <w:szCs w:val="20"/>
          <w:color w:val="auto"/>
        </w:rPr>
      </w:pPr>
    </w:p>
    <w:p>
      <w:pPr>
        <w:ind w:left="180" w:right="399" w:firstLine="1944"/>
        <w:spacing w:after="0" w:line="235" w:lineRule="auto"/>
        <w:rPr>
          <w:sz w:val="20"/>
          <w:szCs w:val="20"/>
          <w:color w:val="auto"/>
        </w:rPr>
      </w:pPr>
      <w:r>
        <w:rPr>
          <w:rFonts w:ascii="Times New Roman" w:cs="Times New Roman" w:eastAsia="Times New Roman" w:hAnsi="Times New Roman"/>
          <w:sz w:val="22"/>
          <w:szCs w:val="22"/>
          <w:color w:val="auto"/>
        </w:rPr>
        <w:t>(b) The Borrower may request a Swing Line Loan to be made on any Business Day. Each request for a Swing Line Loan shall be in writing (or by telephone promptly confirmed in writing) and delivered to the Swing Line Bank not later than 12:00 noon, Philadelphia time, on the Business Day such Swing Line Loan is to be made, specifying in each case (i) the amount to be borrowed, (ii) the requested borrowing date,</w:t>
      </w:r>
    </w:p>
    <w:p>
      <w:pPr>
        <w:ind w:left="560" w:hanging="376"/>
        <w:spacing w:after="0" w:line="230" w:lineRule="auto"/>
        <w:tabs>
          <w:tab w:leader="none" w:pos="5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interest rate applicable to such Swing Line Loan is to be: (A) the Base Rate or</w:t>
      </w:r>
    </w:p>
    <w:p>
      <w:pPr>
        <w:spacing w:after="0" w:line="1" w:lineRule="exact"/>
        <w:rPr>
          <w:rFonts w:ascii="Times New Roman" w:cs="Times New Roman" w:eastAsia="Times New Roman" w:hAnsi="Times New Roman"/>
          <w:sz w:val="22"/>
          <w:szCs w:val="22"/>
          <w:color w:val="auto"/>
        </w:rPr>
      </w:pPr>
    </w:p>
    <w:p>
      <w:pPr>
        <w:ind w:left="180" w:right="43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an interest rate mutually agreed upon by the Borrower and the Swing Line Bank and (iv) the date such Swing Line Loan is to be repaid (the “</w:t>
      </w:r>
      <w:r>
        <w:rPr>
          <w:rFonts w:ascii="Times New Roman" w:cs="Times New Roman" w:eastAsia="Times New Roman" w:hAnsi="Times New Roman"/>
          <w:sz w:val="22"/>
          <w:szCs w:val="22"/>
          <w:u w:val="single" w:color="auto"/>
          <w:color w:val="auto"/>
        </w:rPr>
        <w:t>Swing Line Repayment Date</w:t>
      </w:r>
      <w:r>
        <w:rPr>
          <w:rFonts w:ascii="Times New Roman" w:cs="Times New Roman" w:eastAsia="Times New Roman" w:hAnsi="Times New Roman"/>
          <w:sz w:val="22"/>
          <w:szCs w:val="22"/>
          <w:color w:val="auto"/>
        </w:rPr>
        <w:t>”). The request for such Swing Line Loan shall be irrevocable. Provided that all applicable conditions precedent contained in Section 4.2 hereof have been satisfied, the Swing Line Bank shall, not later than 4:00 p.m., Philadelphia time, on the date specified in the Borrower’s request for such Swing Line Loan, make such Swing Line Loan by crediting the Borrower’s deposit account with the Swing Line Bank.</w:t>
      </w:r>
    </w:p>
    <w:p>
      <w:pPr>
        <w:spacing w:after="0" w:line="181" w:lineRule="exact"/>
        <w:rPr>
          <w:sz w:val="20"/>
          <w:szCs w:val="20"/>
          <w:color w:val="auto"/>
        </w:rPr>
      </w:pPr>
    </w:p>
    <w:p>
      <w:pPr>
        <w:ind w:left="180" w:right="259" w:firstLine="1944"/>
        <w:spacing w:after="0" w:line="244" w:lineRule="auto"/>
        <w:rPr>
          <w:sz w:val="20"/>
          <w:szCs w:val="20"/>
          <w:color w:val="auto"/>
        </w:rPr>
      </w:pPr>
      <w:r>
        <w:rPr>
          <w:rFonts w:ascii="Times New Roman" w:cs="Times New Roman" w:eastAsia="Times New Roman" w:hAnsi="Times New Roman"/>
          <w:sz w:val="22"/>
          <w:szCs w:val="22"/>
          <w:color w:val="auto"/>
        </w:rPr>
        <w:t>(c) The obligation of the Borrower to repay the Swing Line Loans shall be evidenced by a promissory note of the Borrower dated the date hereof, payable to the order of the Swing Line Bank in the principal amount of the Swing Line Commitment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4" w:name="page85"/>
    <w:bookmarkEnd w:id="84"/>
    <w:p>
      <w:pPr>
        <w:ind w:left="180" w:right="539"/>
        <w:spacing w:after="0" w:line="287" w:lineRule="exact"/>
        <w:rPr>
          <w:sz w:val="20"/>
          <w:szCs w:val="20"/>
          <w:color w:val="auto"/>
        </w:rPr>
      </w:pPr>
      <w:r>
        <w:rPr>
          <w:rFonts w:ascii="Times New Roman" w:cs="Times New Roman" w:eastAsia="Times New Roman" w:hAnsi="Times New Roman"/>
          <w:sz w:val="22"/>
          <w:szCs w:val="22"/>
          <w:color w:val="auto"/>
        </w:rPr>
        <w:t xml:space="preserve">substantially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(as amended, supplemented or otherwise modified from time to time, the “</w:t>
      </w:r>
      <w:r>
        <w:rPr>
          <w:rFonts w:ascii="Times New Roman" w:cs="Times New Roman" w:eastAsia="Times New Roman" w:hAnsi="Times New Roman"/>
          <w:sz w:val="22"/>
          <w:szCs w:val="22"/>
          <w:u w:val="single" w:color="auto"/>
          <w:color w:val="auto"/>
        </w:rPr>
        <w:t>Swing Line Note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 w:right="699" w:firstLine="1944"/>
        <w:spacing w:after="0" w:line="239" w:lineRule="auto"/>
        <w:rPr>
          <w:sz w:val="20"/>
          <w:szCs w:val="20"/>
          <w:color w:val="auto"/>
        </w:rPr>
      </w:pPr>
      <w:r>
        <w:rPr>
          <w:rFonts w:ascii="Times New Roman" w:cs="Times New Roman" w:eastAsia="Times New Roman" w:hAnsi="Times New Roman"/>
          <w:sz w:val="22"/>
          <w:szCs w:val="22"/>
          <w:color w:val="auto"/>
        </w:rPr>
        <w:t>(d) Interest shall accrue on the outstanding principal balance of a Swing Line Loan at the interest rate chosen by the Borrower in accordance with Section 2.2(b) with respect to such Swing Line Loan and shall be payable on each applicable Interest Payment Date and upon the repayment of such Swing Line Loan.</w:t>
      </w:r>
    </w:p>
    <w:p>
      <w:pPr>
        <w:spacing w:after="0" w:line="180"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A Swing Line Loan shall be repaid on the earlier of</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 the Termination Date and (ii) the Swing Line Repayment Date for such Swing Line</w:t>
      </w:r>
    </w:p>
    <w:p>
      <w:pPr>
        <w:ind w:left="180" w:right="279"/>
        <w:spacing w:after="0" w:line="241" w:lineRule="auto"/>
        <w:rPr>
          <w:sz w:val="20"/>
          <w:szCs w:val="20"/>
          <w:color w:val="auto"/>
        </w:rPr>
      </w:pPr>
      <w:r>
        <w:rPr>
          <w:rFonts w:ascii="Times New Roman" w:cs="Times New Roman" w:eastAsia="Times New Roman" w:hAnsi="Times New Roman"/>
          <w:sz w:val="21"/>
          <w:szCs w:val="21"/>
          <w:color w:val="auto"/>
        </w:rPr>
        <w:t>Loan. Unless the Borrower shall have notified the Agent prior to 11:00 a.m., Philadelphia time, on such Swing Line Repayment Date that the Borrower intends to repay such Swing Line Loan with funds other than the proceeds of a Revolving Credit Loan, the Borrower shall be deemed to have given notice to the Agent requesting the Banks to make a Revolving Credit Loan which shall be a Base Rate Borrowing in accordance with Section 2.1 on the Swing Line Repayment Date in an aggregate amount equal to the amount of such Swing Line Loan plus interest thereon, and</w:t>
      </w:r>
    </w:p>
    <w:p>
      <w:pPr>
        <w:spacing w:after="0" w:line="3" w:lineRule="exact"/>
        <w:rPr>
          <w:sz w:val="20"/>
          <w:szCs w:val="20"/>
          <w:color w:val="auto"/>
        </w:rPr>
      </w:pPr>
    </w:p>
    <w:p>
      <w:pPr>
        <w:ind w:left="180" w:right="239" w:firstLine="4"/>
        <w:spacing w:after="0" w:line="231" w:lineRule="auto"/>
        <w:tabs>
          <w:tab w:leader="none" w:pos="53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satisfaction or waiver of the conditions specified in Section 4.2, the Banks shall, on the Swing Line Repayment Date, make a Revolving Credit Loan which shall be a Base Rate Borrowing, in an aggregate amount equal to the amount of such Swing Line Loan plus interest thereon, the proceeds of which shall be applied directly by the Agent to repay the Swing Line Bank for such Swing Line Loan plus accrued interest thereon;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for any reason the proceeds of such Base Rate Borrowing are not received by the Swing Line Bank on the Swing Line Repayment Date in an aggregate amount equal to the amount of such Swing Line Loan plus accrued interest, the Borrower shall reimburse the Swing Line Bank on the day immediately following the Swing Line Repayment Date, in same day funds, in an amount equal to the excess of the amount of such Swing Line Loan over the aggregate amount of such Base Rate Borrowing, if any, received plus accrued interest thereon.</w:t>
      </w:r>
    </w:p>
    <w:p>
      <w:pPr>
        <w:spacing w:after="0" w:line="187" w:lineRule="exact"/>
        <w:rPr>
          <w:sz w:val="20"/>
          <w:szCs w:val="20"/>
          <w:color w:val="auto"/>
        </w:rPr>
      </w:pPr>
    </w:p>
    <w:p>
      <w:pPr>
        <w:ind w:left="180" w:right="199" w:firstLine="1944"/>
        <w:spacing w:after="0" w:line="232" w:lineRule="auto"/>
        <w:rPr>
          <w:sz w:val="20"/>
          <w:szCs w:val="20"/>
          <w:color w:val="auto"/>
        </w:rPr>
      </w:pPr>
      <w:r>
        <w:rPr>
          <w:rFonts w:ascii="Times New Roman" w:cs="Times New Roman" w:eastAsia="Times New Roman" w:hAnsi="Times New Roman"/>
          <w:sz w:val="22"/>
          <w:szCs w:val="22"/>
          <w:color w:val="auto"/>
        </w:rPr>
        <w:t>(f) In the event that the Borrower shall fail to repay the Swing Line Bank as provided in Section 2.2(e) in an amount equal to the amount required under Section 2.2(e), the Agent shall promptly notify each Bank of the unpaid amount of such Swing Line Loan and of such Bank’s respective participation therein in an amount equal to such Bank’s Commitment Percentage of such Swing Line Loan. Each Bank shall make available to the Agent for payment to the Swing Line Bank an amount equal to its respective participation therein (including without limitation its pro rata share of accrued but unpaid interest thereon), in same day funds, at the office of the Agent specified in such notice, not later than 11:00 a.m., Philadelphia time, on the Business Day after the date the Agent notifies each Bank. In the event that any Bank fails to make available to the Agent the amount of such Bank’s participation in such unpaid amount as provided herein, the Swing Line Bank shall be entitled to recover such amount on demand from such Bank together with interest thereon at a rate per annum equal to the Base Rate for each day during the period between the Swing Line Repayment Date and the date on which such Bank makes available its participation in such unpaid amount. The failure of any Bank to make available to the Agent its pro rata share of any such unpaid amount shall not relieve any other Bank of its obligations hereunder to make available to the Agent its pro rata share of such unpaid amount on the Swing Line Repayment Date. The Agent shall distribute to each Bank which has paid all amounts payable by it under this Section 2.2(f) with respect to the unpaid amount of any Swing Line Loan, such Bank’s Commitment Percentage of all payments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85" w:name="page86"/>
    <w:bookmarkEnd w:id="85"/>
    <w:p>
      <w:pPr>
        <w:ind w:left="180" w:right="219"/>
        <w:spacing w:after="0" w:line="238" w:lineRule="auto"/>
        <w:rPr>
          <w:sz w:val="20"/>
          <w:szCs w:val="20"/>
          <w:color w:val="auto"/>
        </w:rPr>
      </w:pPr>
      <w:r>
        <w:rPr>
          <w:rFonts w:ascii="Times New Roman" w:cs="Times New Roman" w:eastAsia="Times New Roman" w:hAnsi="Times New Roman"/>
          <w:sz w:val="22"/>
          <w:szCs w:val="22"/>
          <w:color w:val="auto"/>
        </w:rPr>
        <w:t>received by the Agent from the Borrower in repayment of such Swing Line Loan when such payments are received. Notwithstanding anything to the contrary herein, each Bank which has paid all amounts payable by it under this Section 2.2(f) shall have a direct right to repayment of such amounts from the Borrower subject to the procedures for repaying Banks set forth in this Section 2.2.</w:t>
      </w:r>
    </w:p>
    <w:p>
      <w:pPr>
        <w:spacing w:after="0" w:line="177" w:lineRule="exact"/>
        <w:rPr>
          <w:sz w:val="20"/>
          <w:szCs w:val="20"/>
          <w:color w:val="auto"/>
        </w:rPr>
      </w:pPr>
    </w:p>
    <w:p>
      <w:pPr>
        <w:ind w:left="180" w:right="219" w:firstLine="1944"/>
        <w:spacing w:after="0" w:line="235" w:lineRule="auto"/>
        <w:rPr>
          <w:sz w:val="20"/>
          <w:szCs w:val="20"/>
          <w:color w:val="auto"/>
        </w:rPr>
      </w:pPr>
      <w:r>
        <w:rPr>
          <w:rFonts w:ascii="Times New Roman" w:cs="Times New Roman" w:eastAsia="Times New Roman" w:hAnsi="Times New Roman"/>
          <w:sz w:val="22"/>
          <w:szCs w:val="22"/>
          <w:color w:val="auto"/>
        </w:rPr>
        <w:t>(g) In the event the Commitments are terminated in accordance with Section 2.8 hereof, the Swing Line Commitment shall also be terminated automatically. In the event the Borrower reduces the Total Commitment to less than the Swing Line Commitment, the Swing Line Commitment shall immediately be reduced to an amount equal to the Total Commitment. In the event the Borrower reduces the Total Commitment to less than the outstanding principal amount of the Swing Line Loans, the Borrower shall immediately repay the amount by which the outstanding Swing Line Loans exceed the Swing Line Commitment as so reduced plus accrued interest thereon.</w:t>
      </w:r>
    </w:p>
    <w:p>
      <w:pPr>
        <w:sectPr>
          <w:pgSz w:w="11900" w:h="16838" w:orient="portrait"/>
          <w:cols w:equalWidth="0" w:num="1">
            <w:col w:w="9019"/>
          </w:cols>
          <w:pgMar w:left="1440" w:top="355" w:right="1440" w:bottom="1440" w:gutter="0" w:footer="0" w:header="0"/>
        </w:sectPr>
      </w:pP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no time shall there be more than two outstanding</w:t>
      </w:r>
    </w:p>
    <w:p>
      <w:pPr>
        <w:spacing w:after="0" w:line="30" w:lineRule="exact"/>
        <w:rPr>
          <w:sz w:val="20"/>
          <w:szCs w:val="20"/>
          <w:color w:val="auto"/>
        </w:rPr>
      </w:pPr>
    </w:p>
    <w:p>
      <w:pPr>
        <w:sectPr>
          <w:pgSz w:w="11900" w:h="16838" w:orient="portrait"/>
          <w:cols w:equalWidth="0" w:num="2">
            <w:col w:w="3400" w:space="720"/>
            <w:col w:w="4899"/>
          </w:cols>
          <w:pgMar w:left="1440" w:top="355" w:right="144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color w:val="auto"/>
        </w:rPr>
        <w:t>Swing Line Loans.</w:t>
      </w:r>
    </w:p>
    <w:p>
      <w:pPr>
        <w:spacing w:after="0" w:line="177" w:lineRule="exact"/>
        <w:rPr>
          <w:sz w:val="20"/>
          <w:szCs w:val="20"/>
          <w:color w:val="auto"/>
        </w:rPr>
      </w:pPr>
    </w:p>
    <w:p>
      <w:pPr>
        <w:ind w:left="180" w:right="219" w:firstLine="1944"/>
        <w:spacing w:after="0" w:line="258" w:lineRule="auto"/>
        <w:rPr>
          <w:sz w:val="20"/>
          <w:szCs w:val="20"/>
          <w:color w:val="auto"/>
        </w:rPr>
      </w:pPr>
      <w:r>
        <w:rPr>
          <w:rFonts w:ascii="Times New Roman" w:cs="Times New Roman" w:eastAsia="Times New Roman" w:hAnsi="Times New Roman"/>
          <w:sz w:val="22"/>
          <w:szCs w:val="22"/>
          <w:color w:val="auto"/>
        </w:rPr>
        <w:t>(i) Each Swing Line Loan shall be in an original principal amount of $100,000 or multiples of $50,000 in excess thereof.</w:t>
      </w:r>
    </w:p>
    <w:p>
      <w:pPr>
        <w:spacing w:after="0" w:line="158" w:lineRule="exact"/>
        <w:rPr>
          <w:sz w:val="20"/>
          <w:szCs w:val="20"/>
          <w:color w:val="auto"/>
        </w:rPr>
      </w:pPr>
    </w:p>
    <w:p>
      <w:pPr>
        <w:ind w:left="2120"/>
        <w:spacing w:after="0"/>
        <w:tabs>
          <w:tab w:leader="none" w:pos="40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The Borrower shall have the right at any time and</w:t>
      </w:r>
    </w:p>
    <w:p>
      <w:pPr>
        <w:sectPr>
          <w:pgSz w:w="11900" w:h="16838" w:orient="portrait"/>
          <w:cols w:equalWidth="0" w:num="1">
            <w:col w:w="9019"/>
          </w:cols>
          <w:pgMar w:left="1440" w:top="355" w:right="1440" w:bottom="1440" w:gutter="0" w:footer="0" w:header="0"/>
          <w:type w:val="continuous"/>
        </w:sectPr>
      </w:pP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from time to time to prepay any Swing Line Loan, in whole or in part, without premium or penalty,</w:t>
      </w:r>
    </w:p>
    <w:p>
      <w:pPr>
        <w:ind w:left="180"/>
        <w:spacing w:after="0" w:line="230" w:lineRule="auto"/>
        <w:rPr>
          <w:sz w:val="20"/>
          <w:szCs w:val="20"/>
          <w:color w:val="auto"/>
        </w:rPr>
      </w:pPr>
      <w:r>
        <w:rPr>
          <w:rFonts w:ascii="Times New Roman" w:cs="Times New Roman" w:eastAsia="Times New Roman" w:hAnsi="Times New Roman"/>
          <w:sz w:val="22"/>
          <w:szCs w:val="22"/>
          <w:color w:val="auto"/>
        </w:rPr>
        <w:t>upon prior written, telecopy or telephonic notice to the Swing Line Bank given no later than</w:t>
      </w:r>
    </w:p>
    <w:p>
      <w:pPr>
        <w:ind w:left="180"/>
        <w:spacing w:after="0" w:line="231" w:lineRule="auto"/>
        <w:rPr>
          <w:sz w:val="20"/>
          <w:szCs w:val="20"/>
          <w:color w:val="auto"/>
        </w:rPr>
      </w:pPr>
      <w:r>
        <w:rPr>
          <w:rFonts w:ascii="Times New Roman" w:cs="Times New Roman" w:eastAsia="Times New Roman" w:hAnsi="Times New Roman"/>
          <w:sz w:val="22"/>
          <w:szCs w:val="22"/>
          <w:color w:val="auto"/>
        </w:rPr>
        <w:t>1:00 p.m., Philadelphia time, on the date of any proposed prepayment. Each notice of prepayment</w:t>
      </w:r>
    </w:p>
    <w:p>
      <w:pPr>
        <w:ind w:left="180"/>
        <w:spacing w:after="0"/>
        <w:rPr>
          <w:sz w:val="20"/>
          <w:szCs w:val="20"/>
          <w:color w:val="auto"/>
        </w:rPr>
      </w:pPr>
      <w:r>
        <w:rPr>
          <w:rFonts w:ascii="Times New Roman" w:cs="Times New Roman" w:eastAsia="Times New Roman" w:hAnsi="Times New Roman"/>
          <w:sz w:val="21"/>
          <w:szCs w:val="21"/>
          <w:color w:val="auto"/>
        </w:rPr>
        <w:t>shall specify the Swing Line Loan to be prepaid and the amount to be prepaid, shall be irrevocable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and shall commit the Borrower to prepay such amount on such date, with accrued interest thereon.</w:t>
      </w:r>
    </w:p>
    <w:p>
      <w:pPr>
        <w:spacing w:after="0" w:line="194" w:lineRule="exact"/>
        <w:rPr>
          <w:sz w:val="20"/>
          <w:szCs w:val="20"/>
          <w:color w:val="auto"/>
        </w:rPr>
      </w:pPr>
    </w:p>
    <w:p>
      <w:pPr>
        <w:ind w:left="180" w:right="199" w:firstLine="1944"/>
        <w:spacing w:after="0" w:line="232" w:lineRule="auto"/>
        <w:rPr>
          <w:sz w:val="20"/>
          <w:szCs w:val="20"/>
          <w:color w:val="auto"/>
        </w:rPr>
      </w:pPr>
      <w:r>
        <w:rPr>
          <w:rFonts w:ascii="Times New Roman" w:cs="Times New Roman" w:eastAsia="Times New Roman" w:hAnsi="Times New Roman"/>
          <w:sz w:val="22"/>
          <w:szCs w:val="22"/>
          <w:color w:val="auto"/>
        </w:rPr>
        <w:t>(k) In addition to making Swing Line Loans pursuant to the foregoing provisions of this Section 2.2, the Swing Line Bank may also make Swing Line Loans to the Borrower without the requirement for a specific request from the Borrower pursuant to Section 2.2(b) in accordance with the provisions of the agreements between the Borrower and the Swing Line Bank relating to the Borrower’s deposit, sweep and other accounts at the Swing Line Bank and related arrangements and agreements regarding the management and investment of Borrower’s cash assets as in effect from time to time (the “</w:t>
      </w:r>
      <w:r>
        <w:rPr>
          <w:rFonts w:ascii="Times New Roman" w:cs="Times New Roman" w:eastAsia="Times New Roman" w:hAnsi="Times New Roman"/>
          <w:sz w:val="22"/>
          <w:szCs w:val="22"/>
          <w:u w:val="single" w:color="auto"/>
          <w:color w:val="auto"/>
        </w:rPr>
        <w:t>Cash Management Agreements</w:t>
      </w:r>
      <w:r>
        <w:rPr>
          <w:rFonts w:ascii="Times New Roman" w:cs="Times New Roman" w:eastAsia="Times New Roman" w:hAnsi="Times New Roman"/>
          <w:sz w:val="22"/>
          <w:szCs w:val="22"/>
          <w:color w:val="auto"/>
        </w:rPr>
        <w:t>”) to the extent of the daily aggregate net negative balance in the Borrower’s accounts which are subject to the provisions of the Cash Management Agreements. Swing Line Loans made pursuant to this Section 2.2(k) in accordance with the provisions of the Cash Management Agreements shall (i) be subject to the limitations as to aggregate amount set forth in Section 2.2(a), (ii) not be subject to the limitations as to number or individual amount set forth in Sections 2.2(h) and (i), (iii) be payable by the Borrower, both as to principal and interest, at the times set forth in the Cash Management Agreements (but in no event later than the Termination Date), (iv) not be made at any time after the Swing Line Bank has received written notice of the occurrence of an Event of Default and so long as such shall continue to exist, or, unless consented to by the Required Banks, a Default and so long as such shall continue to exist, (v) if not repaid by the Borrower in accordance with the provisions of the Cash Management Agreements, be subject to each Bank’s obligation to purchase participating interests therein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86" w:name="page87"/>
    <w:bookmarkEnd w:id="86"/>
    <w:p>
      <w:pPr>
        <w:ind w:left="180" w:right="339"/>
        <w:spacing w:after="0" w:line="258" w:lineRule="auto"/>
        <w:rPr>
          <w:sz w:val="20"/>
          <w:szCs w:val="20"/>
          <w:color w:val="auto"/>
        </w:rPr>
      </w:pPr>
      <w:r>
        <w:rPr>
          <w:rFonts w:ascii="Times New Roman" w:cs="Times New Roman" w:eastAsia="Times New Roman" w:hAnsi="Times New Roman"/>
          <w:sz w:val="22"/>
          <w:szCs w:val="22"/>
          <w:color w:val="auto"/>
        </w:rPr>
        <w:t>pursuant to Section 2.2(f), and (vi) except as provided in the foregoing subsections (i) through (v), be subject to all of the terms and conditions of this Section 2.2.</w:t>
      </w:r>
    </w:p>
    <w:p>
      <w:pPr>
        <w:spacing w:after="0" w:line="158" w:lineRule="exact"/>
        <w:rPr>
          <w:sz w:val="20"/>
          <w:szCs w:val="20"/>
          <w:color w:val="auto"/>
        </w:rPr>
      </w:pPr>
    </w:p>
    <w:p>
      <w:pPr>
        <w:ind w:left="180" w:right="199" w:firstLine="648"/>
        <w:spacing w:after="0" w:line="243"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General Provisions Regarding Loans</w:t>
      </w:r>
      <w:r>
        <w:rPr>
          <w:rFonts w:ascii="Times New Roman" w:cs="Times New Roman" w:eastAsia="Times New Roman" w:hAnsi="Times New Roman"/>
          <w:sz w:val="21"/>
          <w:szCs w:val="21"/>
          <w:color w:val="auto"/>
        </w:rPr>
        <w:t>. (a) Subject to Section 2.3(b), each Bank shall make each Revolving Credit Loan to be made by it hereunder on the proposed date thereof by wire transfer of immediately available funds to the Agent in Philadelphia, Pennsylvania, not later than 1:00 p.m., Philadelphia time, and the Agent shall by 3:00 p.m., Philadelphia time, credit the amounts so received to the general deposit account of the Borrower with the Agent or, if a Borrowing shall not occur on such date because any condition precedent herein specified shall not have been met, return the amounts so received to the respective Banks. Loans shall be made by the Banks pro rata in accordance with Section 2.14. Unless the Agent shall have received notice from a Bank prior to the date of any Borrowing that such Bank will not make available to the Agent such Bank’s portion of such Borrowing, the Agent may assume that such Bank has made such portion available to the Agent on the date of such Borrowing in accordance with this paragraph (c) and the Agent may, in reliance upon such assumption, make available to the Borrower on such date a corresponding amount. If and to the extent that such Bank shall not have made such portion available to the Agent, such Bank and the Borrower severally agree to repay to the Agent forthwith on demand such corresponding amount together with interest thereon, for each day from the date such amount is made available to the Borrower until the date such amount is repaid to the Agent at</w:t>
      </w:r>
    </w:p>
    <w:p>
      <w:pPr>
        <w:jc w:val="both"/>
        <w:ind w:left="180" w:right="219" w:firstLine="4"/>
        <w:spacing w:after="0" w:line="247" w:lineRule="auto"/>
        <w:tabs>
          <w:tab w:leader="none" w:pos="43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Borrower, the interest rate applicable at the time to the Revolving Credit Loans comprising such Borrowing and (ii) in the case of such Bank, the Overnight Bank Funding Rate. If such Bank shall repay to the Agent such corresponding amount, such amount shall constitute such Bank’s Revolving Credit Loan as part of such Borrowing for purposes of this Agreement.</w:t>
      </w:r>
    </w:p>
    <w:p>
      <w:pPr>
        <w:spacing w:after="0" w:line="170" w:lineRule="exact"/>
        <w:rPr>
          <w:sz w:val="20"/>
          <w:szCs w:val="20"/>
          <w:color w:val="auto"/>
        </w:rPr>
      </w:pPr>
    </w:p>
    <w:p>
      <w:pPr>
        <w:ind w:left="180" w:right="199" w:firstLine="1944"/>
        <w:spacing w:after="0" w:line="232" w:lineRule="auto"/>
        <w:rPr>
          <w:sz w:val="20"/>
          <w:szCs w:val="20"/>
          <w:color w:val="auto"/>
        </w:rPr>
      </w:pPr>
      <w:r>
        <w:rPr>
          <w:rFonts w:ascii="Times New Roman" w:cs="Times New Roman" w:eastAsia="Times New Roman" w:hAnsi="Times New Roman"/>
          <w:sz w:val="22"/>
          <w:szCs w:val="22"/>
          <w:color w:val="auto"/>
        </w:rPr>
        <w:t xml:space="preserve">(b) The Borrower may refinance all or any part of any Borrowing with any other Borrowing, subject to the conditions and limitations set forth herein and elsewhere in this Agreement. Any Borrowing or part thereof so refinanced shall be deemed to be repaid in accordance with Section 2.5 with the proceeds of a new Borrowing hereunder and the proceeds of the new Borrowing, to the extent they do not exceed the principal amount of the Borrowing being refinanced, shall not be paid by the Banks to the Agent or by the Agent to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if the principal amount extended by a Bank in a refinancing is greater than the principal amount extended by such Bank in the Borrowing being refinanced, then such Bank shall pay such difference to the Agent for distribution to the Banks described in (ii) below, (ii) if the principal amount extended by a Bank in the Borrowing being refinanced is greater than the principal amount agreed to be extended by such Bank in the refinancing, the Agent shall return the difference to such Bank out of amounts received pursuant to (i) above, and (iii) to the extent any Bank fails to pay the Agent amounts due from it pursuant to (i) above, any Revolving Credit Loan or portion thereof being refinanced with such amounts shall not be deemed repaid in accordance with Section 2.5 and shall be payable by the Borrower without prejudice to the Borrower’s rights against any such Bank.</w:t>
      </w:r>
    </w:p>
    <w:p>
      <w:pPr>
        <w:spacing w:after="0" w:line="191" w:lineRule="exact"/>
        <w:rPr>
          <w:sz w:val="20"/>
          <w:szCs w:val="20"/>
          <w:color w:val="auto"/>
        </w:rPr>
      </w:pPr>
    </w:p>
    <w:p>
      <w:pPr>
        <w:ind w:left="180" w:right="259" w:firstLine="1944"/>
        <w:spacing w:after="0"/>
        <w:rPr>
          <w:sz w:val="20"/>
          <w:szCs w:val="20"/>
          <w:color w:val="auto"/>
        </w:rPr>
      </w:pPr>
      <w:r>
        <w:rPr>
          <w:rFonts w:ascii="Times New Roman" w:cs="Times New Roman" w:eastAsia="Times New Roman" w:hAnsi="Times New Roman"/>
          <w:sz w:val="22"/>
          <w:szCs w:val="22"/>
          <w:color w:val="auto"/>
        </w:rPr>
        <w:t xml:space="preserve">(c) Each Bank may at its option fulfill its commitment hereunder with respect to any Term SOFR Rate Loan by causing any domestic or foreign branch or Affiliate of such Bank to make such Revolving Credit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any exercise of such option shall not affect the obligation of the Borrower to repay such Revolving Credit Loan in accordance with the terms of the Agreement and the applicable Note and (B) the Borrower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7" w:name="page88"/>
    <w:bookmarkEnd w:id="87"/>
    <w:p>
      <w:pPr>
        <w:ind w:left="180" w:right="359"/>
        <w:spacing w:after="0" w:line="253" w:lineRule="auto"/>
        <w:rPr>
          <w:sz w:val="20"/>
          <w:szCs w:val="20"/>
          <w:color w:val="auto"/>
        </w:rPr>
      </w:pPr>
      <w:r>
        <w:rPr>
          <w:rFonts w:ascii="Times New Roman" w:cs="Times New Roman" w:eastAsia="Times New Roman" w:hAnsi="Times New Roman"/>
          <w:sz w:val="21"/>
          <w:szCs w:val="21"/>
          <w:color w:val="auto"/>
        </w:rPr>
        <w:t>shall not be liable for increased costs under Sections 2.11 or 2.12 to the extent that (x) such costs could be avoided by the use of a different branch or Affiliate to make Term SOFR Rate Loans and</w:t>
      </w:r>
    </w:p>
    <w:p>
      <w:pPr>
        <w:spacing w:after="0" w:line="1" w:lineRule="exact"/>
        <w:rPr>
          <w:sz w:val="20"/>
          <w:szCs w:val="20"/>
          <w:color w:val="auto"/>
        </w:rPr>
      </w:pPr>
    </w:p>
    <w:p>
      <w:pPr>
        <w:ind w:left="180" w:right="319" w:firstLine="4"/>
        <w:spacing w:after="0" w:line="258" w:lineRule="auto"/>
        <w:tabs>
          <w:tab w:leader="none" w:pos="48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use would not, in the judgment of such Bank, entail any significant additional expense for which such Bank shall not be indemnified hereunder or otherwise be disadvantageous to it; and</w:t>
      </w:r>
    </w:p>
    <w:p>
      <w:pPr>
        <w:spacing w:after="0" w:line="159" w:lineRule="exact"/>
        <w:rPr>
          <w:sz w:val="20"/>
          <w:szCs w:val="20"/>
          <w:color w:val="auto"/>
        </w:rPr>
      </w:pPr>
    </w:p>
    <w:p>
      <w:pPr>
        <w:ind w:left="180" w:right="359" w:firstLine="1944"/>
        <w:spacing w:after="0" w:line="235" w:lineRule="auto"/>
        <w:rPr>
          <w:sz w:val="20"/>
          <w:szCs w:val="20"/>
          <w:color w:val="auto"/>
        </w:rPr>
      </w:pPr>
      <w:r>
        <w:rPr>
          <w:rFonts w:ascii="Times New Roman" w:cs="Times New Roman" w:eastAsia="Times New Roman" w:hAnsi="Times New Roman"/>
          <w:sz w:val="22"/>
          <w:szCs w:val="22"/>
          <w:color w:val="auto"/>
        </w:rPr>
        <w:t>(d) All Borrowings, conversions and continuations of Revolving Credit Loans hereunder and all selections of Interest Periods hereunder shall be in such amounts and be made pursuant to such elections that, after giving effect thereto, (A) the aggregate principal amount of the Revolving Credit Loans comprising each Tranche of Term SOFR Rate Loans shall be equal to $500,000 or a whole multiple of $100,000 in excess thereof and (B) the Borrower shall not have outstanding at any one time more than in the aggregate five (5) separate Tranches of Term SOFR Rate Loans.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w:t>
            </w:r>
          </w:p>
        </w:tc>
        <w:tc>
          <w:tcPr>
            <w:tcW w:w="6100" w:type="dxa"/>
            <w:vAlign w:val="bottom"/>
            <w:gridSpan w:val="3"/>
          </w:tcPr>
          <w:p>
            <w:pPr>
              <w:ind w:left="1520"/>
              <w:spacing w:after="0"/>
              <w:rPr>
                <w:sz w:val="20"/>
                <w:szCs w:val="20"/>
                <w:color w:val="auto"/>
              </w:rPr>
            </w:pPr>
            <w:r>
              <w:rPr>
                <w:rFonts w:ascii="Times New Roman" w:cs="Times New Roman" w:eastAsia="Times New Roman" w:hAnsi="Times New Roman"/>
                <w:sz w:val="22"/>
                <w:szCs w:val="22"/>
                <w:color w:val="auto"/>
              </w:rPr>
              <w:t>Notwithstanding any other provision of this</w:t>
            </w:r>
          </w:p>
        </w:tc>
        <w:tc>
          <w:tcPr>
            <w:tcW w:w="0" w:type="dxa"/>
            <w:vAlign w:val="bottom"/>
          </w:tcPr>
          <w:p>
            <w:pPr>
              <w:spacing w:after="0"/>
              <w:rPr>
                <w:sz w:val="1"/>
                <w:szCs w:val="1"/>
                <w:color w:val="auto"/>
              </w:rPr>
            </w:pPr>
          </w:p>
        </w:tc>
      </w:tr>
      <w:tr>
        <w:trPr>
          <w:trHeight w:val="243"/>
        </w:trPr>
        <w:tc>
          <w:tcPr>
            <w:tcW w:w="85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Agreement, the Borrower shall not be entitled to request any Borrowing if the Interest Period</w:t>
            </w:r>
          </w:p>
        </w:tc>
        <w:tc>
          <w:tcPr>
            <w:tcW w:w="0" w:type="dxa"/>
            <w:vAlign w:val="bottom"/>
          </w:tcPr>
          <w:p>
            <w:pPr>
              <w:spacing w:after="0"/>
              <w:rPr>
                <w:sz w:val="1"/>
                <w:szCs w:val="1"/>
                <w:color w:val="auto"/>
              </w:rPr>
            </w:pPr>
          </w:p>
        </w:tc>
      </w:tr>
      <w:tr>
        <w:trPr>
          <w:trHeight w:val="282"/>
        </w:trPr>
        <w:tc>
          <w:tcPr>
            <w:tcW w:w="85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requested with respect thereto would end after the Termination Date.</w:t>
            </w:r>
          </w:p>
        </w:tc>
        <w:tc>
          <w:tcPr>
            <w:tcW w:w="0" w:type="dxa"/>
            <w:vAlign w:val="bottom"/>
          </w:tcPr>
          <w:p>
            <w:pPr>
              <w:spacing w:after="0"/>
              <w:rPr>
                <w:sz w:val="1"/>
                <w:szCs w:val="1"/>
                <w:color w:val="auto"/>
              </w:rPr>
            </w:pPr>
          </w:p>
        </w:tc>
      </w:tr>
      <w:tr>
        <w:trPr>
          <w:trHeight w:val="407"/>
        </w:trPr>
        <w:tc>
          <w:tcPr>
            <w:tcW w:w="13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w:t>
            </w:r>
          </w:p>
        </w:tc>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Fees. (a)</w:t>
            </w:r>
          </w:p>
        </w:tc>
        <w:tc>
          <w:tcPr>
            <w:tcW w:w="610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7"/>
              </w:rPr>
              <w:t>The Borrower agrees to pay to the Agent the fees at the times and in</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the amounts as</w:t>
            </w:r>
          </w:p>
        </w:tc>
        <w:tc>
          <w:tcPr>
            <w:tcW w:w="400" w:type="dxa"/>
            <w:vAlign w:val="bottom"/>
            <w:shd w:val="clear" w:color="auto" w:fill="000000"/>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714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color w:val="auto"/>
              </w:rPr>
              <w:t>are set forth in the Fee Letter (collectively, the “Fees”).</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w:t>
            </w:r>
          </w:p>
        </w:tc>
        <w:tc>
          <w:tcPr>
            <w:tcW w:w="6100" w:type="dxa"/>
            <w:vAlign w:val="bottom"/>
            <w:gridSpan w:val="3"/>
          </w:tcPr>
          <w:p>
            <w:pPr>
              <w:ind w:left="1540"/>
              <w:spacing w:after="0"/>
              <w:rPr>
                <w:sz w:val="20"/>
                <w:szCs w:val="20"/>
                <w:color w:val="auto"/>
              </w:rPr>
            </w:pPr>
            <w:r>
              <w:rPr>
                <w:rFonts w:ascii="Times New Roman" w:cs="Times New Roman" w:eastAsia="Times New Roman" w:hAnsi="Times New Roman"/>
                <w:sz w:val="22"/>
                <w:szCs w:val="22"/>
                <w:color w:val="auto"/>
              </w:rPr>
              <w:t>All Fees shall be paid on the dates due, in</w:t>
            </w:r>
          </w:p>
        </w:tc>
        <w:tc>
          <w:tcPr>
            <w:tcW w:w="0" w:type="dxa"/>
            <w:vAlign w:val="bottom"/>
          </w:tcPr>
          <w:p>
            <w:pPr>
              <w:spacing w:after="0"/>
              <w:rPr>
                <w:sz w:val="1"/>
                <w:szCs w:val="1"/>
                <w:color w:val="auto"/>
              </w:rPr>
            </w:pPr>
          </w:p>
        </w:tc>
      </w:tr>
    </w:tbl>
    <w:p>
      <w:pPr>
        <w:ind w:left="180" w:right="959"/>
        <w:spacing w:after="0" w:line="237" w:lineRule="auto"/>
        <w:rPr>
          <w:sz w:val="20"/>
          <w:szCs w:val="20"/>
          <w:color w:val="auto"/>
        </w:rPr>
      </w:pPr>
      <w:r>
        <w:rPr>
          <w:rFonts w:ascii="Times New Roman" w:cs="Times New Roman" w:eastAsia="Times New Roman" w:hAnsi="Times New Roman"/>
          <w:sz w:val="22"/>
          <w:szCs w:val="22"/>
          <w:color w:val="auto"/>
        </w:rPr>
        <w:t>immediately available funds, to the Agent for distribution, if and as appropriate, among the Banks. Once paid, none of the Fees shall be refundable under any circumstances.</w:t>
      </w:r>
    </w:p>
    <w:p>
      <w:pPr>
        <w:spacing w:after="0" w:line="178" w:lineRule="exact"/>
        <w:rPr>
          <w:sz w:val="20"/>
          <w:szCs w:val="20"/>
          <w:color w:val="auto"/>
        </w:rPr>
      </w:pPr>
    </w:p>
    <w:p>
      <w:pPr>
        <w:ind w:left="180" w:right="279" w:firstLine="648"/>
        <w:spacing w:after="0" w:line="232"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Revolving Credit Notes; Repayment of Revolving Credit Loans</w:t>
      </w:r>
      <w:r>
        <w:rPr>
          <w:rFonts w:ascii="Times New Roman" w:cs="Times New Roman" w:eastAsia="Times New Roman" w:hAnsi="Times New Roman"/>
          <w:sz w:val="22"/>
          <w:szCs w:val="22"/>
          <w:color w:val="auto"/>
        </w:rPr>
        <w:t xml:space="preserve">. The Revolving Credit Loans made by each Bank shall be evidenced by a single Revolving Credit Note duly executed on behalf of the Borrower, in substantially the form attached hereto as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with the blanks appropriately filled, payable to such Bank in a principal amount equal to the Commitment of such Bank. Each Revolving Credit Note shall bear interest from the date thereof on the outstanding principal balance thereof as set forth in Section 2.6. Each Bank shall, and is hereby authorized by the Borrower to, endorse on the schedule attached to the relevant Revolving Credit Note held by such Bank (or on a continuation of such schedule attached to each such Revolving Credit Note and made a part thereof), or otherwise to record in such Bank’s internal records, an appropriate notation evidencing the date and amount of each Revolving Credit Loan of such Bank, each payment or prepayment of principal of any Revolving Credit Loan, and the other information provided for on such schedule;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Bank to make such a notation or any error therein shall not in any manner affect the obligation of the Borrower to repay the Revolving Credit Loans made by such Bank in accordance with the terms of the relevant Revolving Credit Note. The outstanding principal balance of each Revolving Credit Loan, as evidenced by the relevant Revolving Credit Note, shall be payable on the Termination Date.</w:t>
      </w:r>
    </w:p>
    <w:p>
      <w:pPr>
        <w:spacing w:after="0" w:line="190" w:lineRule="exact"/>
        <w:rPr>
          <w:sz w:val="20"/>
          <w:szCs w:val="20"/>
          <w:color w:val="auto"/>
        </w:rPr>
      </w:pPr>
    </w:p>
    <w:p>
      <w:pPr>
        <w:ind w:left="180" w:right="5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Interest on Revolving Credit Loans</w:t>
      </w:r>
      <w:r>
        <w:rPr>
          <w:rFonts w:ascii="Times New Roman" w:cs="Times New Roman" w:eastAsia="Times New Roman" w:hAnsi="Times New Roman"/>
          <w:sz w:val="22"/>
          <w:szCs w:val="22"/>
          <w:color w:val="auto"/>
        </w:rPr>
        <w:t>. (a) Subject to the provisions of Section 2.7, each Base Rate Loan shall bear interest (computed on the basis of the actual number of days elapsed over a year of 360 days) at a rate per annum equal to the Base Rate.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8" w:name="page89"/>
    <w:bookmarkEnd w:id="88"/>
    <w:p>
      <w:pPr>
        <w:ind w:left="180" w:right="259" w:firstLine="1944"/>
        <w:spacing w:after="0" w:line="239" w:lineRule="auto"/>
        <w:rPr>
          <w:sz w:val="20"/>
          <w:szCs w:val="20"/>
          <w:color w:val="auto"/>
        </w:rPr>
      </w:pPr>
      <w:r>
        <w:rPr>
          <w:rFonts w:ascii="Times New Roman" w:cs="Times New Roman" w:eastAsia="Times New Roman" w:hAnsi="Times New Roman"/>
          <w:sz w:val="22"/>
          <w:szCs w:val="22"/>
          <w:color w:val="auto"/>
        </w:rPr>
        <w:t>(b) Subject to the provisions of Section 2.7, each Term SOFR Rate Loan shall bear interest (computed on the basis of the actual number of days elapsed over a year of 360 days) at a rate per annum equal to the Term SOFR Rate for the Interest Period in effect for such Loan plus the SOFR Adjustment plus seventy (70) basis points (0.70%).</w:t>
      </w:r>
    </w:p>
    <w:p>
      <w:pPr>
        <w:spacing w:after="0" w:line="180" w:lineRule="exact"/>
        <w:rPr>
          <w:sz w:val="20"/>
          <w:szCs w:val="20"/>
          <w:color w:val="auto"/>
        </w:rPr>
      </w:pPr>
    </w:p>
    <w:p>
      <w:pPr>
        <w:ind w:left="180" w:right="499" w:firstLine="1944"/>
        <w:spacing w:after="0" w:line="238" w:lineRule="auto"/>
        <w:rPr>
          <w:sz w:val="20"/>
          <w:szCs w:val="20"/>
          <w:color w:val="auto"/>
        </w:rPr>
      </w:pPr>
      <w:r>
        <w:rPr>
          <w:rFonts w:ascii="Times New Roman" w:cs="Times New Roman" w:eastAsia="Times New Roman" w:hAnsi="Times New Roman"/>
          <w:sz w:val="22"/>
          <w:szCs w:val="22"/>
          <w:color w:val="auto"/>
        </w:rPr>
        <w:t xml:space="preserve">(c) Interest on each Revolving Credit Loan shall be payable on each Interest Payment Date applicable to such Revolving Credit Loan;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interest accruing on overdue amounts pursuant to Section 2.7 shall be payable on demand as provided in the Revolving Credit Notes. The Term SOFR Rate and the Base Rate shall be determined by the Agent, and such determination shall be conclusive absent error.</w:t>
      </w:r>
    </w:p>
    <w:p>
      <w:pPr>
        <w:spacing w:after="0" w:line="177" w:lineRule="exact"/>
        <w:rPr>
          <w:sz w:val="20"/>
          <w:szCs w:val="20"/>
          <w:color w:val="auto"/>
        </w:rPr>
      </w:pPr>
    </w:p>
    <w:p>
      <w:pPr>
        <w:ind w:left="180" w:right="2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Default Rate; Additional Interest</w:t>
      </w:r>
      <w:r>
        <w:rPr>
          <w:rFonts w:ascii="Times New Roman" w:cs="Times New Roman" w:eastAsia="Times New Roman" w:hAnsi="Times New Roman"/>
          <w:sz w:val="22"/>
          <w:szCs w:val="22"/>
          <w:color w:val="auto"/>
        </w:rPr>
        <w:t>. To the extent not contrary to any Requirement of Law, upon the occurrence and during the continuation of an Event of Default, any principal, past due interest, fee or other amount outstanding hereunder shall, at the option of the Required Banks, bear interest for each day thereafter until paid in full (after as well as before judgment) at a rate per annum which shall be equal to two percent (2%) above the Base Rate (but in no event shall any such rate exceed the maximum rate permitted by any Requirement of Law). The Borrower acknowledges that such increased interest rate reflects, among other things, the fact that such loans or other amounts have become a substantially greater risk given their default status and that the Banks are entitled to additional compensation for such risk.</w:t>
      </w:r>
    </w:p>
    <w:p>
      <w:pPr>
        <w:spacing w:after="0" w:line="183" w:lineRule="exact"/>
        <w:rPr>
          <w:sz w:val="20"/>
          <w:szCs w:val="20"/>
          <w:color w:val="auto"/>
        </w:rPr>
      </w:pPr>
    </w:p>
    <w:p>
      <w:pPr>
        <w:ind w:left="180" w:right="57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Termination, Reduction, Extension of Commitments; Additional Banks</w:t>
      </w:r>
      <w:r>
        <w:rPr>
          <w:rFonts w:ascii="Times New Roman" w:cs="Times New Roman" w:eastAsia="Times New Roman" w:hAnsi="Times New Roman"/>
          <w:sz w:val="22"/>
          <w:szCs w:val="22"/>
          <w:color w:val="auto"/>
        </w:rPr>
        <w:t>. (a) The Commitments shall be automatically terminated on the Termination Date.</w:t>
      </w:r>
    </w:p>
    <w:p>
      <w:pPr>
        <w:spacing w:after="0" w:line="158" w:lineRule="exact"/>
        <w:rPr>
          <w:sz w:val="20"/>
          <w:szCs w:val="20"/>
          <w:color w:val="auto"/>
        </w:rPr>
      </w:pPr>
    </w:p>
    <w:p>
      <w:pPr>
        <w:ind w:left="180" w:right="299" w:firstLine="1944"/>
        <w:spacing w:after="0" w:line="235" w:lineRule="auto"/>
        <w:rPr>
          <w:sz w:val="20"/>
          <w:szCs w:val="20"/>
          <w:color w:val="auto"/>
        </w:rPr>
      </w:pPr>
      <w:r>
        <w:rPr>
          <w:rFonts w:ascii="Times New Roman" w:cs="Times New Roman" w:eastAsia="Times New Roman" w:hAnsi="Times New Roman"/>
          <w:sz w:val="22"/>
          <w:szCs w:val="22"/>
          <w:color w:val="auto"/>
        </w:rPr>
        <w:t>(b) Subject to the last sentence of this paragraph, upon at least three Business Days’ prior irrevocable written or telecopy notice to the Agent, the Borrower may at any time in whole permanently terminate, or from time to time permanently reduce, the Total Commitment. Each partial reduction of the Total Commitment shall be in a minimum principal amount of $1,000,000 or in whole multiples of $500,000 in excess thereof, and no such termination or reduction shall be made which would reduce the Total Commitment to an amount less than the aggregate outstanding principal amount of the Loans.</w:t>
      </w:r>
    </w:p>
    <w:p>
      <w:pPr>
        <w:spacing w:after="0" w:line="183" w:lineRule="exact"/>
        <w:rPr>
          <w:sz w:val="20"/>
          <w:szCs w:val="20"/>
          <w:color w:val="auto"/>
        </w:rPr>
      </w:pPr>
    </w:p>
    <w:p>
      <w:pPr>
        <w:ind w:left="180" w:right="299" w:firstLine="1944"/>
        <w:spacing w:after="0" w:line="239" w:lineRule="auto"/>
        <w:rPr>
          <w:sz w:val="20"/>
          <w:szCs w:val="20"/>
          <w:color w:val="auto"/>
        </w:rPr>
      </w:pPr>
      <w:r>
        <w:rPr>
          <w:rFonts w:ascii="Times New Roman" w:cs="Times New Roman" w:eastAsia="Times New Roman" w:hAnsi="Times New Roman"/>
          <w:sz w:val="22"/>
          <w:szCs w:val="22"/>
          <w:color w:val="auto"/>
        </w:rPr>
        <w:t>(c) Each reduction in the Total Commitment hereunder shall be made ratably among the Banks in accordance with their respective Commitment Percentages. In connection with any reduction of the Total Commitment, the Borrower shall make any prepayment required under subsection 2.9(b).</w:t>
      </w:r>
    </w:p>
    <w:p>
      <w:pPr>
        <w:spacing w:after="0" w:line="180" w:lineRule="exact"/>
        <w:rPr>
          <w:sz w:val="20"/>
          <w:szCs w:val="20"/>
          <w:color w:val="auto"/>
        </w:rPr>
      </w:pPr>
    </w:p>
    <w:p>
      <w:pPr>
        <w:ind w:left="180" w:right="199" w:firstLine="1944"/>
        <w:spacing w:after="0" w:line="234" w:lineRule="auto"/>
        <w:rPr>
          <w:sz w:val="20"/>
          <w:szCs w:val="20"/>
          <w:color w:val="auto"/>
        </w:rPr>
      </w:pPr>
      <w:r>
        <w:rPr>
          <w:rFonts w:ascii="Times New Roman" w:cs="Times New Roman" w:eastAsia="Times New Roman" w:hAnsi="Times New Roman"/>
          <w:sz w:val="22"/>
          <w:szCs w:val="22"/>
          <w:color w:val="auto"/>
        </w:rPr>
        <w:t>(d) During the period beginning ninety days prior to the Termination Date then in effect and ending sixty days prior to such Termination Date, the Borrower may deliver to the Agent (which shall promptly transmit to each Bank) a notice requesting that the Commitments be extended for a 364 day period beyond the Termination Date then in effect. Within thirty days after its receipt of any such notice, each Bank shall notify the Agent of its willingness or unwillingness so to extend its Commitment. Any Bank that shall fail so to notify the Agent within such period shall be deemed to have declined to extend its Commitment. If each (but only if each) Bank agrees to extend its Commitment, the Agent shall so notify the Borrower and each Bank, whereupon (i) the respective Commitments of the Banks shall without further act by any party hereto, be extended for a 364 day period beyond the Termination Date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9" w:name="page90"/>
    <w:bookmarkEnd w:id="89"/>
    <w:p>
      <w:pPr>
        <w:ind w:left="180" w:right="199"/>
        <w:spacing w:after="0" w:line="248" w:lineRule="exact"/>
        <w:rPr>
          <w:sz w:val="20"/>
          <w:szCs w:val="20"/>
          <w:color w:val="auto"/>
        </w:rPr>
      </w:pPr>
      <w:r>
        <w:rPr>
          <w:rFonts w:ascii="Times New Roman" w:cs="Times New Roman" w:eastAsia="Times New Roman" w:hAnsi="Times New Roman"/>
          <w:sz w:val="22"/>
          <w:szCs w:val="22"/>
          <w:color w:val="auto"/>
        </w:rPr>
        <w:t>then in effect and (ii) the term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thereafter mean the last day of such period. Any such extension shall be evidenced by a written agreement among the Agent, the Banks and the Borrower, such agreement to be in form and substance acceptable to the Agent, the Banks and the Borrower. In the event that one or more Banks (each a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Electing Bank</w:t>
      </w:r>
      <w:r>
        <w:rPr>
          <w:rFonts w:ascii="Times New Roman" w:cs="Times New Roman" w:eastAsia="Times New Roman" w:hAnsi="Times New Roman"/>
          <w:sz w:val="22"/>
          <w:szCs w:val="22"/>
          <w:color w:val="auto"/>
        </w:rPr>
        <w:t>”) shall have declined or been deemed to have declined to extend its or their Commitment and Banks holding a majority in amount of the Commitments shall have notified the Agent of their desire to extend their Commitments, the Borrower shall have the right, but not the obligation, at its own expense, upon notice to each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 and the Agent, to replace all (but not less than all)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Banks (in accordance with and subject to the restrictions contained in Section 9.6) at any time before the twentieth (20th) day prior to the Termination Date with one or more assignees (each a “</w:t>
      </w:r>
      <w:r>
        <w:rPr>
          <w:rFonts w:ascii="Times New Roman" w:cs="Times New Roman" w:eastAsia="Times New Roman" w:hAnsi="Times New Roman"/>
          <w:sz w:val="22"/>
          <w:szCs w:val="22"/>
          <w:u w:val="single" w:color="auto"/>
          <w:color w:val="auto"/>
        </w:rPr>
        <w:t>Replacement Bank</w:t>
      </w:r>
      <w:r>
        <w:rPr>
          <w:rFonts w:ascii="Times New Roman" w:cs="Times New Roman" w:eastAsia="Times New Roman" w:hAnsi="Times New Roman"/>
          <w:sz w:val="22"/>
          <w:szCs w:val="22"/>
          <w:color w:val="auto"/>
        </w:rPr>
        <w:t>”) willing to purchase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Banks’ interests hereunder and to agree to extend its or their Commitment in accordance with the notice referred to in the first sentence of this clause (d). In such event, each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Electing Bank shall promptly upon request transfer and assign without recourse (in accordance with and subject to the restrictions contained in Section 9.6) all its interests, rights and obligations under this Agreement to the applicable Replacement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no such assignment shall conflict with any law or any rule, regulation or order of any Governmental Authority, (ii) the applicable Replacement Bank shall pay to the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Electing Bank in immediately available funds on the date of such assignment the principal of and interest accrued to the date of payment on the Loans made by such Non-Electing Bank hereunder and all other amounts accrued for such Non-Electing Bank’s account or owed to it hereunder (including any unpaid costs or expenses), and (iii)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 shall not be required to sell its interests hereunder unless the Borrower has arranged for one or more Replacement Banks to acquire the interests of all other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Banks. If, as a result of the foregoing, each Bank (including Replacement Banks, but excluding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Electing Banks whose interests have been purchased as provided above) has agreed to extend its Commitment, the Commitments shall be extended as provided in clause (i) of the fourth sentence of this paragraph and the term Termination Date shall have the meaning set forth in clause (ii) in such fourth sentence of this clause (d).</w:t>
      </w:r>
    </w:p>
    <w:p>
      <w:pPr>
        <w:spacing w:after="0" w:line="206" w:lineRule="exact"/>
        <w:rPr>
          <w:sz w:val="20"/>
          <w:szCs w:val="20"/>
          <w:color w:val="auto"/>
        </w:rPr>
      </w:pPr>
    </w:p>
    <w:p>
      <w:pPr>
        <w:ind w:left="180" w:right="239" w:firstLine="1944"/>
        <w:spacing w:after="0" w:line="235" w:lineRule="auto"/>
        <w:rPr>
          <w:sz w:val="20"/>
          <w:szCs w:val="20"/>
          <w:color w:val="auto"/>
        </w:rPr>
      </w:pPr>
      <w:r>
        <w:rPr>
          <w:rFonts w:ascii="Times New Roman" w:cs="Times New Roman" w:eastAsia="Times New Roman" w:hAnsi="Times New Roman"/>
          <w:sz w:val="22"/>
          <w:szCs w:val="22"/>
          <w:color w:val="auto"/>
        </w:rPr>
        <w:t>(e) Any bank or financial institution becoming a party to this Agreement in compliance with the provisions of subsection 2.8(d) hereof shall execute and deliver to the Agent and the Banks and the Borrower a joinder and assumption agreement in form and substance satisfactory to the Agent. Upon execution and delivery of such joinder such additional bank or financial institution shall be a party hereto and one of the Banks hereunder for all purposes, all as of the date of such joinder. Simultaneously therewith the Borrower shall execute and deliver to such additional Bank an additional Note to the order of such additional Bank in an amount equal to the Commitment assumed by such additional Bank.</w:t>
      </w:r>
    </w:p>
    <w:p>
      <w:pPr>
        <w:spacing w:after="0" w:line="178" w:lineRule="exact"/>
        <w:rPr>
          <w:sz w:val="20"/>
          <w:szCs w:val="20"/>
          <w:color w:val="auto"/>
        </w:rPr>
      </w:pPr>
    </w:p>
    <w:p>
      <w:pPr>
        <w:ind w:left="180" w:right="3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Optional and Mandatory Prepayments of Loans</w:t>
      </w:r>
      <w:r>
        <w:rPr>
          <w:rFonts w:ascii="Times New Roman" w:cs="Times New Roman" w:eastAsia="Times New Roman" w:hAnsi="Times New Roman"/>
          <w:sz w:val="22"/>
          <w:szCs w:val="22"/>
          <w:color w:val="auto"/>
        </w:rPr>
        <w:t xml:space="preserve">. (a) The Borrower shall have the right at any time and from time to time to prepay any Borrowing, in whole or in part, without premium or penalty (but in any event subject to Section 2.13), upon prior written, telecopy or telephonic notice to the Agent given no later than 11:00 a.m., Philadelphia time, one Business Day before any proposed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such partial prepayment of a Term SOFR Rate Borrowing shall be in the principal amount of at least $500,000 or in whole multiples of $100,000 in excess thereof and each such partial prepayment of a Base Rate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0" w:name="page91"/>
    <w:bookmarkEnd w:id="90"/>
    <w:p>
      <w:pPr>
        <w:ind w:left="180" w:right="259"/>
        <w:spacing w:after="0" w:line="258" w:lineRule="auto"/>
        <w:rPr>
          <w:sz w:val="20"/>
          <w:szCs w:val="20"/>
          <w:color w:val="auto"/>
        </w:rPr>
      </w:pPr>
      <w:r>
        <w:rPr>
          <w:rFonts w:ascii="Times New Roman" w:cs="Times New Roman" w:eastAsia="Times New Roman" w:hAnsi="Times New Roman"/>
          <w:sz w:val="22"/>
          <w:szCs w:val="22"/>
          <w:color w:val="auto"/>
        </w:rPr>
        <w:t>Borrowing shall be in the principal amount of at least $250,000 or in whole multiples of $50,000 in excess thereof.</w:t>
      </w:r>
    </w:p>
    <w:p>
      <w:pPr>
        <w:spacing w:after="0" w:line="158" w:lineRule="exact"/>
        <w:rPr>
          <w:sz w:val="20"/>
          <w:szCs w:val="20"/>
          <w:color w:val="auto"/>
        </w:rPr>
      </w:pPr>
    </w:p>
    <w:p>
      <w:pPr>
        <w:ind w:left="180" w:right="559" w:firstLine="1944"/>
        <w:spacing w:after="0" w:line="238" w:lineRule="auto"/>
        <w:rPr>
          <w:sz w:val="20"/>
          <w:szCs w:val="20"/>
          <w:color w:val="auto"/>
        </w:rPr>
      </w:pPr>
      <w:r>
        <w:rPr>
          <w:rFonts w:ascii="Times New Roman" w:cs="Times New Roman" w:eastAsia="Times New Roman" w:hAnsi="Times New Roman"/>
          <w:sz w:val="22"/>
          <w:szCs w:val="22"/>
          <w:color w:val="auto"/>
        </w:rPr>
        <w:t>(b) On the date of any termination or reduction of the Total Commitment pursuant to Section 2.8, the Borrower shall pay or prepay so much of the Borrowings as shall be necessary in order that the aggregate principal amount of the Loans then outstanding will not exceed the Total Commitment after giving effect to such termination or reduction.</w:t>
      </w:r>
    </w:p>
    <w:p>
      <w:pPr>
        <w:spacing w:after="0" w:line="177"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Each notice of prepayment shall specify the prepayment date and the principal amount of each Borrowing to be prepaid, shall be irrevocable and shall commit the Borrower to prepay such Borrowing (or portion thereof) by the amount stated therein. All prepayments under this Section on other than Base Rate Borrowings shall be accompanied by accrued interest on the principal amount being prepaid to the date of prepayment.</w:t>
      </w:r>
    </w:p>
    <w:p>
      <w:pPr>
        <w:spacing w:after="0" w:line="177" w:lineRule="exact"/>
        <w:rPr>
          <w:sz w:val="20"/>
          <w:szCs w:val="20"/>
          <w:color w:val="auto"/>
        </w:rPr>
      </w:pPr>
    </w:p>
    <w:p>
      <w:pPr>
        <w:ind w:left="180" w:right="10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Term SOFR Rate Unascertainable; Increased Costs; Illegality; Benchmark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Replacement Setting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Unascertainable; Increased Costs</w:t>
      </w:r>
      <w:r>
        <w:rPr>
          <w:rFonts w:ascii="Times New Roman" w:cs="Times New Roman" w:eastAsia="Times New Roman" w:hAnsi="Times New Roman"/>
          <w:sz w:val="22"/>
          <w:szCs w:val="22"/>
          <w:color w:val="auto"/>
        </w:rPr>
        <w:t>. If, at any time:</w:t>
      </w:r>
    </w:p>
    <w:p>
      <w:pPr>
        <w:spacing w:after="0" w:line="206" w:lineRule="exact"/>
        <w:rPr>
          <w:sz w:val="20"/>
          <w:szCs w:val="20"/>
          <w:color w:val="auto"/>
        </w:rPr>
      </w:pPr>
    </w:p>
    <w:p>
      <w:pPr>
        <w:ind w:left="4080" w:hanging="1304"/>
        <w:spacing w:after="0"/>
        <w:tabs>
          <w:tab w:leader="none" w:pos="40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shall have determined (which determination</w:t>
      </w:r>
    </w:p>
    <w:p>
      <w:pPr>
        <w:spacing w:after="0" w:line="25" w:lineRule="exact"/>
        <w:rPr>
          <w:rFonts w:ascii="Times New Roman" w:cs="Times New Roman" w:eastAsia="Times New Roman" w:hAnsi="Times New Roman"/>
          <w:sz w:val="21"/>
          <w:szCs w:val="21"/>
          <w:color w:val="auto"/>
        </w:rPr>
      </w:pPr>
    </w:p>
    <w:p>
      <w:pPr>
        <w:ind w:left="1480" w:right="6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be conclusive and binding absent manifest error) that the Term SOFR Rate cannot be determined pursuant to the definition thereof, or</w:t>
      </w:r>
    </w:p>
    <w:p>
      <w:pPr>
        <w:spacing w:after="0" w:line="178" w:lineRule="exact"/>
        <w:rPr>
          <w:rFonts w:ascii="Times New Roman" w:cs="Times New Roman" w:eastAsia="Times New Roman" w:hAnsi="Times New Roman"/>
          <w:sz w:val="21"/>
          <w:szCs w:val="21"/>
          <w:color w:val="auto"/>
        </w:rPr>
      </w:pPr>
    </w:p>
    <w:p>
      <w:pPr>
        <w:ind w:left="1480" w:right="339" w:firstLine="1296"/>
        <w:spacing w:after="0" w:line="236" w:lineRule="auto"/>
        <w:tabs>
          <w:tab w:leader="none" w:pos="40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Banks determine that for any reason in connection with any request for a Term SOFR Rate Loan or a conversion thereto or a continuation thereof that the Term SOFR Rate does not adequately and fairly reflect the cost to such Banks of funding, establishing or maintaining such Loan during the applicable Interest Period, and the Required Banks have provided notice of such determination to the Agent,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then the Agent shall have the rights specified in subsection 2.10(c).</w:t>
      </w:r>
    </w:p>
    <w:p>
      <w:pPr>
        <w:spacing w:after="0" w:line="206" w:lineRule="exact"/>
        <w:rPr>
          <w:sz w:val="20"/>
          <w:szCs w:val="20"/>
          <w:color w:val="auto"/>
        </w:rPr>
      </w:pPr>
    </w:p>
    <w:p>
      <w:pPr>
        <w:ind w:left="180" w:right="419" w:firstLine="1944"/>
        <w:spacing w:after="0" w:line="23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xml:space="preserve">. If at any time any Bank shall have determined, or any Governmental Authority shall have asserted, that the making, maintenance or funding of any Term SOFR Rate Loan, or the determination or charging of interest rates based on the Term SOFR Rate, has been made impracticable or unlawful by compliance by such Bank in good faith with any Law or any interpretation or application thereof by any Governmental Authority or with any request or directive of any such Governmental Authority (whether or not having the force of Law), then the Agent shall have the rights specified in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80" w:right="239" w:firstLine="1944"/>
        <w:spacing w:after="0" w:line="235"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Agent’s and Bank’s Rights</w:t>
      </w:r>
      <w:r>
        <w:rPr>
          <w:rFonts w:ascii="Times New Roman" w:cs="Times New Roman" w:eastAsia="Times New Roman" w:hAnsi="Times New Roman"/>
          <w:sz w:val="22"/>
          <w:szCs w:val="22"/>
          <w:color w:val="auto"/>
        </w:rPr>
        <w:t xml:space="preserve">. In the case of any event specified in </w:t>
      </w:r>
      <w:r>
        <w:rPr>
          <w:rFonts w:ascii="Times New Roman" w:cs="Times New Roman" w:eastAsia="Times New Roman" w:hAnsi="Times New Roman"/>
          <w:sz w:val="22"/>
          <w:szCs w:val="22"/>
          <w:u w:val="single" w:color="auto"/>
          <w:color w:val="auto"/>
        </w:rPr>
        <w:t>subsection 2.10(a)</w:t>
      </w:r>
      <w:r>
        <w:rPr>
          <w:rFonts w:ascii="Times New Roman" w:cs="Times New Roman" w:eastAsia="Times New Roman" w:hAnsi="Times New Roman"/>
          <w:sz w:val="22"/>
          <w:szCs w:val="22"/>
          <w:color w:val="auto"/>
        </w:rPr>
        <w:t xml:space="preserve"> above, the Agent shall promptly so notify the Banks and the Borrower thereof, and in the case of an event specified in </w:t>
      </w:r>
      <w:r>
        <w:rPr>
          <w:rFonts w:ascii="Times New Roman" w:cs="Times New Roman" w:eastAsia="Times New Roman" w:hAnsi="Times New Roman"/>
          <w:sz w:val="22"/>
          <w:szCs w:val="22"/>
          <w:u w:val="single" w:color="auto"/>
          <w:color w:val="auto"/>
        </w:rPr>
        <w:t>subsection 2.10(b)</w:t>
      </w:r>
      <w:r>
        <w:rPr>
          <w:rFonts w:ascii="Times New Roman" w:cs="Times New Roman" w:eastAsia="Times New Roman" w:hAnsi="Times New Roman"/>
          <w:sz w:val="22"/>
          <w:szCs w:val="22"/>
          <w:color w:val="auto"/>
        </w:rPr>
        <w:t xml:space="preserve"> above, such Bank shall promptly so notify the Agent and endorse a certificate to such notice as to the specific circumstances of such notice, and the Agent shall promptly send copies of such notice and certificate to the other Banks and the Borrower. Upon such date as shall be specified in such notice (which shall not be earlier than the date such notice is given), the obligation of (i) the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1" w:name="page92"/>
    <w:bookmarkEnd w:id="91"/>
    <w:p>
      <w:pPr>
        <w:ind w:left="180" w:right="199"/>
        <w:spacing w:after="0" w:line="232" w:lineRule="auto"/>
        <w:rPr>
          <w:sz w:val="20"/>
          <w:szCs w:val="20"/>
          <w:color w:val="auto"/>
        </w:rPr>
      </w:pPr>
      <w:r>
        <w:rPr>
          <w:rFonts w:ascii="Times New Roman" w:cs="Times New Roman" w:eastAsia="Times New Roman" w:hAnsi="Times New Roman"/>
          <w:sz w:val="22"/>
          <w:szCs w:val="22"/>
          <w:color w:val="auto"/>
        </w:rPr>
        <w:t xml:space="preserve">Banks, in the case of such notice given by the Agent, or (ii) such Bank, in the case of such notice given by such Bank, to allow the Borrower to select, convert to, renew or continue a Term SOFR Rate Loan shall be suspended (to the extent of the affected Term SOFR Rate Loan or Interest Periods) until the Agent shall have later notified the Borrower, or such Bank shall have later notified the Agent, of the Agent’s or such Bank’s, as the case may be, determination that the circumstances giving rise to such previous determination no longer exist. If at any time the Agent makes a determination under </w:t>
      </w:r>
      <w:r>
        <w:rPr>
          <w:rFonts w:ascii="Times New Roman" w:cs="Times New Roman" w:eastAsia="Times New Roman" w:hAnsi="Times New Roman"/>
          <w:sz w:val="22"/>
          <w:szCs w:val="22"/>
          <w:u w:val="single" w:color="auto"/>
          <w:color w:val="auto"/>
        </w:rPr>
        <w:t>subsection 2.10(a)</w:t>
      </w:r>
      <w:r>
        <w:rPr>
          <w:rFonts w:ascii="Times New Roman" w:cs="Times New Roman" w:eastAsia="Times New Roman" w:hAnsi="Times New Roman"/>
          <w:sz w:val="22"/>
          <w:szCs w:val="22"/>
          <w:color w:val="auto"/>
        </w:rPr>
        <w:t xml:space="preserve"> and the Borrower has previously notified the Agent of its selection of, conversion to or renewal of a Term SOFR Rate Option and the Term SOFR Rate Option has not yet gone into effect, such notification shall be deemed to provide for selection of, conversion to or renewal of the Base Rate Option otherwise available with respect to such Loans. If any Bank notifies the Agent of a determination under </w:t>
      </w:r>
      <w:r>
        <w:rPr>
          <w:rFonts w:ascii="Times New Roman" w:cs="Times New Roman" w:eastAsia="Times New Roman" w:hAnsi="Times New Roman"/>
          <w:sz w:val="22"/>
          <w:szCs w:val="22"/>
          <w:u w:val="single" w:color="auto"/>
          <w:color w:val="auto"/>
        </w:rPr>
        <w:t>subsection 2.10(b)</w:t>
      </w:r>
      <w:r>
        <w:rPr>
          <w:rFonts w:ascii="Times New Roman" w:cs="Times New Roman" w:eastAsia="Times New Roman" w:hAnsi="Times New Roman"/>
          <w:sz w:val="22"/>
          <w:szCs w:val="22"/>
          <w:color w:val="auto"/>
        </w:rPr>
        <w:t xml:space="preserve"> , the Borrower shall, subject to the Borrower’s indemnification obligations under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as to any Loan of the Bank to which a Term SOFR Rate Option applies, on the date specified in such notice either convert such Loan to the Base Rate Option otherwise available with respect to such Loan or prepay such Loan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Absent due notice from the Borrower of conversion or prepayment, such Loan shall automatically be converted to the Base Rate Option otherwise available with respect to such Loan upon such specified date.</w:t>
      </w:r>
    </w:p>
    <w:p>
      <w:pPr>
        <w:spacing w:after="0" w:line="190"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right="199" w:firstLine="1296"/>
        <w:spacing w:after="0" w:line="243" w:lineRule="auto"/>
        <w:tabs>
          <w:tab w:leader="none" w:pos="4073"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Loan Document (and any agreement executed in connection with an interest rate hedge agreement or contract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w:t>
      </w:r>
    </w:p>
    <w:p>
      <w:pPr>
        <w:spacing w:after="0" w:line="5" w:lineRule="exact"/>
        <w:rPr>
          <w:rFonts w:ascii="Times New Roman" w:cs="Times New Roman" w:eastAsia="Times New Roman" w:hAnsi="Times New Roman"/>
          <w:sz w:val="21"/>
          <w:szCs w:val="21"/>
          <w:color w:val="auto"/>
        </w:rPr>
      </w:pPr>
    </w:p>
    <w:p>
      <w:pPr>
        <w:ind w:left="1480" w:right="259"/>
        <w:spacing w:after="0" w:line="232" w:lineRule="auto"/>
        <w:tabs>
          <w:tab w:leader="none" w:pos="182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Banks without any amendment to, or further action or consent of any other party to, this Agreement or any other Loan Document so long as the Agent has not received, by such time, written notice of objection to such Benchmark Replacement from Banks comprising the Required Banks.</w:t>
      </w:r>
    </w:p>
    <w:p>
      <w:pPr>
        <w:spacing w:after="0" w:line="176"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with the use, administration, adoption or implementation of a</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2" w:name="page93"/>
    <w:bookmarkEnd w:id="92"/>
    <w:p>
      <w:pPr>
        <w:ind w:left="1480" w:right="399"/>
        <w:spacing w:after="0" w:line="238" w:lineRule="auto"/>
        <w:rPr>
          <w:sz w:val="20"/>
          <w:szCs w:val="20"/>
          <w:color w:val="auto"/>
        </w:rPr>
      </w:pPr>
      <w:r>
        <w:rPr>
          <w:rFonts w:ascii="Times New Roman" w:cs="Times New Roman" w:eastAsia="Times New Roman" w:hAnsi="Times New Roman"/>
          <w:sz w:val="22"/>
          <w:szCs w:val="22"/>
          <w:color w:val="auto"/>
        </w:rPr>
        <w:t>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7" w:lineRule="exact"/>
        <w:rPr>
          <w:sz w:val="20"/>
          <w:szCs w:val="20"/>
          <w:color w:val="auto"/>
        </w:rPr>
      </w:pPr>
    </w:p>
    <w:p>
      <w:pPr>
        <w:ind w:left="4080" w:hanging="1304"/>
        <w:spacing w:after="0"/>
        <w:tabs>
          <w:tab w:leader="none" w:pos="4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480" w:right="199" w:firstLine="54"/>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will promptly notify the Borrower and the Banks of (A) the implementation of any Benchmark Replacement, and (B) the effectiveness of any Conforming Changes in connection with the use, administration, adoption or implementation of a Benchmark Replacement. The Agent will notify the Borrower of (x) the removal or reinstatement of any tenor of a Benchmark pursuant to paragraph (iv) below and (y) the commencement of any Benchmark Unavailability Period. Any determination, decision or election that may be made by the Agent or, if applicable, any Bank (or group of Banks)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85" w:lineRule="exact"/>
        <w:rPr>
          <w:rFonts w:ascii="Times New Roman" w:cs="Times New Roman" w:eastAsia="Times New Roman" w:hAnsi="Times New Roman"/>
          <w:sz w:val="22"/>
          <w:szCs w:val="22"/>
          <w:color w:val="auto"/>
        </w:rPr>
      </w:pPr>
    </w:p>
    <w:p>
      <w:pPr>
        <w:ind w:left="4120" w:hanging="1344"/>
        <w:spacing w:after="0"/>
        <w:tabs>
          <w:tab w:leader="none" w:pos="4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480" w:right="199" w:firstLine="54"/>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Agent in its reasonable discretion or (II)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83" w:lineRule="exact"/>
        <w:rPr>
          <w:rFonts w:ascii="Times New Roman" w:cs="Times New Roman" w:eastAsia="Times New Roman" w:hAnsi="Times New Roman"/>
          <w:sz w:val="22"/>
          <w:szCs w:val="22"/>
          <w:color w:val="auto"/>
        </w:rPr>
      </w:pPr>
    </w:p>
    <w:p>
      <w:pPr>
        <w:ind w:left="4120" w:hanging="1344"/>
        <w:spacing w:after="0"/>
        <w:tabs>
          <w:tab w:leader="none" w:pos="4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w:t>
      </w:r>
    </w:p>
    <w:p>
      <w:pPr>
        <w:spacing w:after="0" w:line="14" w:lineRule="exact"/>
        <w:rPr>
          <w:rFonts w:ascii="Times New Roman" w:cs="Times New Roman" w:eastAsia="Times New Roman" w:hAnsi="Times New Roman"/>
          <w:sz w:val="22"/>
          <w:szCs w:val="22"/>
          <w:color w:val="auto"/>
        </w:rPr>
      </w:pPr>
    </w:p>
    <w:p>
      <w:pPr>
        <w:ind w:left="1480" w:right="259"/>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3" w:name="page94"/>
    <w:bookmarkEnd w:id="93"/>
    <w:p>
      <w:pPr>
        <w:ind w:left="1480" w:right="459"/>
        <w:spacing w:after="0" w:line="248" w:lineRule="auto"/>
        <w:rPr>
          <w:sz w:val="20"/>
          <w:szCs w:val="20"/>
          <w:color w:val="auto"/>
        </w:rPr>
      </w:pPr>
      <w:r>
        <w:rPr>
          <w:rFonts w:ascii="Times New Roman" w:cs="Times New Roman" w:eastAsia="Times New Roman" w:hAnsi="Times New Roman"/>
          <w:sz w:val="21"/>
          <w:szCs w:val="21"/>
          <w:color w:val="auto"/>
        </w:rPr>
        <w:t>to such Benchmark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0" w:lineRule="exact"/>
        <w:rPr>
          <w:sz w:val="20"/>
          <w:szCs w:val="20"/>
          <w:color w:val="auto"/>
        </w:rPr>
      </w:pPr>
    </w:p>
    <w:p>
      <w:pPr>
        <w:ind w:left="4120" w:hanging="1344"/>
        <w:spacing w:after="0"/>
        <w:tabs>
          <w:tab w:leader="none" w:pos="41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Section:</w:t>
      </w:r>
    </w:p>
    <w:p>
      <w:pPr>
        <w:spacing w:after="0" w:line="206" w:lineRule="exact"/>
        <w:rPr>
          <w:sz w:val="20"/>
          <w:szCs w:val="20"/>
          <w:color w:val="auto"/>
        </w:rPr>
      </w:pPr>
    </w:p>
    <w:p>
      <w:pPr>
        <w:ind w:left="1480" w:right="25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83" w:lineRule="exact"/>
        <w:rPr>
          <w:sz w:val="20"/>
          <w:szCs w:val="20"/>
          <w:color w:val="auto"/>
        </w:rPr>
      </w:pPr>
    </w:p>
    <w:p>
      <w:pPr>
        <w:ind w:left="1480" w:right="3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SOFR and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77" w:lineRule="exact"/>
        <w:rPr>
          <w:sz w:val="20"/>
          <w:szCs w:val="20"/>
          <w:color w:val="auto"/>
        </w:rPr>
      </w:pPr>
    </w:p>
    <w:p>
      <w:pPr>
        <w:ind w:left="1480" w:right="47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with respect to any Benchmark Transition Event, the first alternative set forth in the order below that can be determined by the Agent for the applicable Benchmark Replacement Date:</w:t>
      </w:r>
    </w:p>
    <w:p>
      <w:pPr>
        <w:spacing w:after="0" w:line="157" w:lineRule="exact"/>
        <w:rPr>
          <w:sz w:val="20"/>
          <w:szCs w:val="20"/>
          <w:color w:val="auto"/>
        </w:rPr>
      </w:pPr>
    </w:p>
    <w:p>
      <w:pPr>
        <w:ind w:left="3440" w:hanging="664"/>
        <w:spacing w:after="0"/>
        <w:tabs>
          <w:tab w:leader="none" w:pos="34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SOFR</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Adjustment; or</w:t>
      </w:r>
    </w:p>
    <w:p>
      <w:pPr>
        <w:spacing w:after="0" w:line="182" w:lineRule="exact"/>
        <w:rPr>
          <w:rFonts w:ascii="Times New Roman" w:cs="Times New Roman" w:eastAsia="Times New Roman" w:hAnsi="Times New Roman"/>
          <w:sz w:val="22"/>
          <w:szCs w:val="22"/>
          <w:color w:val="auto"/>
        </w:rPr>
      </w:pPr>
    </w:p>
    <w:p>
      <w:pPr>
        <w:ind w:left="1480" w:right="259" w:firstLine="1296"/>
        <w:spacing w:after="0" w:line="235" w:lineRule="auto"/>
        <w:tabs>
          <w:tab w:leader="none" w:pos="343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78" w:lineRule="exact"/>
        <w:rPr>
          <w:sz w:val="20"/>
          <w:szCs w:val="20"/>
          <w:color w:val="auto"/>
        </w:rPr>
      </w:pPr>
    </w:p>
    <w:p>
      <w:pPr>
        <w:ind w:left="1480" w:right="239"/>
        <w:spacing w:after="0" w:line="23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Benchmark Replacement shall be administratively feasible as determined by the Agent in its sole discretion.</w:t>
      </w:r>
    </w:p>
    <w:p>
      <w:pPr>
        <w:spacing w:after="0" w:line="177" w:lineRule="exact"/>
        <w:rPr>
          <w:sz w:val="20"/>
          <w:szCs w:val="20"/>
          <w:color w:val="auto"/>
        </w:rPr>
      </w:pPr>
    </w:p>
    <w:p>
      <w:pPr>
        <w:ind w:left="1480" w:right="45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4" w:name="page95"/>
    <w:bookmarkEnd w:id="94"/>
    <w:p>
      <w:pPr>
        <w:ind w:left="1480" w:right="219"/>
        <w:spacing w:after="0" w:line="246" w:lineRule="auto"/>
        <w:rPr>
          <w:sz w:val="20"/>
          <w:szCs w:val="20"/>
          <w:color w:val="auto"/>
        </w:rPr>
      </w:pPr>
      <w:r>
        <w:rPr>
          <w:rFonts w:ascii="Times New Roman" w:cs="Times New Roman" w:eastAsia="Times New Roman" w:hAnsi="Times New Roman"/>
          <w:sz w:val="21"/>
          <w:szCs w:val="21"/>
          <w:color w:val="auto"/>
        </w:rPr>
        <w:t>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71" w:lineRule="exact"/>
        <w:rPr>
          <w:sz w:val="20"/>
          <w:szCs w:val="20"/>
          <w:color w:val="auto"/>
        </w:rPr>
      </w:pPr>
    </w:p>
    <w:p>
      <w:pPr>
        <w:jc w:val="both"/>
        <w:ind w:left="1480" w:right="3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a date and time determined by the Agent, which date shall be no later than the earliest to occur of the following events with respect to the then-current Benchmark:</w:t>
      </w:r>
    </w:p>
    <w:p>
      <w:pPr>
        <w:spacing w:after="0" w:line="173" w:lineRule="exact"/>
        <w:rPr>
          <w:sz w:val="20"/>
          <w:szCs w:val="20"/>
          <w:color w:val="auto"/>
        </w:rPr>
      </w:pPr>
    </w:p>
    <w:p>
      <w:pPr>
        <w:ind w:left="1480" w:right="399" w:firstLine="1296"/>
        <w:spacing w:after="0" w:line="248" w:lineRule="auto"/>
        <w:tabs>
          <w:tab w:leader="none" w:pos="343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70" w:lineRule="exact"/>
        <w:rPr>
          <w:rFonts w:ascii="Times New Roman" w:cs="Times New Roman" w:eastAsia="Times New Roman" w:hAnsi="Times New Roman"/>
          <w:sz w:val="21"/>
          <w:szCs w:val="21"/>
          <w:color w:val="auto"/>
        </w:rPr>
      </w:pPr>
    </w:p>
    <w:p>
      <w:pPr>
        <w:jc w:val="both"/>
        <w:ind w:left="1480" w:right="659" w:firstLine="1296"/>
        <w:spacing w:after="0" w:line="239" w:lineRule="auto"/>
        <w:tabs>
          <w:tab w:leader="none" w:pos="343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80" w:lineRule="exact"/>
        <w:rPr>
          <w:sz w:val="20"/>
          <w:szCs w:val="20"/>
          <w:color w:val="auto"/>
        </w:rPr>
      </w:pPr>
    </w:p>
    <w:p>
      <w:pPr>
        <w:ind w:left="1480" w:right="279"/>
        <w:spacing w:after="0" w:line="23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left="1480" w:right="25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ind w:left="1480" w:right="219" w:firstLine="1296"/>
        <w:spacing w:after="0" w:line="235" w:lineRule="auto"/>
        <w:tabs>
          <w:tab w:leader="none" w:pos="343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5" w:name="page96"/>
    <w:bookmarkEnd w:id="95"/>
    <w:p>
      <w:pPr>
        <w:ind w:left="1480" w:right="359"/>
        <w:spacing w:after="0" w:line="258" w:lineRule="auto"/>
        <w:rPr>
          <w:sz w:val="20"/>
          <w:szCs w:val="20"/>
          <w:color w:val="auto"/>
        </w:rPr>
      </w:pPr>
      <w:r>
        <w:rPr>
          <w:rFonts w:ascii="Times New Roman" w:cs="Times New Roman" w:eastAsia="Times New Roman" w:hAnsi="Times New Roman"/>
          <w:sz w:val="22"/>
          <w:szCs w:val="22"/>
          <w:color w:val="auto"/>
        </w:rPr>
        <w:t>administrator that will continue to provide any Available Tenor of such Benchmark (or such component thereof);</w:t>
      </w:r>
    </w:p>
    <w:p>
      <w:pPr>
        <w:spacing w:after="0" w:line="158" w:lineRule="exact"/>
        <w:rPr>
          <w:sz w:val="20"/>
          <w:szCs w:val="20"/>
          <w:color w:val="auto"/>
        </w:rPr>
      </w:pPr>
    </w:p>
    <w:p>
      <w:pPr>
        <w:ind w:left="3440" w:hanging="664"/>
        <w:spacing w:after="0"/>
        <w:tabs>
          <w:tab w:leader="none" w:pos="34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w:t>
      </w:r>
    </w:p>
    <w:p>
      <w:pPr>
        <w:spacing w:after="0" w:line="14" w:lineRule="exact"/>
        <w:rPr>
          <w:sz w:val="20"/>
          <w:szCs w:val="20"/>
          <w:color w:val="auto"/>
        </w:rPr>
      </w:pPr>
    </w:p>
    <w:p>
      <w:pPr>
        <w:ind w:left="1480" w:right="259"/>
        <w:spacing w:after="0" w:line="231" w:lineRule="auto"/>
        <w:rPr>
          <w:sz w:val="20"/>
          <w:szCs w:val="20"/>
          <w:color w:val="auto"/>
        </w:rPr>
      </w:pPr>
      <w:r>
        <w:rPr>
          <w:rFonts w:ascii="Times New Roman" w:cs="Times New Roman" w:eastAsia="Times New Roman" w:hAnsi="Times New Roman"/>
          <w:sz w:val="22"/>
          <w:szCs w:val="22"/>
          <w:color w:val="auto"/>
        </w:rPr>
        <w:t>a Governmental Authority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184" w:lineRule="exact"/>
        <w:rPr>
          <w:sz w:val="20"/>
          <w:szCs w:val="20"/>
          <w:color w:val="auto"/>
        </w:rPr>
      </w:pPr>
    </w:p>
    <w:p>
      <w:pPr>
        <w:ind w:left="1480" w:right="279" w:firstLine="1296"/>
        <w:spacing w:after="0" w:line="235" w:lineRule="auto"/>
        <w:tabs>
          <w:tab w:leader="none" w:pos="343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Governmental Authority having jurisdiction over the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83" w:lineRule="exact"/>
        <w:rPr>
          <w:sz w:val="20"/>
          <w:szCs w:val="20"/>
          <w:color w:val="auto"/>
        </w:rPr>
      </w:pPr>
    </w:p>
    <w:p>
      <w:pPr>
        <w:ind w:left="1400" w:right="339" w:firstLine="1377"/>
        <w:spacing w:after="0" w:line="23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w:t>
      </w:r>
    </w:p>
    <w:p>
      <w:pPr>
        <w:spacing w:after="0" w:line="14" w:lineRule="exact"/>
        <w:rPr>
          <w:sz w:val="20"/>
          <w:szCs w:val="20"/>
          <w:color w:val="auto"/>
        </w:rPr>
      </w:pPr>
    </w:p>
    <w:p>
      <w:pPr>
        <w:ind w:left="1400" w:right="219" w:hanging="1"/>
        <w:spacing w:after="0" w:line="232" w:lineRule="auto"/>
        <w:tabs>
          <w:tab w:leader="none" w:pos="170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at the time that a Benchmark Replacement Date has occurred if, at such time, no Benchmark Replacement has replaced the then-current Benchmark for all purposes hereunder and under any Loan Document in accordance with this Section 2.10(d) titled “Benchmark Replacement Setting” and (y) ending at the time that a Benchmark Replacement has replaced the then-current Benchmark for all purposes hereunder and under any Loan Document in accordance with this Section 2.10(d) titled “Benchmark Replacement Setting.”</w:t>
      </w:r>
    </w:p>
    <w:p>
      <w:pPr>
        <w:spacing w:after="0" w:line="181" w:lineRule="exact"/>
        <w:rPr>
          <w:sz w:val="20"/>
          <w:szCs w:val="20"/>
          <w:color w:val="auto"/>
        </w:rPr>
      </w:pPr>
    </w:p>
    <w:p>
      <w:pPr>
        <w:ind w:left="1400" w:right="739" w:firstLine="137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6" w:name="page97"/>
    <w:bookmarkEnd w:id="96"/>
    <w:p>
      <w:pPr>
        <w:ind w:left="1400" w:right="679"/>
        <w:spacing w:after="0" w:line="258" w:lineRule="auto"/>
        <w:rPr>
          <w:sz w:val="20"/>
          <w:szCs w:val="20"/>
          <w:color w:val="auto"/>
        </w:rPr>
      </w:pPr>
      <w:r>
        <w:rPr>
          <w:rFonts w:ascii="Times New Roman" w:cs="Times New Roman" w:eastAsia="Times New Roman" w:hAnsi="Times New Roman"/>
          <w:sz w:val="22"/>
          <w:szCs w:val="22"/>
          <w:color w:val="auto"/>
        </w:rPr>
        <w:t>amendment or renewal of this Agreement or otherwise) with respect to the Term SOFR Rate or, if no floor is specified, zero.</w:t>
      </w:r>
    </w:p>
    <w:p>
      <w:pPr>
        <w:spacing w:after="0" w:line="158" w:lineRule="exact"/>
        <w:rPr>
          <w:sz w:val="20"/>
          <w:szCs w:val="20"/>
          <w:color w:val="auto"/>
        </w:rPr>
      </w:pPr>
    </w:p>
    <w:p>
      <w:pPr>
        <w:ind w:left="1400" w:right="219" w:firstLine="13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7" w:lineRule="exact"/>
        <w:rPr>
          <w:sz w:val="20"/>
          <w:szCs w:val="20"/>
          <w:color w:val="auto"/>
        </w:rPr>
      </w:pPr>
    </w:p>
    <w:p>
      <w:pPr>
        <w:ind w:left="1480" w:right="559"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35"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Requirements of Law</w:t>
      </w:r>
      <w:r>
        <w:rPr>
          <w:rFonts w:ascii="Times New Roman" w:cs="Times New Roman" w:eastAsia="Times New Roman" w:hAnsi="Times New Roman"/>
          <w:sz w:val="21"/>
          <w:szCs w:val="21"/>
          <w:color w:val="auto"/>
        </w:rPr>
        <w:t>. (a) In the event that any Change in Law shall:</w:t>
      </w:r>
    </w:p>
    <w:p>
      <w:pPr>
        <w:spacing w:after="0" w:line="206" w:lineRule="exact"/>
        <w:rPr>
          <w:sz w:val="20"/>
          <w:szCs w:val="20"/>
          <w:color w:val="auto"/>
        </w:rPr>
      </w:pPr>
    </w:p>
    <w:p>
      <w:pPr>
        <w:ind w:left="4080" w:hanging="1304"/>
        <w:spacing w:after="0"/>
        <w:tabs>
          <w:tab w:leader="none" w:pos="4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Bank or the Agent to any tax of any kind</w:t>
      </w:r>
    </w:p>
    <w:p>
      <w:pPr>
        <w:spacing w:after="0" w:line="14" w:lineRule="exact"/>
        <w:rPr>
          <w:rFonts w:ascii="Times New Roman" w:cs="Times New Roman" w:eastAsia="Times New Roman" w:hAnsi="Times New Roman"/>
          <w:sz w:val="22"/>
          <w:szCs w:val="22"/>
          <w:color w:val="auto"/>
        </w:rPr>
      </w:pPr>
    </w:p>
    <w:p>
      <w:pPr>
        <w:ind w:left="1480" w:right="239"/>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whatsoever with respect to this Agreement, any Note or Term SOFR Rate Loan made by it, or change the basis of taxation of payments to such Bank in respect thereof (except for Taxes or Other Taxes covered by Section 2.12 and the imposition of, or any change in the rate of, any Excluded Tax payable by any Bank);</w:t>
      </w:r>
    </w:p>
    <w:p>
      <w:pPr>
        <w:spacing w:after="0" w:line="169"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w:t>
      </w:r>
    </w:p>
    <w:p>
      <w:pPr>
        <w:spacing w:after="0" w:line="14" w:lineRule="exact"/>
        <w:rPr>
          <w:rFonts w:ascii="Times New Roman" w:cs="Times New Roman" w:eastAsia="Times New Roman" w:hAnsi="Times New Roman"/>
          <w:sz w:val="22"/>
          <w:szCs w:val="22"/>
          <w:color w:val="auto"/>
        </w:rPr>
      </w:pPr>
    </w:p>
    <w:p>
      <w:pPr>
        <w:ind w:left="1480" w:right="21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deposit, compulsory loan, insurance charge or similar requirement against assets of, deposits with or for the account of, or credit extended or participated in by, any Bank; or</w:t>
      </w:r>
    </w:p>
    <w:p>
      <w:pPr>
        <w:spacing w:after="0" w:line="177" w:lineRule="exact"/>
        <w:rPr>
          <w:rFonts w:ascii="Times New Roman" w:cs="Times New Roman" w:eastAsia="Times New Roman" w:hAnsi="Times New Roman"/>
          <w:sz w:val="22"/>
          <w:szCs w:val="22"/>
          <w:color w:val="auto"/>
        </w:rPr>
      </w:pPr>
    </w:p>
    <w:p>
      <w:pPr>
        <w:ind w:left="4080" w:hanging="1304"/>
        <w:spacing w:after="0"/>
        <w:tabs>
          <w:tab w:leader="none" w:pos="4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Bank or the relevant market any other</w:t>
      </w:r>
    </w:p>
    <w:p>
      <w:pPr>
        <w:spacing w:after="0" w:line="14" w:lineRule="exact"/>
        <w:rPr>
          <w:rFonts w:ascii="Times New Roman" w:cs="Times New Roman" w:eastAsia="Times New Roman" w:hAnsi="Times New Roman"/>
          <w:sz w:val="22"/>
          <w:szCs w:val="22"/>
          <w:color w:val="auto"/>
        </w:rPr>
      </w:pPr>
    </w:p>
    <w:p>
      <w:pPr>
        <w:ind w:left="1480" w:right="7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 cost or expense affecting this Agreement or any Loan made by such Bank;</w:t>
      </w:r>
    </w:p>
    <w:p>
      <w:pPr>
        <w:spacing w:after="0" w:line="178" w:lineRule="exact"/>
        <w:rPr>
          <w:sz w:val="20"/>
          <w:szCs w:val="20"/>
          <w:color w:val="auto"/>
        </w:rPr>
      </w:pPr>
    </w:p>
    <w:p>
      <w:pPr>
        <w:ind w:left="180" w:right="239"/>
        <w:spacing w:after="0" w:line="232"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Bank or the Agent of making, converting to, continuing or maintaining any Loan (or of maintaining its obligation to make any such Loan), or to increase the cost to such Bank or the Agent, or to reduce the amount of any sum received or receivable by such Bank or the Agent hereunder (whether of principal, interest or any other amount) then, upon request of such Bank or the Agent, the Borrower will pay to such Bank or the Agent, such additional amount or amounts as will compensate such Bank or the Agent, for such additional costs incurred or reduction suffered;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of any Change in Law imposing a reserve percentage on any interest rate based on SOFR, the Agent, in its reasonable discretion, may modify the calculation of each such SOFR-based interest rate to add (or otherwise account for) such reserve percentage. Failure or delay on the part of any Bank or the Agent to demand compensation pursuant to this subsection shall not constitute a waiver of such Bank’s or the Agent’s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liable for any such amounts incurred or suffered by such Bank more than 180 days prior to the date of such Bank’s notification to the Borrower (except that, if the Change in Law giving rise to such increased costs or reductions is retroactive, then the 180-day period referred to above shall be extended to include the period of retroactive effect thereof). If any Bank becomes entitled to claim any additional amounts pursuant to this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7" w:name="page98"/>
    <w:bookmarkEnd w:id="97"/>
    <w:p>
      <w:pPr>
        <w:ind w:left="180" w:right="219"/>
        <w:spacing w:after="0" w:line="235" w:lineRule="auto"/>
        <w:rPr>
          <w:sz w:val="20"/>
          <w:szCs w:val="20"/>
          <w:color w:val="auto"/>
        </w:rPr>
      </w:pPr>
      <w:r>
        <w:rPr>
          <w:rFonts w:ascii="Times New Roman" w:cs="Times New Roman" w:eastAsia="Times New Roman" w:hAnsi="Times New Roman"/>
          <w:sz w:val="22"/>
          <w:szCs w:val="22"/>
          <w:color w:val="auto"/>
        </w:rPr>
        <w:t>subsection, it shall as promptly as practicable notify the Borrower, through the Agent, of the event by reason of which it has become so entitled. A certificate explaining and detailing any additional amounts payable pursuant to this subsection submitted by such Bank, through the Agent, to the Borrower shall be conclusive in the absence of clearly demonstrable error. If any such amount paid by the Borrower to such Bank is subsequently determined not to have been due and is refunded to such Bank, such Bank will reimburse the Borrower for amounts paid in respect of such refunded amount. This covenant shall survive the termination of this Agreement and the payment of the Notes and all other amounts payable hereunder.</w:t>
      </w:r>
    </w:p>
    <w:p>
      <w:pPr>
        <w:spacing w:after="0" w:line="178" w:lineRule="exact"/>
        <w:rPr>
          <w:sz w:val="20"/>
          <w:szCs w:val="20"/>
          <w:color w:val="auto"/>
        </w:rPr>
      </w:pPr>
    </w:p>
    <w:p>
      <w:pPr>
        <w:ind w:left="180" w:right="199" w:firstLine="1944"/>
        <w:spacing w:after="0" w:line="232" w:lineRule="auto"/>
        <w:rPr>
          <w:sz w:val="20"/>
          <w:szCs w:val="20"/>
          <w:color w:val="auto"/>
        </w:rPr>
      </w:pPr>
      <w:r>
        <w:rPr>
          <w:rFonts w:ascii="Times New Roman" w:cs="Times New Roman" w:eastAsia="Times New Roman" w:hAnsi="Times New Roman"/>
          <w:sz w:val="22"/>
          <w:szCs w:val="22"/>
          <w:color w:val="auto"/>
        </w:rPr>
        <w:t>(b) If any Bank determines that any Change in Law affecting such Bank or any lending office of such Bank or such Bank’s holding company, if any, regarding capital or liquidity requirements has or would have the effect of reducing the rate of return on such Bank’s capital or on the capital of such Bank’s holding company, if any, as a consequence of this Agreement, the Commitment of such Bank or the Loans made by, or participations in Swing Line Loans held by, such Bank, to a level below that which such Bank or such Bank’s holding company could have achieved but for such Change in Law (taking into consideration such Bank’s policies and the policies of such Bank’s holding company with respect to capital adequacy), then from time to time the Borrower will pay to such Bank, such additional amount or amounts as will compensate such Bank or such Bank’s holding company for any such reduction suffered. If any Bank becomes entitled to claim any additional amounts pursuant to this subsection, it shall as promptly as practicable notify the Borrower, through the Agent, of the event by reason of which it has become so entitled. A certificate explaining and detailing any additional amounts payable pursuant to this subsection submitted by such Bank, through the Agent, to the Borrower shall be conclusive in the absence of clearly demonstrable error. This covenant shall survive the termination of this Agreement and the payment of the Notes and all other amounts payable hereunder.</w:t>
      </w:r>
    </w:p>
    <w:p>
      <w:pPr>
        <w:spacing w:after="0" w:line="190" w:lineRule="exact"/>
        <w:rPr>
          <w:sz w:val="20"/>
          <w:szCs w:val="20"/>
          <w:color w:val="auto"/>
        </w:rPr>
      </w:pPr>
    </w:p>
    <w:p>
      <w:pPr>
        <w:ind w:left="180" w:right="259" w:firstLine="1944"/>
        <w:spacing w:after="0" w:line="236" w:lineRule="auto"/>
        <w:rPr>
          <w:sz w:val="20"/>
          <w:szCs w:val="20"/>
          <w:color w:val="auto"/>
        </w:rPr>
      </w:pPr>
      <w:r>
        <w:rPr>
          <w:rFonts w:ascii="Times New Roman" w:cs="Times New Roman" w:eastAsia="Times New Roman" w:hAnsi="Times New Roman"/>
          <w:sz w:val="22"/>
          <w:szCs w:val="22"/>
          <w:color w:val="auto"/>
        </w:rPr>
        <w:t>(c) Each Bank agrees that it will use reasonable efforts in order to avoid or to minimize, as the case may be, the payment by the Borrower of any additional amount under subsections 2.11(a) and (b); provided, however, that no Bank shall be obligated to incur any expense, cost or other amount in connection with utilizing such reasonable</w:t>
      </w:r>
    </w:p>
    <w:p>
      <w:pPr>
        <w:spacing w:after="0" w:line="1" w:lineRule="exact"/>
        <w:rPr>
          <w:sz w:val="20"/>
          <w:szCs w:val="20"/>
          <w:color w:val="auto"/>
        </w:rPr>
      </w:pPr>
    </w:p>
    <w:p>
      <w:pPr>
        <w:ind w:left="180" w:right="199"/>
        <w:spacing w:after="0" w:line="233" w:lineRule="auto"/>
        <w:rPr>
          <w:sz w:val="20"/>
          <w:szCs w:val="20"/>
          <w:color w:val="auto"/>
        </w:rPr>
      </w:pPr>
      <w:r>
        <w:rPr>
          <w:rFonts w:ascii="Times New Roman" w:cs="Times New Roman" w:eastAsia="Times New Roman" w:hAnsi="Times New Roman"/>
          <w:sz w:val="22"/>
          <w:szCs w:val="22"/>
          <w:color w:val="auto"/>
        </w:rPr>
        <w:t>efforts. Notwithstanding any other provision of this Section 2.11, no Bank shall apply the provisions of subsections 2.11(a) or (b) hereof with respect to the Borrower if it shall not at the time be the general policy or practice of the Bank exercising its rights hereunder to apply the provisions similar to those of this Section 2.11 to other borrowers in substantially similar circumstances under substantially comparable provisions of other credit agreements.</w:t>
      </w:r>
    </w:p>
    <w:p>
      <w:pPr>
        <w:spacing w:after="0" w:line="179" w:lineRule="exact"/>
        <w:rPr>
          <w:sz w:val="20"/>
          <w:szCs w:val="20"/>
          <w:color w:val="auto"/>
        </w:rPr>
      </w:pPr>
    </w:p>
    <w:p>
      <w:pPr>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 All payments made by the Borrower under this Agreement and the Notes shall be made free and clear of, and without deduction for any present or future taxes, levies, imposts, deductions, charges, or withholdings, and all liabilities with respect thereto, including any interest, additions to tax or penalties applicable thereto (other than Excluded Taxes) (all such non-excluded taxes, levies, imposts, duties, charges, fees, deductions and withholdings being hereinafter called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If the Borrower shall be required by Law to deduct any Taxes from or in respect of any sum payable hereunder or under any Note, (i) the sum payable shall be increased as may be necessary so that after making all required deductions (including deductions applicable to additional sums payable under this Section) the Agent and each Bank receives an amount equal to the sum it would have received had no such deductions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8" w:name="page99"/>
    <w:bookmarkEnd w:id="98"/>
    <w:p>
      <w:pPr>
        <w:ind w:left="180" w:right="219"/>
        <w:spacing w:after="0" w:line="244" w:lineRule="auto"/>
        <w:rPr>
          <w:sz w:val="20"/>
          <w:szCs w:val="20"/>
          <w:color w:val="auto"/>
        </w:rPr>
      </w:pPr>
      <w:r>
        <w:rPr>
          <w:rFonts w:ascii="Times New Roman" w:cs="Times New Roman" w:eastAsia="Times New Roman" w:hAnsi="Times New Roman"/>
          <w:sz w:val="21"/>
          <w:szCs w:val="21"/>
          <w:color w:val="auto"/>
        </w:rPr>
        <w:t>been made, (ii) the Borrower shall make such deductions and (iii) the Borrower shall timely pay the full amount deducted to the relevant tax authority or other authority in accordance with applicable Law. As used herein, the term “</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shall mean, with respect to the Agent, any Bank or any other recipient of any payment to be made by or on account of any obligation of the Borrower hereunder, (i)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Bank, in which its applicable lending office is located, (ii) any branch profits taxes imposed by the United States of America or any similar tax imposed by any other jurisdiction in which the Borrower is located and (iii) in the case of a Foreign Bank, any withholding tax (including under FATCA) that is imposed on amounts payable to such Foreign Bank at the time such Foreign Bank becomes a party hereto (or designates a new lending office), except to the extent that such Foreign Bank (or its assignor, if any) was entitled, at the time of designation of a new lending office (or assignment), to receive additional amounts from the Borrower with respect to such withholding tax pursuant to this Section 2.12.</w:t>
      </w:r>
    </w:p>
    <w:p>
      <w:pPr>
        <w:spacing w:after="0" w:line="178" w:lineRule="exact"/>
        <w:rPr>
          <w:sz w:val="20"/>
          <w:szCs w:val="20"/>
          <w:color w:val="auto"/>
        </w:rPr>
      </w:pPr>
    </w:p>
    <w:p>
      <w:pPr>
        <w:ind w:left="180" w:right="199" w:firstLine="1944"/>
        <w:spacing w:after="0" w:line="238" w:lineRule="auto"/>
        <w:rPr>
          <w:sz w:val="20"/>
          <w:szCs w:val="20"/>
          <w:color w:val="auto"/>
        </w:rPr>
      </w:pPr>
      <w:r>
        <w:rPr>
          <w:rFonts w:ascii="Times New Roman" w:cs="Times New Roman" w:eastAsia="Times New Roman" w:hAnsi="Times New Roman"/>
          <w:sz w:val="22"/>
          <w:szCs w:val="22"/>
          <w:color w:val="auto"/>
        </w:rPr>
        <w:t>(b) In addition, the Borrower agrees to pay any present or future stamp or documentary taxes or any other excise or property taxes, charges, or similar levies which arise from any payment made hereunder, under the Notes or under any other Loan Document or from the execution, delivery, or registration of, or otherwise with respect to, this Agreement, any Note or any other Loan Document (hereinafter referred to as “</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 w:right="219" w:firstLine="1944"/>
        <w:spacing w:after="0" w:line="234" w:lineRule="auto"/>
        <w:rPr>
          <w:sz w:val="20"/>
          <w:szCs w:val="20"/>
          <w:color w:val="auto"/>
        </w:rPr>
      </w:pPr>
      <w:r>
        <w:rPr>
          <w:rFonts w:ascii="Times New Roman" w:cs="Times New Roman" w:eastAsia="Times New Roman" w:hAnsi="Times New Roman"/>
          <w:sz w:val="22"/>
          <w:szCs w:val="22"/>
          <w:color w:val="auto"/>
        </w:rPr>
        <w:t>(c) The Borrower shall indemnify the Agent and each Bank for the full amount of Taxes or Other Taxes (including, without limitation, any Taxes or Other Taxes imposed by any jurisdiction on amounts payable under this subsection) paid by the Agent or any Bank and any liability (including penalties, interest, and expenses) arising therefrom or with respect thereto, whether or not such Taxes or Other Taxes were correctly or legally asserted. This indemnification shall be made within 30 days from the date the Agent or a Bank makes written demand therefor accompanied by a certificate explaining and detailing any such Taxes or Other Taxes paid by the Agent or such Bank which shall be conclusive in the absence of demonstrable error.</w:t>
      </w:r>
    </w:p>
    <w:p>
      <w:pPr>
        <w:spacing w:after="0" w:line="183" w:lineRule="exact"/>
        <w:rPr>
          <w:sz w:val="20"/>
          <w:szCs w:val="20"/>
          <w:color w:val="auto"/>
        </w:rPr>
      </w:pPr>
    </w:p>
    <w:p>
      <w:pPr>
        <w:ind w:left="180" w:right="399" w:firstLine="1944"/>
        <w:spacing w:after="0" w:line="239" w:lineRule="auto"/>
        <w:rPr>
          <w:sz w:val="20"/>
          <w:szCs w:val="20"/>
          <w:color w:val="auto"/>
        </w:rPr>
      </w:pPr>
      <w:r>
        <w:rPr>
          <w:rFonts w:ascii="Times New Roman" w:cs="Times New Roman" w:eastAsia="Times New Roman" w:hAnsi="Times New Roman"/>
          <w:sz w:val="22"/>
          <w:szCs w:val="22"/>
          <w:color w:val="auto"/>
        </w:rPr>
        <w:t>(d) Within 30 days after the date of any payment of any Taxes or Other Taxes by the Borrower, if available, the Borrower shall furnish to the Agent and each Bank, at its address referred to herein, the original or a certified copy of a receipt evidencing payment thereof.</w:t>
      </w:r>
    </w:p>
    <w:p>
      <w:pPr>
        <w:spacing w:after="0" w:line="180" w:lineRule="exact"/>
        <w:rPr>
          <w:sz w:val="20"/>
          <w:szCs w:val="20"/>
          <w:color w:val="auto"/>
        </w:rPr>
      </w:pPr>
    </w:p>
    <w:p>
      <w:pPr>
        <w:ind w:left="180" w:right="239" w:firstLine="1944"/>
        <w:spacing w:after="0" w:line="234" w:lineRule="auto"/>
        <w:rPr>
          <w:sz w:val="20"/>
          <w:szCs w:val="20"/>
          <w:color w:val="auto"/>
        </w:rPr>
      </w:pPr>
      <w:r>
        <w:rPr>
          <w:rFonts w:ascii="Times New Roman" w:cs="Times New Roman" w:eastAsia="Times New Roman" w:hAnsi="Times New Roman"/>
          <w:sz w:val="22"/>
          <w:szCs w:val="22"/>
          <w:color w:val="auto"/>
        </w:rPr>
        <w:t>(e) If as a result of a payment by the Borrower of Taxes or Other Taxes pursuant to subsections 2.12(a), (b) or (c) the Agent or a Bank receives a tax benefit or tax savings such as by receiving a credit against, refund of, or reduction in Taxes or Other Taxes which the Agent or such Bank would not have received but for the payment by the Borrower of such Taxes or Other Taxes, then the Agent or such Bank shall promptly pay to the Borrower the amount of such credit, refund, reduction or any other similar item. Without prejudice to the survival of any other agreement of the Borrower hereunder, the agreements and obligations of the Borrower contained in subsections 2.12(a) through (d) shall survive the payment in full of principal and interest hereunder and under any instrument delivered hereunder.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9" w:name="page100"/>
    <w:bookmarkEnd w:id="99"/>
    <w:p>
      <w:pPr>
        <w:ind w:left="180" w:right="219" w:firstLine="1944"/>
        <w:spacing w:after="0" w:line="242" w:lineRule="auto"/>
        <w:rPr>
          <w:sz w:val="20"/>
          <w:szCs w:val="20"/>
          <w:color w:val="auto"/>
        </w:rPr>
      </w:pPr>
      <w:r>
        <w:rPr>
          <w:rFonts w:ascii="Times New Roman" w:cs="Times New Roman" w:eastAsia="Times New Roman" w:hAnsi="Times New Roman"/>
          <w:sz w:val="21"/>
          <w:szCs w:val="21"/>
          <w:color w:val="auto"/>
        </w:rPr>
        <w:t>(f) Each Foreign Bank agrees that it will deliver to the Borrower and the Agent on or prior to the Closing Date in the case of each initial Bank and on or prior to the effective date of the Assignment and Acceptance pursuant to which it becomes a Bank in the case of each other Bank and on or prior to the date on which any such form or certification expires or becomes obsolete, after the occurrence of any event requiring a change in the most recent form or certification previously delivered by it pursuant to this subsection (f), and from time to time, if requested by the Borrower or the Agent, two completed originals of each of the following, as applicable; (A) Forms W-8ECI (claiming exemption from U.S. withholding tax because the income is effectively connected with a U.S. trade or business), W-8BEN or W-8BEN-E, as applicable, (claiming exemption from, or a reduction of, U.S. withholding tax under an income tax treaty) and/or W-8IMY (together with appropriate forms, certifications and supporting statements) or any successor forms, (B) in the case of a Foreign Bank claiming exemption under Sections 871(h) or 881(c) of the Code, Form W-8BEN or W-8BEN-E, as applicable (claiming exemption from U.S. withholding tax under the portfolio interest exemption) or any successor form and a certificate in form and substance acceptable to the Borrower and the Agent. Such Bank shall certify, in the case of a Form W-8ECI, W-8BEN or W-8BEN-E, as applicable or W-8IMY, that it is entitled to receive payments under this Agreement without deduction or withholding of any United States federal income taxes. If a payment made to a Foreign Bank would be subject to U.S. Federal withholding tax imposed by FATCA if such Bank were to fail to comply with the applicable reporting requirements of FATCA (including those contained in Sections 1471(b) or 1472(b) of the Code, as applicable), such Bank shall deliver to the Borrower and the Agent, at the time or times prescribed by law and at such time or times reasonably requested by the Borrower or the Agent, such documentation prescribed by applicable law (including any notice described in Section 1471(b)(3)(C)(i) of the Code) and such additional documentation reasonably requested by the Borrower or the Agent as may be necessary for the Borrower or the Agent, as the case may be, to comply with their obligations under FATCA, to determine whether such Bank has or has not complied with such Bank’s obligations under FATCA or to determine the amount to deduct and withhold from such payment. If any form provided by a Foreign Bank at the time such Bank first becomes a party to this Agreement indicates a United States interest withholding rate in excess of zero, withholding tax at such rate shall be considered excluded from “Taxes” as defined in subsection 2.12(a). Each Bank shall deliver to the Borrower and the Agent, with respect to Taxes imposed by any Governmental Authority other than the United States of America, similar forms, if available (or the information that would be contained in similar forms if such forms were available), to the forms which are required to be provided under this subsection with respect to Taxes of the United States of America.</w:t>
      </w:r>
    </w:p>
    <w:p>
      <w:pPr>
        <w:spacing w:after="0" w:line="200" w:lineRule="exact"/>
        <w:rPr>
          <w:sz w:val="20"/>
          <w:szCs w:val="20"/>
          <w:color w:val="auto"/>
        </w:rPr>
      </w:pPr>
    </w:p>
    <w:p>
      <w:pPr>
        <w:spacing w:after="0" w:line="242" w:lineRule="exact"/>
        <w:rPr>
          <w:sz w:val="20"/>
          <w:szCs w:val="20"/>
          <w:color w:val="auto"/>
        </w:rPr>
      </w:pPr>
    </w:p>
    <w:p>
      <w:pPr>
        <w:ind w:left="180" w:right="519" w:firstLine="1944"/>
        <w:spacing w:after="0" w:line="238" w:lineRule="auto"/>
        <w:rPr>
          <w:sz w:val="20"/>
          <w:szCs w:val="20"/>
          <w:color w:val="auto"/>
        </w:rPr>
      </w:pPr>
      <w:r>
        <w:rPr>
          <w:rFonts w:ascii="Times New Roman" w:cs="Times New Roman" w:eastAsia="Times New Roman" w:hAnsi="Times New Roman"/>
          <w:sz w:val="22"/>
          <w:szCs w:val="22"/>
          <w:color w:val="auto"/>
        </w:rPr>
        <w:t>(g) Notwithstanding the foregoing subsections 2.12(a) through (e), the Borrower shall not be required to pay any additional amounts to any Bank in respect of United States withholding or backup withholding tax pursuant to such subsections if</w:t>
      </w:r>
    </w:p>
    <w:p>
      <w:pPr>
        <w:ind w:left="180" w:right="259" w:firstLine="4"/>
        <w:spacing w:after="0" w:line="244" w:lineRule="auto"/>
        <w:tabs>
          <w:tab w:leader="none" w:pos="4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to pay such additional amounts would not have arisen but for a failure by such Bank to comply with the requirements of subsection 2.12(f) (other than by reason of a Change in Law) or (ii) such Bank shall not have furnished the Borrower with such forms and documentation described in subsection 2.12(f) and shall not have taken such other steps as reasonably may be available to it under applicable tax laws and any applicable tax treaty or convention to obtain an exemption from, or reduction (to the lowest applicable rate) of, such United States withholding tax.</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0" w:name="page101"/>
    <w:bookmarkEnd w:id="100"/>
    <w:p>
      <w:pPr>
        <w:ind w:left="180" w:right="459" w:firstLine="648"/>
        <w:spacing w:after="0" w:line="241"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The Borrower agrees to indemnify each Bank and to hold each Bank harmless from any loss or expense which such Bank may sustain or incur as a consequence of</w:t>
      </w:r>
    </w:p>
    <w:p>
      <w:pPr>
        <w:ind w:left="480" w:hanging="296"/>
        <w:spacing w:after="0" w:line="232" w:lineRule="auto"/>
        <w:tabs>
          <w:tab w:leader="none" w:pos="4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the Borrower in payment when due of the principal amount of or interest on any</w:t>
      </w:r>
    </w:p>
    <w:p>
      <w:pPr>
        <w:ind w:left="180" w:right="219"/>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 SOFR Rate Loan, (b) default by the Borrower in making a borrowing of, conversion into or continuation of Term SOFR Rate Loans after the Borrower has given a notice requesting the same in accordance with the provisions of this Agreement, (c) default by the Borrower in making any prepayment after the Borrower has given a notice thereof in accordance with the provisions of this Agreement or (d) the making of a prepayment of Term SOFR Rate Loans on a day which is not the last day of an Interest Period with respect thereto, including, without limitation, in each case, any such loss or expense arising from the reemployment of funds obtained by it or from fees payable to terminate the deposits from which such funds were obtained. This covenant shall survive the termination of this Agreement and the payment of the Notes and all other amounts payable hereunder. For the purpose of calculation of all amounts payable to a Bank under this Section, each Bank shall be deemed to have actually funded its relevant Term SOFR Rate Loan or Swing Line Loan through the purchase of a deposit bearing interest at the Term SOFR Rate or the applicable rate on such Swing Line Loan, as the case may be, in an amount equal to the amount of that Term SOFR Rate Loan or Swing Line Loan, as the case may be, and having a maturity comparable to the relevant Interest Period or applicable period for such Term SOFR Rate Loan or Swing Line Loan; provided, however, that each Bank may fund each of its Term SOFR Rate Loans and the Swing Line Bank may fund its Swing Line Loans in any manner it sees fit, and the foregoing assumptions shall be utilized only for the calculation of amounts payable under this Section.</w:t>
      </w:r>
    </w:p>
    <w:p>
      <w:pPr>
        <w:spacing w:after="0" w:line="183" w:lineRule="exact"/>
        <w:rPr>
          <w:sz w:val="20"/>
          <w:szCs w:val="20"/>
          <w:color w:val="auto"/>
        </w:rPr>
      </w:pPr>
    </w:p>
    <w:p>
      <w:pPr>
        <w:ind w:left="180" w:right="3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2.14 </w:t>
      </w:r>
      <w:r>
        <w:rPr>
          <w:rFonts w:ascii="Times New Roman" w:cs="Times New Roman" w:eastAsia="Times New Roman" w:hAnsi="Times New Roman"/>
          <w:sz w:val="21"/>
          <w:szCs w:val="21"/>
          <w:u w:val="single" w:color="auto"/>
          <w:color w:val="auto"/>
        </w:rPr>
        <w:t>Pro Rata Treatment, etc.</w:t>
      </w:r>
      <w:r>
        <w:rPr>
          <w:rFonts w:ascii="Times New Roman" w:cs="Times New Roman" w:eastAsia="Times New Roman" w:hAnsi="Times New Roman"/>
          <w:sz w:val="21"/>
          <w:szCs w:val="21"/>
          <w:color w:val="auto"/>
        </w:rPr>
        <w:t xml:space="preserve"> Except as required under Sections 2.2 and 2.10, each Borrowing, each payment or prepayment of principal of any Borrowing, each payment of interest on the Loans, each reduction of the Commitments, each refinancing of any Borrowing with a Borrowing of any Type and each conversion of Loans, shall be made pro rata among the Banks in accordance with their respective Commitment Percentages. Each Bank agrees that in computing such Bank’s portion of any Borrowing to be made hereunder, the Agent may, in its discretion, round each Bank’s percentage of such Borrowing to the next higher or lower whole dollar amount.</w:t>
      </w:r>
    </w:p>
    <w:p>
      <w:pPr>
        <w:spacing w:after="0" w:line="170" w:lineRule="exact"/>
        <w:rPr>
          <w:sz w:val="20"/>
          <w:szCs w:val="20"/>
          <w:color w:val="auto"/>
        </w:rPr>
      </w:pPr>
    </w:p>
    <w:p>
      <w:pPr>
        <w:ind w:left="180" w:right="2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 The Borrower shall make each payment (including principal of or interest on any Loan or any Fees or other amounts) hereunder not later than 12:00 (noon), Philadelphia time, on the date when due in Dollars to the Agent at its offices at 1600 Market Street, Philadelphia, Pennsylvania, or at such other place as may be designated by the Agent, in immediately available funds.</w:t>
      </w:r>
    </w:p>
    <w:p>
      <w:pPr>
        <w:spacing w:after="0" w:line="177" w:lineRule="exact"/>
        <w:rPr>
          <w:sz w:val="20"/>
          <w:szCs w:val="20"/>
          <w:color w:val="auto"/>
        </w:rPr>
      </w:pPr>
    </w:p>
    <w:p>
      <w:pPr>
        <w:ind w:left="180" w:right="619" w:firstLine="1944"/>
        <w:spacing w:after="0" w:line="238" w:lineRule="auto"/>
        <w:rPr>
          <w:sz w:val="20"/>
          <w:szCs w:val="20"/>
          <w:color w:val="auto"/>
        </w:rPr>
      </w:pPr>
      <w:r>
        <w:rPr>
          <w:rFonts w:ascii="Times New Roman" w:cs="Times New Roman" w:eastAsia="Times New Roman" w:hAnsi="Times New Roman"/>
          <w:sz w:val="22"/>
          <w:szCs w:val="22"/>
          <w:color w:val="auto"/>
        </w:rPr>
        <w:t>(b) 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77" w:lineRule="exact"/>
        <w:rPr>
          <w:sz w:val="20"/>
          <w:szCs w:val="20"/>
          <w:color w:val="auto"/>
        </w:rPr>
      </w:pPr>
    </w:p>
    <w:p>
      <w:pPr>
        <w:jc w:val="both"/>
        <w:ind w:left="180" w:right="3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Conversion and Continuation Options</w:t>
      </w:r>
      <w:r>
        <w:rPr>
          <w:rFonts w:ascii="Times New Roman" w:cs="Times New Roman" w:eastAsia="Times New Roman" w:hAnsi="Times New Roman"/>
          <w:sz w:val="22"/>
          <w:szCs w:val="22"/>
          <w:color w:val="auto"/>
        </w:rPr>
        <w:t>. The Borrower shall have the right at any time upon prior irrevocable notice to the Agent (i) not later than 11:00 a.m., Philadelphia time, on the Business Day of conversion, to convert any Term SOFR Rate Loan to a Base Rate Loan,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1" w:name="page102"/>
    <w:bookmarkEnd w:id="101"/>
    <w:p>
      <w:pPr>
        <w:ind w:left="180" w:right="499" w:firstLine="4"/>
        <w:spacing w:after="0" w:line="249" w:lineRule="auto"/>
        <w:tabs>
          <w:tab w:leader="none" w:pos="49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later than 11:00 a.m., Philadelphia time, three Business Days prior to conversion or continuation, (y) to convert any Base Rate Loan into a Term SOFR Rate Loan, or (z) to continue any Term SOFR Rate Loan as a Term SOFR Rate Loan for any additional Interest Period, and</w:t>
      </w:r>
    </w:p>
    <w:p>
      <w:pPr>
        <w:spacing w:after="0" w:line="1" w:lineRule="exact"/>
        <w:rPr>
          <w:rFonts w:ascii="Times New Roman" w:cs="Times New Roman" w:eastAsia="Times New Roman" w:hAnsi="Times New Roman"/>
          <w:sz w:val="21"/>
          <w:szCs w:val="21"/>
          <w:color w:val="auto"/>
        </w:rPr>
      </w:pPr>
    </w:p>
    <w:p>
      <w:pPr>
        <w:jc w:val="both"/>
        <w:ind w:left="180" w:right="839" w:firstLine="4"/>
        <w:spacing w:after="0" w:line="235" w:lineRule="auto"/>
        <w:tabs>
          <w:tab w:leader="none" w:pos="55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11:00 a.m., Philadelphia time, three Business Days prior to conversion, to convert the Interest Period with respect to any Term SOFR Rate Loan to another permissible Interest Period, </w:t>
      </w:r>
      <w:r>
        <w:rPr>
          <w:rFonts w:ascii="Times New Roman" w:cs="Times New Roman" w:eastAsia="Times New Roman" w:hAnsi="Times New Roman"/>
          <w:sz w:val="22"/>
          <w:szCs w:val="22"/>
          <w:u w:val="single" w:color="auto"/>
          <w:color w:val="auto"/>
        </w:rPr>
        <w:t>subject</w:t>
      </w:r>
      <w:r>
        <w:rPr>
          <w:rFonts w:ascii="Times New Roman" w:cs="Times New Roman" w:eastAsia="Times New Roman" w:hAnsi="Times New Roman"/>
          <w:sz w:val="22"/>
          <w:szCs w:val="22"/>
          <w:color w:val="auto"/>
        </w:rPr>
        <w:t xml:space="preserve"> in each case to the following:</w:t>
      </w:r>
    </w:p>
    <w:p>
      <w:pPr>
        <w:spacing w:after="0" w:line="178" w:lineRule="exact"/>
        <w:rPr>
          <w:sz w:val="20"/>
          <w:szCs w:val="20"/>
          <w:color w:val="auto"/>
        </w:rPr>
      </w:pPr>
    </w:p>
    <w:p>
      <w:pPr>
        <w:ind w:left="180" w:right="479" w:firstLine="1944"/>
        <w:spacing w:after="0" w:line="258" w:lineRule="auto"/>
        <w:rPr>
          <w:sz w:val="20"/>
          <w:szCs w:val="20"/>
          <w:color w:val="auto"/>
        </w:rPr>
      </w:pPr>
      <w:r>
        <w:rPr>
          <w:rFonts w:ascii="Times New Roman" w:cs="Times New Roman" w:eastAsia="Times New Roman" w:hAnsi="Times New Roman"/>
          <w:sz w:val="22"/>
          <w:szCs w:val="22"/>
          <w:color w:val="auto"/>
        </w:rPr>
        <w:t>(a) a Term SOFR Rate Loan may not be converted at a time other than the last day of the Interest Period applicable thereto;</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any portion of a Revolving Credit Loan maturing or</w:t>
      </w:r>
    </w:p>
    <w:p>
      <w:pPr>
        <w:spacing w:after="0" w:line="14" w:lineRule="exact"/>
        <w:rPr>
          <w:sz w:val="20"/>
          <w:szCs w:val="20"/>
          <w:color w:val="auto"/>
        </w:rPr>
      </w:pPr>
    </w:p>
    <w:p>
      <w:pPr>
        <w:ind w:left="180" w:right="699"/>
        <w:spacing w:after="0" w:line="237" w:lineRule="auto"/>
        <w:rPr>
          <w:sz w:val="20"/>
          <w:szCs w:val="20"/>
          <w:color w:val="auto"/>
        </w:rPr>
      </w:pPr>
      <w:r>
        <w:rPr>
          <w:rFonts w:ascii="Times New Roman" w:cs="Times New Roman" w:eastAsia="Times New Roman" w:hAnsi="Times New Roman"/>
          <w:sz w:val="22"/>
          <w:szCs w:val="22"/>
          <w:color w:val="auto"/>
        </w:rPr>
        <w:t>required to be repaid in less than one month may not be converted into or continued as a Term SOFR Rate Loan;</w:t>
      </w:r>
    </w:p>
    <w:p>
      <w:pPr>
        <w:spacing w:after="0" w:line="178" w:lineRule="exact"/>
        <w:rPr>
          <w:sz w:val="20"/>
          <w:szCs w:val="20"/>
          <w:color w:val="auto"/>
        </w:rPr>
      </w:pPr>
    </w:p>
    <w:p>
      <w:pPr>
        <w:ind w:left="180" w:right="199" w:firstLine="1944"/>
        <w:spacing w:after="0" w:line="244" w:lineRule="auto"/>
        <w:rPr>
          <w:sz w:val="20"/>
          <w:szCs w:val="20"/>
          <w:color w:val="auto"/>
        </w:rPr>
      </w:pPr>
      <w:r>
        <w:rPr>
          <w:rFonts w:ascii="Times New Roman" w:cs="Times New Roman" w:eastAsia="Times New Roman" w:hAnsi="Times New Roman"/>
          <w:sz w:val="22"/>
          <w:szCs w:val="22"/>
          <w:color w:val="auto"/>
        </w:rPr>
        <w:t>(c) no Term SOFR Rate Loan may be continued as such and no Base Rate Loan may be converted to a Term SOFR Rate Loan when any Default or Event of Default has occurred and is continuing;</w:t>
      </w:r>
    </w:p>
    <w:p>
      <w:pPr>
        <w:spacing w:after="0" w:line="173" w:lineRule="exact"/>
        <w:rPr>
          <w:sz w:val="20"/>
          <w:szCs w:val="20"/>
          <w:color w:val="auto"/>
        </w:rPr>
      </w:pPr>
    </w:p>
    <w:p>
      <w:pPr>
        <w:ind w:left="180" w:right="199" w:firstLine="1944"/>
        <w:spacing w:after="0" w:line="239" w:lineRule="auto"/>
        <w:rPr>
          <w:sz w:val="20"/>
          <w:szCs w:val="20"/>
          <w:color w:val="auto"/>
        </w:rPr>
      </w:pPr>
      <w:r>
        <w:rPr>
          <w:rFonts w:ascii="Times New Roman" w:cs="Times New Roman" w:eastAsia="Times New Roman" w:hAnsi="Times New Roman"/>
          <w:sz w:val="22"/>
          <w:szCs w:val="22"/>
          <w:color w:val="auto"/>
        </w:rPr>
        <w:t>(d) any portion of a Term SOFR Rate Loan that cannot be converted into or continued as a Term SOFR Rate Loan by reason of paragraph 2.16(b) or 2.16(c) automatically shall be converted at the end of the Interest Period in effect for such Revolving Credit Loan to a Base Rate Loan;</w:t>
      </w:r>
    </w:p>
    <w:p>
      <w:pPr>
        <w:spacing w:after="0" w:line="180" w:lineRule="exact"/>
        <w:rPr>
          <w:sz w:val="20"/>
          <w:szCs w:val="20"/>
          <w:color w:val="auto"/>
        </w:rPr>
      </w:pPr>
    </w:p>
    <w:p>
      <w:pPr>
        <w:ind w:left="180" w:right="219" w:firstLine="1944"/>
        <w:spacing w:after="0" w:line="238" w:lineRule="auto"/>
        <w:rPr>
          <w:sz w:val="20"/>
          <w:szCs w:val="20"/>
          <w:color w:val="auto"/>
        </w:rPr>
      </w:pPr>
      <w:r>
        <w:rPr>
          <w:rFonts w:ascii="Times New Roman" w:cs="Times New Roman" w:eastAsia="Times New Roman" w:hAnsi="Times New Roman"/>
          <w:sz w:val="22"/>
          <w:szCs w:val="22"/>
          <w:color w:val="auto"/>
        </w:rPr>
        <w:t>(e) if by the third Business Day prior to the last day of any Interest Period for Term SOFR Rate Loans, the Borrower has failed to give notice of conversion or continuation as described in this subsection, the Agent shall give notice thereof to the Banks and such Revolving Credit Loans shall be automatically converted to Base Rate Loans on the last day of such then expiring Interest Period; and</w:t>
      </w:r>
    </w:p>
    <w:p>
      <w:pPr>
        <w:spacing w:after="0" w:line="177" w:lineRule="exact"/>
        <w:rPr>
          <w:sz w:val="20"/>
          <w:szCs w:val="20"/>
          <w:color w:val="auto"/>
        </w:rPr>
      </w:pPr>
    </w:p>
    <w:p>
      <w:pPr>
        <w:ind w:left="180" w:right="279" w:firstLine="1944"/>
        <w:spacing w:after="0" w:line="239" w:lineRule="auto"/>
        <w:rPr>
          <w:sz w:val="20"/>
          <w:szCs w:val="20"/>
          <w:color w:val="auto"/>
        </w:rPr>
      </w:pPr>
      <w:r>
        <w:rPr>
          <w:rFonts w:ascii="Times New Roman" w:cs="Times New Roman" w:eastAsia="Times New Roman" w:hAnsi="Times New Roman"/>
          <w:sz w:val="22"/>
          <w:szCs w:val="22"/>
          <w:color w:val="auto"/>
        </w:rPr>
        <w:t>(f) each request by the Borrower to convert or continue a Revolving Credit Loan shall constitute a representation and warranty that each of the representations and warranties made by the Borrower herein is true and correct in all material respects on and as of such date as if made on and as of such date.</w:t>
      </w:r>
    </w:p>
    <w:p>
      <w:pPr>
        <w:spacing w:after="0" w:line="180" w:lineRule="exact"/>
        <w:rPr>
          <w:sz w:val="20"/>
          <w:szCs w:val="20"/>
          <w:color w:val="auto"/>
        </w:rPr>
      </w:pPr>
    </w:p>
    <w:p>
      <w:pPr>
        <w:ind w:left="180" w:right="379"/>
        <w:spacing w:after="0" w:line="258" w:lineRule="auto"/>
        <w:rPr>
          <w:sz w:val="20"/>
          <w:szCs w:val="20"/>
          <w:color w:val="auto"/>
        </w:rPr>
      </w:pPr>
      <w:r>
        <w:rPr>
          <w:rFonts w:ascii="Times New Roman" w:cs="Times New Roman" w:eastAsia="Times New Roman" w:hAnsi="Times New Roman"/>
          <w:sz w:val="22"/>
          <w:szCs w:val="22"/>
          <w:color w:val="auto"/>
        </w:rPr>
        <w:t>Accrued interest on a Revolving Credit Loan (or portion thereof) being converted shall be paid by the Borrower at the time of conversion.</w:t>
      </w:r>
    </w:p>
    <w:p>
      <w:pPr>
        <w:spacing w:after="0" w:line="158" w:lineRule="exact"/>
        <w:rPr>
          <w:sz w:val="20"/>
          <w:szCs w:val="20"/>
          <w:color w:val="auto"/>
        </w:rPr>
      </w:pPr>
    </w:p>
    <w:p>
      <w:pPr>
        <w:ind w:left="180" w:right="3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Defaulting Banks</w:t>
      </w:r>
      <w:r>
        <w:rPr>
          <w:rFonts w:ascii="Times New Roman" w:cs="Times New Roman" w:eastAsia="Times New Roman" w:hAnsi="Times New Roman"/>
          <w:sz w:val="22"/>
          <w:szCs w:val="22"/>
          <w:color w:val="auto"/>
        </w:rPr>
        <w:t>. Notwithstanding any provision of this Agreement to the contrary, if any Bank becomes a Defaulting Bank, then the following provisions shall apply for so long as such Bank is a Defaulting Bank:</w:t>
      </w:r>
    </w:p>
    <w:p>
      <w:pPr>
        <w:spacing w:after="0" w:line="173" w:lineRule="exact"/>
        <w:rPr>
          <w:sz w:val="20"/>
          <w:szCs w:val="20"/>
          <w:color w:val="auto"/>
        </w:rPr>
      </w:pPr>
    </w:p>
    <w:p>
      <w:pPr>
        <w:ind w:left="180" w:right="259" w:firstLine="1944"/>
        <w:spacing w:after="0" w:line="235" w:lineRule="auto"/>
        <w:rPr>
          <w:sz w:val="20"/>
          <w:szCs w:val="20"/>
          <w:color w:val="auto"/>
        </w:rPr>
      </w:pPr>
      <w:r>
        <w:rPr>
          <w:rFonts w:ascii="Times New Roman" w:cs="Times New Roman" w:eastAsia="Times New Roman" w:hAnsi="Times New Roman"/>
          <w:sz w:val="22"/>
          <w:szCs w:val="22"/>
          <w:color w:val="auto"/>
        </w:rPr>
        <w:t>(a) such Defaulting Bank, or the Exposure and Commitment Percentage of such Defaulting Bank, as applicable, shall not be included in determining whether all Banks or Required Banks have taken or may take any action hereunder (including any consent to any amendment or waiver pursuant to Section 9.1), provided that any waiver, amendment or modification requiring the consent of all Banks or each affected Bank which affects such Defaulting Bank differently than other affected Banks shall require the consent of such Defaulting Bank;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2" w:name="page103"/>
    <w:bookmarkEnd w:id="102"/>
    <w:p>
      <w:pPr>
        <w:ind w:left="2120"/>
        <w:spacing w:after="0"/>
        <w:rPr>
          <w:sz w:val="20"/>
          <w:szCs w:val="20"/>
          <w:color w:val="auto"/>
        </w:rPr>
      </w:pPr>
      <w:r>
        <w:rPr>
          <w:rFonts w:ascii="Times New Roman" w:cs="Times New Roman" w:eastAsia="Times New Roman" w:hAnsi="Times New Roman"/>
          <w:sz w:val="22"/>
          <w:szCs w:val="22"/>
          <w:color w:val="auto"/>
        </w:rPr>
        <w:t>(b)</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 Bank becomes a Defaulting Bank then: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if any outstanding Swing Line Loans exist at the time</w:t>
      </w:r>
    </w:p>
    <w:p>
      <w:pPr>
        <w:spacing w:after="0" w:line="460" w:lineRule="exact"/>
        <w:rPr>
          <w:sz w:val="20"/>
          <w:szCs w:val="20"/>
          <w:color w:val="auto"/>
        </w:rPr>
      </w:pPr>
    </w:p>
    <w:p>
      <w:pPr>
        <w:sectPr>
          <w:pgSz w:w="11900" w:h="16838" w:orient="portrait"/>
          <w:cols w:equalWidth="0" w:num="2">
            <w:col w:w="3720" w:space="400"/>
            <w:col w:w="4899"/>
          </w:cols>
          <w:pgMar w:left="1440" w:top="355" w:right="1440" w:bottom="1440" w:gutter="0" w:footer="0" w:header="0"/>
        </w:sectPr>
      </w:pPr>
    </w:p>
    <w:p>
      <w:pPr>
        <w:ind w:left="4080" w:hanging="1304"/>
        <w:spacing w:after="0"/>
        <w:tabs>
          <w:tab w:leader="none" w:pos="40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Defaulting Bank’s pro rata portion of such Swing</w:t>
      </w:r>
    </w:p>
    <w:p>
      <w:pPr>
        <w:spacing w:after="0" w:line="25" w:lineRule="exact"/>
        <w:rPr>
          <w:rFonts w:ascii="Times New Roman" w:cs="Times New Roman" w:eastAsia="Times New Roman" w:hAnsi="Times New Roman"/>
          <w:sz w:val="21"/>
          <w:szCs w:val="21"/>
          <w:color w:val="auto"/>
        </w:rPr>
      </w:pPr>
    </w:p>
    <w:p>
      <w:pPr>
        <w:ind w:left="1480" w:right="29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Line Loans shall be reallocated among the Non-Defaulting Banks in accordance with their respective Adjusted Revolving Credit Commitment Percentages but only to the extent the sum of (A) the Revolving Credit Loans of all Non-Defaulting Banks plus (B) all Non-Defaulting Banks’ Adjusted Revolving Credit Commitment Percentages of the aggregate principal amount of all outstanding Swing Line Loans then outstanding does not exceed the aggregate amount of the Commitments of all Non-Defaulting Banks;</w:t>
      </w:r>
    </w:p>
    <w:p>
      <w:pPr>
        <w:spacing w:after="0" w:line="181" w:lineRule="exact"/>
        <w:rPr>
          <w:rFonts w:ascii="Times New Roman" w:cs="Times New Roman" w:eastAsia="Times New Roman" w:hAnsi="Times New Roman"/>
          <w:sz w:val="21"/>
          <w:szCs w:val="21"/>
          <w:color w:val="auto"/>
        </w:rPr>
      </w:pPr>
    </w:p>
    <w:p>
      <w:pPr>
        <w:ind w:left="4060" w:hanging="1284"/>
        <w:spacing w:after="0"/>
        <w:tabs>
          <w:tab w:leader="none" w:pos="40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all or any part of such Defaulting</w:t>
      </w:r>
    </w:p>
    <w:p>
      <w:pPr>
        <w:spacing w:after="0" w:line="14" w:lineRule="exact"/>
        <w:rPr>
          <w:rFonts w:ascii="Times New Roman" w:cs="Times New Roman" w:eastAsia="Times New Roman" w:hAnsi="Times New Roman"/>
          <w:sz w:val="22"/>
          <w:szCs w:val="22"/>
          <w:color w:val="auto"/>
        </w:rPr>
      </w:pPr>
    </w:p>
    <w:p>
      <w:pPr>
        <w:ind w:left="1480" w:right="19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Bank’s pro rata portion of Swing Line Loans cannot be reallocated pursuant to Section 2.17(b)(i), then the Borrower (A) shall, within 15 days following notice from the Agent until such Defaulting Bank ceases to be a Defaulting Bank under this Agreement, establish and, thereafter, maintain a special collateral account (the “</w:t>
      </w:r>
      <w:r>
        <w:rPr>
          <w:rFonts w:ascii="Times New Roman" w:cs="Times New Roman" w:eastAsia="Times New Roman" w:hAnsi="Times New Roman"/>
          <w:sz w:val="22"/>
          <w:szCs w:val="22"/>
          <w:u w:val="single" w:color="auto"/>
          <w:color w:val="auto"/>
        </w:rPr>
        <w:t>Swing Line Collateral Account</w:t>
      </w:r>
      <w:r>
        <w:rPr>
          <w:rFonts w:ascii="Times New Roman" w:cs="Times New Roman" w:eastAsia="Times New Roman" w:hAnsi="Times New Roman"/>
          <w:sz w:val="22"/>
          <w:szCs w:val="22"/>
          <w:color w:val="auto"/>
        </w:rPr>
        <w:t>”) at the Agent’s office at the address specified pursuant to Section 9.2, in the name of the Borrower but under the sole dominion and control of the Agent, (B) grant to the Agent for the benefit of the Banks, solely as security for repayment of the unallocated portion of such Defaulting Bank’s Commitment Percentage of outstanding Swing Line Loans, a security interest in and to the Swing Line Collateral Account and any funds that may thereafter be deposited therein and (C) shall maintain in the Swing Line Collateral Account an amount equal to the unallocated portion of such Defaulting Bank’s Commitment Percentage of outstanding Swing Line Loans; and</w:t>
      </w:r>
    </w:p>
    <w:p>
      <w:pPr>
        <w:spacing w:after="0" w:line="185" w:lineRule="exact"/>
        <w:rPr>
          <w:rFonts w:ascii="Times New Roman" w:cs="Times New Roman" w:eastAsia="Times New Roman" w:hAnsi="Times New Roman"/>
          <w:sz w:val="22"/>
          <w:szCs w:val="22"/>
          <w:color w:val="auto"/>
        </w:rPr>
      </w:pPr>
    </w:p>
    <w:p>
      <w:pPr>
        <w:ind w:left="4080" w:hanging="1304"/>
        <w:spacing w:after="0"/>
        <w:tabs>
          <w:tab w:leader="none" w:pos="40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Swing Line Bank shall not be required to, but in its</w:t>
      </w:r>
    </w:p>
    <w:p>
      <w:pPr>
        <w:spacing w:after="0" w:line="25" w:lineRule="exact"/>
        <w:rPr>
          <w:rFonts w:ascii="Times New Roman" w:cs="Times New Roman" w:eastAsia="Times New Roman" w:hAnsi="Times New Roman"/>
          <w:sz w:val="21"/>
          <w:szCs w:val="21"/>
          <w:color w:val="auto"/>
        </w:rPr>
      </w:pPr>
    </w:p>
    <w:p>
      <w:pPr>
        <w:ind w:left="1480" w:right="19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sole discretion may from time to time elect to, fund any Swing Line Loan, unless it is satisfied in its sole discretion that the related exposure will be 100% covered by the Non-Defaulting Banks and/or cash collateral will be provided by the Borrower in accordance with Section 2.17(b)(ii).</w:t>
      </w:r>
    </w:p>
    <w:p>
      <w:pPr>
        <w:spacing w:after="0" w:line="177" w:lineRule="exact"/>
        <w:rPr>
          <w:rFonts w:ascii="Times New Roman" w:cs="Times New Roman" w:eastAsia="Times New Roman" w:hAnsi="Times New Roman"/>
          <w:sz w:val="21"/>
          <w:szCs w:val="21"/>
          <w:color w:val="auto"/>
        </w:rPr>
      </w:pPr>
    </w:p>
    <w:p>
      <w:pPr>
        <w:ind w:left="1480" w:right="239" w:firstLine="1296"/>
        <w:spacing w:after="0" w:line="233" w:lineRule="auto"/>
        <w:tabs>
          <w:tab w:leader="none" w:pos="411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payable to a Defaulting Bank hereunder (whether on account of principal, interest, fees or otherwise) shall, in lieu of being distributed to such Defaulting Bank, be retained by the Agent in a segregated account and, subject to any applicable requirements of law, be applied at such time or times as may be determined by the Agent (i) first, to the payment of any amounts owing by such Defaulting Bank to the Agent hereunder, (ii) second, pro rata, to the payment of any amounts owing by such Defaulting Bank to the Swing Line Bank hereunder, (iii) third, to the funding of any Revolving Credit Loan or the funding of any participating interest in any Swing Line Loan or in respect of which such Defaulting Bank has failed to fund its portion thereof as required by this Agreement, as determined by the Agent, (iv) fourth, if so determined by the Agent and the Borrower, held in such account as cash collateral for future funding obligations of the Defaulting Bank under this Agreement, (v) fifth, pro rata, to the payment of any amounts owing to the Borrower or the Banks as a result of 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03" w:name="page104"/>
    <w:bookmarkEnd w:id="103"/>
    <w:p>
      <w:pPr>
        <w:ind w:left="1480" w:right="239"/>
        <w:spacing w:after="0" w:line="233" w:lineRule="auto"/>
        <w:rPr>
          <w:sz w:val="20"/>
          <w:szCs w:val="20"/>
          <w:color w:val="auto"/>
        </w:rPr>
      </w:pPr>
      <w:r>
        <w:rPr>
          <w:rFonts w:ascii="Times New Roman" w:cs="Times New Roman" w:eastAsia="Times New Roman" w:hAnsi="Times New Roman"/>
          <w:sz w:val="22"/>
          <w:szCs w:val="22"/>
          <w:color w:val="auto"/>
        </w:rPr>
        <w:t xml:space="preserve">judgment of a court of competent jurisdiction obtained by the Borrower or any Bank against such Defaulting Bank as a result of such Defaulting Bank’s breach of its obligations under this Agreement; provided that, if an Event of Default shall have occurred and be continuing, any payments that would be made to the Borrower shall be applied by the Agent to the Loans and other obligations hereunder and under the other Loan Documents in such order as the Agent shall elect and (vi) sixth, to such Defaulting Bank or as otherwise directed by a court of competent jurisdiction;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such payment is (x) a payment of the principal amount of any Revolving Credit Loans for which a Defaulting Bank has not fully funded its participation obligations and (y) made at a time when the conditions set forth in Section 4.2 are satisfied, the remaining portion of such payment shall be applied solely to prepay the Revolving Credit Loans of, and reimbursement obligations owed to, all Non-Defaulting Banks pro rata prior to being applied to the prepayment of any Revolving Credit Loans of, or reimbursement obligations owed to, any Defaulting Bank.</w:t>
      </w:r>
    </w:p>
    <w:p>
      <w:pPr>
        <w:spacing w:after="0" w:line="177" w:lineRule="exact"/>
        <w:rPr>
          <w:sz w:val="20"/>
          <w:szCs w:val="20"/>
          <w:color w:val="auto"/>
        </w:rPr>
      </w:pPr>
    </w:p>
    <w:p>
      <w:pPr>
        <w:ind w:left="4120" w:hanging="1344"/>
        <w:spacing w:after="0"/>
        <w:tabs>
          <w:tab w:leader="none" w:pos="4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Borrower, the Agent and the</w:t>
      </w:r>
    </w:p>
    <w:p>
      <w:pPr>
        <w:spacing w:after="0" w:line="14" w:lineRule="exact"/>
        <w:rPr>
          <w:rFonts w:ascii="Times New Roman" w:cs="Times New Roman" w:eastAsia="Times New Roman" w:hAnsi="Times New Roman"/>
          <w:sz w:val="22"/>
          <w:szCs w:val="22"/>
          <w:color w:val="auto"/>
        </w:rPr>
      </w:pPr>
    </w:p>
    <w:p>
      <w:pPr>
        <w:ind w:left="1480" w:right="25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Swing Line Bank each agrees that a Defaulting Bank has adequately remedied all matters that caused such Bank to be a Defaulting Bank, then the Swing Line Loans of the Banks shall be readjusted to reflect the inclusion of such Bank’s Commitment Percentage and on such date such Bank shall purchase at par such of the Revolving Credit Loans of the other Banks (other than Swing Line Loans) as the Agent shall determine may be necessary in order for such Bank to hold such Revolving Credit Loans in accordance with its Commitment Percentage, subject to the provisions of Section 2.13.</w:t>
      </w:r>
    </w:p>
    <w:p>
      <w:pPr>
        <w:spacing w:after="0" w:line="180" w:lineRule="exact"/>
        <w:rPr>
          <w:sz w:val="20"/>
          <w:szCs w:val="20"/>
          <w:color w:val="auto"/>
        </w:rPr>
      </w:pPr>
    </w:p>
    <w:p>
      <w:pPr>
        <w:ind w:left="18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2.18 </w:t>
      </w:r>
      <w:r>
        <w:rPr>
          <w:rFonts w:ascii="Times New Roman" w:cs="Times New Roman" w:eastAsia="Times New Roman" w:hAnsi="Times New Roman"/>
          <w:sz w:val="21"/>
          <w:szCs w:val="21"/>
          <w:u w:val="single" w:color="auto"/>
          <w:color w:val="auto"/>
        </w:rPr>
        <w:t>Conforming Changes Relating to the Term SOFR Rate</w:t>
      </w:r>
      <w:r>
        <w:rPr>
          <w:rFonts w:ascii="Times New Roman" w:cs="Times New Roman" w:eastAsia="Times New Roman" w:hAnsi="Times New Roman"/>
          <w:sz w:val="21"/>
          <w:szCs w:val="21"/>
          <w:color w:val="auto"/>
        </w:rPr>
        <w:t>. With respect to the Term SOFR Rate,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Agent shall provide written notice to the Borrower and the Banks of each such amendment implementing such Conforming Changes reasonably promptly after such amendment becomes effective.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3. REPRESENTATIONS AND WARRANTIES</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To induce the Banks to enter into this Agreement, and to make the Loans,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Borrower hereby represents and warrants to the Agent and each Bank that:</w:t>
      </w:r>
    </w:p>
    <w:p>
      <w:pPr>
        <w:spacing w:after="0" w:line="182" w:lineRule="exact"/>
        <w:rPr>
          <w:sz w:val="20"/>
          <w:szCs w:val="20"/>
          <w:color w:val="auto"/>
        </w:rPr>
      </w:pPr>
    </w:p>
    <w:p>
      <w:pPr>
        <w:ind w:left="180" w:right="23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Financial Condition</w:t>
      </w:r>
      <w:r>
        <w:rPr>
          <w:rFonts w:ascii="Times New Roman" w:cs="Times New Roman" w:eastAsia="Times New Roman" w:hAnsi="Times New Roman"/>
          <w:sz w:val="22"/>
          <w:szCs w:val="22"/>
          <w:color w:val="auto"/>
        </w:rPr>
        <w:t>. (a) The audited consolidated balance sheet of the Borrower and its Subsidiaries as at December 31, 2023 and the related consolidated statements of income and of cash flows for the fiscal year ended on such date, and the consolidated balance sheet as at March 31, 2024 and the statements of income and cash flow of the Borrower and its Subsidiaries for the three-month period ended March 31, 2024, copies of all of which have heretofore been furnished to each Bank, present fairly the consolidated financial condition of the Borrower as at such dates, and the consolidated results of its operations and its consolidated cash flows for the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4" w:name="page105"/>
    <w:bookmarkEnd w:id="104"/>
    <w:p>
      <w:pPr>
        <w:ind w:left="180" w:right="339"/>
        <w:spacing w:after="0" w:line="250" w:lineRule="exact"/>
        <w:rPr>
          <w:sz w:val="20"/>
          <w:szCs w:val="20"/>
          <w:color w:val="auto"/>
        </w:rPr>
      </w:pPr>
      <w:r>
        <w:rPr>
          <w:rFonts w:ascii="Times New Roman" w:cs="Times New Roman" w:eastAsia="Times New Roman" w:hAnsi="Times New Roman"/>
          <w:sz w:val="22"/>
          <w:szCs w:val="22"/>
          <w:color w:val="auto"/>
        </w:rPr>
        <w:t>periods covered thereby. All such financial statements, including the related schedules and notes thereto, have been prepared in accordance with GAAP applied consistently throughout the periods involved. Neither the Borrower nor any of its Subsidiaries had, at the date of the most recent balance sheet referred to above, any material Contingent Obligation, liability for taxes, or any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lease or unusual forward or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commitment, including, without limitation, any interest rate or foreign currency swap or exchange transaction, which is required by GAAP to be but is not reflected in the foregoing statements or in the notes thereto.</w:t>
      </w:r>
    </w:p>
    <w:p>
      <w:pPr>
        <w:spacing w:after="0" w:line="182" w:lineRule="exact"/>
        <w:rPr>
          <w:sz w:val="20"/>
          <w:szCs w:val="20"/>
          <w:color w:val="auto"/>
        </w:rPr>
      </w:pPr>
    </w:p>
    <w:p>
      <w:pPr>
        <w:ind w:left="180" w:right="219" w:firstLine="1782"/>
        <w:spacing w:after="0" w:line="258" w:lineRule="auto"/>
        <w:rPr>
          <w:sz w:val="20"/>
          <w:szCs w:val="20"/>
          <w:color w:val="auto"/>
        </w:rPr>
      </w:pPr>
      <w:r>
        <w:rPr>
          <w:rFonts w:ascii="Times New Roman" w:cs="Times New Roman" w:eastAsia="Times New Roman" w:hAnsi="Times New Roman"/>
          <w:sz w:val="22"/>
          <w:szCs w:val="22"/>
          <w:color w:val="auto"/>
        </w:rPr>
        <w:t>(b) (i) As of the Closing Date and after giving effect to this Agreement and any Loans to be made on the Closing Date, the Borrower is Solvent.</w:t>
      </w:r>
    </w:p>
    <w:p>
      <w:pPr>
        <w:spacing w:after="0" w:line="158" w:lineRule="exact"/>
        <w:rPr>
          <w:sz w:val="20"/>
          <w:szCs w:val="20"/>
          <w:color w:val="auto"/>
        </w:rPr>
      </w:pPr>
    </w:p>
    <w:p>
      <w:pPr>
        <w:ind w:left="4080" w:hanging="1304"/>
        <w:spacing w:after="0"/>
        <w:tabs>
          <w:tab w:leader="none" w:pos="40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does not intend to incur debts beyond</w:t>
      </w:r>
    </w:p>
    <w:p>
      <w:pPr>
        <w:spacing w:after="0" w:line="14" w:lineRule="exact"/>
        <w:rPr>
          <w:rFonts w:ascii="Times New Roman" w:cs="Times New Roman" w:eastAsia="Times New Roman" w:hAnsi="Times New Roman"/>
          <w:sz w:val="22"/>
          <w:szCs w:val="22"/>
          <w:color w:val="auto"/>
        </w:rPr>
      </w:pPr>
    </w:p>
    <w:p>
      <w:pPr>
        <w:jc w:val="both"/>
        <w:ind w:left="1480" w:right="55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ability to pay such debts as they mature, taking into account the timing of and amounts of cash to be received by it and the timing of the amounts of cash to be payable on or in respect of its Debt.</w:t>
      </w:r>
    </w:p>
    <w:p>
      <w:pPr>
        <w:spacing w:after="0" w:line="178" w:lineRule="exact"/>
        <w:rPr>
          <w:sz w:val="20"/>
          <w:szCs w:val="20"/>
          <w:color w:val="auto"/>
        </w:rPr>
      </w:pPr>
    </w:p>
    <w:p>
      <w:pPr>
        <w:ind w:left="180" w:right="3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 Adverse Change</w:t>
      </w:r>
      <w:r>
        <w:rPr>
          <w:rFonts w:ascii="Times New Roman" w:cs="Times New Roman" w:eastAsia="Times New Roman" w:hAnsi="Times New Roman"/>
          <w:sz w:val="22"/>
          <w:szCs w:val="22"/>
          <w:color w:val="auto"/>
        </w:rPr>
        <w:t>. Since December 31, 2015, there has been no development or event which has had a Material Adverse Effect.</w:t>
      </w:r>
    </w:p>
    <w:p>
      <w:pPr>
        <w:spacing w:after="0" w:line="158" w:lineRule="exact"/>
        <w:rPr>
          <w:sz w:val="20"/>
          <w:szCs w:val="20"/>
          <w:color w:val="auto"/>
        </w:rPr>
      </w:pPr>
    </w:p>
    <w:p>
      <w:pPr>
        <w:ind w:left="180" w:right="379" w:firstLine="648"/>
        <w:spacing w:after="0" w:line="253" w:lineRule="exact"/>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Existence; Compliance with Law</w:t>
      </w:r>
      <w:r>
        <w:rPr>
          <w:rFonts w:ascii="Times New Roman" w:cs="Times New Roman" w:eastAsia="Times New Roman" w:hAnsi="Times New Roman"/>
          <w:sz w:val="22"/>
          <w:szCs w:val="22"/>
          <w:color w:val="auto"/>
        </w:rPr>
        <w:t>. The Borrower (a) is duly organized, and subsisting under the laws of the jurisdiction of its incorporation, (b) has the corporate power and authority to own and operate its property, to lease the property it operates as lessee and to conduct the business in which it is currently engaged, (c) is duly qualified to transact business in each jurisdiction where its ownership, lease or operation of property or the conduct of its business requires such qualification, except to the extent that the failure to be so qualified would not, in the aggregate, have a Material Adverse Effect and (d) is in compliance with all Requirements of Law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which would have a Material Adverse Effect.</w:t>
      </w:r>
    </w:p>
    <w:p>
      <w:pPr>
        <w:spacing w:after="0" w:line="150" w:lineRule="exact"/>
        <w:rPr>
          <w:sz w:val="20"/>
          <w:szCs w:val="20"/>
          <w:color w:val="auto"/>
        </w:rPr>
      </w:pPr>
    </w:p>
    <w:p>
      <w:pPr>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Corporate Power; Authorization; Enforceable Obligations</w:t>
      </w:r>
      <w:r>
        <w:rPr>
          <w:rFonts w:ascii="Times New Roman" w:cs="Times New Roman" w:eastAsia="Times New Roman" w:hAnsi="Times New Roman"/>
          <w:sz w:val="22"/>
          <w:szCs w:val="22"/>
          <w:color w:val="auto"/>
        </w:rPr>
        <w:t>. The Borrower has the corporate power, authority, and legal right, to make, deliver and perform this Agreement, the Notes and the other Loan Documents to which it is a party and to borrow hereunder and has taken all necessary corporate action to authorize the borrowings on the terms and conditions of this Agreement and the Notes and to authorize the execution, delivery and performance of this Agreement, the Notes and the other Loan Documents to which it is a party. No consent or authorization of, filing with or other act by or in respect of, any Governmental Authority or any other Person (including stockholders and creditors of the Borrower) is required in connection with the borrowings hereunder or with the execution, delivery, performance, validity or enforceability of this Agreement, the Notes or the other Loan Documents. This Agreement has been, and each Note and other Loan Document will be, duly executed and delivered on behalf of the Borrower. This Agreement constitutes, and each Note and other Loan Document when executed and delivered will constitute, a legal, valid and binding obligation of the Borrower enforceable against the Borrower in accordance with its terms, except as enforceability may be limited by applicable bankruptcy, insolvency, fraudulent conveyance,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5" w:name="page106"/>
    <w:bookmarkEnd w:id="105"/>
    <w:p>
      <w:pPr>
        <w:ind w:left="180" w:right="23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No Legal Bar</w:t>
      </w:r>
      <w:r>
        <w:rPr>
          <w:rFonts w:ascii="Times New Roman" w:cs="Times New Roman" w:eastAsia="Times New Roman" w:hAnsi="Times New Roman"/>
          <w:sz w:val="22"/>
          <w:szCs w:val="22"/>
          <w:color w:val="auto"/>
        </w:rPr>
        <w:t>. The execution, delivery and performance of this Agreement, the Notes and the other Loan Documents by the Borrower, the borrowings hereunder and the use of the proceeds thereof will not violate any Requirement of Law or Contractual Obligation of the Borrower or of any of the Subsidiaries and will not result in, or require, the creation or imposition of any Lien on any of its or their respective properties or revenues pursuant to any such Requirement of Law or Contractual Obligation.</w:t>
      </w:r>
    </w:p>
    <w:p>
      <w:pPr>
        <w:spacing w:after="0" w:line="181"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No Material Litigation</w:t>
      </w:r>
      <w:r>
        <w:rPr>
          <w:rFonts w:ascii="Times New Roman" w:cs="Times New Roman" w:eastAsia="Times New Roman" w:hAnsi="Times New Roman"/>
          <w:sz w:val="22"/>
          <w:szCs w:val="22"/>
          <w:color w:val="auto"/>
        </w:rPr>
        <w:t>. Except as set forth on Schedule 3.6, no litigation, investigation or proceeding of or before any arbitrator or Governmental Authority is pending or, to the knowledge of the Borrower, threatened against the Borrower or against any of the properties or revenues of the Borrower (a) with respect to this Agreement, the Notes or the other Loan Documents or any of the transactions contemplated hereby, or (b) as to which there is a reasonable likelihood of an adverse determination and which, if adversely determined, would have a Material Adverse Effect.</w:t>
      </w:r>
    </w:p>
    <w:p>
      <w:pPr>
        <w:spacing w:after="0" w:line="183" w:lineRule="exact"/>
        <w:rPr>
          <w:sz w:val="20"/>
          <w:szCs w:val="20"/>
          <w:color w:val="auto"/>
        </w:rPr>
      </w:pPr>
    </w:p>
    <w:p>
      <w:pPr>
        <w:ind w:left="180" w:right="299" w:firstLine="648"/>
        <w:spacing w:after="0" w:line="261"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The Borrower is not in default under or with respect to any of its Contractual Obligations, including without limitation, those under the Indenture in any respect which would have a Material Adverse Effect. No Event of Default has occurred and is continuing.</w:t>
      </w:r>
    </w:p>
    <w:p>
      <w:pPr>
        <w:spacing w:after="0" w:line="157" w:lineRule="exact"/>
        <w:rPr>
          <w:sz w:val="20"/>
          <w:szCs w:val="20"/>
          <w:color w:val="auto"/>
        </w:rPr>
      </w:pPr>
    </w:p>
    <w:p>
      <w:pPr>
        <w:ind w:left="180" w:right="3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or caused to be filed all tax returns which are required to be filed (or has obtained authorized extensions for such filings)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as the case may be); no material tax Lien has been filed against the Borrower, and, to the knowledge of the Borrower, no claim is being asserted, with respect to any such tax, fee or other charges.</w:t>
      </w:r>
    </w:p>
    <w:p>
      <w:pPr>
        <w:spacing w:after="0" w:line="183" w:lineRule="exact"/>
        <w:rPr>
          <w:sz w:val="20"/>
          <w:szCs w:val="20"/>
          <w:color w:val="auto"/>
        </w:rPr>
      </w:pPr>
    </w:p>
    <w:p>
      <w:pPr>
        <w:ind w:left="180" w:right="239" w:firstLine="648"/>
        <w:spacing w:after="0" w:line="250" w:lineRule="exact"/>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Federal Regulations</w:t>
      </w:r>
      <w:r>
        <w:rPr>
          <w:rFonts w:ascii="Times New Roman" w:cs="Times New Roman" w:eastAsia="Times New Roman" w:hAnsi="Times New Roman"/>
          <w:sz w:val="22"/>
          <w:szCs w:val="22"/>
          <w:color w:val="auto"/>
        </w:rPr>
        <w:t>. No part of the proceeds of any Loans will be used for “purchasing” or “carrying” any “margin stock” within the respective meanings of each of the quoted terms under Regulation U or for any purpose which violates the provisions of Regulation U. If requested by any Bank or the Agent, the Borrower will furnish to the Agent and each Bank a statement to the foregoing effect in conformity with the requirements of FR Form U</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 referred to in said Regulation U. No part of the proceeds of the Loans hereunder will be used for any purpose which violates, or which is inconsistent with, the provisions of Regulation X.</w:t>
      </w:r>
    </w:p>
    <w:p>
      <w:pPr>
        <w:spacing w:after="0" w:line="182"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279" w:firstLine="1944"/>
        <w:spacing w:after="0" w:line="235" w:lineRule="auto"/>
        <w:rPr>
          <w:sz w:val="20"/>
          <w:szCs w:val="20"/>
          <w:color w:val="auto"/>
        </w:rPr>
      </w:pPr>
      <w:r>
        <w:rPr>
          <w:rFonts w:ascii="Times New Roman" w:cs="Times New Roman" w:eastAsia="Times New Roman" w:hAnsi="Times New Roman"/>
          <w:sz w:val="22"/>
          <w:szCs w:val="22"/>
          <w:color w:val="auto"/>
        </w:rPr>
        <w:t>(a) Each Plan has complied in all respects with the applicable provisions of the ERISA and the Code and has been administered in accordance with its terms, except to the extent that failure(s) to so comply, or to so administer the Plan, in the aggregate, has not resulted in and could not reasonably be expected to result in a Material Adverse Effect. No Reportable Event has occurred with respect to any Single Employer Plan which presents a material risk of termination of the Plan by the PBGC. There have been no “prohibited transactions” (as defined in Section 406 of ERISA or Section 4975 of the Code) in connection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6" w:name="page107"/>
    <w:bookmarkEnd w:id="106"/>
    <w:p>
      <w:pPr>
        <w:ind w:left="180" w:right="219"/>
        <w:spacing w:after="0" w:line="258" w:lineRule="auto"/>
        <w:rPr>
          <w:sz w:val="20"/>
          <w:szCs w:val="20"/>
          <w:color w:val="auto"/>
        </w:rPr>
      </w:pPr>
      <w:r>
        <w:rPr>
          <w:rFonts w:ascii="Times New Roman" w:cs="Times New Roman" w:eastAsia="Times New Roman" w:hAnsi="Times New Roman"/>
          <w:sz w:val="22"/>
          <w:szCs w:val="22"/>
          <w:color w:val="auto"/>
        </w:rPr>
        <w:t>with which the Borrower or any Commonly Controlled Entity could be subject to any Material civil penalty under 502(i) of ERISA or any Material excise tax under Section 4975 of the Code.</w:t>
      </w:r>
    </w:p>
    <w:p>
      <w:pPr>
        <w:spacing w:after="0" w:line="158" w:lineRule="exact"/>
        <w:rPr>
          <w:sz w:val="20"/>
          <w:szCs w:val="20"/>
          <w:color w:val="auto"/>
        </w:rPr>
      </w:pPr>
    </w:p>
    <w:p>
      <w:pPr>
        <w:ind w:left="180" w:right="379" w:firstLine="1944"/>
        <w:spacing w:after="0" w:line="238" w:lineRule="auto"/>
        <w:rPr>
          <w:sz w:val="20"/>
          <w:szCs w:val="20"/>
          <w:color w:val="auto"/>
        </w:rPr>
      </w:pPr>
      <w:r>
        <w:rPr>
          <w:rFonts w:ascii="Times New Roman" w:cs="Times New Roman" w:eastAsia="Times New Roman" w:hAnsi="Times New Roman"/>
          <w:sz w:val="22"/>
          <w:szCs w:val="22"/>
          <w:color w:val="auto"/>
        </w:rPr>
        <w:t>(b) With respect to each Single Employer Plan maintained by the Borrower or a Commonly Controlled Entity, the adjusted funding target attainment percentage (within the meaning of Section 436(j)(2) of the Code) of each such Single Employer Plan, as of the close of the most recent plan year for such Plan as certified by the Plan’s actuary, is not less than eighty percent (80%).</w:t>
      </w:r>
    </w:p>
    <w:p>
      <w:pPr>
        <w:spacing w:after="0" w:line="177" w:lineRule="exact"/>
        <w:rPr>
          <w:sz w:val="20"/>
          <w:szCs w:val="20"/>
          <w:color w:val="auto"/>
        </w:rPr>
      </w:pPr>
    </w:p>
    <w:p>
      <w:pPr>
        <w:ind w:left="180" w:right="359" w:firstLine="1944"/>
        <w:spacing w:after="0" w:line="238" w:lineRule="auto"/>
        <w:rPr>
          <w:sz w:val="20"/>
          <w:szCs w:val="20"/>
          <w:color w:val="auto"/>
        </w:rPr>
      </w:pPr>
      <w:r>
        <w:rPr>
          <w:rFonts w:ascii="Times New Roman" w:cs="Times New Roman" w:eastAsia="Times New Roman" w:hAnsi="Times New Roman"/>
          <w:sz w:val="22"/>
          <w:szCs w:val="22"/>
          <w:color w:val="auto"/>
        </w:rPr>
        <w:t>(c) Neither the Borrower nor any Commonly Controlled Entity has incurred any withdrawal liabilities (and are not subject to contingent withdrawal liabilities) under Section 4201 or 4204 of ERISA in respect of Multiemployer Plans that individually or in the aggregate are Material. To the best of Borrower’s knowledge, no Multiemployer Plan is in Reorganization as defined in Section 4241 of ERISA or is Insolvent.</w:t>
      </w:r>
    </w:p>
    <w:p>
      <w:pPr>
        <w:spacing w:after="0" w:line="177" w:lineRule="exact"/>
        <w:rPr>
          <w:sz w:val="20"/>
          <w:szCs w:val="20"/>
          <w:color w:val="auto"/>
        </w:rPr>
      </w:pPr>
    </w:p>
    <w:p>
      <w:pPr>
        <w:ind w:left="180" w:right="279" w:firstLine="1944"/>
        <w:spacing w:after="0" w:line="236" w:lineRule="auto"/>
        <w:rPr>
          <w:sz w:val="20"/>
          <w:szCs w:val="20"/>
          <w:color w:val="auto"/>
        </w:rPr>
      </w:pPr>
      <w:r>
        <w:rPr>
          <w:rFonts w:ascii="Times New Roman" w:cs="Times New Roman" w:eastAsia="Times New Roman" w:hAnsi="Times New Roman"/>
          <w:sz w:val="22"/>
          <w:szCs w:val="22"/>
          <w:color w:val="auto"/>
        </w:rPr>
        <w:t>(d) The expected post-retirement benefit obligation (determined as of the last day of the Borrower’s most recently ended fiscal year in accordance with Financial Accounting Standards Board (“</w:t>
      </w:r>
      <w:r>
        <w:rPr>
          <w:rFonts w:ascii="Times New Roman" w:cs="Times New Roman" w:eastAsia="Times New Roman" w:hAnsi="Times New Roman"/>
          <w:sz w:val="22"/>
          <w:szCs w:val="22"/>
          <w:u w:val="single" w:color="auto"/>
          <w:color w:val="auto"/>
        </w:rPr>
        <w:t>FASB</w:t>
      </w:r>
      <w:r>
        <w:rPr>
          <w:rFonts w:ascii="Times New Roman" w:cs="Times New Roman" w:eastAsia="Times New Roman" w:hAnsi="Times New Roman"/>
          <w:sz w:val="22"/>
          <w:szCs w:val="22"/>
          <w:color w:val="auto"/>
        </w:rPr>
        <w:t>”) Accounting Standards Codification 715-60 (formerly FASB Statement No. 106), without regard to liabilities attributable to continuation coverage mandated by Section 4980B of the Code) of the Borrower and its Subsidiaries would not reasonably be expected to have a Material Adverse Effect.</w:t>
      </w:r>
    </w:p>
    <w:p>
      <w:pPr>
        <w:spacing w:after="0" w:line="181" w:lineRule="exact"/>
        <w:rPr>
          <w:sz w:val="20"/>
          <w:szCs w:val="20"/>
          <w:color w:val="auto"/>
        </w:rPr>
      </w:pPr>
    </w:p>
    <w:p>
      <w:pPr>
        <w:ind w:left="180" w:right="339" w:firstLine="648"/>
        <w:spacing w:after="0" w:line="255"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 the Borrower is not (a) an “investment company”, or a company “controlled” by an “investment company”, within the meaning of the Investment Company Act of 1940, as amended or (b) subject to any other federal or state law or regulation which purports to restrict or regulate its ability to borrow money.</w:t>
      </w:r>
    </w:p>
    <w:p>
      <w:pPr>
        <w:spacing w:after="0" w:line="162" w:lineRule="exact"/>
        <w:rPr>
          <w:sz w:val="20"/>
          <w:szCs w:val="20"/>
          <w:color w:val="auto"/>
        </w:rPr>
      </w:pPr>
    </w:p>
    <w:p>
      <w:pPr>
        <w:ind w:left="180" w:right="5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Purpose of Loans</w:t>
      </w:r>
      <w:r>
        <w:rPr>
          <w:rFonts w:ascii="Times New Roman" w:cs="Times New Roman" w:eastAsia="Times New Roman" w:hAnsi="Times New Roman"/>
          <w:sz w:val="22"/>
          <w:szCs w:val="22"/>
          <w:color w:val="auto"/>
        </w:rPr>
        <w:t>. The proceeds of the Loans shall be used by the Borrower for refinancing existing indebtedness of the Borrower and the Borrower’s general working capital purposes including the financing of Permitted Acquisitions.</w:t>
      </w:r>
    </w:p>
    <w:p>
      <w:pPr>
        <w:spacing w:after="0" w:line="173" w:lineRule="exact"/>
        <w:rPr>
          <w:sz w:val="20"/>
          <w:szCs w:val="20"/>
          <w:color w:val="auto"/>
        </w:rPr>
      </w:pPr>
    </w:p>
    <w:p>
      <w:pPr>
        <w:ind w:left="180" w:right="3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xml:space="preserve">. To the best knowledge of the Borrower, except as may be disclosed on </w:t>
      </w:r>
      <w:r>
        <w:rPr>
          <w:rFonts w:ascii="Times New Roman" w:cs="Times New Roman" w:eastAsia="Times New Roman" w:hAnsi="Times New Roman"/>
          <w:sz w:val="22"/>
          <w:szCs w:val="22"/>
          <w:u w:val="single" w:color="auto"/>
          <w:color w:val="auto"/>
        </w:rPr>
        <w:t>Schedule 3.13</w:t>
      </w:r>
      <w:r>
        <w:rPr>
          <w:rFonts w:ascii="Times New Roman" w:cs="Times New Roman" w:eastAsia="Times New Roman" w:hAnsi="Times New Roman"/>
          <w:sz w:val="22"/>
          <w:szCs w:val="22"/>
          <w:color w:val="auto"/>
        </w:rPr>
        <w:t xml:space="preserve"> and except to the extent that the aggregate cost of any remediation or other expense to the Borrower as a consequence of the failure of any of the following representations to be true and correct does not exceed $1,000,000, each of the representations and warranties set forth in paragraphs (a) through (d) of this subsection is true and correct with respect to each parcel of real property owned or operated by the Borrower:</w:t>
      </w:r>
    </w:p>
    <w:p>
      <w:pPr>
        <w:spacing w:after="0" w:line="181" w:lineRule="exact"/>
        <w:rPr>
          <w:sz w:val="20"/>
          <w:szCs w:val="20"/>
          <w:color w:val="auto"/>
        </w:rPr>
      </w:pPr>
    </w:p>
    <w:p>
      <w:pPr>
        <w:ind w:left="180" w:right="319" w:firstLine="1944"/>
        <w:spacing w:after="0" w:line="236" w:lineRule="auto"/>
        <w:rPr>
          <w:sz w:val="20"/>
          <w:szCs w:val="20"/>
          <w:color w:val="auto"/>
        </w:rPr>
      </w:pPr>
      <w:r>
        <w:rPr>
          <w:rFonts w:ascii="Times New Roman" w:cs="Times New Roman" w:eastAsia="Times New Roman" w:hAnsi="Times New Roman"/>
          <w:sz w:val="22"/>
          <w:szCs w:val="22"/>
          <w:color w:val="auto"/>
        </w:rPr>
        <w:t>(a) the Borrower does not have any knowledge of any claim nor has it received any written notice of any claim, and no proceeding has been instituted of which it has received written notice, raising any claim against the Borrower or any of its real properties now or formerly owned, leased or operated by it, or other assets, alleging damage to the environment or any violation of or liability arising under any Environmental Laws, except, in each case, such as could not reasonably be expected to result in a Material Adverse Effect;</w:t>
      </w:r>
    </w:p>
    <w:p>
      <w:pPr>
        <w:spacing w:after="0" w:line="181" w:lineRule="exact"/>
        <w:rPr>
          <w:sz w:val="20"/>
          <w:szCs w:val="20"/>
          <w:color w:val="auto"/>
        </w:rPr>
      </w:pPr>
    </w:p>
    <w:p>
      <w:pPr>
        <w:ind w:left="180" w:right="439" w:firstLine="1944"/>
        <w:spacing w:after="0" w:line="244" w:lineRule="auto"/>
        <w:rPr>
          <w:sz w:val="20"/>
          <w:szCs w:val="20"/>
          <w:color w:val="auto"/>
        </w:rPr>
      </w:pPr>
      <w:r>
        <w:rPr>
          <w:rFonts w:ascii="Times New Roman" w:cs="Times New Roman" w:eastAsia="Times New Roman" w:hAnsi="Times New Roman"/>
          <w:sz w:val="22"/>
          <w:szCs w:val="22"/>
          <w:color w:val="auto"/>
        </w:rPr>
        <w:t>(b) the Borrower does not have knowledge of any facts which would give rise to any claim, public or private, for violation of or liability arising under Environmental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7" w:name="page108"/>
    <w:bookmarkEnd w:id="107"/>
    <w:p>
      <w:pPr>
        <w:ind w:left="180" w:right="339"/>
        <w:spacing w:after="0" w:line="239" w:lineRule="auto"/>
        <w:rPr>
          <w:sz w:val="20"/>
          <w:szCs w:val="20"/>
          <w:color w:val="auto"/>
        </w:rPr>
      </w:pPr>
      <w:r>
        <w:rPr>
          <w:rFonts w:ascii="Times New Roman" w:cs="Times New Roman" w:eastAsia="Times New Roman" w:hAnsi="Times New Roman"/>
          <w:sz w:val="22"/>
          <w:szCs w:val="22"/>
          <w:color w:val="auto"/>
        </w:rPr>
        <w:t>Laws or damage to the environment emanating from, occurring on or in any way related to real properties or to operation of other assets now or formerly owned, leased or operated by it or for its use, except, in each case, such as could not reasonably be expected to result in a Material Adverse Effect;</w:t>
      </w:r>
    </w:p>
    <w:p>
      <w:pPr>
        <w:spacing w:after="0" w:line="180" w:lineRule="exact"/>
        <w:rPr>
          <w:sz w:val="20"/>
          <w:szCs w:val="20"/>
          <w:color w:val="auto"/>
        </w:rPr>
      </w:pPr>
    </w:p>
    <w:p>
      <w:pPr>
        <w:ind w:left="180" w:right="319" w:firstLine="1944"/>
        <w:spacing w:after="0" w:line="238" w:lineRule="auto"/>
        <w:rPr>
          <w:sz w:val="20"/>
          <w:szCs w:val="20"/>
          <w:color w:val="auto"/>
        </w:rPr>
      </w:pPr>
      <w:r>
        <w:rPr>
          <w:rFonts w:ascii="Times New Roman" w:cs="Times New Roman" w:eastAsia="Times New Roman" w:hAnsi="Times New Roman"/>
          <w:sz w:val="22"/>
          <w:szCs w:val="22"/>
          <w:color w:val="auto"/>
        </w:rPr>
        <w:t>(c) the Borrower has not stored any Materials of Environment Concern on real properties now or formerly owned, leased or operated by it, and has not disposed of or released any Materials of Environment Concern in a manner that may give rise to liability under any Environmental Laws and in any manner that could reasonably be expected to result in a Material Adverse Effect; and</w:t>
      </w:r>
    </w:p>
    <w:p>
      <w:pPr>
        <w:spacing w:after="0" w:line="177" w:lineRule="exact"/>
        <w:rPr>
          <w:sz w:val="20"/>
          <w:szCs w:val="20"/>
          <w:color w:val="auto"/>
        </w:rPr>
      </w:pPr>
    </w:p>
    <w:p>
      <w:pPr>
        <w:ind w:left="180" w:right="279" w:firstLine="1944"/>
        <w:spacing w:after="0" w:line="239" w:lineRule="auto"/>
        <w:rPr>
          <w:sz w:val="20"/>
          <w:szCs w:val="20"/>
          <w:color w:val="auto"/>
        </w:rPr>
      </w:pPr>
      <w:r>
        <w:rPr>
          <w:rFonts w:ascii="Times New Roman" w:cs="Times New Roman" w:eastAsia="Times New Roman" w:hAnsi="Times New Roman"/>
          <w:sz w:val="22"/>
          <w:szCs w:val="22"/>
          <w:color w:val="auto"/>
        </w:rPr>
        <w:t>(d) all buildings on all real properties now owned, leased or operated by the Borrower are and have been constructed, maintained and operated in a manner that will not give rise to liability under applicable Environmental Laws, except where failure to comply could not reasonably be expected to result in a Material Adverse Effect.</w:t>
      </w:r>
    </w:p>
    <w:p>
      <w:pPr>
        <w:spacing w:after="0" w:line="180" w:lineRule="exact"/>
        <w:rPr>
          <w:sz w:val="20"/>
          <w:szCs w:val="20"/>
          <w:color w:val="auto"/>
        </w:rPr>
      </w:pPr>
    </w:p>
    <w:p>
      <w:pPr>
        <w:ind w:left="180" w:right="6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Ownership of the Borrower</w:t>
      </w:r>
      <w:r>
        <w:rPr>
          <w:rFonts w:ascii="Times New Roman" w:cs="Times New Roman" w:eastAsia="Times New Roman" w:hAnsi="Times New Roman"/>
          <w:sz w:val="22"/>
          <w:szCs w:val="22"/>
          <w:color w:val="auto"/>
        </w:rPr>
        <w:t>. As of the Closing Date the Borrower is a wholly-owned Subsidiary of the Parent Company.</w:t>
      </w:r>
    </w:p>
    <w:p>
      <w:pPr>
        <w:spacing w:after="0" w:line="158" w:lineRule="exact"/>
        <w:rPr>
          <w:sz w:val="20"/>
          <w:szCs w:val="20"/>
          <w:color w:val="auto"/>
        </w:rPr>
      </w:pPr>
    </w:p>
    <w:p>
      <w:pPr>
        <w:ind w:left="180" w:right="2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Patents, Trademarks, etc.</w:t>
      </w:r>
      <w:r>
        <w:rPr>
          <w:rFonts w:ascii="Times New Roman" w:cs="Times New Roman" w:eastAsia="Times New Roman" w:hAnsi="Times New Roman"/>
          <w:sz w:val="22"/>
          <w:szCs w:val="22"/>
          <w:color w:val="auto"/>
        </w:rPr>
        <w:t xml:space="preserve"> The Borrower has obtained and holds in full force and effect all patents, trademarks, servicemarks, trade names, copyrights or licenses therefor and other such rights, free from burdensome restrictions, which are necessary for the operation of its business as presently conducted. To the Borrower’s best knowledge, no material product, process, method, substance, part or other material presently sold by or employed by the Borrower in connection with such business infringes any patent, trademark, service mark, trade name, copyright, license or other right owned by any other Person so as to have a Material Adverse Effect. There is not pending or, to the Borrower’s knowledge, threatened any claim or litigation against or affecting the Borrower contesting its right to sell or use any such product, process, method, substance, part or other material.</w:t>
      </w:r>
    </w:p>
    <w:p>
      <w:pPr>
        <w:spacing w:after="0" w:line="179" w:lineRule="exact"/>
        <w:rPr>
          <w:sz w:val="20"/>
          <w:szCs w:val="20"/>
          <w:color w:val="auto"/>
        </w:rPr>
      </w:pPr>
    </w:p>
    <w:p>
      <w:pPr>
        <w:ind w:left="18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Ownership of Property</w:t>
      </w:r>
      <w:r>
        <w:rPr>
          <w:rFonts w:ascii="Times New Roman" w:cs="Times New Roman" w:eastAsia="Times New Roman" w:hAnsi="Times New Roman"/>
          <w:sz w:val="22"/>
          <w:szCs w:val="22"/>
          <w:color w:val="auto"/>
        </w:rPr>
        <w:t>. The Borrower has good and marketable fee simple title to or valid leasehold interests in all real property owned or leased by the Borrower (except in the case of certain properties not material to its business as to which its title was obtained by quit-claim or special warranty deed), and good title to all of its personal property subject to no Lien of any kind except Liens permitted hereby. The Borrower enjoys peaceful and undisturbed possession under all of its respective material leases.</w:t>
      </w:r>
    </w:p>
    <w:p>
      <w:pPr>
        <w:spacing w:after="0" w:line="181" w:lineRule="exact"/>
        <w:rPr>
          <w:sz w:val="20"/>
          <w:szCs w:val="20"/>
          <w:color w:val="auto"/>
        </w:rPr>
      </w:pPr>
    </w:p>
    <w:p>
      <w:pPr>
        <w:ind w:left="180" w:right="3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3.17 </w:t>
      </w:r>
      <w:r>
        <w:rPr>
          <w:rFonts w:ascii="Times New Roman" w:cs="Times New Roman" w:eastAsia="Times New Roman" w:hAnsi="Times New Roman"/>
          <w:sz w:val="22"/>
          <w:szCs w:val="22"/>
          <w:u w:val="single" w:color="auto"/>
          <w:color w:val="auto"/>
        </w:rPr>
        <w:t>Licenses, etc.</w:t>
      </w:r>
      <w:r>
        <w:rPr>
          <w:rFonts w:ascii="Times New Roman" w:cs="Times New Roman" w:eastAsia="Times New Roman" w:hAnsi="Times New Roman"/>
          <w:sz w:val="22"/>
          <w:szCs w:val="22"/>
          <w:color w:val="auto"/>
        </w:rPr>
        <w:t xml:space="preserve"> The Borrower has obtained and holds in full force and effect, all franchises, licenses, permits, certificates, authorizations, qualifications, easements, rights of way and other rights, consents and approvals which are necessary for the operation of its business as presently conducted, except where the failure to obtain and hold such rights, consents or approvals could not reasonably be expected to have a Material Adverse Effect.</w:t>
      </w:r>
    </w:p>
    <w:p>
      <w:pPr>
        <w:spacing w:after="0" w:line="177" w:lineRule="exact"/>
        <w:rPr>
          <w:sz w:val="20"/>
          <w:szCs w:val="20"/>
          <w:color w:val="auto"/>
        </w:rPr>
      </w:pPr>
    </w:p>
    <w:p>
      <w:pPr>
        <w:ind w:left="180" w:right="719" w:firstLine="648"/>
        <w:spacing w:after="0" w:line="261" w:lineRule="auto"/>
        <w:rPr>
          <w:sz w:val="20"/>
          <w:szCs w:val="20"/>
          <w:color w:val="auto"/>
        </w:rPr>
      </w:pPr>
      <w:r>
        <w:rPr>
          <w:rFonts w:ascii="Times New Roman" w:cs="Times New Roman" w:eastAsia="Times New Roman" w:hAnsi="Times New Roman"/>
          <w:sz w:val="21"/>
          <w:szCs w:val="21"/>
          <w:color w:val="auto"/>
        </w:rPr>
        <w:t xml:space="preserve">3.18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The Borrower has not, within the last five years, suffered any strikes, walkouts, work stoppages or other labor difficulty involving a material number of employees which in any case had a Material Adverse Effect, and to the best of the Borrower’s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8" w:name="page109"/>
    <w:bookmarkEnd w:id="108"/>
    <w:p>
      <w:pPr>
        <w:ind w:left="180" w:right="899"/>
        <w:spacing w:after="0" w:line="258" w:lineRule="auto"/>
        <w:rPr>
          <w:sz w:val="20"/>
          <w:szCs w:val="20"/>
          <w:color w:val="auto"/>
        </w:rPr>
      </w:pPr>
      <w:r>
        <w:rPr>
          <w:rFonts w:ascii="Times New Roman" w:cs="Times New Roman" w:eastAsia="Times New Roman" w:hAnsi="Times New Roman"/>
          <w:sz w:val="22"/>
          <w:szCs w:val="22"/>
          <w:color w:val="auto"/>
        </w:rPr>
        <w:t>knowledge, there are no such events which could reasonably be expected to have a Material Adverse Effect now threatened.</w:t>
      </w:r>
    </w:p>
    <w:p>
      <w:pPr>
        <w:spacing w:after="0" w:line="158" w:lineRule="exact"/>
        <w:rPr>
          <w:sz w:val="20"/>
          <w:szCs w:val="20"/>
          <w:color w:val="auto"/>
        </w:rPr>
      </w:pPr>
    </w:p>
    <w:p>
      <w:pPr>
        <w:ind w:left="180" w:right="5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u w:val="single" w:color="auto"/>
          <w:color w:val="auto"/>
        </w:rPr>
        <w:t>Partnerships</w:t>
      </w:r>
      <w:r>
        <w:rPr>
          <w:rFonts w:ascii="Times New Roman" w:cs="Times New Roman" w:eastAsia="Times New Roman" w:hAnsi="Times New Roman"/>
          <w:sz w:val="22"/>
          <w:szCs w:val="22"/>
          <w:color w:val="auto"/>
        </w:rPr>
        <w:t xml:space="preserve">. Except as disclosed on </w:t>
      </w:r>
      <w:r>
        <w:rPr>
          <w:rFonts w:ascii="Times New Roman" w:cs="Times New Roman" w:eastAsia="Times New Roman" w:hAnsi="Times New Roman"/>
          <w:sz w:val="22"/>
          <w:szCs w:val="22"/>
          <w:u w:val="single" w:color="auto"/>
          <w:color w:val="auto"/>
        </w:rPr>
        <w:t>Schedule 3.19</w:t>
      </w:r>
      <w:r>
        <w:rPr>
          <w:rFonts w:ascii="Times New Roman" w:cs="Times New Roman" w:eastAsia="Times New Roman" w:hAnsi="Times New Roman"/>
          <w:sz w:val="22"/>
          <w:szCs w:val="22"/>
          <w:color w:val="auto"/>
        </w:rPr>
        <w:t>, as of the Closing Date, the Borrower is not a partner in any partnership or in any joint venture.</w:t>
      </w:r>
    </w:p>
    <w:p>
      <w:pPr>
        <w:spacing w:after="0" w:line="158" w:lineRule="exact"/>
        <w:rPr>
          <w:sz w:val="20"/>
          <w:szCs w:val="20"/>
          <w:color w:val="auto"/>
        </w:rPr>
      </w:pPr>
    </w:p>
    <w:p>
      <w:pPr>
        <w:ind w:left="180" w:right="35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No Material Misstatements</w:t>
      </w:r>
      <w:r>
        <w:rPr>
          <w:rFonts w:ascii="Times New Roman" w:cs="Times New Roman" w:eastAsia="Times New Roman" w:hAnsi="Times New Roman"/>
          <w:sz w:val="22"/>
          <w:szCs w:val="22"/>
          <w:color w:val="auto"/>
        </w:rPr>
        <w:t>. To the best of the Borrower’s knowledge, no information, report, financial statement, exhibit or schedule furnished by or on behalf of the Borrower to the Agent or any Bank in connection with the negotiation of this Agreement or any Note or other Loan Document or included therein contains any misstatement of fact, or omitted or omits to state any fact necessary to make the statements therein not misleading, where such misstatement or omission would in the Borrower’s judgment be material to the interests of the Banks with respect to the Borrower’s performance of its obligations hereunder.</w:t>
      </w:r>
    </w:p>
    <w:p>
      <w:pPr>
        <w:spacing w:after="0" w:line="183" w:lineRule="exact"/>
        <w:rPr>
          <w:sz w:val="20"/>
          <w:szCs w:val="20"/>
          <w:color w:val="auto"/>
        </w:rPr>
      </w:pPr>
    </w:p>
    <w:p>
      <w:pPr>
        <w:ind w:left="180" w:right="4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No Covered Entity is a Sanctioned Person</w:t>
      </w:r>
      <w:r>
        <w:rPr>
          <w:rFonts w:ascii="Times New Roman" w:cs="Times New Roman" w:eastAsia="Times New Roman" w:hAnsi="Times New Roman"/>
          <w:sz w:val="22"/>
          <w:szCs w:val="22"/>
          <w:color w:val="auto"/>
        </w:rPr>
        <w:t>. No Covered Entity, either in its own right or through any third party (a) has any of its assets in a Sanctioned Jurisdiction or in the possession, custody or control of a Sanctioned Person in violation of any Anti-Terrorism Law;</w:t>
      </w:r>
    </w:p>
    <w:p>
      <w:pPr>
        <w:ind w:left="180" w:right="339" w:firstLine="4"/>
        <w:spacing w:after="0" w:line="241" w:lineRule="auto"/>
        <w:tabs>
          <w:tab w:leader="none" w:pos="48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does business in or with, or derives any of its income from investments in or transactions with, any Sanctioned Jurisdiction or Sanctioned Person in violation of any Anti-Terrorism Law; or</w:t>
      </w:r>
    </w:p>
    <w:p>
      <w:pPr>
        <w:spacing w:after="0" w:line="1" w:lineRule="exact"/>
        <w:rPr>
          <w:rFonts w:ascii="Times New Roman" w:cs="Times New Roman" w:eastAsia="Times New Roman" w:hAnsi="Times New Roman"/>
          <w:sz w:val="21"/>
          <w:szCs w:val="21"/>
          <w:color w:val="auto"/>
        </w:rPr>
      </w:pPr>
    </w:p>
    <w:p>
      <w:pPr>
        <w:ind w:left="180" w:right="419" w:firstLine="4"/>
        <w:spacing w:after="0" w:line="235" w:lineRule="auto"/>
        <w:tabs>
          <w:tab w:leader="none" w:pos="47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engages in any dealings or transactions prohibited by any Anti-Terrorism Law. The Borrower has instituted and maintains policies and procedures designed to promote and achieve continued compliance with Anti-Terrorism Laws.</w:t>
      </w:r>
    </w:p>
    <w:p>
      <w:pPr>
        <w:spacing w:after="0" w:line="17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u w:val="single" w:color="auto"/>
          <w:color w:val="auto"/>
        </w:rPr>
        <w:t>EEA Financial Institutions</w:t>
      </w:r>
      <w:r>
        <w:rPr>
          <w:rFonts w:ascii="Times New Roman" w:cs="Times New Roman" w:eastAsia="Times New Roman" w:hAnsi="Times New Roman"/>
          <w:sz w:val="21"/>
          <w:szCs w:val="21"/>
          <w:color w:val="auto"/>
        </w:rPr>
        <w:t>. The Borrower is not an EEA Financial Institution.</w:t>
      </w:r>
    </w:p>
    <w:p>
      <w:pPr>
        <w:spacing w:after="0" w:line="206" w:lineRule="exact"/>
        <w:rPr>
          <w:sz w:val="20"/>
          <w:szCs w:val="20"/>
          <w:color w:val="auto"/>
        </w:rPr>
      </w:pPr>
    </w:p>
    <w:p>
      <w:pPr>
        <w:ind w:left="180" w:right="5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Neither the Borrower nor any of its Subsidiaries, nor, to the knowledge of any Responsible Officer of the Borrower, any director, officer, agent, employee or other person acting on behalf of the Borrower or any of its Subsidiaries, has taken any action, directly or indirectly, that would result in a violation by such persons of the FCPA or any other applicable anti-corruption law; and the Borrower has instituted and maintains policies and procedures designed to promote and achieve continued compliance therewith.</w:t>
      </w:r>
    </w:p>
    <w:p>
      <w:pPr>
        <w:spacing w:after="0" w:line="181" w:lineRule="exact"/>
        <w:rPr>
          <w:sz w:val="20"/>
          <w:szCs w:val="20"/>
          <w:color w:val="auto"/>
        </w:rPr>
      </w:pPr>
    </w:p>
    <w:p>
      <w:pPr>
        <w:ind w:left="180" w:right="2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3.24 </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If the Borrower qualifies as a legal entity customer under the Beneficial Ownership Regulations, the Certificate of Beneficial Ownership for the Borrower executed and delivered to the Agent and the Banks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spacing w:after="0" w:line="183"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All of the foregoing representations and warranties shall survive the execution and delivery of the Notes and the making by the Banks of the Loans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 CONDITIONS PRECEDENT; CLOSING</w:t>
      </w:r>
    </w:p>
    <w:p>
      <w:pPr>
        <w:spacing w:after="0" w:line="206" w:lineRule="exact"/>
        <w:rPr>
          <w:sz w:val="20"/>
          <w:szCs w:val="20"/>
          <w:color w:val="auto"/>
        </w:rPr>
      </w:pPr>
    </w:p>
    <w:p>
      <w:pPr>
        <w:ind w:left="180" w:right="4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Conditions to Closing</w:t>
      </w:r>
      <w:r>
        <w:rPr>
          <w:rFonts w:ascii="Times New Roman" w:cs="Times New Roman" w:eastAsia="Times New Roman" w:hAnsi="Times New Roman"/>
          <w:sz w:val="22"/>
          <w:szCs w:val="22"/>
          <w:color w:val="auto"/>
        </w:rPr>
        <w:t>. The agreement of each Bank to enter into this Agreement and make its initial Loan hereunder is subject to the satisfaction, immediately prior to or concurrently with such Loans, of the following conditions precedent: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9" w:name="page110"/>
    <w:bookmarkEnd w:id="109"/>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The Agent shall have received</w:t>
      </w:r>
    </w:p>
    <w:p>
      <w:pPr>
        <w:spacing w:after="0" w:line="4" w:lineRule="exact"/>
        <w:rPr>
          <w:sz w:val="20"/>
          <w:szCs w:val="20"/>
          <w:color w:val="auto"/>
        </w:rPr>
      </w:pPr>
    </w:p>
    <w:p>
      <w:pPr>
        <w:ind w:left="440" w:hanging="256"/>
        <w:spacing w:after="0"/>
        <w:tabs>
          <w:tab w:leader="none" w:pos="4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executed and delivered by a duly authorized officer of the Borrower, with a</w:t>
      </w:r>
    </w:p>
    <w:p>
      <w:pPr>
        <w:jc w:val="both"/>
        <w:ind w:left="180" w:right="37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 for each Bank, (ii) for the account of each Bank, a Revolving Credit Note conforming to the requirements hereof and executed by a duly authorized officer of the Borrower and (iii) for the account of the Swing Line Bank, the Swing Line Note conforming to the requirements hereof and executed by a duly authorized officer of the Borrower.</w:t>
      </w:r>
    </w:p>
    <w:p>
      <w:pPr>
        <w:spacing w:after="0" w:line="177"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Corporate Proceedings of the Borrower</w:t>
      </w:r>
      <w:r>
        <w:rPr>
          <w:rFonts w:ascii="Times New Roman" w:cs="Times New Roman" w:eastAsia="Times New Roman" w:hAnsi="Times New Roman"/>
          <w:sz w:val="22"/>
          <w:szCs w:val="22"/>
          <w:color w:val="auto"/>
        </w:rPr>
        <w:t>. The Agent</w:t>
      </w:r>
    </w:p>
    <w:p>
      <w:pPr>
        <w:spacing w:after="0" w:line="14" w:lineRule="exact"/>
        <w:rPr>
          <w:sz w:val="20"/>
          <w:szCs w:val="20"/>
          <w:color w:val="auto"/>
        </w:rPr>
      </w:pPr>
    </w:p>
    <w:p>
      <w:pPr>
        <w:ind w:left="180" w:right="239"/>
        <w:spacing w:after="0" w:line="232" w:lineRule="auto"/>
        <w:rPr>
          <w:sz w:val="20"/>
          <w:szCs w:val="20"/>
          <w:color w:val="auto"/>
        </w:rPr>
      </w:pPr>
      <w:r>
        <w:rPr>
          <w:rFonts w:ascii="Times New Roman" w:cs="Times New Roman" w:eastAsia="Times New Roman" w:hAnsi="Times New Roman"/>
          <w:sz w:val="22"/>
          <w:szCs w:val="22"/>
          <w:color w:val="auto"/>
        </w:rPr>
        <w:t>shall have received a copy of the resolutions or other corporate proceedings or action, in form and substance satisfactory to the Agent, taken on behalf of the Borrower authorizing (i) the execution, delivery and performance of this Agreement, the Notes and the other Loan Documents to which it is a party, and (ii) the borrowings contemplated hereunder, certified by a Responsible Officer of the Borrower as of the Closing Date, which certificate shall state that such resolutions, or other proceedings or action thereby certified have not been amended, modified, revoked or rescinded and shall be in form and substance satisfactory to the Agent.</w:t>
      </w:r>
    </w:p>
    <w:p>
      <w:pPr>
        <w:spacing w:after="0" w:line="181"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Representations and Warranties True; No</w:t>
      </w:r>
    </w:p>
    <w:p>
      <w:pPr>
        <w:spacing w:after="0" w:line="14" w:lineRule="exact"/>
        <w:rPr>
          <w:sz w:val="20"/>
          <w:szCs w:val="20"/>
          <w:color w:val="auto"/>
        </w:rPr>
      </w:pPr>
    </w:p>
    <w:p>
      <w:pPr>
        <w:ind w:left="180" w:right="239"/>
        <w:spacing w:after="0" w:line="232" w:lineRule="auto"/>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The representations and warranties of the Borrower contained in Section 3 hereof shall be true and accurate on and as of the Closing Date in all material respects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and the Borrower shall have performed and complied with all covenants and conditions hereof; and no Event of Default or Default under this Agreement shall have occurred and be continuing or shall exist.</w:t>
      </w:r>
    </w:p>
    <w:p>
      <w:pPr>
        <w:spacing w:after="0" w:line="180" w:lineRule="exact"/>
        <w:rPr>
          <w:sz w:val="20"/>
          <w:szCs w:val="20"/>
          <w:color w:val="auto"/>
        </w:rPr>
      </w:pPr>
    </w:p>
    <w:p>
      <w:pPr>
        <w:ind w:left="180" w:right="319" w:firstLine="1944"/>
        <w:spacing w:after="0" w:line="235"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The Agent shall have received, with a counterpart for each Bank, true and complete copies of (i) the articles of incorporation and bylaws of the Borrower, certified as of the Closing Date as complete and correct copies thereof by a Responsible Officer of the Borrower; and (ii) good standing certificates issued by the Secretaries of State (or the equivalent thereof) of each state in which the Borrower has been formed or is required to be qualified to transact business no earlier than thirty days prior to the Closing Date.</w:t>
      </w:r>
    </w:p>
    <w:p>
      <w:pPr>
        <w:spacing w:after="0" w:line="183" w:lineRule="exact"/>
        <w:rPr>
          <w:sz w:val="20"/>
          <w:szCs w:val="20"/>
          <w:color w:val="auto"/>
        </w:rPr>
      </w:pPr>
    </w:p>
    <w:p>
      <w:pPr>
        <w:ind w:left="180" w:right="239" w:firstLine="1944"/>
        <w:spacing w:after="0" w:line="238"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Incumbency</w:t>
      </w:r>
      <w:r>
        <w:rPr>
          <w:rFonts w:ascii="Times New Roman" w:cs="Times New Roman" w:eastAsia="Times New Roman" w:hAnsi="Times New Roman"/>
          <w:sz w:val="22"/>
          <w:szCs w:val="22"/>
          <w:color w:val="auto"/>
        </w:rPr>
        <w:t>. The Agent shall have received a written certificate dated the Closing Date by a Responsible Officer of the Borrower as to the names and signatures of the officers of the Borrower authorized to sign this Agreement and the other Loan Documents. The Agent may conclusively rely on such certificate until it shall receive a further certificate by a Responsible Officer of the Borrower amending such prior certificate.</w:t>
      </w:r>
    </w:p>
    <w:p>
      <w:pPr>
        <w:spacing w:after="0" w:line="154"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(f)</w:t>
            </w:r>
          </w:p>
        </w:tc>
        <w:tc>
          <w:tcPr>
            <w:tcW w:w="88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Intentionally Omitted.</w:t>
            </w:r>
          </w:p>
        </w:tc>
      </w:tr>
      <w:tr>
        <w:trPr>
          <w:trHeight w:val="20"/>
        </w:trPr>
        <w:tc>
          <w:tcPr>
            <w:tcW w:w="11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88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Fees. The Borrower shall have paid or caused to be</w:t>
            </w:r>
          </w:p>
        </w:tc>
      </w:tr>
      <w:tr>
        <w:trPr>
          <w:trHeight w:val="20"/>
        </w:trPr>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ind w:left="180" w:right="219"/>
        <w:spacing w:after="0" w:line="244" w:lineRule="auto"/>
        <w:rPr>
          <w:sz w:val="20"/>
          <w:szCs w:val="20"/>
          <w:color w:val="auto"/>
        </w:rPr>
      </w:pPr>
      <w:r>
        <w:rPr>
          <w:rFonts w:ascii="Times New Roman" w:cs="Times New Roman" w:eastAsia="Times New Roman" w:hAnsi="Times New Roman"/>
          <w:sz w:val="22"/>
          <w:szCs w:val="22"/>
          <w:color w:val="auto"/>
        </w:rPr>
        <w:t>paid to the Agent (i) all Fees then due hereunder and (ii) all other fees and expenses due and payable hereunder on or before the Closing Date (if then invoiced), including without limitation the reasonable fees and expenses of counsel to the 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0" w:name="page111"/>
    <w:bookmarkEnd w:id="110"/>
    <w:p>
      <w:pPr>
        <w:ind w:left="180" w:right="199" w:firstLine="1944"/>
        <w:spacing w:after="0" w:line="236"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The Agent shall have received, with a counterpart for each Bank, the executed legal opinion of the General Counsel of the Borrower, addressed to the Banks and satisfactory in form and substance to the Agent and its counsel covering such matters incident to the transactions contemplated by this Agreement as the Agent may reasonably require. The Borrower hereby directs such counsel to deliver such opinion, upon which the Banks and the Agent may rely.</w:t>
      </w:r>
    </w:p>
    <w:p>
      <w:pPr>
        <w:spacing w:after="0" w:line="181" w:lineRule="exact"/>
        <w:rPr>
          <w:sz w:val="20"/>
          <w:szCs w:val="20"/>
          <w:color w:val="auto"/>
        </w:rPr>
      </w:pPr>
    </w:p>
    <w:p>
      <w:pPr>
        <w:ind w:left="2120"/>
        <w:spacing w:after="0"/>
        <w:tabs>
          <w:tab w:leader="none" w:pos="40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There shall be no</w:t>
      </w:r>
    </w:p>
    <w:p>
      <w:pPr>
        <w:spacing w:after="0" w:line="14" w:lineRule="exact"/>
        <w:rPr>
          <w:sz w:val="20"/>
          <w:szCs w:val="20"/>
          <w:color w:val="auto"/>
        </w:rPr>
      </w:pPr>
    </w:p>
    <w:p>
      <w:pPr>
        <w:ind w:left="180" w:right="239"/>
        <w:spacing w:after="0" w:line="233" w:lineRule="auto"/>
        <w:rPr>
          <w:sz w:val="20"/>
          <w:szCs w:val="20"/>
          <w:color w:val="auto"/>
        </w:rPr>
      </w:pPr>
      <w:r>
        <w:rPr>
          <w:rFonts w:ascii="Times New Roman" w:cs="Times New Roman" w:eastAsia="Times New Roman" w:hAnsi="Times New Roman"/>
          <w:sz w:val="22"/>
          <w:szCs w:val="22"/>
          <w:color w:val="auto"/>
        </w:rPr>
        <w:t>material adverse change in the business, operations, Property or financial or other condition of the Borrower nor any material change in the management of the Borrower or an event which would cause or constitute a Material Adverse Effect; and there shall be delivered to the Agent for the benefit of each Bank a certificate dated the Closing Date and signed on behalf of the Borrower by a Responsible Officer to each such effect.</w:t>
      </w:r>
    </w:p>
    <w:p>
      <w:pPr>
        <w:spacing w:after="0" w:line="179" w:lineRule="exact"/>
        <w:rPr>
          <w:sz w:val="20"/>
          <w:szCs w:val="20"/>
          <w:color w:val="auto"/>
        </w:rPr>
      </w:pPr>
    </w:p>
    <w:p>
      <w:pPr>
        <w:ind w:left="180" w:right="219" w:firstLine="1944"/>
        <w:spacing w:after="0" w:line="236"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action, proceeding, investigation, regulation or legislation shall have been instituted, or to the knowledge of the Borrower, threatened or proposed before any court, governmental agency or legislative body to enjoin, restrain or prohibit, or to obtain damages in respect of this Agreement or the consummation of the transactions contemplated hereby or which, in the Agent’s sole discretion, would make it inadvisable to consummate the transactions contemplated by this Agreement.</w:t>
      </w:r>
    </w:p>
    <w:p>
      <w:pPr>
        <w:spacing w:after="0" w:line="181" w:lineRule="exact"/>
        <w:rPr>
          <w:sz w:val="20"/>
          <w:szCs w:val="20"/>
          <w:color w:val="auto"/>
        </w:rPr>
      </w:pPr>
    </w:p>
    <w:p>
      <w:pPr>
        <w:ind w:left="180" w:right="519" w:firstLine="1944"/>
        <w:spacing w:after="0" w:line="258"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Evidence of Insurance</w:t>
      </w:r>
      <w:r>
        <w:rPr>
          <w:rFonts w:ascii="Times New Roman" w:cs="Times New Roman" w:eastAsia="Times New Roman" w:hAnsi="Times New Roman"/>
          <w:sz w:val="22"/>
          <w:szCs w:val="22"/>
          <w:color w:val="auto"/>
        </w:rPr>
        <w:t>. The Borrower shall have provided to each of the Banks copies of the evidence of insurance required by subsection 5.5(b).</w:t>
      </w:r>
    </w:p>
    <w:p>
      <w:pPr>
        <w:spacing w:after="0" w:line="135"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(l)</w:t>
            </w:r>
          </w:p>
        </w:tc>
        <w:tc>
          <w:tcPr>
            <w:tcW w:w="5220" w:type="dxa"/>
            <w:vAlign w:val="bottom"/>
            <w:gridSpan w:val="5"/>
          </w:tcPr>
          <w:p>
            <w:pPr>
              <w:ind w:left="820"/>
              <w:spacing w:after="0"/>
              <w:rPr>
                <w:sz w:val="20"/>
                <w:szCs w:val="20"/>
                <w:color w:val="auto"/>
              </w:rPr>
            </w:pPr>
            <w:r>
              <w:rPr>
                <w:rFonts w:ascii="Times New Roman" w:cs="Times New Roman" w:eastAsia="Times New Roman" w:hAnsi="Times New Roman"/>
                <w:sz w:val="22"/>
                <w:szCs w:val="22"/>
                <w:color w:val="auto"/>
              </w:rPr>
              <w:t>Intentionally Omitted.</w:t>
            </w: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(m)</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Evidence of Regulatory Approval. The Borrower</w:t>
            </w: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jc w:val="both"/>
        <w:ind w:left="180" w:right="739"/>
        <w:spacing w:after="0" w:line="239" w:lineRule="auto"/>
        <w:rPr>
          <w:sz w:val="20"/>
          <w:szCs w:val="20"/>
          <w:color w:val="auto"/>
        </w:rPr>
      </w:pPr>
      <w:r>
        <w:rPr>
          <w:rFonts w:ascii="Times New Roman" w:cs="Times New Roman" w:eastAsia="Times New Roman" w:hAnsi="Times New Roman"/>
          <w:sz w:val="22"/>
          <w:szCs w:val="22"/>
          <w:color w:val="auto"/>
        </w:rPr>
        <w:t>shall have provided to the Agent a copy of each and every authorization, permit, consent, and approval of and other actions by, and notice to and filing with, every Governmental Authority which is required to be obtained or made by the Borrower for the due execution, delivery and performance of this Agreement and the other Loan Documents, if any.</w:t>
      </w:r>
    </w:p>
    <w:p>
      <w:pPr>
        <w:spacing w:after="0" w:line="180" w:lineRule="exact"/>
        <w:rPr>
          <w:sz w:val="20"/>
          <w:szCs w:val="20"/>
          <w:color w:val="auto"/>
        </w:rPr>
      </w:pPr>
    </w:p>
    <w:p>
      <w:pPr>
        <w:ind w:left="180" w:right="219" w:firstLine="1944"/>
        <w:spacing w:after="0" w:line="244" w:lineRule="auto"/>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The Agent shall have received such additional documents, certificates and information as the Agent may require pursuant to the hereof or as the Agent may otherwise reasonably request.</w:t>
      </w:r>
    </w:p>
    <w:p>
      <w:pPr>
        <w:spacing w:after="0" w:line="173" w:lineRule="exact"/>
        <w:rPr>
          <w:sz w:val="20"/>
          <w:szCs w:val="20"/>
          <w:color w:val="auto"/>
        </w:rPr>
      </w:pPr>
    </w:p>
    <w:p>
      <w:pPr>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Conditions to Each Loan</w:t>
      </w:r>
      <w:r>
        <w:rPr>
          <w:rFonts w:ascii="Times New Roman" w:cs="Times New Roman" w:eastAsia="Times New Roman" w:hAnsi="Times New Roman"/>
          <w:sz w:val="22"/>
          <w:szCs w:val="22"/>
          <w:color w:val="auto"/>
        </w:rPr>
        <w:t>. The agreement of each Bank to make any Loan requested to be made by it on any date (including, without limitation, the first such Loan hereunder) is subject to the satisfaction of the following conditions precedent:</w:t>
      </w:r>
    </w:p>
    <w:p>
      <w:pPr>
        <w:spacing w:after="0" w:line="173"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w:t>
      </w:r>
    </w:p>
    <w:p>
      <w:pPr>
        <w:spacing w:after="0" w:line="14" w:lineRule="exact"/>
        <w:rPr>
          <w:sz w:val="20"/>
          <w:szCs w:val="20"/>
          <w:color w:val="auto"/>
        </w:rPr>
      </w:pPr>
    </w:p>
    <w:p>
      <w:pPr>
        <w:ind w:left="180" w:right="279"/>
        <w:spacing w:after="0" w:line="232" w:lineRule="auto"/>
        <w:rPr>
          <w:sz w:val="20"/>
          <w:szCs w:val="20"/>
          <w:color w:val="auto"/>
        </w:rPr>
      </w:pPr>
      <w:r>
        <w:rPr>
          <w:rFonts w:ascii="Times New Roman" w:cs="Times New Roman" w:eastAsia="Times New Roman" w:hAnsi="Times New Roman"/>
          <w:sz w:val="22"/>
          <w:szCs w:val="22"/>
          <w:color w:val="auto"/>
        </w:rPr>
        <w:t>representations and warranties made by the Borrower herein or which are contained in any certificate, document or financial or other statement furnished at any time under or in connection herewith or therewith shall be true and correct in all material respects on and as of such date as if made on and as of such date; provided, however, that for purposes of the representations in Section 3.1 hereof, the annual and quarterly financial information referred to in such Section shall be deemed to be the most recent such information furnished to each Bank.</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1" w:name="page112"/>
    <w:bookmarkEnd w:id="111"/>
    <w:p>
      <w:pPr>
        <w:jc w:val="both"/>
        <w:ind w:left="180" w:right="559" w:firstLine="1944"/>
        <w:spacing w:after="0" w:line="24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have occurred and be continuing on such date or after giving effect to the Loans requested to be made on such date.</w:t>
      </w:r>
    </w:p>
    <w:p>
      <w:pPr>
        <w:spacing w:after="0" w:line="173" w:lineRule="exact"/>
        <w:rPr>
          <w:sz w:val="20"/>
          <w:szCs w:val="20"/>
          <w:color w:val="auto"/>
        </w:rPr>
      </w:pPr>
    </w:p>
    <w:p>
      <w:pPr>
        <w:ind w:left="180" w:right="359" w:firstLine="1944"/>
        <w:spacing w:after="0" w:line="25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 Contravention of Law</w:t>
      </w:r>
      <w:r>
        <w:rPr>
          <w:rFonts w:ascii="Times New Roman" w:cs="Times New Roman" w:eastAsia="Times New Roman" w:hAnsi="Times New Roman"/>
          <w:sz w:val="22"/>
          <w:szCs w:val="22"/>
          <w:color w:val="auto"/>
        </w:rPr>
        <w:t>. The making of the Loans shall not contravene any Requirement of Law applicable to the Borrower or any of the Banks.</w:t>
      </w:r>
    </w:p>
    <w:p>
      <w:pPr>
        <w:spacing w:after="0" w:line="158" w:lineRule="exact"/>
        <w:rPr>
          <w:sz w:val="20"/>
          <w:szCs w:val="20"/>
          <w:color w:val="auto"/>
        </w:rPr>
      </w:pPr>
    </w:p>
    <w:p>
      <w:pPr>
        <w:jc w:val="both"/>
        <w:ind w:left="180" w:right="499"/>
        <w:spacing w:after="0" w:line="244" w:lineRule="auto"/>
        <w:rPr>
          <w:sz w:val="20"/>
          <w:szCs w:val="20"/>
          <w:color w:val="auto"/>
        </w:rPr>
      </w:pPr>
      <w:r>
        <w:rPr>
          <w:rFonts w:ascii="Times New Roman" w:cs="Times New Roman" w:eastAsia="Times New Roman" w:hAnsi="Times New Roman"/>
          <w:sz w:val="22"/>
          <w:szCs w:val="22"/>
          <w:color w:val="auto"/>
        </w:rPr>
        <w:t>Each borrowing by the Borrower hereunder shall constitute a representation and warranty by the Borrower as of the date of such Loan that the conditions contained in this Section 4.2 have been satisfied.</w:t>
      </w:r>
    </w:p>
    <w:p>
      <w:pPr>
        <w:spacing w:after="0" w:line="173" w:lineRule="exact"/>
        <w:rPr>
          <w:sz w:val="20"/>
          <w:szCs w:val="20"/>
          <w:color w:val="auto"/>
        </w:rPr>
      </w:pPr>
    </w:p>
    <w:p>
      <w:pPr>
        <w:ind w:left="180" w:right="2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of the transactions contemplated hereby shall take place at the offices of Ballard Spahr LLP, commencing at 10:00 a.m., Philadelphia time, on November 17, 2016 or such other place or date as to which the Agent, the Banks and the Borrower shall agree. The date on which the Closing shall be completed is referred to herein as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Transitional Arrangements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259" w:firstLine="1944"/>
        <w:spacing w:after="0" w:line="235" w:lineRule="auto"/>
        <w:rPr>
          <w:sz w:val="20"/>
          <w:szCs w:val="20"/>
          <w:color w:val="auto"/>
        </w:rPr>
      </w:pPr>
      <w:r>
        <w:rPr>
          <w:rFonts w:ascii="Times New Roman" w:cs="Times New Roman" w:eastAsia="Times New Roman" w:hAnsi="Times New Roman"/>
          <w:sz w:val="22"/>
          <w:szCs w:val="22"/>
          <w:color w:val="auto"/>
        </w:rPr>
        <w:t>(a) On the Closing Date, without the necessity of any further action by any party, the outstanding principal amount of the “Revolving Credit Loans” (as defined in the Existing Credit Agreement) shall be converted and continued as Revolving Credit Loans hereunder as if made by the Banks under and pursuant to this Agreement in accordance with their respective Commitment Percentages and the Banks hereunder shall make such additional Revolving Credit Loans and receive such repayments, as the case may be, if and to the extent necessary to result in each Bank holding its respective Commitment Percentage of the outstanding Revolving Credit Loans as of the date hereof.</w:t>
      </w:r>
    </w:p>
    <w:p>
      <w:pPr>
        <w:spacing w:after="0" w:line="178" w:lineRule="exact"/>
        <w:rPr>
          <w:sz w:val="20"/>
          <w:szCs w:val="20"/>
          <w:color w:val="auto"/>
        </w:rPr>
      </w:pPr>
    </w:p>
    <w:p>
      <w:pPr>
        <w:ind w:left="180" w:right="219" w:firstLine="1944"/>
        <w:spacing w:after="0" w:line="233" w:lineRule="auto"/>
        <w:rPr>
          <w:sz w:val="20"/>
          <w:szCs w:val="20"/>
          <w:color w:val="auto"/>
        </w:rPr>
      </w:pPr>
      <w:r>
        <w:rPr>
          <w:rFonts w:ascii="Times New Roman" w:cs="Times New Roman" w:eastAsia="Times New Roman" w:hAnsi="Times New Roman"/>
          <w:sz w:val="22"/>
          <w:szCs w:val="22"/>
          <w:color w:val="auto"/>
        </w:rPr>
        <w:t>(b) This Agreement amends and restates the Existing Credit Agreement in its entirety, and is not intended as and shall not be deemed to constitute a novation or discharge of the obligations evidenced by, or any transactions consummated under, the Existing Credit Agreement or the other Loan Documents (as defined in the Existing Credit Agreement), all of which remain in full force and effect as amended and restated by this Agreement and the other Loan Documents. Notwithstanding the amendment and restatement of the Existing Credit Agreement by this Agreement, the Borrower shall continue to be liable to the Agent and those Banks party to the Existing Credit Agreement with respect to agreements on the part of the Borrower under the Existing Credit Agreement to pay all principal, interest, fees and other amounts that have accrued on or before the Closing Date (and have not been paid on or before such date) and to indemnify and hold harmless the Agent and such Banks from and against all claims, demands, liabilities, damages, losses, costs, charges and expenses to which the Agent and such Banks may be subject arising in connection with the Existing Credit Agreement and as to which the Borrower has agreed under the Existing Credit Agreement to indemnify and hold harmless the Agent and such Banks.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5. AFFIRMATIVE COVENANTS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2" w:name="page113"/>
    <w:bookmarkEnd w:id="112"/>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The Borrower hereby agrees that, so long as the Commitments remain in effect, any Note remains outstanding and unpaid, or any other amount is owing to any Bank or the Agent hereunder, the Borrower shall:</w:t>
      </w:r>
    </w:p>
    <w:p>
      <w:pPr>
        <w:spacing w:after="0" w:line="173" w:lineRule="exact"/>
        <w:rPr>
          <w:sz w:val="20"/>
          <w:szCs w:val="20"/>
          <w:color w:val="auto"/>
        </w:rPr>
      </w:pPr>
    </w:p>
    <w:p>
      <w:pPr>
        <w:ind w:left="18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Furnish to each Bank (i) within 60 days after the end of each of the first three fiscal quarters of each fiscal year a consolidated balance sheet of the Borrower and its Subsidiaries as of the end of each such fiscal quarter and statements of income for the period from the beginning of such fiscal year to the end of such fiscal quarter, and (ii) within 120 days after the end of each fiscal year a consolidated balance sheet of the Borrower and its Subsidiaries as of the end of each fiscal year and statements of income, statements of retained earnings and cash flow for such fiscal year. All financial statements will be prepared in accordance with GAAP applied on a basis consistently maintained throughout the period involved and with the prior periods, such annual financial statements to be certified by independent certified public accountants selected by the Borrower and reasonably acceptable to the Agent, without (x) any exception or qualification arising out of the restricted or limited nature of the examination made by such accountants or (y) a “going concern” or like qualification, exception or emphasis (other than any qualification, exception or emphasis with respect to or resulting from an upcoming scheduled final maturity of any Debt or associated with a financial covenant).</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Certificates; Other Information</w:t>
      </w:r>
      <w:r>
        <w:rPr>
          <w:rFonts w:ascii="Times New Roman" w:cs="Times New Roman" w:eastAsia="Times New Roman" w:hAnsi="Times New Roman"/>
          <w:sz w:val="21"/>
          <w:szCs w:val="21"/>
          <w:color w:val="auto"/>
        </w:rPr>
        <w:t>. Furnish to each Bank:</w:t>
      </w:r>
    </w:p>
    <w:p>
      <w:pPr>
        <w:spacing w:after="0" w:line="206" w:lineRule="exact"/>
        <w:rPr>
          <w:sz w:val="20"/>
          <w:szCs w:val="20"/>
          <w:color w:val="auto"/>
        </w:rPr>
      </w:pPr>
    </w:p>
    <w:p>
      <w:pPr>
        <w:ind w:left="180" w:right="339" w:firstLine="1944"/>
        <w:spacing w:after="0"/>
        <w:rPr>
          <w:sz w:val="20"/>
          <w:szCs w:val="20"/>
          <w:color w:val="auto"/>
        </w:rPr>
      </w:pPr>
      <w:r>
        <w:rPr>
          <w:rFonts w:ascii="Times New Roman" w:cs="Times New Roman" w:eastAsia="Times New Roman" w:hAnsi="Times New Roman"/>
          <w:sz w:val="22"/>
          <w:szCs w:val="22"/>
          <w:color w:val="auto"/>
        </w:rPr>
        <w:t>(a) concurrently with the delivery of the financial statements referred to in subsection 5.1, a certificate on behalf of the Borrower executed by a Responsible Officer, (i) showing in detail the calculations supporting such statements in respect of Section 6.1; and (ii) stating that, to the best of his or her knowledge, the Borrower during such period has kept, observed, performed and fulfilled each and every covenant and condition contained in this Agreement and in the Notes and the other Loan Documents applicable to it and that he or she obtained no knowledge of any Default or Event of Default except as specifically indicated;</w:t>
      </w:r>
    </w:p>
    <w:p>
      <w:pPr>
        <w:spacing w:after="0" w:line="389" w:lineRule="exact"/>
        <w:rPr>
          <w:sz w:val="20"/>
          <w:szCs w:val="20"/>
          <w:color w:val="auto"/>
        </w:rPr>
      </w:pPr>
    </w:p>
    <w:p>
      <w:pPr>
        <w:ind w:left="180" w:right="539" w:firstLine="1944"/>
        <w:spacing w:after="0" w:line="246" w:lineRule="auto"/>
        <w:rPr>
          <w:sz w:val="20"/>
          <w:szCs w:val="20"/>
          <w:color w:val="auto"/>
        </w:rPr>
      </w:pPr>
      <w:r>
        <w:rPr>
          <w:rFonts w:ascii="Times New Roman" w:cs="Times New Roman" w:eastAsia="Times New Roman" w:hAnsi="Times New Roman"/>
          <w:sz w:val="22"/>
          <w:szCs w:val="22"/>
          <w:color w:val="auto"/>
        </w:rPr>
        <w:t>(b) on or prior to February 15 of each fiscal year, a budgeted balance sheet, income statement and statement of cash flow for the current fiscal year; and</w:t>
      </w:r>
    </w:p>
    <w:p>
      <w:pPr>
        <w:spacing w:after="0" w:line="200" w:lineRule="exact"/>
        <w:rPr>
          <w:sz w:val="20"/>
          <w:szCs w:val="20"/>
          <w:color w:val="auto"/>
        </w:rPr>
      </w:pPr>
    </w:p>
    <w:p>
      <w:pPr>
        <w:spacing w:after="0" w:line="226" w:lineRule="exact"/>
        <w:rPr>
          <w:sz w:val="20"/>
          <w:szCs w:val="20"/>
          <w:color w:val="auto"/>
        </w:rPr>
      </w:pPr>
    </w:p>
    <w:p>
      <w:pPr>
        <w:ind w:left="180" w:right="1039" w:firstLine="1944"/>
        <w:spacing w:after="0" w:line="258" w:lineRule="auto"/>
        <w:rPr>
          <w:sz w:val="20"/>
          <w:szCs w:val="20"/>
          <w:color w:val="auto"/>
        </w:rPr>
      </w:pPr>
      <w:r>
        <w:rPr>
          <w:rFonts w:ascii="Times New Roman" w:cs="Times New Roman" w:eastAsia="Times New Roman" w:hAnsi="Times New Roman"/>
          <w:sz w:val="22"/>
          <w:szCs w:val="22"/>
          <w:color w:val="auto"/>
        </w:rPr>
        <w:t>(c) promptly, such additional financial and other information as any Bank or the Agent may from time to time reasonably request.</w:t>
      </w:r>
    </w:p>
    <w:p>
      <w:pPr>
        <w:spacing w:after="0" w:line="158" w:lineRule="exact"/>
        <w:rPr>
          <w:sz w:val="20"/>
          <w:szCs w:val="20"/>
          <w:color w:val="auto"/>
        </w:rPr>
      </w:pPr>
    </w:p>
    <w:p>
      <w:pPr>
        <w:ind w:left="180" w:right="279" w:firstLine="648"/>
        <w:spacing w:after="0" w:line="24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Pay, discharge or otherwise satisfy at or before maturity or before they become delinquent, as the case may be, all its obligations of whatever nature, except</w:t>
      </w:r>
    </w:p>
    <w:p>
      <w:pPr>
        <w:spacing w:after="0" w:line="2" w:lineRule="exact"/>
        <w:rPr>
          <w:sz w:val="20"/>
          <w:szCs w:val="20"/>
          <w:color w:val="auto"/>
        </w:rPr>
      </w:pPr>
    </w:p>
    <w:p>
      <w:pPr>
        <w:ind w:left="180" w:right="239" w:firstLine="4"/>
        <w:spacing w:after="0" w:line="241" w:lineRule="auto"/>
        <w:tabs>
          <w:tab w:leader="none" w:pos="48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indebtedness other than that described in subsection 7.1(f), when the amount or validity thereof is currently being contested in good faith by appropriate proceedings and reserves in conformity with GAAP with respect thereto have been provided on the books of the Borrower or</w:t>
      </w:r>
    </w:p>
    <w:p>
      <w:pPr>
        <w:spacing w:after="0" w:line="1" w:lineRule="exact"/>
        <w:rPr>
          <w:rFonts w:ascii="Times New Roman" w:cs="Times New Roman" w:eastAsia="Times New Roman" w:hAnsi="Times New Roman"/>
          <w:sz w:val="21"/>
          <w:szCs w:val="21"/>
          <w:color w:val="auto"/>
        </w:rPr>
      </w:pPr>
    </w:p>
    <w:p>
      <w:pPr>
        <w:ind w:left="180" w:right="219" w:firstLine="4"/>
        <w:spacing w:after="0" w:line="237" w:lineRule="auto"/>
        <w:tabs>
          <w:tab w:leader="none" w:pos="48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failure so to pay such indebtedness is in the normal course of the Borrower’s business as now conducted and would not have a Material Adverse Effect.</w:t>
      </w:r>
    </w:p>
    <w:p>
      <w:pPr>
        <w:spacing w:after="0" w:line="178" w:lineRule="exact"/>
        <w:rPr>
          <w:sz w:val="20"/>
          <w:szCs w:val="20"/>
          <w:color w:val="auto"/>
        </w:rPr>
      </w:pPr>
    </w:p>
    <w:p>
      <w:pPr>
        <w:jc w:val="both"/>
        <w:ind w:left="180" w:right="2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Conduct of Business and Maintenance of Existence</w:t>
      </w:r>
      <w:r>
        <w:rPr>
          <w:rFonts w:ascii="Times New Roman" w:cs="Times New Roman" w:eastAsia="Times New Roman" w:hAnsi="Times New Roman"/>
          <w:sz w:val="22"/>
          <w:szCs w:val="22"/>
          <w:color w:val="auto"/>
        </w:rPr>
        <w:t>. Subject to Section 6.4 hereof, continue to engage in business of the same general type as now conducted by it and, except to the extent that failure to do so would not have a Material Adverse Effect, preserve,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3" w:name="page114"/>
    <w:bookmarkEnd w:id="113"/>
    <w:p>
      <w:pPr>
        <w:ind w:left="180" w:right="459"/>
        <w:spacing w:after="0" w:line="251" w:lineRule="auto"/>
        <w:rPr>
          <w:sz w:val="20"/>
          <w:szCs w:val="20"/>
          <w:color w:val="auto"/>
        </w:rPr>
      </w:pPr>
      <w:r>
        <w:rPr>
          <w:rFonts w:ascii="Times New Roman" w:cs="Times New Roman" w:eastAsia="Times New Roman" w:hAnsi="Times New Roman"/>
          <w:sz w:val="21"/>
          <w:szCs w:val="21"/>
          <w:color w:val="auto"/>
        </w:rPr>
        <w:t>renew and keep in full force and effect its corporate existence and take all reasonable action to maintain all rights, privileges, trademarks, trade names, licenses, franchises and other authorizations necessary or desirable in the normal conduct of its business; comply with all Contractual Obligations and Requirements of Law except to the extent that failure to comply therewith would not reasonably be expected to have, in the aggregate, a Material Adverse Effect.</w:t>
      </w:r>
    </w:p>
    <w:p>
      <w:pPr>
        <w:spacing w:after="0" w:line="168" w:lineRule="exact"/>
        <w:rPr>
          <w:sz w:val="20"/>
          <w:szCs w:val="20"/>
          <w:color w:val="auto"/>
        </w:rPr>
      </w:pPr>
    </w:p>
    <w:p>
      <w:pPr>
        <w:ind w:left="180" w:right="2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Maintenance of Property; Insurance</w:t>
      </w:r>
      <w:r>
        <w:rPr>
          <w:rFonts w:ascii="Times New Roman" w:cs="Times New Roman" w:eastAsia="Times New Roman" w:hAnsi="Times New Roman"/>
          <w:sz w:val="22"/>
          <w:szCs w:val="22"/>
          <w:color w:val="auto"/>
        </w:rPr>
        <w:t>. (a) Maintain in good repair, working order and condition (ordinary wear and tear excepted) in accordance with the general practice of other businesses of similar character and size, all of those properties material or necessary to its business, and from time to time make or cause to be made all appropriate repairs, renewals or replacements thereof; provided, however, that this Section shall not prevent the Borrower from discontinuing the operation and the maintenance of any of its properties if such discontinuance is desirable in the conduct of its business and the Borrower has concluded that such discontinuance would not, individually or in the aggregate, have a Material Adverse Effect on its business, operations, affairs, financial condition, property or assets, taken as a whole.</w:t>
      </w:r>
    </w:p>
    <w:p>
      <w:pPr>
        <w:spacing w:after="0" w:line="183" w:lineRule="exact"/>
        <w:rPr>
          <w:sz w:val="20"/>
          <w:szCs w:val="20"/>
          <w:color w:val="auto"/>
        </w:rPr>
      </w:pPr>
    </w:p>
    <w:p>
      <w:pPr>
        <w:ind w:left="180" w:right="219" w:firstLine="1944"/>
        <w:spacing w:after="0" w:line="249" w:lineRule="exact"/>
        <w:rPr>
          <w:sz w:val="20"/>
          <w:szCs w:val="20"/>
          <w:color w:val="auto"/>
        </w:rPr>
      </w:pPr>
      <w:r>
        <w:rPr>
          <w:rFonts w:ascii="Times New Roman" w:cs="Times New Roman" w:eastAsia="Times New Roman" w:hAnsi="Times New Roman"/>
          <w:sz w:val="22"/>
          <w:szCs w:val="22"/>
          <w:color w:val="auto"/>
        </w:rPr>
        <w:t>(a)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to the extent customary. The Borrower shall deliver at the request of the Agent from time to time a summary schedule indicating all insurance then in force with respect to the Borrower.</w:t>
      </w:r>
    </w:p>
    <w:p>
      <w:pPr>
        <w:spacing w:after="0" w:line="183" w:lineRule="exact"/>
        <w:rPr>
          <w:sz w:val="20"/>
          <w:szCs w:val="20"/>
          <w:color w:val="auto"/>
        </w:rPr>
      </w:pPr>
    </w:p>
    <w:p>
      <w:pPr>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Inspection of Property; Books and Records; Discussions</w:t>
      </w:r>
      <w:r>
        <w:rPr>
          <w:rFonts w:ascii="Times New Roman" w:cs="Times New Roman" w:eastAsia="Times New Roman" w:hAnsi="Times New Roman"/>
          <w:sz w:val="22"/>
          <w:szCs w:val="22"/>
          <w:color w:val="auto"/>
        </w:rPr>
        <w:t>. (a) Permit any of the officers or authorized employees or representatives of the Agent or any of the Banks to visit and inspect during normal business hours any of its properties and to examine and make excerpts from its books and records and discuss its business affairs, finances and accounts (including those of its Affiliates) with its officers, all in such detail and at such times and as often as any of the Banks may reasonably request, provided that each Bank shall provide the Borrower and the Agent with reasonable notice prior to any visit or inspection. In the event Required Banks desire to conduct an audit of the Borrower (to which the Borrower hereby consents), such Banks shall make a reasonable effort to conduct such audit contemporaneously with any audit to be performed by the Agent.</w:t>
      </w:r>
    </w:p>
    <w:p>
      <w:pPr>
        <w:spacing w:after="0" w:line="179" w:lineRule="exact"/>
        <w:rPr>
          <w:sz w:val="20"/>
          <w:szCs w:val="20"/>
          <w:color w:val="auto"/>
        </w:rPr>
      </w:pPr>
    </w:p>
    <w:p>
      <w:pPr>
        <w:ind w:left="180" w:right="719" w:firstLine="1944"/>
        <w:spacing w:after="0" w:line="238" w:lineRule="auto"/>
        <w:rPr>
          <w:sz w:val="20"/>
          <w:szCs w:val="20"/>
          <w:color w:val="auto"/>
        </w:rPr>
      </w:pPr>
      <w:r>
        <w:rPr>
          <w:rFonts w:ascii="Times New Roman" w:cs="Times New Roman" w:eastAsia="Times New Roman" w:hAnsi="Times New Roman"/>
          <w:sz w:val="22"/>
          <w:szCs w:val="22"/>
          <w:color w:val="auto"/>
        </w:rPr>
        <w:t>(a) Maintain and keep proper books of record and account which enable the Borrower and the Parent Company to issue financial statements in accordance with GAAP and as otherwise required by applicable Requirements of Law, and in which full, true and correct entries shall be made in all material respects of all its dealings and business and financial affairs.</w:t>
      </w:r>
    </w:p>
    <w:p>
      <w:pPr>
        <w:spacing w:after="0" w:line="177" w:lineRule="exact"/>
        <w:rPr>
          <w:sz w:val="20"/>
          <w:szCs w:val="20"/>
          <w:color w:val="auto"/>
        </w:rPr>
      </w:pPr>
    </w:p>
    <w:p>
      <w:pPr>
        <w:ind w:left="180" w:right="4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Promptly, upon the Borrower becoming aware, give notice to the Agent and each Bank of:</w:t>
      </w:r>
    </w:p>
    <w:p>
      <w:pPr>
        <w:spacing w:after="0" w:line="158"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the occurrence of any Default or Event of Default;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4" w:name="page115"/>
    <w:bookmarkEnd w:id="114"/>
    <w:p>
      <w:pPr>
        <w:ind w:left="180" w:right="1119" w:firstLine="1944"/>
        <w:spacing w:after="0" w:line="241" w:lineRule="auto"/>
        <w:rPr>
          <w:sz w:val="20"/>
          <w:szCs w:val="20"/>
          <w:color w:val="auto"/>
        </w:rPr>
      </w:pPr>
      <w:r>
        <w:rPr>
          <w:rFonts w:ascii="Times New Roman" w:cs="Times New Roman" w:eastAsia="Times New Roman" w:hAnsi="Times New Roman"/>
          <w:sz w:val="22"/>
          <w:szCs w:val="22"/>
          <w:color w:val="auto"/>
        </w:rPr>
        <w:t>(b) any (i) default or event of default under any Contractual Obligation of the Borrower, including, without limitation, the Indenture, or</w:t>
      </w:r>
    </w:p>
    <w:p>
      <w:pPr>
        <w:spacing w:after="0" w:line="2" w:lineRule="exact"/>
        <w:rPr>
          <w:sz w:val="20"/>
          <w:szCs w:val="20"/>
          <w:color w:val="auto"/>
        </w:rPr>
      </w:pPr>
    </w:p>
    <w:p>
      <w:pPr>
        <w:jc w:val="both"/>
        <w:ind w:left="180" w:right="439" w:firstLine="4"/>
        <w:spacing w:after="0" w:line="235" w:lineRule="auto"/>
        <w:tabs>
          <w:tab w:leader="none" w:pos="49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litigation, investigation or proceeding which may exist at any time between the Borrower and any Governmental Authority, which in either case, if not cured or if adversely determined, as the case may be, would have a Material Adverse Effect;</w:t>
      </w:r>
    </w:p>
    <w:p>
      <w:pPr>
        <w:spacing w:after="0" w:line="178" w:lineRule="exact"/>
        <w:rPr>
          <w:sz w:val="20"/>
          <w:szCs w:val="20"/>
          <w:color w:val="auto"/>
        </w:rPr>
      </w:pPr>
    </w:p>
    <w:p>
      <w:pPr>
        <w:ind w:left="180" w:right="819" w:firstLine="1944"/>
        <w:spacing w:after="0" w:line="258" w:lineRule="auto"/>
        <w:rPr>
          <w:sz w:val="20"/>
          <w:szCs w:val="20"/>
          <w:color w:val="auto"/>
        </w:rPr>
      </w:pPr>
      <w:r>
        <w:rPr>
          <w:rFonts w:ascii="Times New Roman" w:cs="Times New Roman" w:eastAsia="Times New Roman" w:hAnsi="Times New Roman"/>
          <w:sz w:val="22"/>
          <w:szCs w:val="22"/>
          <w:color w:val="auto"/>
        </w:rPr>
        <w:t>(c) any litigation or proceeding which, if adversely determined, would have a Material Adverse Effect;</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the following events, as soon as possible and in any</w:t>
      </w:r>
    </w:p>
    <w:p>
      <w:pPr>
        <w:spacing w:after="0" w:line="14" w:lineRule="exact"/>
        <w:rPr>
          <w:sz w:val="20"/>
          <w:szCs w:val="20"/>
          <w:color w:val="auto"/>
        </w:rPr>
      </w:pPr>
    </w:p>
    <w:p>
      <w:pPr>
        <w:ind w:left="180" w:right="239"/>
        <w:spacing w:after="0" w:line="243" w:lineRule="auto"/>
        <w:rPr>
          <w:sz w:val="20"/>
          <w:szCs w:val="20"/>
          <w:color w:val="auto"/>
        </w:rPr>
      </w:pPr>
      <w:r>
        <w:rPr>
          <w:rFonts w:ascii="Times New Roman" w:cs="Times New Roman" w:eastAsia="Times New Roman" w:hAnsi="Times New Roman"/>
          <w:sz w:val="21"/>
          <w:szCs w:val="21"/>
          <w:color w:val="auto"/>
        </w:rPr>
        <w:t>event within 30 days after the Borrower knows or has reason to know thereof: (i) the occurrence of any Reportable Event with respect to any Single Employer Plan which presents a material risk of termination of the Plan by the PBGC, (ii) any withdrawal from, or the termination, Reorganization or Insolvency of any Multiemployer Plan, (iii) the adjusted funding target attainment percentage (within the meaning of Section 436(j)(2) of the Code) with respect to any Single Employer Plan maintained by the Borrower or a Commonly Controlled Entity is certified by the Single Employer Plan’s actuary to be less than eighty percent (80%) or deemed by operation of Section 436 of the Code in the absence of such certification to be less than eighty percent (80%), or (iv) the institution of proceedings or the taking of any action by the PBGC or the Borrower or any Commonly Controlled Entity or any Multiemployer Plan with respect to the termination of any Single Employer Plan in a distress termination under Section 4041(c) of ERISA or the withdrawal from or the termination, Reorganization or Insolvency, of any Multiemployer Plan;</w:t>
      </w:r>
    </w:p>
    <w:p>
      <w:pPr>
        <w:sectPr>
          <w:pgSz w:w="11900" w:h="16838" w:orient="portrait"/>
          <w:cols w:equalWidth="0" w:num="1">
            <w:col w:w="9019"/>
          </w:cols>
          <w:pgMar w:left="1440" w:top="355" w:right="1440" w:bottom="1440" w:gutter="0" w:footer="0" w:header="0"/>
        </w:sectPr>
      </w:pPr>
    </w:p>
    <w:p>
      <w:pPr>
        <w:spacing w:after="0" w:line="17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event which has had a Material Adverse Effect;</w:t>
      </w:r>
    </w:p>
    <w:p>
      <w:pPr>
        <w:spacing w:after="0" w:line="31" w:lineRule="exact"/>
        <w:rPr>
          <w:sz w:val="20"/>
          <w:szCs w:val="20"/>
          <w:color w:val="auto"/>
        </w:rPr>
      </w:pPr>
    </w:p>
    <w:p>
      <w:pPr>
        <w:sectPr>
          <w:pgSz w:w="11900" w:h="16838" w:orient="portrait"/>
          <w:cols w:equalWidth="0" w:num="2">
            <w:col w:w="3380" w:space="720"/>
            <w:col w:w="4919"/>
          </w:cols>
          <w:pgMar w:left="1440" w:top="355" w:right="144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color w:val="auto"/>
        </w:rPr>
        <w:t>and</w:t>
      </w:r>
    </w:p>
    <w:p>
      <w:pPr>
        <w:sectPr>
          <w:pgSz w:w="11900" w:h="16838" w:orient="portrait"/>
          <w:cols w:equalWidth="0" w:num="1">
            <w:col w:w="9019"/>
          </w:cols>
          <w:pgMar w:left="1440" w:top="355" w:right="1440" w:bottom="1440" w:gutter="0" w:footer="0" w:header="0"/>
          <w:type w:val="continuous"/>
        </w:sectPr>
      </w:pPr>
    </w:p>
    <w:p>
      <w:pPr>
        <w:spacing w:after="0" w:line="1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occurrence of a Reportable Compliance Event.</w:t>
      </w:r>
    </w:p>
    <w:p>
      <w:pPr>
        <w:spacing w:after="0" w:line="211" w:lineRule="exact"/>
        <w:rPr>
          <w:sz w:val="20"/>
          <w:szCs w:val="20"/>
          <w:color w:val="auto"/>
        </w:rPr>
      </w:pPr>
    </w:p>
    <w:p>
      <w:pPr>
        <w:sectPr>
          <w:pgSz w:w="11900" w:h="16838" w:orient="portrait"/>
          <w:cols w:equalWidth="0" w:num="2">
            <w:col w:w="3360" w:space="720"/>
            <w:col w:w="4939"/>
          </w:cols>
          <w:pgMar w:left="1440" w:top="355" w:right="1440" w:bottom="1440" w:gutter="0" w:footer="0" w:header="0"/>
          <w:type w:val="continuous"/>
        </w:sectPr>
      </w:pPr>
    </w:p>
    <w:p>
      <w:pPr>
        <w:spacing w:after="0" w:line="6" w:lineRule="exact"/>
        <w:rPr>
          <w:sz w:val="20"/>
          <w:szCs w:val="20"/>
          <w:color w:val="auto"/>
        </w:rPr>
      </w:pPr>
    </w:p>
    <w:p>
      <w:pPr>
        <w:ind w:left="180" w:right="459"/>
        <w:spacing w:after="0" w:line="244" w:lineRule="auto"/>
        <w:rPr>
          <w:sz w:val="20"/>
          <w:szCs w:val="20"/>
          <w:color w:val="auto"/>
        </w:rPr>
      </w:pPr>
      <w:r>
        <w:rPr>
          <w:rFonts w:ascii="Times New Roman" w:cs="Times New Roman" w:eastAsia="Times New Roman" w:hAnsi="Times New Roman"/>
          <w:sz w:val="22"/>
          <w:szCs w:val="22"/>
          <w:color w:val="auto"/>
        </w:rPr>
        <w:t>Each notice pursuant to this subsection shall be accompanied by a statement of the Borrower, executed on its behalf by a Responsible Officer, setting forth details of the occurrence referred to therein and stating what action the Borrower proposes to take with respect thereto.</w:t>
      </w:r>
    </w:p>
    <w:p>
      <w:pPr>
        <w:spacing w:after="0" w:line="173" w:lineRule="exact"/>
        <w:rPr>
          <w:sz w:val="20"/>
          <w:szCs w:val="20"/>
          <w:color w:val="auto"/>
        </w:rPr>
      </w:pPr>
    </w:p>
    <w:p>
      <w:pPr>
        <w:ind w:left="180" w:right="3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 Comply with, and require compliance by all tenants and to the extent possible, all subtenants, if any, with, all Environmental Laws and obtain and comply with and maintain, and require that all tenants and to the extent possible, all subtenants obtain and comply with and maintain, any and all licenses, approvals, registrations or permits required by Environmental Laws except to the extent that failure to so comply or obtain or maintain such documents would not have a Material Adverse Effect.</w:t>
      </w:r>
    </w:p>
    <w:p>
      <w:pPr>
        <w:spacing w:after="0" w:line="181" w:lineRule="exact"/>
        <w:rPr>
          <w:sz w:val="20"/>
          <w:szCs w:val="20"/>
          <w:color w:val="auto"/>
        </w:rPr>
      </w:pPr>
    </w:p>
    <w:p>
      <w:pPr>
        <w:jc w:val="both"/>
        <w:ind w:left="180" w:right="259" w:firstLine="1944"/>
        <w:spacing w:after="0" w:line="244" w:lineRule="auto"/>
        <w:rPr>
          <w:sz w:val="20"/>
          <w:szCs w:val="20"/>
          <w:color w:val="auto"/>
        </w:rPr>
      </w:pPr>
      <w:r>
        <w:rPr>
          <w:rFonts w:ascii="Times New Roman" w:cs="Times New Roman" w:eastAsia="Times New Roman" w:hAnsi="Times New Roman"/>
          <w:sz w:val="22"/>
          <w:szCs w:val="22"/>
          <w:color w:val="auto"/>
        </w:rPr>
        <w:t>(b) Except as set forth in Schedule 3.13, comply with all lawful and binding orders and directives of all Governmental Authorities respecting Environmental Laws except to the extent that failure to so comply would not have a Material Adverse Effect.</w:t>
      </w:r>
    </w:p>
    <w:p>
      <w:pPr>
        <w:spacing w:after="0" w:line="173" w:lineRule="exact"/>
        <w:rPr>
          <w:sz w:val="20"/>
          <w:szCs w:val="20"/>
          <w:color w:val="auto"/>
        </w:rPr>
      </w:pPr>
    </w:p>
    <w:p>
      <w:pPr>
        <w:ind w:left="180" w:right="259" w:firstLine="1944"/>
        <w:spacing w:after="0" w:line="238" w:lineRule="auto"/>
        <w:rPr>
          <w:sz w:val="20"/>
          <w:szCs w:val="20"/>
          <w:color w:val="auto"/>
        </w:rPr>
      </w:pPr>
      <w:r>
        <w:rPr>
          <w:rFonts w:ascii="Times New Roman" w:cs="Times New Roman" w:eastAsia="Times New Roman" w:hAnsi="Times New Roman"/>
          <w:sz w:val="22"/>
          <w:szCs w:val="22"/>
          <w:color w:val="auto"/>
        </w:rPr>
        <w:t>(c) Defend, indemnify and hold harmless the Agent and the Banks, and their respective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arising under any Environmental Laws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15" w:name="page116"/>
    <w:bookmarkEnd w:id="115"/>
    <w:p>
      <w:pPr>
        <w:ind w:left="180" w:right="459"/>
        <w:spacing w:after="0" w:line="238" w:lineRule="auto"/>
        <w:rPr>
          <w:sz w:val="20"/>
          <w:szCs w:val="20"/>
          <w:color w:val="auto"/>
        </w:rPr>
      </w:pPr>
      <w:r>
        <w:rPr>
          <w:rFonts w:ascii="Times New Roman" w:cs="Times New Roman" w:eastAsia="Times New Roman" w:hAnsi="Times New Roman"/>
          <w:sz w:val="22"/>
          <w:szCs w:val="22"/>
          <w:color w:val="auto"/>
        </w:rPr>
        <w:t>applicable to the real property owned or operated by or the operations of the Borrower, or any orders, requirements or demands of Governmental Authorities related thereto, including, without limitation, attorneys’ and consultants’ fees, investigation and laboratory fees, court costs and litigation expenses, except to the extent that any of the foregoing arise out of the negligence or willful misconduct of any of the foregoing enumerated parties.</w:t>
      </w:r>
    </w:p>
    <w:p>
      <w:pPr>
        <w:spacing w:after="0" w:line="177" w:lineRule="exact"/>
        <w:rPr>
          <w:sz w:val="20"/>
          <w:szCs w:val="20"/>
          <w:color w:val="auto"/>
        </w:rPr>
      </w:pPr>
    </w:p>
    <w:p>
      <w:pPr>
        <w:ind w:left="180" w:right="579" w:firstLine="648"/>
        <w:spacing w:after="0" w:line="239"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Pay when due all taxes, assessments and governmental charges imposed upon it or any of its properties or that it is required to withhold and pay over, except where contested in good faith and where adequate reserves have been set aside to the extent required under GAAP.</w:t>
      </w:r>
    </w:p>
    <w:p>
      <w:pPr>
        <w:spacing w:after="0" w:line="180" w:lineRule="exact"/>
        <w:rPr>
          <w:sz w:val="20"/>
          <w:szCs w:val="20"/>
          <w:color w:val="auto"/>
        </w:rPr>
      </w:pPr>
    </w:p>
    <w:p>
      <w:pPr>
        <w:ind w:left="180" w:right="4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Covenants of the Indenture</w:t>
      </w:r>
      <w:r>
        <w:rPr>
          <w:rFonts w:ascii="Times New Roman" w:cs="Times New Roman" w:eastAsia="Times New Roman" w:hAnsi="Times New Roman"/>
          <w:sz w:val="22"/>
          <w:szCs w:val="22"/>
          <w:color w:val="auto"/>
        </w:rPr>
        <w:t>. Comply at all times with the covenants contained in the Indenture, as last supplemented by the Supplemental Indenture, without regard to any amendment of or supplement to the Indenture occurring after July 27, 2023.</w:t>
      </w:r>
    </w:p>
    <w:p>
      <w:pPr>
        <w:spacing w:after="0" w:line="173" w:lineRule="exact"/>
        <w:rPr>
          <w:sz w:val="20"/>
          <w:szCs w:val="20"/>
          <w:color w:val="auto"/>
        </w:rPr>
      </w:pPr>
    </w:p>
    <w:p>
      <w:pPr>
        <w:ind w:left="180" w:right="399" w:firstLine="648"/>
        <w:spacing w:after="0" w:line="245"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Guarantees of Obligations</w:t>
      </w:r>
      <w:r>
        <w:rPr>
          <w:rFonts w:ascii="Times New Roman" w:cs="Times New Roman" w:eastAsia="Times New Roman" w:hAnsi="Times New Roman"/>
          <w:sz w:val="21"/>
          <w:szCs w:val="21"/>
          <w:color w:val="auto"/>
        </w:rPr>
        <w:t>. It is the intent of the parties hereto that all of the obligations of the Borrower hereunder shall be unconditionally guaranteed by all of its Material Subsidiaries to the maximum extent permitted under any Requirement of Law applicable to any such Material Subsidiary. Accordingly, in the event that any Material Subsidiary shall be formed, acquired or come into existence after the date hereof then the Borrower will cause such Material Subsidiary to (i) execute and deliver a Guaranty Agreement in form and substance satisfactory to the Agent pursuant to which such Material Subsidiary will become a “Guarantor” hereunder, and guarantee the obligations of the Borrower hereunder and under the Notes and other Loan Documents and (ii) deliver such proof of corporate or other action, incumbency of officers, opinions of counsel and other documents as is consistent with those delivered by the Borrower pursuant to Section 4.1 on the Closing Date or as the Agent shall have reasonably requested.</w:t>
      </w:r>
    </w:p>
    <w:p>
      <w:pPr>
        <w:spacing w:after="0" w:line="177" w:lineRule="exact"/>
        <w:rPr>
          <w:sz w:val="20"/>
          <w:szCs w:val="20"/>
          <w:color w:val="auto"/>
        </w:rPr>
      </w:pPr>
    </w:p>
    <w:p>
      <w:pPr>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No Covered Entity will become a Sanctioned Person. No Covered Entity, either in its own right or through any third party, will (a) have any of its assets in a Sanctioned Jurisdiction or in the possession, custody or control of a Sanctioned Person in violation of any Anti-Terrorism Law; (b) do business in or with, or derive any of its income from investments in or transactions with, any Sanctioned Jurisdiction or Sanctioned Person in violation of any Anti-Terrorism Law; (c) engage in any dealings or transactions prohibited by any Anti-Terrorism Law, (d) directly or indirectly provide, use, or make available to the proceeds of any Loan hereunder (i) to fund or facilitate any operations in, finance any investments or activities in, or make any payments to, a Sanctioned Jurisdiction or Sanctioned Person, (ii) in any manner that could result in a violation by any Person (including the Agent, any Bank, underwriter, advisor, investor, or otherwise) of Anti-Corruption Law, Anti-Terrorism Laws or International Trade Law, or (iii) in violation of any applicable Law or International Trade Law, including, without limitation, any applicable Anti-Corruption Law, Anti-Terrorism Law or International Trade Law or (e) become a Sanctioned Person. The funds used to repay the Loans will not be derived from any unlawful activity or be Blocked Property. Each Covered Entity shall comply with all Anti-Terrorism Laws. The Borrower shall promptly notify the Agent in writing upon the occurrence of a Reportable Compliance Event. As used herein, the term “Blocked Property” means any property: (a) owned, directly or indirectly, by a Sanctioned Person; (b) due to or from a Sanctioned Person; (c)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6" w:name="page117"/>
    <w:bookmarkEnd w:id="116"/>
    <w:p>
      <w:pPr>
        <w:ind w:left="180"/>
        <w:spacing w:after="0"/>
        <w:rPr>
          <w:sz w:val="20"/>
          <w:szCs w:val="20"/>
          <w:color w:val="auto"/>
        </w:rPr>
      </w:pPr>
      <w:r>
        <w:rPr>
          <w:rFonts w:ascii="Times New Roman" w:cs="Times New Roman" w:eastAsia="Times New Roman" w:hAnsi="Times New Roman"/>
          <w:sz w:val="21"/>
          <w:szCs w:val="21"/>
          <w:color w:val="auto"/>
        </w:rPr>
        <w:t>which a Sanctioned Person otherwise holds any interest; (d) located in a Sanctioned Jurisdiction; or</w:t>
      </w:r>
    </w:p>
    <w:p>
      <w:pPr>
        <w:spacing w:after="0" w:line="26" w:lineRule="exact"/>
        <w:rPr>
          <w:sz w:val="20"/>
          <w:szCs w:val="20"/>
          <w:color w:val="auto"/>
        </w:rPr>
      </w:pPr>
    </w:p>
    <w:p>
      <w:pPr>
        <w:ind w:left="180" w:right="279" w:firstLine="4"/>
        <w:spacing w:after="0" w:line="234" w:lineRule="auto"/>
        <w:tabs>
          <w:tab w:leader="none" w:pos="4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otherwise could cause any actual or possible violation by the Banks or the Agent of any applicable International Trade Law if the Banks or the Agent were to obtain an encumbrance on, lien on, pledge of, or security interest in such property, or provide services in consideration of such property.</w:t>
      </w:r>
    </w:p>
    <w:p>
      <w:pPr>
        <w:spacing w:after="0" w:line="177" w:lineRule="exact"/>
        <w:rPr>
          <w:sz w:val="20"/>
          <w:szCs w:val="20"/>
          <w:color w:val="auto"/>
        </w:rPr>
      </w:pPr>
    </w:p>
    <w:p>
      <w:pPr>
        <w:ind w:left="180" w:right="2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Certificate of Beneficial Ownership and Other Additional Information</w:t>
      </w:r>
      <w:r>
        <w:rPr>
          <w:rFonts w:ascii="Times New Roman" w:cs="Times New Roman" w:eastAsia="Times New Roman" w:hAnsi="Times New Roman"/>
          <w:sz w:val="22"/>
          <w:szCs w:val="22"/>
          <w:color w:val="auto"/>
        </w:rPr>
        <w:t>. The Borrower shall provide to the Agent and the Banks: (i) confirmation of the accuracy of the information set forth in the most recent Certificate of Beneficial Ownership, if any, provided to the Agent and the Banks; (ii) if applicable, a new Certificate of Beneficial Ownership when the individual(s) to be identified as a Beneficial Owner have changed; and (iii) such other information and documentation as may reasonably be requested by the Agent or any Bank from time to time for purposes of compliance by the Agent or such Bank with applicable Laws (including without limitation the USA Patriot Act and other “know your customer” and anti-money laundering rules and regulations), and any policy or procedure implemented by the Agent or such Bank to comply therewith.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6. NEGATIVE COVENANTS</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The Borrower hereby agrees that, so long as the Commitments remain in effect, any Note remains outstanding and unpaid or any other amount is owing to any Bank or the Agent hereunder, the Borrower shall not directly or indirectly:</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6.1</w:t>
            </w:r>
          </w:p>
        </w:tc>
        <w:tc>
          <w:tcPr>
            <w:tcW w:w="220" w:type="dxa"/>
            <w:vAlign w:val="bottom"/>
          </w:tcPr>
          <w:p>
            <w:pPr>
              <w:spacing w:after="0"/>
              <w:rPr>
                <w:sz w:val="22"/>
                <w:szCs w:val="22"/>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Financial Covenants.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Equity to Capital Ratio. Permit as of the end of any</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gridSpan w:val="4"/>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percent (38%).</w:t>
            </w:r>
          </w:p>
        </w:tc>
        <w:tc>
          <w:tcPr>
            <w:tcW w:w="0" w:type="dxa"/>
            <w:vAlign w:val="bottom"/>
          </w:tcPr>
          <w:p>
            <w:pPr>
              <w:spacing w:after="0" w:line="20" w:lineRule="exact"/>
              <w:rPr>
                <w:sz w:val="1"/>
                <w:szCs w:val="1"/>
                <w:color w:val="auto"/>
              </w:rPr>
            </w:pPr>
          </w:p>
        </w:tc>
      </w:tr>
      <w:tr>
        <w:trPr>
          <w:trHeight w:val="276"/>
        </w:trPr>
        <w:tc>
          <w:tcPr>
            <w:tcW w:w="59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fiscal quarter the Equity to Capital Ratio to be less than thirty eight</w:t>
            </w:r>
          </w:p>
        </w:tc>
        <w:tc>
          <w:tcPr>
            <w:tcW w:w="25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w:t>
            </w:r>
          </w:p>
        </w:tc>
        <w:tc>
          <w:tcPr>
            <w:tcW w:w="45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Interest Coverage Ratio. Permit as of the end of any</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spacing w:after="0"/>
        <w:rPr>
          <w:sz w:val="20"/>
          <w:szCs w:val="20"/>
          <w:color w:val="auto"/>
        </w:rPr>
      </w:pPr>
      <w:r>
        <w:rPr>
          <w:rFonts w:ascii="Times New Roman" w:cs="Times New Roman" w:eastAsia="Times New Roman" w:hAnsi="Times New Roman"/>
          <w:sz w:val="22"/>
          <w:szCs w:val="22"/>
          <w:color w:val="auto"/>
        </w:rPr>
        <w:t>fiscal quarter the Interest Coverage Ratio to be less than 1.8 to 1.</w:t>
      </w:r>
    </w:p>
    <w:p>
      <w:pPr>
        <w:spacing w:after="0" w:line="206" w:lineRule="exact"/>
        <w:rPr>
          <w:sz w:val="20"/>
          <w:szCs w:val="20"/>
          <w:color w:val="auto"/>
        </w:rPr>
      </w:pPr>
    </w:p>
    <w:p>
      <w:pPr>
        <w:ind w:left="180" w:right="199" w:firstLine="648"/>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Limitation on Certain Debt</w:t>
      </w:r>
      <w:r>
        <w:rPr>
          <w:rFonts w:ascii="Times New Roman" w:cs="Times New Roman" w:eastAsia="Times New Roman" w:hAnsi="Times New Roman"/>
          <w:sz w:val="22"/>
          <w:szCs w:val="22"/>
          <w:color w:val="auto"/>
        </w:rPr>
        <w:t>. Except for the Loans and Commitments under the Loan Documents and the Term Loan Facilities, at any time enter into, assume or suffer to exist lines of credit or comparable extensions of credit from one or more commercial banks (or their Affiliates) under which the Borrower has incurred or may incur aggregate Debt in excess of $15,000,000.</w:t>
      </w:r>
    </w:p>
    <w:p>
      <w:pPr>
        <w:spacing w:after="0" w:line="200" w:lineRule="exact"/>
        <w:rPr>
          <w:sz w:val="20"/>
          <w:szCs w:val="20"/>
          <w:color w:val="auto"/>
        </w:rPr>
      </w:pPr>
    </w:p>
    <w:p>
      <w:pPr>
        <w:spacing w:after="0" w:line="219" w:lineRule="exact"/>
        <w:rPr>
          <w:sz w:val="20"/>
          <w:szCs w:val="20"/>
          <w:color w:val="auto"/>
        </w:rPr>
      </w:pPr>
    </w:p>
    <w:p>
      <w:pPr>
        <w:jc w:val="both"/>
        <w:ind w:left="18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Limitation on Liens</w:t>
      </w:r>
      <w:r>
        <w:rPr>
          <w:rFonts w:ascii="Times New Roman" w:cs="Times New Roman" w:eastAsia="Times New Roman" w:hAnsi="Times New Roman"/>
          <w:sz w:val="22"/>
          <w:szCs w:val="22"/>
          <w:color w:val="auto"/>
        </w:rPr>
        <w:t>. Create, incur, assume or suffer to exist any Lien upon any of its property, assets or revenues, including, without limitation, the stock of its Subsidiaries, whether now owned or hereafter acquired, except for:</w:t>
      </w:r>
    </w:p>
    <w:p>
      <w:pPr>
        <w:spacing w:after="0" w:line="173" w:lineRule="exact"/>
        <w:rPr>
          <w:sz w:val="20"/>
          <w:szCs w:val="20"/>
          <w:color w:val="auto"/>
        </w:rPr>
      </w:pPr>
    </w:p>
    <w:p>
      <w:pPr>
        <w:ind w:left="180" w:right="199" w:firstLine="1944"/>
        <w:spacing w:after="0" w:line="236" w:lineRule="auto"/>
        <w:rPr>
          <w:sz w:val="20"/>
          <w:szCs w:val="20"/>
          <w:color w:val="auto"/>
        </w:rPr>
      </w:pPr>
      <w:r>
        <w:rPr>
          <w:rFonts w:ascii="Times New Roman" w:cs="Times New Roman" w:eastAsia="Times New Roman" w:hAnsi="Times New Roman"/>
          <w:sz w:val="22"/>
          <w:szCs w:val="22"/>
          <w:color w:val="auto"/>
        </w:rPr>
        <w:t>(a) The following, (i) if the validity or amount thereof is being contested in good faith by appropriate and lawful proceedings diligently conducted so long as levy and execution thereon have been stayed and continue to be stayed or (ii) if a final judgment is entered and such judgment is discharged within thirty (30) days of entry, and in either case they do not materially impair the ability of the Borrower to perform its obligations hereunder or under the other Loan Documents: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7" w:name="page118"/>
    <w:bookmarkEnd w:id="117"/>
    <w:p>
      <w:pPr>
        <w:ind w:left="2120" w:right="239" w:firstLine="656"/>
        <w:spacing w:after="0" w:line="238" w:lineRule="auto"/>
        <w:tabs>
          <w:tab w:leader="none" w:pos="34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or Liens for taxes, assessments or charges due and payable and subject to interest or penalty, provided that the Borrower maintains such reserves or other appropriate provisions as shall be required by GAAP and pays all such taxes, assessments or charges forthwith upon the commencement of proceedings to foreclose any such Lien;</w:t>
      </w:r>
    </w:p>
    <w:p>
      <w:pPr>
        <w:spacing w:after="0" w:line="176" w:lineRule="exact"/>
        <w:rPr>
          <w:rFonts w:ascii="Times New Roman" w:cs="Times New Roman" w:eastAsia="Times New Roman" w:hAnsi="Times New Roman"/>
          <w:sz w:val="22"/>
          <w:szCs w:val="22"/>
          <w:color w:val="auto"/>
        </w:rPr>
      </w:pPr>
    </w:p>
    <w:p>
      <w:pPr>
        <w:ind w:left="2120" w:right="359" w:firstLine="656"/>
        <w:spacing w:after="0" w:line="239" w:lineRule="auto"/>
        <w:tabs>
          <w:tab w:leader="none" w:pos="344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Liens or encumbrances upon, and defects of title to, real or personal property including any attachment of personal or real property or other legal process prior to adjudication of a dispute on the merits; and</w:t>
      </w:r>
    </w:p>
    <w:p>
      <w:pPr>
        <w:spacing w:after="0" w:line="180" w:lineRule="exact"/>
        <w:rPr>
          <w:rFonts w:ascii="Times New Roman" w:cs="Times New Roman" w:eastAsia="Times New Roman" w:hAnsi="Times New Roman"/>
          <w:sz w:val="22"/>
          <w:szCs w:val="22"/>
          <w:color w:val="auto"/>
        </w:rPr>
      </w:pPr>
    </w:p>
    <w:p>
      <w:pPr>
        <w:ind w:left="2120" w:right="359" w:firstLine="656"/>
        <w:spacing w:after="0" w:line="258" w:lineRule="auto"/>
        <w:tabs>
          <w:tab w:leader="none" w:pos="343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or Liens of mechanics, materialmen, warehousemen, carriers, or other statutory nonconsensual Liens;</w:t>
      </w:r>
    </w:p>
    <w:p>
      <w:pPr>
        <w:spacing w:after="0" w:line="158" w:lineRule="exact"/>
        <w:rPr>
          <w:sz w:val="20"/>
          <w:szCs w:val="20"/>
          <w:color w:val="auto"/>
        </w:rPr>
      </w:pPr>
    </w:p>
    <w:p>
      <w:pPr>
        <w:ind w:left="180" w:right="759" w:firstLine="1944"/>
        <w:spacing w:after="0" w:line="258" w:lineRule="auto"/>
        <w:rPr>
          <w:sz w:val="20"/>
          <w:szCs w:val="20"/>
          <w:color w:val="auto"/>
        </w:rPr>
      </w:pPr>
      <w:r>
        <w:rPr>
          <w:rFonts w:ascii="Times New Roman" w:cs="Times New Roman" w:eastAsia="Times New Roman" w:hAnsi="Times New Roman"/>
          <w:sz w:val="22"/>
          <w:szCs w:val="22"/>
          <w:color w:val="auto"/>
        </w:rPr>
        <w:t>(b) pledges or deposits in connection with workers’ compensation, unemployment insurance and other social security legislation;</w:t>
      </w:r>
    </w:p>
    <w:p>
      <w:pPr>
        <w:spacing w:after="0" w:line="158"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deposits to secure the performance of bids, trade</w:t>
      </w:r>
    </w:p>
    <w:p>
      <w:pPr>
        <w:spacing w:after="0" w:line="14" w:lineRule="exact"/>
        <w:rPr>
          <w:sz w:val="20"/>
          <w:szCs w:val="20"/>
          <w:color w:val="auto"/>
        </w:rPr>
      </w:pPr>
    </w:p>
    <w:p>
      <w:pPr>
        <w:ind w:left="180" w:right="199"/>
        <w:spacing w:after="0" w:line="235" w:lineRule="auto"/>
        <w:rPr>
          <w:sz w:val="20"/>
          <w:szCs w:val="20"/>
          <w:color w:val="auto"/>
        </w:rPr>
      </w:pPr>
      <w:r>
        <w:rPr>
          <w:rFonts w:ascii="Times New Roman" w:cs="Times New Roman" w:eastAsia="Times New Roman" w:hAnsi="Times New Roman"/>
          <w:sz w:val="22"/>
          <w:szCs w:val="22"/>
          <w:color w:val="auto"/>
        </w:rPr>
        <w:t>contracts (other than for borrowed money), leases, statutory obligations, surety and appeal bonds, performance bonds and other obligations of a like nature incurred in the ordinary course of business of the Borrower;</w:t>
      </w:r>
    </w:p>
    <w:p>
      <w:pPr>
        <w:spacing w:after="0" w:line="143" w:lineRule="exact"/>
        <w:rPr>
          <w:sz w:val="20"/>
          <w:szCs w:val="20"/>
          <w:color w:val="auto"/>
        </w:rPr>
      </w:pPr>
    </w:p>
    <w:p>
      <w:pPr>
        <w:ind w:left="180" w:right="439" w:firstLine="1944"/>
        <w:spacing w:after="0" w:line="265" w:lineRule="exact"/>
        <w:rPr>
          <w:sz w:val="20"/>
          <w:szCs w:val="20"/>
          <w:color w:val="auto"/>
        </w:rPr>
      </w:pPr>
      <w:r>
        <w:rPr>
          <w:rFonts w:ascii="Times New Roman" w:cs="Times New Roman" w:eastAsia="Times New Roman" w:hAnsi="Times New Roman"/>
          <w:sz w:val="22"/>
          <w:szCs w:val="22"/>
          <w:color w:val="auto"/>
        </w:rPr>
        <w:t>(d) easements, rights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restrictions and other similar encumbrances incurred in the ordinary course of business which, in the aggregate, are not substantial in amount and which do not interfere with the ordinary conduct of the business of the Borrower;</w:t>
      </w:r>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216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(e)</w:t>
            </w:r>
          </w:p>
        </w:tc>
        <w:tc>
          <w:tcPr>
            <w:tcW w:w="54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Liens which were in existence on the date hereof and</w:t>
            </w:r>
          </w:p>
        </w:tc>
      </w:tr>
      <w:tr>
        <w:trPr>
          <w:trHeight w:val="230"/>
        </w:trPr>
        <w:tc>
          <w:tcPr>
            <w:tcW w:w="85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shown on Schedule 6.3 and replacements, extensions or replacements thereof;</w:t>
            </w:r>
          </w:p>
        </w:tc>
      </w:tr>
      <w:tr>
        <w:trPr>
          <w:trHeight w:val="20"/>
        </w:trPr>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52"/>
        </w:trPr>
        <w:tc>
          <w:tcPr>
            <w:tcW w:w="900" w:type="dxa"/>
            <w:vAlign w:val="bottom"/>
          </w:tcPr>
          <w:p>
            <w:pPr>
              <w:spacing w:after="0"/>
              <w:rPr>
                <w:sz w:val="24"/>
                <w:szCs w:val="24"/>
                <w:color w:val="auto"/>
              </w:rPr>
            </w:pPr>
          </w:p>
        </w:tc>
        <w:tc>
          <w:tcPr>
            <w:tcW w:w="216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(f)</w:t>
            </w:r>
          </w:p>
        </w:tc>
        <w:tc>
          <w:tcPr>
            <w:tcW w:w="5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Liens on assets acquired by the Borrower in</w:t>
            </w:r>
          </w:p>
        </w:tc>
      </w:tr>
      <w:tr>
        <w:trPr>
          <w:trHeight w:val="243"/>
        </w:trPr>
        <w:tc>
          <w:tcPr>
            <w:tcW w:w="85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acquisitions permitted by Section 6.6 (which liens were in existence at the time of such</w:t>
            </w:r>
          </w:p>
        </w:tc>
      </w:tr>
      <w:tr>
        <w:trPr>
          <w:trHeight w:val="282"/>
        </w:trPr>
        <w:tc>
          <w:tcPr>
            <w:tcW w:w="3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acquisitions);</w:t>
            </w:r>
          </w:p>
        </w:tc>
        <w:tc>
          <w:tcPr>
            <w:tcW w:w="5460" w:type="dxa"/>
            <w:vAlign w:val="bottom"/>
          </w:tcPr>
          <w:p>
            <w:pPr>
              <w:spacing w:after="0"/>
              <w:rPr>
                <w:sz w:val="24"/>
                <w:szCs w:val="24"/>
                <w:color w:val="auto"/>
              </w:rPr>
            </w:pPr>
          </w:p>
        </w:tc>
      </w:tr>
      <w:tr>
        <w:trPr>
          <w:trHeight w:val="444"/>
        </w:trPr>
        <w:tc>
          <w:tcPr>
            <w:tcW w:w="900" w:type="dxa"/>
            <w:vAlign w:val="bottom"/>
          </w:tcPr>
          <w:p>
            <w:pPr>
              <w:spacing w:after="0"/>
              <w:rPr>
                <w:sz w:val="24"/>
                <w:szCs w:val="24"/>
                <w:color w:val="auto"/>
              </w:rPr>
            </w:pPr>
          </w:p>
        </w:tc>
        <w:tc>
          <w:tcPr>
            <w:tcW w:w="216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(g)</w:t>
            </w:r>
          </w:p>
        </w:tc>
        <w:tc>
          <w:tcPr>
            <w:tcW w:w="54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Liens upon real property, which property was</w:t>
            </w:r>
          </w:p>
        </w:tc>
      </w:tr>
    </w:tbl>
    <w:p>
      <w:pPr>
        <w:ind w:left="180" w:right="219"/>
        <w:spacing w:after="0" w:line="232" w:lineRule="auto"/>
        <w:rPr>
          <w:sz w:val="20"/>
          <w:szCs w:val="20"/>
          <w:color w:val="auto"/>
        </w:rPr>
      </w:pPr>
      <w:r>
        <w:rPr>
          <w:rFonts w:ascii="Times New Roman" w:cs="Times New Roman" w:eastAsia="Times New Roman" w:hAnsi="Times New Roman"/>
          <w:sz w:val="22"/>
          <w:szCs w:val="22"/>
          <w:color w:val="auto"/>
        </w:rPr>
        <w:t xml:space="preserve">acquired after the Closing Date by the Borrower, each of which Liens existed on such property before the time of its acquisition or was created to finance, refinance or refund the cost (including the cost of construction) of the respective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Lien shall extend to or cover any accounts receivable or inventory under any circumstances or any property of the Borrower other than the respective property so acquired and improvements thereon, and the principal amount of indebtedness secured by any such Lien shall not exceed the fair market value of the respective property at the time it was acquired;</w:t>
      </w:r>
    </w:p>
    <w:p>
      <w:pPr>
        <w:sectPr>
          <w:pgSz w:w="11900" w:h="16838" w:orient="portrait"/>
          <w:cols w:equalWidth="0" w:num="1">
            <w:col w:w="9019"/>
          </w:cols>
          <w:pgMar w:left="1440" w:top="355" w:right="1440" w:bottom="1440" w:gutter="0" w:footer="0" w:header="0"/>
        </w:sectPr>
      </w:pP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 Leases as and to the extent permitted under</w:t>
      </w:r>
    </w:p>
    <w:p>
      <w:pPr>
        <w:spacing w:after="0" w:line="31" w:lineRule="exact"/>
        <w:rPr>
          <w:sz w:val="20"/>
          <w:szCs w:val="20"/>
          <w:color w:val="auto"/>
        </w:rPr>
      </w:pPr>
    </w:p>
    <w:p>
      <w:pPr>
        <w:sectPr>
          <w:pgSz w:w="11900" w:h="16838" w:orient="portrait"/>
          <w:cols w:equalWidth="0" w:num="2">
            <w:col w:w="3400" w:space="720"/>
            <w:col w:w="4899"/>
          </w:cols>
          <w:pgMar w:left="1440" w:top="355" w:right="144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color w:val="auto"/>
        </w:rPr>
        <w:t>this Agreement;</w:t>
      </w:r>
    </w:p>
    <w:p>
      <w:pPr>
        <w:spacing w:after="0" w:line="177" w:lineRule="exact"/>
        <w:rPr>
          <w:sz w:val="20"/>
          <w:szCs w:val="20"/>
          <w:color w:val="auto"/>
        </w:rPr>
      </w:pPr>
    </w:p>
    <w:p>
      <w:pPr>
        <w:ind w:left="2120"/>
        <w:spacing w:after="0"/>
        <w:tabs>
          <w:tab w:leader="none" w:pos="406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purchase money security interests on capital</w:t>
      </w:r>
    </w:p>
    <w:p>
      <w:pPr>
        <w:sectPr>
          <w:pgSz w:w="11900" w:h="16838" w:orient="portrait"/>
          <w:cols w:equalWidth="0" w:num="1">
            <w:col w:w="9019"/>
          </w:cols>
          <w:pgMar w:left="1440" w:top="355" w:right="1440" w:bottom="1440" w:gutter="0" w:footer="0" w:header="0"/>
          <w:type w:val="continuous"/>
        </w:sectPr>
      </w:pP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equipment purchased in the ordinary course of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18" w:name="page119"/>
    <w:bookmarkEnd w:id="118"/>
    <w:p>
      <w:pPr>
        <w:ind w:left="180" w:right="619" w:firstLine="1944"/>
        <w:spacing w:after="0" w:line="258" w:lineRule="auto"/>
        <w:rPr>
          <w:sz w:val="20"/>
          <w:szCs w:val="20"/>
          <w:color w:val="auto"/>
        </w:rPr>
      </w:pPr>
      <w:r>
        <w:rPr>
          <w:rFonts w:ascii="Times New Roman" w:cs="Times New Roman" w:eastAsia="Times New Roman" w:hAnsi="Times New Roman"/>
          <w:sz w:val="22"/>
          <w:szCs w:val="22"/>
          <w:color w:val="auto"/>
        </w:rPr>
        <w:t>(j) Liens granted to secure indebtedness permitted by Section 6.2(vii) to the extent such Liens are also permitted under the Indenture;</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rFonts w:ascii="Times New Roman" w:cs="Times New Roman" w:eastAsia="Times New Roman" w:hAnsi="Times New Roman"/>
          <w:sz w:val="22"/>
          <w:szCs w:val="22"/>
          <w:color w:val="auto"/>
        </w:rPr>
        <w:t>the Lien of the Indenture and other Liens in</w:t>
      </w:r>
    </w:p>
    <w:p>
      <w:pPr>
        <w:spacing w:after="0" w:line="14" w:lineRule="exact"/>
        <w:rPr>
          <w:sz w:val="20"/>
          <w:szCs w:val="20"/>
          <w:color w:val="auto"/>
        </w:rPr>
      </w:pPr>
    </w:p>
    <w:p>
      <w:pPr>
        <w:ind w:left="180" w:right="459"/>
        <w:spacing w:after="0" w:line="237" w:lineRule="auto"/>
        <w:rPr>
          <w:sz w:val="20"/>
          <w:szCs w:val="20"/>
          <w:color w:val="auto"/>
        </w:rPr>
      </w:pPr>
      <w:r>
        <w:rPr>
          <w:rFonts w:ascii="Times New Roman" w:cs="Times New Roman" w:eastAsia="Times New Roman" w:hAnsi="Times New Roman"/>
          <w:sz w:val="22"/>
          <w:szCs w:val="22"/>
          <w:color w:val="auto"/>
        </w:rPr>
        <w:t>connection with the issuance of industrial revenue bonds or pollution control bonds, to the extent such Liens are permitted under the Indenture; and</w:t>
      </w:r>
    </w:p>
    <w:p>
      <w:pPr>
        <w:spacing w:after="0" w:line="178" w:lineRule="exact"/>
        <w:rPr>
          <w:sz w:val="20"/>
          <w:szCs w:val="20"/>
          <w:color w:val="auto"/>
        </w:rPr>
      </w:pPr>
    </w:p>
    <w:p>
      <w:pPr>
        <w:ind w:left="180" w:right="419" w:firstLine="1944"/>
        <w:spacing w:after="0" w:line="239" w:lineRule="auto"/>
        <w:rPr>
          <w:sz w:val="20"/>
          <w:szCs w:val="20"/>
          <w:color w:val="auto"/>
        </w:rPr>
      </w:pPr>
      <w:r>
        <w:rPr>
          <w:rFonts w:ascii="Times New Roman" w:cs="Times New Roman" w:eastAsia="Times New Roman" w:hAnsi="Times New Roman"/>
          <w:sz w:val="22"/>
          <w:szCs w:val="22"/>
          <w:color w:val="auto"/>
        </w:rPr>
        <w:t>(l) in addition to the Liens permitted by the preceding subparagraphs (a) through (k), inclusive, of this Section 6.3, Liens securing Debt of the Borrower provided that the aggregate principal amount of Debt secured by Liens pursuant to this Section 6.3(l) shall not exceed $10,000,000.</w:t>
      </w:r>
    </w:p>
    <w:p>
      <w:pPr>
        <w:spacing w:after="0" w:line="180" w:lineRule="exact"/>
        <w:rPr>
          <w:sz w:val="20"/>
          <w:szCs w:val="20"/>
          <w:color w:val="auto"/>
        </w:rPr>
      </w:pPr>
    </w:p>
    <w:p>
      <w:pPr>
        <w:ind w:left="180" w:right="4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Limitations on Fundamental Changes</w:t>
      </w:r>
      <w:r>
        <w:rPr>
          <w:rFonts w:ascii="Times New Roman" w:cs="Times New Roman" w:eastAsia="Times New Roman" w:hAnsi="Times New Roman"/>
          <w:sz w:val="22"/>
          <w:szCs w:val="22"/>
          <w:color w:val="auto"/>
        </w:rPr>
        <w:t>. Enter into any merger, consolidation or amalgamation, or liquidate, wind up or dissolve itself (or suffer any liquidation or dissolution), or convey, sell, lease, assign, transfer or otherwise dispose of, all or substantially all of its property, business or assets except:</w:t>
      </w:r>
    </w:p>
    <w:p>
      <w:pPr>
        <w:spacing w:after="0" w:line="180" w:lineRule="exact"/>
        <w:rPr>
          <w:sz w:val="20"/>
          <w:szCs w:val="20"/>
          <w:color w:val="auto"/>
        </w:rPr>
      </w:pPr>
    </w:p>
    <w:p>
      <w:pPr>
        <w:ind w:left="180" w:right="259" w:firstLine="1944"/>
        <w:spacing w:after="0" w:line="258" w:lineRule="auto"/>
        <w:rPr>
          <w:sz w:val="20"/>
          <w:szCs w:val="20"/>
          <w:color w:val="auto"/>
        </w:rPr>
      </w:pPr>
      <w:r>
        <w:rPr>
          <w:rFonts w:ascii="Times New Roman" w:cs="Times New Roman" w:eastAsia="Times New Roman" w:hAnsi="Times New Roman"/>
          <w:sz w:val="22"/>
          <w:szCs w:val="22"/>
          <w:color w:val="auto"/>
        </w:rPr>
        <w:t>(a) the Borrower may merge into the Parent Company, so long as the Parent Company is the surviving entity;</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any corporation or limited liability company (other</w:t>
      </w:r>
    </w:p>
    <w:p>
      <w:pPr>
        <w:spacing w:after="0" w:line="14" w:lineRule="exact"/>
        <w:rPr>
          <w:sz w:val="20"/>
          <w:szCs w:val="20"/>
          <w:color w:val="auto"/>
        </w:rPr>
      </w:pPr>
    </w:p>
    <w:p>
      <w:pPr>
        <w:ind w:left="180" w:right="279"/>
        <w:spacing w:after="0" w:line="237" w:lineRule="auto"/>
        <w:rPr>
          <w:sz w:val="20"/>
          <w:szCs w:val="20"/>
          <w:color w:val="auto"/>
        </w:rPr>
      </w:pPr>
      <w:r>
        <w:rPr>
          <w:rFonts w:ascii="Times New Roman" w:cs="Times New Roman" w:eastAsia="Times New Roman" w:hAnsi="Times New Roman"/>
          <w:sz w:val="22"/>
          <w:szCs w:val="22"/>
          <w:color w:val="auto"/>
        </w:rPr>
        <w:t>than the Parent Company) may be merged or consolidated with or into the Borrower (provided that the Borrower shall be the continuing or surviving corporation); and</w:t>
      </w:r>
    </w:p>
    <w:p>
      <w:pPr>
        <w:spacing w:after="0" w:line="178" w:lineRule="exact"/>
        <w:rPr>
          <w:sz w:val="20"/>
          <w:szCs w:val="20"/>
          <w:color w:val="auto"/>
        </w:rPr>
      </w:pPr>
    </w:p>
    <w:p>
      <w:pPr>
        <w:ind w:left="180" w:right="379" w:firstLine="1944"/>
        <w:spacing w:after="0" w:line="258" w:lineRule="auto"/>
        <w:rPr>
          <w:sz w:val="20"/>
          <w:szCs w:val="20"/>
          <w:color w:val="auto"/>
        </w:rPr>
      </w:pPr>
      <w:r>
        <w:rPr>
          <w:rFonts w:ascii="Times New Roman" w:cs="Times New Roman" w:eastAsia="Times New Roman" w:hAnsi="Times New Roman"/>
          <w:sz w:val="22"/>
          <w:szCs w:val="22"/>
          <w:color w:val="auto"/>
        </w:rPr>
        <w:t>(c) a merger in connection with a Permitted Acquisition in accordance with Section 6.6 in which the surviving entity is the Borrower;</w:t>
      </w:r>
    </w:p>
    <w:p>
      <w:pPr>
        <w:spacing w:after="0" w:line="158" w:lineRule="exact"/>
        <w:rPr>
          <w:sz w:val="20"/>
          <w:szCs w:val="20"/>
          <w:color w:val="auto"/>
        </w:rPr>
      </w:pPr>
    </w:p>
    <w:p>
      <w:pPr>
        <w:ind w:left="180" w:right="279"/>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immediately after each such transaction and after giving effect thereto, the Borrower is in compliance with this Agreement and no Default or Event of Default shall be in existence or result from such transaction.</w:t>
      </w:r>
    </w:p>
    <w:p>
      <w:pPr>
        <w:spacing w:after="0" w:line="173" w:lineRule="exact"/>
        <w:rPr>
          <w:sz w:val="20"/>
          <w:szCs w:val="20"/>
          <w:color w:val="auto"/>
        </w:rPr>
      </w:pPr>
    </w:p>
    <w:p>
      <w:pPr>
        <w:ind w:left="180" w:right="2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Limitation on Sale of Assets</w:t>
      </w:r>
      <w:r>
        <w:rPr>
          <w:rFonts w:ascii="Times New Roman" w:cs="Times New Roman" w:eastAsia="Times New Roman" w:hAnsi="Times New Roman"/>
          <w:sz w:val="22"/>
          <w:szCs w:val="22"/>
          <w:color w:val="auto"/>
        </w:rPr>
        <w:t>. Convey, sell, lease, assign, transfer or otherwise dispose of any of its property, business or assets (including, without limitation, accounts receivable and leasehold interests), whether now owned or hereafter acquired, except:</w:t>
      </w:r>
    </w:p>
    <w:p>
      <w:pPr>
        <w:spacing w:after="0" w:line="173" w:lineRule="exact"/>
        <w:rPr>
          <w:sz w:val="20"/>
          <w:szCs w:val="20"/>
          <w:color w:val="auto"/>
        </w:rPr>
      </w:pPr>
    </w:p>
    <w:p>
      <w:pPr>
        <w:ind w:left="4080" w:hanging="1304"/>
        <w:spacing w:after="0"/>
        <w:tabs>
          <w:tab w:leader="none" w:pos="40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obsolete or worn out property disposed of in the</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course of business;</w:t>
      </w:r>
    </w:p>
    <w:p>
      <w:pPr>
        <w:spacing w:after="0" w:line="182"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inventory or other assets, or the licensing of</w:t>
      </w:r>
    </w:p>
    <w:p>
      <w:pPr>
        <w:spacing w:after="0" w:line="25"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intellectual property, in each case in the ordinary course of business;</w:t>
      </w:r>
    </w:p>
    <w:p>
      <w:pPr>
        <w:spacing w:after="0" w:line="182" w:lineRule="exact"/>
        <w:rPr>
          <w:rFonts w:ascii="Times New Roman" w:cs="Times New Roman" w:eastAsia="Times New Roman" w:hAnsi="Times New Roman"/>
          <w:sz w:val="21"/>
          <w:szCs w:val="21"/>
          <w:color w:val="auto"/>
        </w:rPr>
      </w:pPr>
    </w:p>
    <w:p>
      <w:pPr>
        <w:ind w:left="4080" w:hanging="1304"/>
        <w:spacing w:after="0"/>
        <w:tabs>
          <w:tab w:leader="none" w:pos="40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transfer or lease of assets (i) which are</w:t>
      </w:r>
    </w:p>
    <w:p>
      <w:pPr>
        <w:spacing w:after="0" w:line="14" w:lineRule="exact"/>
        <w:rPr>
          <w:rFonts w:ascii="Times New Roman" w:cs="Times New Roman" w:eastAsia="Times New Roman" w:hAnsi="Times New Roman"/>
          <w:sz w:val="22"/>
          <w:szCs w:val="22"/>
          <w:color w:val="auto"/>
        </w:rPr>
      </w:pPr>
    </w:p>
    <w:p>
      <w:pPr>
        <w:ind w:left="1480" w:right="31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replaced by like-kind assets or (ii) the proceeds of the sale of which are used within one-hundred and twenty (120) days of such sale to purchase like-kind assets;</w:t>
      </w:r>
    </w:p>
    <w:p>
      <w:pPr>
        <w:spacing w:after="0" w:line="158" w:lineRule="exact"/>
        <w:rPr>
          <w:rFonts w:ascii="Times New Roman" w:cs="Times New Roman" w:eastAsia="Times New Roman" w:hAnsi="Times New Roman"/>
          <w:sz w:val="22"/>
          <w:szCs w:val="22"/>
          <w:color w:val="auto"/>
        </w:rPr>
      </w:pPr>
    </w:p>
    <w:p>
      <w:pPr>
        <w:ind w:left="4120" w:hanging="1344"/>
        <w:spacing w:after="0"/>
        <w:tabs>
          <w:tab w:leader="none" w:pos="41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transfer or lease of assets the proceeds of the</w:t>
      </w:r>
    </w:p>
    <w:p>
      <w:pPr>
        <w:spacing w:after="0" w:line="25"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sale of which are used to permanently reduce the Commitments; and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9" w:name="page120"/>
    <w:bookmarkEnd w:id="119"/>
    <w:p>
      <w:pPr>
        <w:ind w:left="1480" w:right="419" w:firstLine="1296"/>
        <w:spacing w:after="0" w:line="238" w:lineRule="auto"/>
        <w:tabs>
          <w:tab w:leader="none" w:pos="412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above subsections 6.5(i) through 6.5(iv), inclusive, any such conveyances, sales, leases, assignments, transfers or other disposals, the aggregate amount of which for any fiscal year does not exceed 5% of the Borrower’s Consolidated Shareholders’ Equity as at the end of the immediately preceding fiscal year.</w:t>
      </w:r>
    </w:p>
    <w:p>
      <w:pPr>
        <w:spacing w:after="0" w:line="177" w:lineRule="exact"/>
        <w:rPr>
          <w:sz w:val="20"/>
          <w:szCs w:val="20"/>
          <w:color w:val="auto"/>
        </w:rPr>
      </w:pPr>
    </w:p>
    <w:p>
      <w:pPr>
        <w:ind w:left="180" w:right="4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Limitations on Acquisitions</w:t>
      </w:r>
      <w:r>
        <w:rPr>
          <w:rFonts w:ascii="Times New Roman" w:cs="Times New Roman" w:eastAsia="Times New Roman" w:hAnsi="Times New Roman"/>
          <w:sz w:val="22"/>
          <w:szCs w:val="22"/>
          <w:color w:val="auto"/>
        </w:rPr>
        <w:t>. Purchase, hold or acquire beneficially any stock, other securities or evidences of indebtedness of, or make or permit any investment or acquire any interest whatsoever in, any other Person, except for Permitted Acquisitions.</w:t>
      </w:r>
    </w:p>
    <w:p>
      <w:pPr>
        <w:spacing w:after="0" w:line="173" w:lineRule="exact"/>
        <w:rPr>
          <w:sz w:val="20"/>
          <w:szCs w:val="20"/>
          <w:color w:val="auto"/>
        </w:rPr>
      </w:pPr>
    </w:p>
    <w:p>
      <w:pPr>
        <w:ind w:left="180" w:right="4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Limitation on Distributions and Investments</w:t>
      </w:r>
      <w:r>
        <w:rPr>
          <w:rFonts w:ascii="Times New Roman" w:cs="Times New Roman" w:eastAsia="Times New Roman" w:hAnsi="Times New Roman"/>
          <w:sz w:val="22"/>
          <w:szCs w:val="22"/>
          <w:color w:val="auto"/>
        </w:rPr>
        <w:t xml:space="preserve">. (a) At any time make (or incur any liability to make) or pay any Distribution in respect of the Borrower (other than a Distribution payable to the Parent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as of the declaration date of any such Distribution and after giving effect to the declaration or payment of any such Distribution no Default or Event of Default would exist; or</w:t>
      </w:r>
    </w:p>
    <w:p>
      <w:pPr>
        <w:spacing w:after="0" w:line="177"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Make any Investments other than Permitted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Investments.</w:t>
      </w:r>
    </w:p>
    <w:p>
      <w:pPr>
        <w:spacing w:after="0" w:line="182" w:lineRule="exact"/>
        <w:rPr>
          <w:sz w:val="20"/>
          <w:szCs w:val="20"/>
          <w:color w:val="auto"/>
        </w:rPr>
      </w:pPr>
    </w:p>
    <w:p>
      <w:pPr>
        <w:ind w:left="180" w:right="259" w:firstLine="648"/>
        <w:spacing w:after="0" w:line="235"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Except as expressly permitted in this Agreement, directly or indirectly enter into any transaction or arrangement whatsoever or make any payment to or otherwise deal with any Affiliate (other than transactions among the Borrower and its Subsidiaries not involving any other Affiliate of the Borrower), except, as to all of the foregoing in the ordinary course of and pursuant to the reasonable requirements of the Borrower’s business and upon fair and reasonable terms not materially less favorable to the Borrower than would be obtained in a comparable arm’s length transaction with a Person not an Affiliate of the Borrower.</w:t>
      </w:r>
    </w:p>
    <w:p>
      <w:pPr>
        <w:spacing w:after="0" w:line="183" w:lineRule="exact"/>
        <w:rPr>
          <w:sz w:val="20"/>
          <w:szCs w:val="20"/>
          <w:color w:val="auto"/>
        </w:rPr>
      </w:pPr>
    </w:p>
    <w:p>
      <w:pPr>
        <w:ind w:left="180" w:right="2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Sale and Leaseback</w:t>
      </w:r>
      <w:r>
        <w:rPr>
          <w:rFonts w:ascii="Times New Roman" w:cs="Times New Roman" w:eastAsia="Times New Roman" w:hAnsi="Times New Roman"/>
          <w:sz w:val="22"/>
          <w:szCs w:val="22"/>
          <w:color w:val="auto"/>
        </w:rPr>
        <w:t>. Except if reasonably contemporaneous with the Borrower’s purchase, enter into any arrangement with any Person providing for the leasing by the Borrower of real or personal property which has been or is to be sold or transferred by the Borrower to such Person or to any other Person to whom funds have been or are to be advanced by such Person on the security of such property or rental obligations of the Borrower.</w:t>
      </w:r>
    </w:p>
    <w:p>
      <w:pPr>
        <w:spacing w:after="0" w:line="177" w:lineRule="exact"/>
        <w:rPr>
          <w:sz w:val="20"/>
          <w:szCs w:val="20"/>
          <w:color w:val="auto"/>
        </w:rPr>
      </w:pPr>
    </w:p>
    <w:p>
      <w:pPr>
        <w:jc w:val="center"/>
        <w:ind w:right="39"/>
        <w:spacing w:after="0"/>
        <w:tabs>
          <w:tab w:leader="none" w:pos="34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Permit its Fiscal Year to end on a day other than December 31.</w:t>
      </w:r>
    </w:p>
    <w:p>
      <w:pPr>
        <w:spacing w:after="0" w:line="206" w:lineRule="exact"/>
        <w:rPr>
          <w:sz w:val="20"/>
          <w:szCs w:val="20"/>
          <w:color w:val="auto"/>
        </w:rPr>
      </w:pPr>
    </w:p>
    <w:p>
      <w:pPr>
        <w:ind w:left="180" w:right="4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Continuation of or Change in Business</w:t>
      </w:r>
      <w:r>
        <w:rPr>
          <w:rFonts w:ascii="Times New Roman" w:cs="Times New Roman" w:eastAsia="Times New Roman" w:hAnsi="Times New Roman"/>
          <w:sz w:val="22"/>
          <w:szCs w:val="22"/>
          <w:color w:val="auto"/>
        </w:rPr>
        <w:t>. Discontinue any substantial part, or change the nature of, the existing business activities of the Borrower, or engage in any business either directly or through any Subsidiary except for businesses in which the Borrower is engaged on the date of this Agreement and any business activities directly related, similar or incidental or ancillary to such existing businesses.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7. EVENTS OF DEFAULT</w:t>
      </w:r>
    </w:p>
    <w:p>
      <w:pPr>
        <w:spacing w:after="0" w:line="206"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shall occur and be continuing:</w:t>
      </w:r>
    </w:p>
    <w:p>
      <w:pPr>
        <w:spacing w:after="0" w:line="206" w:lineRule="exact"/>
        <w:rPr>
          <w:sz w:val="20"/>
          <w:szCs w:val="20"/>
          <w:color w:val="auto"/>
        </w:rPr>
      </w:pPr>
    </w:p>
    <w:p>
      <w:pPr>
        <w:ind w:left="180" w:right="219" w:firstLine="1944"/>
        <w:spacing w:after="0" w:line="244" w:lineRule="auto"/>
        <w:rPr>
          <w:sz w:val="20"/>
          <w:szCs w:val="20"/>
          <w:color w:val="auto"/>
        </w:rPr>
      </w:pPr>
      <w:r>
        <w:rPr>
          <w:rFonts w:ascii="Times New Roman" w:cs="Times New Roman" w:eastAsia="Times New Roman" w:hAnsi="Times New Roman"/>
          <w:sz w:val="22"/>
          <w:szCs w:val="22"/>
          <w:color w:val="auto"/>
        </w:rPr>
        <w:t>(a) The Borrower shall fail to pay when due any principal of any Note, or shall fail to pay within five (5) days after the date when due any interest, Fees or other amount payable hereunder;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0" w:name="page121"/>
    <w:bookmarkEnd w:id="120"/>
    <w:p>
      <w:pPr>
        <w:ind w:left="180" w:right="199" w:firstLine="1944"/>
        <w:spacing w:after="0" w:line="238" w:lineRule="auto"/>
        <w:rPr>
          <w:sz w:val="20"/>
          <w:szCs w:val="20"/>
          <w:color w:val="auto"/>
        </w:rPr>
      </w:pPr>
      <w:r>
        <w:rPr>
          <w:rFonts w:ascii="Times New Roman" w:cs="Times New Roman" w:eastAsia="Times New Roman" w:hAnsi="Times New Roman"/>
          <w:sz w:val="22"/>
          <w:szCs w:val="22"/>
          <w:color w:val="auto"/>
        </w:rPr>
        <w:t>(b) Any representation or warranty made or deemed made by the Borrower or any Guarantor herein or in any other Loan Document or which is contained in any certificate, document or financial or other statement furnished at any time under or in connection with this Agreement shall prove to have been incorrect in any material respect on or as of the date made or deemed made; or</w:t>
      </w:r>
    </w:p>
    <w:p>
      <w:pPr>
        <w:spacing w:after="0" w:line="177" w:lineRule="exact"/>
        <w:rPr>
          <w:sz w:val="20"/>
          <w:szCs w:val="20"/>
          <w:color w:val="auto"/>
        </w:rPr>
      </w:pPr>
    </w:p>
    <w:p>
      <w:pPr>
        <w:ind w:left="180" w:right="499" w:firstLine="1944"/>
        <w:spacing w:after="0" w:line="244" w:lineRule="auto"/>
        <w:rPr>
          <w:sz w:val="20"/>
          <w:szCs w:val="20"/>
          <w:color w:val="auto"/>
        </w:rPr>
      </w:pPr>
      <w:r>
        <w:rPr>
          <w:rFonts w:ascii="Times New Roman" w:cs="Times New Roman" w:eastAsia="Times New Roman" w:hAnsi="Times New Roman"/>
          <w:sz w:val="22"/>
          <w:szCs w:val="22"/>
          <w:color w:val="auto"/>
        </w:rPr>
        <w:t>(c) The Borrower shall default in the observance or performance of any agreement contained in Section 5.12 or in Section 6 or any representation or warranty contained in Section 3.21 is or becomes false or misleading at any time; or</w:t>
      </w:r>
    </w:p>
    <w:p>
      <w:pPr>
        <w:spacing w:after="0" w:line="173" w:lineRule="exact"/>
        <w:rPr>
          <w:sz w:val="20"/>
          <w:szCs w:val="20"/>
          <w:color w:val="auto"/>
        </w:rPr>
      </w:pPr>
    </w:p>
    <w:p>
      <w:pPr>
        <w:ind w:left="180" w:right="499" w:firstLine="1944"/>
        <w:spacing w:after="0" w:line="238" w:lineRule="auto"/>
        <w:rPr>
          <w:sz w:val="20"/>
          <w:szCs w:val="20"/>
          <w:color w:val="auto"/>
        </w:rPr>
      </w:pPr>
      <w:r>
        <w:rPr>
          <w:rFonts w:ascii="Times New Roman" w:cs="Times New Roman" w:eastAsia="Times New Roman" w:hAnsi="Times New Roman"/>
          <w:sz w:val="22"/>
          <w:szCs w:val="22"/>
          <w:color w:val="auto"/>
        </w:rPr>
        <w:t>(d) The Borrower or any Guarantor shall default in the observance or performance of any other agreement contained in this Agreement (other than as provided in paragraphs (a), (b) or (c) of this Section 7.1) or any other Loan Document, and such default shall continue unremedied for a period of thirty (30) days after notice of such default is given by the Agent; or</w:t>
      </w:r>
    </w:p>
    <w:p>
      <w:pPr>
        <w:spacing w:after="0" w:line="177" w:lineRule="exact"/>
        <w:rPr>
          <w:sz w:val="20"/>
          <w:szCs w:val="20"/>
          <w:color w:val="auto"/>
        </w:rPr>
      </w:pPr>
    </w:p>
    <w:p>
      <w:pPr>
        <w:ind w:left="180" w:right="519" w:firstLine="1944"/>
        <w:spacing w:after="0" w:line="238" w:lineRule="auto"/>
        <w:rPr>
          <w:sz w:val="20"/>
          <w:szCs w:val="20"/>
          <w:color w:val="auto"/>
        </w:rPr>
      </w:pPr>
      <w:r>
        <w:rPr>
          <w:rFonts w:ascii="Times New Roman" w:cs="Times New Roman" w:eastAsia="Times New Roman" w:hAnsi="Times New Roman"/>
          <w:sz w:val="22"/>
          <w:szCs w:val="22"/>
          <w:color w:val="auto"/>
        </w:rPr>
        <w:t>(e) One or more judgments or decrees shall be entered against the Borrower or any Guarantor involving in the aggregate a liability (not paid or fully covered by insurance) of $10,000,000 or more and all such judgments or decrees shall not have been vacated, discharged, settled, satisfied or paid, or stayed or bonded pending appeal, within thirty (30) days from the entry thereof; or</w:t>
      </w:r>
    </w:p>
    <w:p>
      <w:pPr>
        <w:spacing w:after="0" w:line="177" w:lineRule="exact"/>
        <w:rPr>
          <w:sz w:val="20"/>
          <w:szCs w:val="20"/>
          <w:color w:val="auto"/>
        </w:rPr>
      </w:pPr>
    </w:p>
    <w:p>
      <w:pPr>
        <w:ind w:left="180" w:right="199" w:firstLine="1944"/>
        <w:spacing w:after="0" w:line="233" w:lineRule="auto"/>
        <w:rPr>
          <w:sz w:val="20"/>
          <w:szCs w:val="20"/>
          <w:color w:val="auto"/>
        </w:rPr>
      </w:pPr>
      <w:r>
        <w:rPr>
          <w:rFonts w:ascii="Times New Roman" w:cs="Times New Roman" w:eastAsia="Times New Roman" w:hAnsi="Times New Roman"/>
          <w:sz w:val="22"/>
          <w:szCs w:val="22"/>
          <w:color w:val="auto"/>
        </w:rPr>
        <w:t>(f) The Borrower shall (i) default in the payment of any amount due under any Debt of the Borrower in excess of $10,000,000 in the aggregate (other than the Notes), beyond the period of grace, if any, provided in the instrument or agreement under which such Debt was created; or (ii) default in the observance or performance of any other agreement contained in any such Debt or in any instrument or agreement evidencing, securing or relating thereto beyond any applicable notice and grace period, or any other event shall occur the effect of which default or other event is to cause, or to permit the holder or holders or beneficiary or beneficiaries of such Debt (or a trustee or agent on behalf of such holder or holders or beneficiary or beneficiaries) to cause such Debt to become due and payable prior to its stated maturity or any such Debt is declared to be due and payable prior to its stated maturity unless such default, event or declaration referred to in this subparagraph (ii) is waived or cured to the satisfaction of such other party as demonstrated to the satisfaction of the Agent by the Borrower prior to the Agent taking any action under Section 7.2 in respect of such occurrence; or</w:t>
      </w:r>
    </w:p>
    <w:p>
      <w:pPr>
        <w:spacing w:after="0" w:line="182" w:lineRule="exact"/>
        <w:rPr>
          <w:sz w:val="20"/>
          <w:szCs w:val="20"/>
          <w:color w:val="auto"/>
        </w:rPr>
      </w:pPr>
    </w:p>
    <w:p>
      <w:pPr>
        <w:ind w:left="180" w:right="239" w:firstLine="1944"/>
        <w:spacing w:after="0" w:line="248" w:lineRule="exact"/>
        <w:rPr>
          <w:sz w:val="20"/>
          <w:szCs w:val="20"/>
          <w:color w:val="auto"/>
        </w:rPr>
      </w:pPr>
      <w:r>
        <w:rPr>
          <w:rFonts w:ascii="Times New Roman" w:cs="Times New Roman" w:eastAsia="Times New Roman" w:hAnsi="Times New Roman"/>
          <w:sz w:val="21"/>
          <w:szCs w:val="21"/>
          <w:color w:val="auto"/>
        </w:rPr>
        <w:t>(g) (i) The Borrower or any Guarantor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liquidation, dissolution, composition or other relief with respect to it or its debts, or (B) seeking appointment of a receiver, trustee, custodian or other similar official for it or for all or any substantial part of its assets, or the Borrower or any Guarantor shall make a general assignment for the benefit of its creditors; or</w:t>
      </w:r>
    </w:p>
    <w:p>
      <w:pPr>
        <w:spacing w:after="0" w:line="1" w:lineRule="exact"/>
        <w:rPr>
          <w:sz w:val="20"/>
          <w:szCs w:val="20"/>
          <w:color w:val="auto"/>
        </w:rPr>
      </w:pPr>
    </w:p>
    <w:p>
      <w:pPr>
        <w:jc w:val="both"/>
        <w:ind w:left="180" w:right="279" w:firstLine="4"/>
        <w:spacing w:after="0" w:line="235" w:lineRule="auto"/>
        <w:tabs>
          <w:tab w:leader="none" w:pos="49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commenced against the Borrower or any Guarantor any case, proceeding or other action of a nature referred to in clause (i) above which (A) results in the entry of an order for relief or any such adjudication or appointment or (B) remains undismissed,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1" w:name="page122"/>
    <w:bookmarkEnd w:id="121"/>
    <w:p>
      <w:pPr>
        <w:ind w:left="180" w:right="199"/>
        <w:spacing w:after="0" w:line="234" w:lineRule="auto"/>
        <w:rPr>
          <w:sz w:val="20"/>
          <w:szCs w:val="20"/>
          <w:color w:val="auto"/>
        </w:rPr>
      </w:pPr>
      <w:r>
        <w:rPr>
          <w:rFonts w:ascii="Times New Roman" w:cs="Times New Roman" w:eastAsia="Times New Roman" w:hAnsi="Times New Roman"/>
          <w:sz w:val="22"/>
          <w:szCs w:val="22"/>
          <w:color w:val="auto"/>
        </w:rPr>
        <w:t>undischarged or unbonded for a period of sixty (60) days; or (iii) there shall be commenced against the Borrower or any Guarantor any case, proceeding or other action seeking issuance of a warrant of attachment, execution, distraint or similar process on a claim in excess of $10,000,000 against all or any substantial part of its assets which results in the entry of an order for any such relief which shall not have been vacated, discharged, or stayed or bonded pending appeal within sixty (60) days from the entry thereof; or (iv) the Borrower or any Guarantor shall take any action in furtherance of, or indicating its consent to, approval of, or acquiescence in, any of the acts set forth in clause (i), (ii), or (iii) above; or (v) the Borrower or any Guarantor shall generally not, or shall be unable to, or shall admit in writing its inability to, pay its debts as they become due; or</w:t>
      </w:r>
    </w:p>
    <w:p>
      <w:pPr>
        <w:spacing w:after="0" w:line="183" w:lineRule="exact"/>
        <w:rPr>
          <w:sz w:val="20"/>
          <w:szCs w:val="20"/>
          <w:color w:val="auto"/>
        </w:rPr>
      </w:pPr>
    </w:p>
    <w:p>
      <w:pPr>
        <w:ind w:left="180" w:right="279" w:firstLine="1944"/>
        <w:spacing w:after="0" w:line="241" w:lineRule="auto"/>
        <w:rPr>
          <w:sz w:val="20"/>
          <w:szCs w:val="20"/>
          <w:color w:val="auto"/>
        </w:rPr>
      </w:pPr>
      <w:r>
        <w:rPr>
          <w:rFonts w:ascii="Times New Roman" w:cs="Times New Roman" w:eastAsia="Times New Roman" w:hAnsi="Times New Roman"/>
          <w:sz w:val="22"/>
          <w:szCs w:val="22"/>
          <w:color w:val="auto"/>
        </w:rPr>
        <w:t>(h) (i) Any Person shall engage in any “prohibited transaction” (as defined in Section 406 of ERISA or Section 4975 of the Code) involving any Plan,</w:t>
      </w:r>
    </w:p>
    <w:p>
      <w:pPr>
        <w:spacing w:after="0" w:line="2" w:lineRule="exact"/>
        <w:rPr>
          <w:sz w:val="20"/>
          <w:szCs w:val="20"/>
          <w:color w:val="auto"/>
        </w:rPr>
      </w:pPr>
    </w:p>
    <w:p>
      <w:pPr>
        <w:ind w:left="180" w:right="219" w:firstLine="4"/>
        <w:spacing w:after="0" w:line="231" w:lineRule="auto"/>
        <w:tabs>
          <w:tab w:leader="none" w:pos="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adjusted target attainment percentage (within the meaning of Section 436(j)(2) of the Code) with respect to any Single Employer Plan maintained by the Borrower or Commonly Controlled Entity is certified by the Single Employer Plan’s actuary to be less than eighty percent (80%) or deemed by operation of Section 436 of the Code in the absence of such certification to be less than eighty percent (80%),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Banks, likely to result in the termination by action of the PBGC or any court of such Single Employer Plan for purposes of Title IV of ERISA, (iv) any Single Employer Plan, if any, shall terminate for purposes of Title IV of ERISA, or (v) the Borrower or a Commonly Controlled Entity should completely or partially withdraw from a Multiemployer Plan; and in each case in clauses (i) through (v) above, such event or condition, together with all other such events or conditions, if any, could reasonably be expected to have a Material Adverse Effect; or</w:t>
      </w:r>
    </w:p>
    <w:p>
      <w:pPr>
        <w:spacing w:after="0" w:line="185" w:lineRule="exact"/>
        <w:rPr>
          <w:sz w:val="20"/>
          <w:szCs w:val="20"/>
          <w:color w:val="auto"/>
        </w:rPr>
      </w:pPr>
    </w:p>
    <w:p>
      <w:pPr>
        <w:ind w:left="180" w:right="219" w:firstLine="1944"/>
        <w:spacing w:after="0" w:line="235" w:lineRule="auto"/>
        <w:rPr>
          <w:sz w:val="20"/>
          <w:szCs w:val="20"/>
          <w:color w:val="auto"/>
        </w:rPr>
      </w:pPr>
      <w:r>
        <w:rPr>
          <w:rFonts w:ascii="Times New Roman" w:cs="Times New Roman" w:eastAsia="Times New Roman" w:hAnsi="Times New Roman"/>
          <w:sz w:val="22"/>
          <w:szCs w:val="22"/>
          <w:color w:val="auto"/>
        </w:rPr>
        <w:t>(i) Any change in control of the Borrower shall occur (as used herein, the term “change in control” means either (A) any change in ownership of any class of stock or capital stock generally of the Borrower which would result in a change or transfer in the power to control the election of a majority of the board of directors or in other indicia of majority voting control to persons or entities other than those persons who have such majority voting control on the Closing Date or (B) a decrease in such persons’ right to vote at shareholders’ meetings to an aggregate level less than 51%); or</w:t>
      </w:r>
    </w:p>
    <w:p>
      <w:pPr>
        <w:spacing w:after="0" w:line="183" w:lineRule="exact"/>
        <w:rPr>
          <w:sz w:val="20"/>
          <w:szCs w:val="20"/>
          <w:color w:val="auto"/>
        </w:rPr>
      </w:pPr>
    </w:p>
    <w:p>
      <w:pPr>
        <w:ind w:left="180" w:right="219" w:firstLine="1944"/>
        <w:spacing w:after="0" w:line="235" w:lineRule="auto"/>
        <w:rPr>
          <w:sz w:val="20"/>
          <w:szCs w:val="20"/>
          <w:color w:val="auto"/>
        </w:rPr>
      </w:pPr>
      <w:r>
        <w:rPr>
          <w:rFonts w:ascii="Times New Roman" w:cs="Times New Roman" w:eastAsia="Times New Roman" w:hAnsi="Times New Roman"/>
          <w:sz w:val="22"/>
          <w:szCs w:val="22"/>
          <w:color w:val="auto"/>
        </w:rPr>
        <w:t>(j)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and thereby deprive or deny the Banks and the Agent the intended benefits thereof or they shall thereby cease substantially to have the rights, titles, interests, remedies, powers or privileges intended to be created thereby; or</w:t>
      </w:r>
    </w:p>
    <w:p>
      <w:pPr>
        <w:spacing w:after="0" w:line="183"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rFonts w:ascii="Times New Roman" w:cs="Times New Roman" w:eastAsia="Times New Roman" w:hAnsi="Times New Roman"/>
          <w:sz w:val="22"/>
          <w:szCs w:val="22"/>
          <w:color w:val="auto"/>
        </w:rPr>
        <w:t>A notice of lien or assessment in excess of</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$2,000,000 is filed of record with respect to all or any part of the Borrower’s or any Guarantor’s</w:t>
      </w:r>
    </w:p>
    <w:p>
      <w:pPr>
        <w:ind w:left="180"/>
        <w:spacing w:after="0" w:line="230" w:lineRule="auto"/>
        <w:rPr>
          <w:sz w:val="20"/>
          <w:szCs w:val="20"/>
          <w:color w:val="auto"/>
        </w:rPr>
      </w:pPr>
      <w:r>
        <w:rPr>
          <w:rFonts w:ascii="Times New Roman" w:cs="Times New Roman" w:eastAsia="Times New Roman" w:hAnsi="Times New Roman"/>
          <w:sz w:val="22"/>
          <w:szCs w:val="22"/>
          <w:color w:val="auto"/>
        </w:rPr>
        <w:t>assets having a value of at least that amount by the United States, or any department, agency or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instrumentality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2" w:name="page123"/>
    <w:bookmarkEnd w:id="122"/>
    <w:p>
      <w:pPr>
        <w:jc w:val="both"/>
        <w:ind w:left="180" w:right="819"/>
        <w:spacing w:after="0" w:line="244" w:lineRule="auto"/>
        <w:rPr>
          <w:sz w:val="20"/>
          <w:szCs w:val="20"/>
          <w:color w:val="auto"/>
        </w:rPr>
      </w:pPr>
      <w:r>
        <w:rPr>
          <w:rFonts w:ascii="Times New Roman" w:cs="Times New Roman" w:eastAsia="Times New Roman" w:hAnsi="Times New Roman"/>
          <w:sz w:val="22"/>
          <w:szCs w:val="22"/>
          <w:color w:val="auto"/>
        </w:rPr>
        <w:t>thereof, or by any state, county, municipal, or other governmental agency, including, without limitation, the PBGC, becomes payable and the same is not paid, vacated, bonded or stayed pending appeal within thirty (30) days after the same becomes payable; or</w:t>
      </w:r>
    </w:p>
    <w:p>
      <w:pPr>
        <w:sectPr>
          <w:pgSz w:w="11900" w:h="16838" w:orient="portrait"/>
          <w:cols w:equalWidth="0" w:num="1">
            <w:col w:w="9019"/>
          </w:cols>
          <w:pgMar w:left="1440" w:top="355" w:right="1440" w:bottom="1440" w:gutter="0" w:footer="0" w:header="0"/>
        </w:sectPr>
      </w:pPr>
    </w:p>
    <w:p>
      <w:pPr>
        <w:spacing w:after="0" w:line="17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21"/>
          <w:szCs w:val="21"/>
          <w:color w:val="auto"/>
        </w:rPr>
        <w:t>The Borrower ceases to be Solvent; or</w:t>
      </w:r>
    </w:p>
    <w:p>
      <w:pPr>
        <w:spacing w:after="0" w:line="211" w:lineRule="exact"/>
        <w:rPr>
          <w:sz w:val="20"/>
          <w:szCs w:val="20"/>
          <w:color w:val="auto"/>
        </w:rPr>
      </w:pPr>
    </w:p>
    <w:p>
      <w:pPr>
        <w:sectPr>
          <w:pgSz w:w="11900" w:h="16838" w:orient="portrait"/>
          <w:cols w:equalWidth="0" w:num="2">
            <w:col w:w="3360" w:space="720"/>
            <w:col w:w="4939"/>
          </w:cols>
          <w:pgMar w:left="1440" w:top="355" w:right="1440" w:bottom="1440" w:gutter="0" w:footer="0" w:header="0"/>
          <w:type w:val="continuous"/>
        </w:sectPr>
      </w:pPr>
    </w:p>
    <w:p>
      <w:pPr>
        <w:spacing w:after="0" w:line="6" w:lineRule="exact"/>
        <w:rPr>
          <w:sz w:val="20"/>
          <w:szCs w:val="20"/>
          <w:color w:val="auto"/>
        </w:rPr>
      </w:pPr>
    </w:p>
    <w:p>
      <w:pPr>
        <w:ind w:left="2120"/>
        <w:spacing w:after="0"/>
        <w:tabs>
          <w:tab w:leader="none" w:pos="4160" w:val="left"/>
        </w:tabs>
        <w:rPr>
          <w:sz w:val="20"/>
          <w:szCs w:val="20"/>
          <w:color w:val="auto"/>
        </w:rPr>
      </w:pPr>
      <w:r>
        <w:rPr>
          <w:rFonts w:ascii="Times New Roman" w:cs="Times New Roman" w:eastAsia="Times New Roman" w:hAnsi="Times New Roman"/>
          <w:sz w:val="21"/>
          <w:szCs w:val="21"/>
          <w:color w:val="auto"/>
        </w:rPr>
        <w:t>(m)</w:t>
      </w:r>
      <w:r>
        <w:rPr>
          <w:sz w:val="20"/>
          <w:szCs w:val="20"/>
          <w:color w:val="auto"/>
        </w:rPr>
        <w:tab/>
      </w:r>
      <w:r>
        <w:rPr>
          <w:rFonts w:ascii="Times New Roman" w:cs="Times New Roman" w:eastAsia="Times New Roman" w:hAnsi="Times New Roman"/>
          <w:sz w:val="21"/>
          <w:szCs w:val="21"/>
          <w:color w:val="auto"/>
        </w:rPr>
        <w:t>Except as otherwise permitted in this Agreement, the</w:t>
      </w:r>
    </w:p>
    <w:p>
      <w:pPr>
        <w:sectPr>
          <w:pgSz w:w="11900" w:h="16838" w:orient="portrait"/>
          <w:cols w:equalWidth="0" w:num="1">
            <w:col w:w="9019"/>
          </w:cols>
          <w:pgMar w:left="1440" w:top="355" w:right="1440" w:bottom="1440" w:gutter="0" w:footer="0" w:header="0"/>
          <w:type w:val="continuous"/>
        </w:sectPr>
      </w:pPr>
    </w:p>
    <w:p>
      <w:pPr>
        <w:spacing w:after="0" w:line="41" w:lineRule="exact"/>
        <w:rPr>
          <w:sz w:val="20"/>
          <w:szCs w:val="20"/>
          <w:color w:val="auto"/>
        </w:rPr>
      </w:pPr>
    </w:p>
    <w:p>
      <w:pPr>
        <w:jc w:val="both"/>
        <w:ind w:left="180" w:right="219"/>
        <w:spacing w:after="0" w:line="230" w:lineRule="auto"/>
        <w:rPr>
          <w:sz w:val="20"/>
          <w:szCs w:val="20"/>
          <w:color w:val="auto"/>
        </w:rPr>
      </w:pPr>
      <w:r>
        <w:rPr>
          <w:rFonts w:ascii="Times New Roman" w:cs="Times New Roman" w:eastAsia="Times New Roman" w:hAnsi="Times New Roman"/>
          <w:sz w:val="22"/>
          <w:szCs w:val="22"/>
          <w:color w:val="auto"/>
        </w:rPr>
        <w:t>Borrower ceases to conduct its business as contemplated or the Borrower is enjoined, restrained or in any way prevented by court order from conducting all or any material part of its business so as to cause or result in a Material Adverse Effect, and such injunction, restraint or other preventive order is not dismissed within thirty (30) days after the entry thereof.</w:t>
      </w:r>
    </w:p>
    <w:p>
      <w:pPr>
        <w:spacing w:after="0" w:line="179" w:lineRule="exact"/>
        <w:rPr>
          <w:sz w:val="20"/>
          <w:szCs w:val="20"/>
          <w:color w:val="auto"/>
        </w:rPr>
      </w:pPr>
    </w:p>
    <w:p>
      <w:pPr>
        <w:ind w:left="180" w:right="279" w:firstLine="648"/>
        <w:spacing w:after="0" w:line="23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(a) If an Event of Default specified under subsections 7.1(a) through (f) or (h) through (m) shall occur and be continuing, the Banks shall be under no further obligation to make Loans hereunder, and the Agent upon the request of the Required Banks shall by written notice to the Borrower, terminate the Commitments and the Swing Line Commitment and/or declare the unpaid principal amount of the Notes then outstanding and all interest accrued thereon, any unpaid fees and all other obligations of the Borrower to the Banks hereunder and thereunder to be forthwith due and payable, and the same shall thereupon become and be immediately due and payable to the Agent for the benefit of each Bank without presentment, demand, protest or any other notice of any kind, all of which are hereby expressly waived.</w:t>
      </w:r>
    </w:p>
    <w:p>
      <w:pPr>
        <w:spacing w:after="0" w:line="183" w:lineRule="exact"/>
        <w:rPr>
          <w:sz w:val="20"/>
          <w:szCs w:val="20"/>
          <w:color w:val="auto"/>
        </w:rPr>
      </w:pPr>
    </w:p>
    <w:p>
      <w:pPr>
        <w:ind w:left="180" w:right="319" w:firstLine="1944"/>
        <w:spacing w:after="0" w:line="235" w:lineRule="auto"/>
        <w:rPr>
          <w:sz w:val="20"/>
          <w:szCs w:val="20"/>
          <w:color w:val="auto"/>
        </w:rPr>
      </w:pPr>
      <w:r>
        <w:rPr>
          <w:rFonts w:ascii="Times New Roman" w:cs="Times New Roman" w:eastAsia="Times New Roman" w:hAnsi="Times New Roman"/>
          <w:sz w:val="22"/>
          <w:szCs w:val="22"/>
          <w:color w:val="auto"/>
        </w:rPr>
        <w:t>(a) If an Event of Default specified under subsections 7.1(g) hereof shall occur, the Commitments and the Swing Line Commitment shall immediately terminate and the Banks shall be under no further obligations to make Loans hereunder, and the unpaid principal amount of the Notes then outstanding and all interest accrued thereon, any unpaid fees and all other obligations of the Borrower to the Banks hereunder and thereunder shall be immediately due and payable, without presentment, demand, protest or notice of any kind, all of which are hereby expressly waived.</w:t>
      </w:r>
    </w:p>
    <w:p>
      <w:pPr>
        <w:spacing w:after="0" w:line="183" w:lineRule="exact"/>
        <w:rPr>
          <w:sz w:val="20"/>
          <w:szCs w:val="20"/>
          <w:color w:val="auto"/>
        </w:rPr>
      </w:pPr>
    </w:p>
    <w:p>
      <w:pPr>
        <w:ind w:left="180" w:right="259" w:firstLine="1944"/>
        <w:spacing w:after="0" w:line="232" w:lineRule="auto"/>
        <w:rPr>
          <w:sz w:val="20"/>
          <w:szCs w:val="20"/>
          <w:color w:val="auto"/>
        </w:rPr>
      </w:pPr>
      <w:r>
        <w:rPr>
          <w:rFonts w:ascii="Times New Roman" w:cs="Times New Roman" w:eastAsia="Times New Roman" w:hAnsi="Times New Roman"/>
          <w:sz w:val="22"/>
          <w:szCs w:val="22"/>
          <w:color w:val="auto"/>
        </w:rPr>
        <w:t>(b) If an Event of Default shall occur and be continuing, any Bank to whom any obligation is owed by the Borrower hereunder or under any other Loan Document or any participant of such Bank which has agreed in writing to be bound by the provisions of Section 9.6 hereof and any branch, subsidiary or Affiliate of such Bank or Participant shall have the right, in addition to all other rights and remedies available to it, without notice to the Borrower, to set off against and apply to the then unpaid balance of all the Loans and all other obligations of the Borrower hereunder or under any other Loan Document any debt owing to, and any other funds held in any manner for the account of, the Borrower by such Bank or participant or by such branch, Subsidiary or Affiliate, including, without limitation, all funds in all deposit accounts (whether time or demand, general or special, provisionally credited or finally credited, or otherwise) now or hereafter maintained by the Borrower for its own account (but not including funds held in custodian or trust accounts or other accounts established solely for the benefit of parties other than the Borrower) with such Bank or Participant or such branch, Subsidiary or Affiliate. Such right shall exist whether or not any Bank or the Agent shall have made any demand under this Agreement or any other Loan Document, whether or not such debt owing to or funds held for the account of the Borrower is or are matured or unmatured and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23" w:name="page124"/>
    <w:bookmarkEnd w:id="123"/>
    <w:p>
      <w:pPr>
        <w:ind w:left="180" w:right="559"/>
        <w:spacing w:after="0" w:line="258" w:lineRule="auto"/>
        <w:rPr>
          <w:sz w:val="20"/>
          <w:szCs w:val="20"/>
          <w:color w:val="auto"/>
        </w:rPr>
      </w:pPr>
      <w:r>
        <w:rPr>
          <w:rFonts w:ascii="Times New Roman" w:cs="Times New Roman" w:eastAsia="Times New Roman" w:hAnsi="Times New Roman"/>
          <w:sz w:val="22"/>
          <w:szCs w:val="22"/>
          <w:color w:val="auto"/>
        </w:rPr>
        <w:t>regardless of the existence or adequacy of any collateral, guaranty or any other security, right or remedy available to any Bank or the Agent.</w:t>
      </w:r>
    </w:p>
    <w:p>
      <w:pPr>
        <w:spacing w:after="0" w:line="158" w:lineRule="exact"/>
        <w:rPr>
          <w:sz w:val="20"/>
          <w:szCs w:val="20"/>
          <w:color w:val="auto"/>
        </w:rPr>
      </w:pPr>
    </w:p>
    <w:p>
      <w:pPr>
        <w:ind w:left="180" w:right="319" w:firstLine="1944"/>
        <w:spacing w:after="0" w:line="235" w:lineRule="auto"/>
        <w:rPr>
          <w:sz w:val="20"/>
          <w:szCs w:val="20"/>
          <w:color w:val="auto"/>
        </w:rPr>
      </w:pPr>
      <w:r>
        <w:rPr>
          <w:rFonts w:ascii="Times New Roman" w:cs="Times New Roman" w:eastAsia="Times New Roman" w:hAnsi="Times New Roman"/>
          <w:sz w:val="22"/>
          <w:szCs w:val="22"/>
          <w:color w:val="auto"/>
        </w:rPr>
        <w:t>(c) Notwithstanding any provision herein to the contrary or in the other Loan Documents, any proceeds received by the Agent from any payment made by the Borrower under this Agreement or the other Loan Documents after the Commitments and the Swing Line Commitment have been terminated, or received by the Agent from the foreclosure, sale, lease, collection upon, realization of or other disposition of any collateral which may have been provided to the Agent for the obligations of the Borrower hereunder after the Commitments and the Swing Line Commitment have been terminated (including without limitation insurance proceeds), shall be applied by the Agent as follows, unless otherwise agreed by all the Banks:</w:t>
      </w:r>
    </w:p>
    <w:p>
      <w:pPr>
        <w:spacing w:after="0" w:line="144" w:lineRule="exact"/>
        <w:rPr>
          <w:sz w:val="20"/>
          <w:szCs w:val="20"/>
          <w:color w:val="auto"/>
        </w:rPr>
      </w:pPr>
    </w:p>
    <w:p>
      <w:pPr>
        <w:ind w:left="4080" w:hanging="1304"/>
        <w:spacing w:after="0" w:line="253" w:lineRule="exact"/>
        <w:tabs>
          <w:tab w:leader="none" w:pos="4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reimburse the Agent for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costs,</w:t>
      </w:r>
    </w:p>
    <w:p>
      <w:pPr>
        <w:spacing w:after="0" w:line="62" w:lineRule="exact"/>
        <w:rPr>
          <w:rFonts w:ascii="Times New Roman" w:cs="Times New Roman" w:eastAsia="Times New Roman" w:hAnsi="Times New Roman"/>
          <w:sz w:val="22"/>
          <w:szCs w:val="22"/>
          <w:color w:val="auto"/>
        </w:rPr>
      </w:pPr>
    </w:p>
    <w:p>
      <w:pPr>
        <w:ind w:left="1480" w:right="27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and disbursements, including without limitation reasonable attorneys’ fees and legal expenses, incurred by the Agent in connection with collection of any obligations of the Borrower under any of the Loan Documents;</w:t>
      </w:r>
    </w:p>
    <w:p>
      <w:pPr>
        <w:spacing w:after="0" w:line="177"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accrued and unpaid interest on the Loans;</w:t>
      </w:r>
    </w:p>
    <w:p>
      <w:pPr>
        <w:spacing w:after="0" w:line="206" w:lineRule="exact"/>
        <w:rPr>
          <w:rFonts w:ascii="Times New Roman" w:cs="Times New Roman" w:eastAsia="Times New Roman" w:hAnsi="Times New Roman"/>
          <w:sz w:val="22"/>
          <w:szCs w:val="22"/>
          <w:color w:val="auto"/>
        </w:rPr>
      </w:pPr>
    </w:p>
    <w:p>
      <w:pPr>
        <w:ind w:left="4080" w:hanging="1304"/>
        <w:spacing w:after="0"/>
        <w:tabs>
          <w:tab w:leader="none" w:pos="4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principal amount of the Loans then</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w:t>
      </w:r>
    </w:p>
    <w:p>
      <w:pPr>
        <w:spacing w:after="0" w:line="182" w:lineRule="exact"/>
        <w:rPr>
          <w:rFonts w:ascii="Times New Roman" w:cs="Times New Roman" w:eastAsia="Times New Roman" w:hAnsi="Times New Roman"/>
          <w:sz w:val="22"/>
          <w:szCs w:val="22"/>
          <w:color w:val="auto"/>
        </w:rPr>
      </w:pPr>
    </w:p>
    <w:p>
      <w:pPr>
        <w:ind w:left="4120" w:hanging="1344"/>
        <w:spacing w:after="0"/>
        <w:tabs>
          <w:tab w:leader="none" w:pos="41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fees payable under this Agreement or any of</w:t>
      </w:r>
    </w:p>
    <w:p>
      <w:pPr>
        <w:spacing w:after="0" w:line="25" w:lineRule="exact"/>
        <w:rPr>
          <w:rFonts w:ascii="Times New Roman" w:cs="Times New Roman" w:eastAsia="Times New Roman" w:hAnsi="Times New Roman"/>
          <w:sz w:val="21"/>
          <w:szCs w:val="21"/>
          <w:color w:val="auto"/>
        </w:rPr>
      </w:pPr>
    </w:p>
    <w:p>
      <w:pPr>
        <w:ind w:left="1480" w:right="9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other Loan Documents (ratably according to the respective amounts then outstanding);</w:t>
      </w:r>
    </w:p>
    <w:p>
      <w:pPr>
        <w:spacing w:after="0" w:line="178" w:lineRule="exact"/>
        <w:rPr>
          <w:rFonts w:ascii="Times New Roman" w:cs="Times New Roman" w:eastAsia="Times New Roman" w:hAnsi="Times New Roman"/>
          <w:sz w:val="21"/>
          <w:szCs w:val="21"/>
          <w:color w:val="auto"/>
        </w:rPr>
      </w:pPr>
    </w:p>
    <w:p>
      <w:pPr>
        <w:jc w:val="both"/>
        <w:ind w:left="1480" w:right="359" w:firstLine="1296"/>
        <w:spacing w:after="0" w:line="255" w:lineRule="auto"/>
        <w:tabs>
          <w:tab w:leader="none" w:pos="412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to the repayment of all other indebtedness then due and unpaid of the Borrower to the Banks incurred under this Agreement or any of the other Loan Documents, whether of principal, interest, fees, expenses or otherwise (ratably according to the respective amounts then outstanding); and</w:t>
      </w:r>
    </w:p>
    <w:p>
      <w:pPr>
        <w:spacing w:after="0" w:line="161" w:lineRule="exact"/>
        <w:rPr>
          <w:rFonts w:ascii="Times New Roman" w:cs="Times New Roman" w:eastAsia="Times New Roman" w:hAnsi="Times New Roman"/>
          <w:sz w:val="21"/>
          <w:szCs w:val="21"/>
          <w:color w:val="auto"/>
        </w:rPr>
      </w:pPr>
    </w:p>
    <w:p>
      <w:pPr>
        <w:ind w:left="4120" w:hanging="1344"/>
        <w:spacing w:after="0"/>
        <w:tabs>
          <w:tab w:leader="none" w:pos="4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if any, as required by law.</w:t>
      </w:r>
    </w:p>
    <w:p>
      <w:pPr>
        <w:spacing w:after="0" w:line="206" w:lineRule="exact"/>
        <w:rPr>
          <w:sz w:val="20"/>
          <w:szCs w:val="20"/>
          <w:color w:val="auto"/>
        </w:rPr>
      </w:pPr>
    </w:p>
    <w:p>
      <w:pPr>
        <w:ind w:left="180" w:right="219" w:firstLine="1944"/>
        <w:spacing w:after="0" w:line="236" w:lineRule="auto"/>
        <w:rPr>
          <w:sz w:val="20"/>
          <w:szCs w:val="20"/>
          <w:color w:val="auto"/>
        </w:rPr>
      </w:pPr>
      <w:r>
        <w:rPr>
          <w:rFonts w:ascii="Times New Roman" w:cs="Times New Roman" w:eastAsia="Times New Roman" w:hAnsi="Times New Roman"/>
          <w:sz w:val="22"/>
          <w:szCs w:val="22"/>
          <w:color w:val="auto"/>
        </w:rPr>
        <w:t>(d) Each Bank agrees that (i) if at any time it shall receive the proceeds of any collateral or any proceeds thereof or (ii) if after the Commitments and the Swing Line Commitment have been terminated it shall receive any payment on account of the Loans or any other amounts owing hereunder or under the other Loan Documents (in either case other than through application by the Agent in accordance with subsection 7.2(d)), it shall promptly turn the same over to the Agent for application in accordance with the terms of subsection 7.2(d).</w:t>
      </w:r>
    </w:p>
    <w:p>
      <w:pPr>
        <w:spacing w:after="0" w:line="181" w:lineRule="exact"/>
        <w:rPr>
          <w:sz w:val="20"/>
          <w:szCs w:val="20"/>
          <w:color w:val="auto"/>
        </w:rPr>
      </w:pPr>
    </w:p>
    <w:p>
      <w:pPr>
        <w:jc w:val="both"/>
        <w:ind w:left="180" w:right="299" w:firstLine="1944"/>
        <w:spacing w:after="0" w:line="244" w:lineRule="auto"/>
        <w:rPr>
          <w:sz w:val="20"/>
          <w:szCs w:val="20"/>
          <w:color w:val="auto"/>
        </w:rPr>
      </w:pPr>
      <w:r>
        <w:rPr>
          <w:rFonts w:ascii="Times New Roman" w:cs="Times New Roman" w:eastAsia="Times New Roman" w:hAnsi="Times New Roman"/>
          <w:sz w:val="22"/>
          <w:szCs w:val="22"/>
          <w:color w:val="auto"/>
        </w:rPr>
        <w:t>(e) In addition to the other rights and remedies contained in this Agreement or in the other Loan Documents, the Loans shall, at the Required Banks’ option, bear the interest rates provided in Section 2.7 hereof.</w:t>
      </w:r>
    </w:p>
    <w:p>
      <w:pPr>
        <w:spacing w:after="0" w:line="173" w:lineRule="exact"/>
        <w:rPr>
          <w:sz w:val="20"/>
          <w:szCs w:val="20"/>
          <w:color w:val="auto"/>
        </w:rPr>
      </w:pPr>
    </w:p>
    <w:p>
      <w:pPr>
        <w:ind w:left="180" w:right="259" w:firstLine="1944"/>
        <w:spacing w:after="0" w:line="264" w:lineRule="exact"/>
        <w:rPr>
          <w:sz w:val="20"/>
          <w:szCs w:val="20"/>
          <w:color w:val="auto"/>
        </w:rPr>
      </w:pPr>
      <w:r>
        <w:rPr>
          <w:rFonts w:ascii="Times New Roman" w:cs="Times New Roman" w:eastAsia="Times New Roman" w:hAnsi="Times New Roman"/>
          <w:sz w:val="22"/>
          <w:szCs w:val="22"/>
          <w:color w:val="auto"/>
        </w:rPr>
        <w:t>(f) In addition to all of the rights and remedies contained in this Agreement or in any of the other Loan Documents, the Agent shall have all of the rights and remedies under applicable law, all of which rights and remedies shall be cumulative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to the extent permitted by law. The Agent may, and upon the request of the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4" w:name="page125"/>
    <w:bookmarkEnd w:id="124"/>
    <w:p>
      <w:pPr>
        <w:ind w:left="180" w:right="519"/>
        <w:spacing w:after="0" w:line="287" w:lineRule="exact"/>
        <w:rPr>
          <w:sz w:val="20"/>
          <w:szCs w:val="20"/>
          <w:color w:val="auto"/>
        </w:rPr>
      </w:pPr>
      <w:r>
        <w:rPr>
          <w:rFonts w:ascii="Times New Roman" w:cs="Times New Roman" w:eastAsia="Times New Roman" w:hAnsi="Times New Roman"/>
          <w:sz w:val="22"/>
          <w:szCs w:val="22"/>
          <w:color w:val="auto"/>
        </w:rPr>
        <w:t>Required Banks shall, exercise all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default rights granted to it and the Banks under the Loan Documents or applicable law.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8. THE AGENT</w:t>
      </w:r>
    </w:p>
    <w:p>
      <w:pPr>
        <w:spacing w:after="0" w:line="206" w:lineRule="exact"/>
        <w:rPr>
          <w:sz w:val="20"/>
          <w:szCs w:val="20"/>
          <w:color w:val="auto"/>
        </w:rPr>
      </w:pPr>
    </w:p>
    <w:p>
      <w:pPr>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 Each Bank hereby irrevocably designates and appoints PNC as the Agent of such Bank under this Agreement. Each such Bank irrevocably authorizes the Agent, as the agent for such Bank to take such action on its behalf under the provisions of this Agreement and to exercise such powers and perform such duties as are expressly delegated to the Agent by the terms of this Agreement, together with such other powers as are reasonably incidental thereto. The provisions of this Article are solely for the benefit of the Agent and the Banks, and the Borrower shall not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Agent agrees to act as the Agent on behalf of the Banks to the extent provided in this Agreement.</w:t>
      </w:r>
    </w:p>
    <w:p>
      <w:pPr>
        <w:spacing w:after="0" w:line="182" w:lineRule="exact"/>
        <w:rPr>
          <w:sz w:val="20"/>
          <w:szCs w:val="20"/>
          <w:color w:val="auto"/>
        </w:rPr>
      </w:pPr>
    </w:p>
    <w:p>
      <w:pPr>
        <w:ind w:left="180" w:right="199" w:firstLine="648"/>
        <w:spacing w:after="0" w:line="249" w:lineRule="exact"/>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Agent may perform any and all of its duties and exercise its rights and powers hereunder or 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the Agent. The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Related Parties of the Agent and any such sub-agent, and shall apply to their respective activities in connection with the syndication of the facilities hereunder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85" w:lineRule="exact"/>
        <w:rPr>
          <w:sz w:val="20"/>
          <w:szCs w:val="20"/>
          <w:color w:val="auto"/>
        </w:rPr>
      </w:pPr>
    </w:p>
    <w:p>
      <w:pPr>
        <w:jc w:val="both"/>
        <w:ind w:left="18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The Agent shall not have any duties or obligations except those expressly specified herein and in the other Loan Documents, and its duties hereunder shall be administrative in nature. Without limiting the generality of the foregoing, the Agent:</w:t>
      </w:r>
    </w:p>
    <w:p>
      <w:pPr>
        <w:spacing w:after="0" w:line="173" w:lineRule="exact"/>
        <w:rPr>
          <w:sz w:val="20"/>
          <w:szCs w:val="20"/>
          <w:color w:val="auto"/>
        </w:rPr>
      </w:pPr>
    </w:p>
    <w:p>
      <w:pPr>
        <w:ind w:left="840" w:right="999" w:firstLine="1288"/>
        <w:spacing w:after="0" w:line="282" w:lineRule="auto"/>
        <w:tabs>
          <w:tab w:leader="none" w:pos="279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subject to any fiduciary or other implied duties, regardless of whether a Default or Event of Default has occurred and is continuing;</w:t>
      </w:r>
    </w:p>
    <w:p>
      <w:pPr>
        <w:spacing w:after="0" w:line="134" w:lineRule="exact"/>
        <w:rPr>
          <w:rFonts w:ascii="Times New Roman" w:cs="Times New Roman" w:eastAsia="Times New Roman" w:hAnsi="Times New Roman"/>
          <w:sz w:val="21"/>
          <w:szCs w:val="21"/>
          <w:color w:val="auto"/>
        </w:rPr>
      </w:pPr>
    </w:p>
    <w:p>
      <w:pPr>
        <w:ind w:left="840" w:right="239" w:firstLine="1288"/>
        <w:spacing w:after="0" w:line="235" w:lineRule="auto"/>
        <w:tabs>
          <w:tab w:leader="none" w:pos="28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Banks (or such other number or percentage of the Banks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25" w:name="page126"/>
    <w:bookmarkEnd w:id="125"/>
    <w:p>
      <w:pPr>
        <w:ind w:left="840" w:right="619"/>
        <w:spacing w:after="0" w:line="244" w:lineRule="auto"/>
        <w:rPr>
          <w:sz w:val="20"/>
          <w:szCs w:val="20"/>
          <w:color w:val="auto"/>
        </w:rPr>
      </w:pPr>
      <w:r>
        <w:rPr>
          <w:rFonts w:ascii="Times New Roman" w:cs="Times New Roman" w:eastAsia="Times New Roman" w:hAnsi="Times New Roman"/>
          <w:sz w:val="22"/>
          <w:szCs w:val="22"/>
          <w:color w:val="auto"/>
        </w:rPr>
        <w:t>of the automatic stay under any Debtor Relief Law or that may effect a forfeiture, modification or termination of property of a Defaulting Bank in violation of any Debtor Relief Law; and</w:t>
      </w:r>
    </w:p>
    <w:p>
      <w:pPr>
        <w:spacing w:after="0" w:line="173" w:lineRule="exact"/>
        <w:rPr>
          <w:sz w:val="20"/>
          <w:szCs w:val="20"/>
          <w:color w:val="auto"/>
        </w:rPr>
      </w:pPr>
    </w:p>
    <w:p>
      <w:pPr>
        <w:jc w:val="both"/>
        <w:ind w:left="840" w:right="279" w:firstLine="1288"/>
        <w:spacing w:after="0" w:line="255" w:lineRule="auto"/>
        <w:tabs>
          <w:tab w:leader="none" w:pos="285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161" w:lineRule="exact"/>
        <w:rPr>
          <w:rFonts w:ascii="Times New Roman" w:cs="Times New Roman" w:eastAsia="Times New Roman" w:hAnsi="Times New Roman"/>
          <w:sz w:val="21"/>
          <w:szCs w:val="21"/>
          <w:color w:val="auto"/>
        </w:rPr>
      </w:pPr>
    </w:p>
    <w:p>
      <w:pPr>
        <w:ind w:left="180" w:right="219" w:firstLine="1300"/>
        <w:spacing w:after="0" w:line="235" w:lineRule="auto"/>
        <w:tabs>
          <w:tab w:leader="none" w:pos="213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not be liable for any action taken or not taken by it (i) with the consent or at the request of the Required Banks (or such other number or percentage of the Banks as shall be necessary, or as the Agent shall believe in good faith shall be necessary, under the circumstances as provided in Sections 9.1 and 7.2), or (ii) in the absence of its own gross negligence or willful misconduct as determined by a court of competent jurisdiction by final and nonappealable judgment. The Agent shall be deemed not to have knowledge of any Default or Event of Default unless and until notice describing such Default or Event of Default is given to the Agent in writing by the Borrower or a Bank.</w:t>
      </w:r>
    </w:p>
    <w:p>
      <w:pPr>
        <w:spacing w:after="0" w:line="178" w:lineRule="exact"/>
        <w:rPr>
          <w:rFonts w:ascii="Times New Roman" w:cs="Times New Roman" w:eastAsia="Times New Roman" w:hAnsi="Times New Roman"/>
          <w:sz w:val="22"/>
          <w:szCs w:val="22"/>
          <w:color w:val="auto"/>
        </w:rPr>
      </w:pPr>
    </w:p>
    <w:p>
      <w:pPr>
        <w:ind w:left="180" w:right="499" w:firstLine="1300"/>
        <w:spacing w:after="0" w:line="234" w:lineRule="auto"/>
        <w:tabs>
          <w:tab w:leader="none" w:pos="212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Default or Event of Default, (iv) the validity, enforceability, effectiveness or genuineness of this Agreement, any other Loan Document or any other agreement, instrument or document, or (v) the satisfaction of any condition specified in Article 4 or elsewhere herein, other than to confirm receipt of items expressly required to be delivered to the Agent.</w:t>
      </w:r>
    </w:p>
    <w:p>
      <w:pPr>
        <w:spacing w:after="0" w:line="179" w:lineRule="exact"/>
        <w:rPr>
          <w:sz w:val="20"/>
          <w:szCs w:val="20"/>
          <w:color w:val="auto"/>
        </w:rPr>
      </w:pPr>
    </w:p>
    <w:p>
      <w:pPr>
        <w:ind w:left="180" w:right="2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Reliance by Agent</w:t>
      </w:r>
      <w:r>
        <w:rPr>
          <w:rFonts w:ascii="Times New Roman" w:cs="Times New Roman" w:eastAsia="Times New Roman" w:hAnsi="Times New Roman"/>
          <w:sz w:val="22"/>
          <w:szCs w:val="22"/>
          <w:color w:val="auto"/>
        </w:rPr>
        <w:t>. The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may deem and treat the payee of any Note as the owner thereof for all purposes unless a written notice of assignment, negotiation or transfer thereof shall have been filed with the Agent. The Agent shall be fully justified in failing or refusing to take any action under this Agreement unless it shall first receive such advice or concurrence of the Required Banks as it deems appropriate or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the Notes and the other Loan Documents in accordance with a request of the Required Banks, and such request and any action taken or failure to act pursuant thereto shall be binding upon all the Banks and all future holders of the Notes. In determining compliance with any condition hereunder to the making of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6" w:name="page127"/>
    <w:bookmarkEnd w:id="126"/>
    <w:p>
      <w:pPr>
        <w:ind w:left="180" w:right="459"/>
        <w:spacing w:after="0" w:line="244" w:lineRule="auto"/>
        <w:rPr>
          <w:sz w:val="20"/>
          <w:szCs w:val="20"/>
          <w:color w:val="auto"/>
        </w:rPr>
      </w:pPr>
      <w:r>
        <w:rPr>
          <w:rFonts w:ascii="Times New Roman" w:cs="Times New Roman" w:eastAsia="Times New Roman" w:hAnsi="Times New Roman"/>
          <w:sz w:val="22"/>
          <w:szCs w:val="22"/>
          <w:color w:val="auto"/>
        </w:rPr>
        <w:t>Loan that by its terms must be fulfilled to the satisfaction of a Bank, the Agent may presume that such condition is satisfactory to such Bank unless the Agent shall have received notice to the contrary from Bank prior to the making of such Loan.</w:t>
      </w:r>
    </w:p>
    <w:p>
      <w:pPr>
        <w:spacing w:after="0" w:line="173" w:lineRule="exact"/>
        <w:rPr>
          <w:sz w:val="20"/>
          <w:szCs w:val="20"/>
          <w:color w:val="auto"/>
        </w:rPr>
      </w:pPr>
    </w:p>
    <w:p>
      <w:pPr>
        <w:ind w:left="180" w:right="279" w:firstLine="648"/>
        <w:spacing w:after="0" w:line="246"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Notice of Default</w:t>
      </w:r>
      <w:r>
        <w:rPr>
          <w:rFonts w:ascii="Times New Roman" w:cs="Times New Roman" w:eastAsia="Times New Roman" w:hAnsi="Times New Roman"/>
          <w:sz w:val="21"/>
          <w:szCs w:val="21"/>
          <w:color w:val="auto"/>
        </w:rPr>
        <w:t xml:space="preserve">. The Agent shall not be deemed to have knowledge or notice of the occurrence of any Default or Event of Default hereunder unless it has received notice from a Bank or the Borrower referring to this Agreement, describing such Default or Event of Default and stating that such notice is a “notice of default”. In the event that the Agent receives such a notice, the Agent shall give notice thereof to the Banks. The Agent shall take such action with respect to such Default or Event of Default as shall be reasonably directed by the Required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and until the Agent shall have received such directions, the Agent may (but shall not be obligated to) take such action, or refrain from taking such action, with respect to such Default or Event of Default as it shall deem advisable in the best interests of the Banks.</w:t>
      </w:r>
    </w:p>
    <w:p>
      <w:pPr>
        <w:spacing w:after="0" w:line="141" w:lineRule="exact"/>
        <w:rPr>
          <w:sz w:val="20"/>
          <w:szCs w:val="20"/>
          <w:color w:val="auto"/>
        </w:rPr>
      </w:pPr>
    </w:p>
    <w:p>
      <w:pPr>
        <w:ind w:left="180" w:right="199" w:firstLine="648"/>
        <w:spacing w:after="0" w:line="250" w:lineRule="exact"/>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Reliance on Agent and Other Banks</w:t>
      </w:r>
      <w:r>
        <w:rPr>
          <w:rFonts w:ascii="Times New Roman" w:cs="Times New Roman" w:eastAsia="Times New Roman" w:hAnsi="Times New Roman"/>
          <w:sz w:val="22"/>
          <w:szCs w:val="22"/>
          <w:color w:val="auto"/>
        </w:rPr>
        <w:t>. Each Bank expressly acknowledges that neither the Agent nor any of its officers, directors, employees, agents,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Affiliates has made any representations or warranties to it and that no act by the Agent hereinafter taken, including any review of the affairs of the Borrower, shall be deemed to constitute any representation or warranty by the Agent to any Bank. Each Bank represents to the Agent that it has, independently and without reliance upon the Agent or any other Bank, and based on such documents and information as it has deemed appropriate, made its own appraisal of an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the Agent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Agent hereunder, the Agent shall not have any duty or responsibility to provide any Bank with any credit or other information concerning the business, operations, property, condition (financial or otherwise), prospects or creditworthiness of the Borrower which may come into the possession of the Agent or any of its officers, directors, employees, agents,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Affiliates.</w:t>
      </w:r>
    </w:p>
    <w:p>
      <w:pPr>
        <w:spacing w:after="0" w:line="155" w:lineRule="exact"/>
        <w:rPr>
          <w:sz w:val="20"/>
          <w:szCs w:val="20"/>
          <w:color w:val="auto"/>
        </w:rPr>
      </w:pPr>
    </w:p>
    <w:p>
      <w:pPr>
        <w:ind w:left="180" w:right="239" w:firstLine="648"/>
        <w:spacing w:after="0" w:line="233"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Banks agree to indemnify the Agent in its capacity as such (to the extent not reimbursed by the Borrower and without limiting the obligation of the Borrower to do so), ratably according to their respective Commitment Percentages,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Agent in any way relating to or arising out of this Agreement, the other Loan Documents, or any documents contemplated by or referred to herein or therein or the transactions contemplated hereby or thereby or any action taken or omitted by the Agent under or in connection with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Bank shall be liable for the payment of any portion of such liabilities, obligations, losses, damages, penalties, actions, judgments,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7" w:name="page128"/>
    <w:bookmarkEnd w:id="127"/>
    <w:p>
      <w:pPr>
        <w:ind w:left="180" w:right="219"/>
        <w:spacing w:after="0" w:line="244" w:lineRule="auto"/>
        <w:rPr>
          <w:sz w:val="20"/>
          <w:szCs w:val="20"/>
          <w:color w:val="auto"/>
        </w:rPr>
      </w:pPr>
      <w:r>
        <w:rPr>
          <w:rFonts w:ascii="Times New Roman" w:cs="Times New Roman" w:eastAsia="Times New Roman" w:hAnsi="Times New Roman"/>
          <w:sz w:val="22"/>
          <w:szCs w:val="22"/>
          <w:color w:val="auto"/>
        </w:rPr>
        <w:t>suits, costs, expenses or disbursements resulting solely from the Agent’s gross negligence or willful misconduct. The agreements in this Section 8.7 shall survive the payment of the Notes and all other amounts payable hereunder.</w:t>
      </w:r>
    </w:p>
    <w:p>
      <w:pPr>
        <w:spacing w:after="0" w:line="173" w:lineRule="exact"/>
        <w:rPr>
          <w:sz w:val="20"/>
          <w:szCs w:val="20"/>
          <w:color w:val="auto"/>
        </w:rPr>
      </w:pPr>
    </w:p>
    <w:p>
      <w:pPr>
        <w:ind w:left="180" w:right="2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Agent in its Individual Capacity</w:t>
      </w:r>
      <w:r>
        <w:rPr>
          <w:rFonts w:ascii="Times New Roman" w:cs="Times New Roman" w:eastAsia="Times New Roman" w:hAnsi="Times New Roman"/>
          <w:sz w:val="22"/>
          <w:szCs w:val="22"/>
          <w:color w:val="auto"/>
        </w:rPr>
        <w:t>. The Agent and its Affiliates may make loans to, accept deposits from and generally engage in any kind of business with the Borrower as though it was not the Agent hereunder. With respect to its Loans made or renewed by it and any Note issued to it, the Agent shall have the same rights and powers under this Agreement as any Bank and may exercise the same as though it were not the Agent, and the terms “Bank” and “Banks” shall include the Agent in its individual capacity.</w:t>
      </w:r>
    </w:p>
    <w:p>
      <w:pPr>
        <w:spacing w:after="0" w:line="181" w:lineRule="exact"/>
        <w:rPr>
          <w:sz w:val="20"/>
          <w:szCs w:val="20"/>
          <w:color w:val="auto"/>
        </w:rPr>
      </w:pPr>
    </w:p>
    <w:p>
      <w:pPr>
        <w:ind w:left="180" w:right="2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Successor Agent</w:t>
      </w:r>
      <w:r>
        <w:rPr>
          <w:rFonts w:ascii="Times New Roman" w:cs="Times New Roman" w:eastAsia="Times New Roman" w:hAnsi="Times New Roman"/>
          <w:sz w:val="22"/>
          <w:szCs w:val="22"/>
          <w:color w:val="auto"/>
        </w:rPr>
        <w:t>. The Agent may resign as Agent upon sixty (60) days’ notice to the Banks and the Borrower. If such Agent shall resign as Agent under this Agreement, then the Required Banks shall appoint from among the Banks a successor agent for the Banks, which appointment shall be subject to the approval of the Borrower (which approval shall not be unreasonably withheld), whereupon such successor agent shall succeed to the rights, powers and duties of an Agent, and the term “Agent” shall mean such successor agent effective upon its appointment, and the former Agent’s rights, powers and duties as Agent shall be terminated, without any other or further act or deed on the part of such former Agent or any of the parties to this Agreement or any holders of the Notes. After any retiring Agent’s resignation as Agent, the provisions of this Section 8.9 shall inure to its benefit as to any actions taken or omitted to be taken by it while it was Agent under this Agreement.</w:t>
      </w:r>
    </w:p>
    <w:p>
      <w:pPr>
        <w:spacing w:after="0" w:line="187" w:lineRule="exact"/>
        <w:rPr>
          <w:sz w:val="20"/>
          <w:szCs w:val="20"/>
          <w:color w:val="auto"/>
        </w:rPr>
      </w:pPr>
    </w:p>
    <w:p>
      <w:pPr>
        <w:ind w:left="18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Except as expressly provided herein, the provisions of this Section 8 are solely for the benefit of the Agent and the Banks, and the Borrower shall not have any rights to rely on or enforce any of the provisions hereof. In performing their functions and duties under this Agreement the Agent shall act solely as agent of the Banks and does not assume and shall not be deemed to have assumed any obligation toward or relationship of agency or trust with or for the Borrower.</w:t>
      </w:r>
    </w:p>
    <w:p>
      <w:pPr>
        <w:spacing w:after="0" w:line="181" w:lineRule="exact"/>
        <w:rPr>
          <w:sz w:val="20"/>
          <w:szCs w:val="20"/>
          <w:color w:val="auto"/>
        </w:rPr>
      </w:pPr>
    </w:p>
    <w:p>
      <w:pPr>
        <w:jc w:val="center"/>
        <w:ind w:right="19"/>
        <w:spacing w:after="0"/>
        <w:tabs>
          <w:tab w:leader="none" w:pos="36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u w:val="single" w:color="auto"/>
          <w:color w:val="auto"/>
        </w:rPr>
        <w:t>USA Patriot Act; No Reliance on Agent’s Customer Identification Program</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ind w:left="180" w:right="379" w:firstLine="4"/>
        <w:spacing w:after="0" w:line="241" w:lineRule="auto"/>
        <w:tabs>
          <w:tab w:leader="none" w:pos="47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or assignee or participant of a Bank that is not incorporated under the laws of the United States of America or a state thereof (and is not excepted from the certification requirement contained in Section 313 of the USA Patriot Act and the applicable regulations because it is both</w:t>
      </w:r>
    </w:p>
    <w:p>
      <w:pPr>
        <w:spacing w:after="0" w:line="1" w:lineRule="exact"/>
        <w:rPr>
          <w:rFonts w:ascii="Times New Roman" w:cs="Times New Roman" w:eastAsia="Times New Roman" w:hAnsi="Times New Roman"/>
          <w:sz w:val="21"/>
          <w:szCs w:val="21"/>
          <w:color w:val="auto"/>
        </w:rPr>
      </w:pPr>
    </w:p>
    <w:p>
      <w:pPr>
        <w:ind w:left="180" w:right="279" w:firstLine="4"/>
        <w:spacing w:after="0" w:line="230" w:lineRule="auto"/>
        <w:tabs>
          <w:tab w:leader="none" w:pos="47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 such Bank is not a “shell” and certifying to other matters as required by Section 313 of the USA Patriot Act and the applicable</w:t>
      </w:r>
    </w:p>
    <w:p>
      <w:pPr>
        <w:spacing w:after="0" w:line="2" w:lineRule="exact"/>
        <w:rPr>
          <w:rFonts w:ascii="Times New Roman" w:cs="Times New Roman" w:eastAsia="Times New Roman" w:hAnsi="Times New Roman"/>
          <w:sz w:val="22"/>
          <w:szCs w:val="22"/>
          <w:color w:val="auto"/>
        </w:rPr>
      </w:pPr>
    </w:p>
    <w:p>
      <w:pPr>
        <w:ind w:left="180" w:right="47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regulations: (i) within 10 days after the Closing Date, and (ii) at such other times as are required under the USA Patriot Act.</w:t>
      </w:r>
    </w:p>
    <w:p>
      <w:pPr>
        <w:spacing w:after="0" w:line="178" w:lineRule="exact"/>
        <w:rPr>
          <w:sz w:val="20"/>
          <w:szCs w:val="20"/>
          <w:color w:val="auto"/>
        </w:rPr>
      </w:pPr>
    </w:p>
    <w:p>
      <w:pPr>
        <w:ind w:left="180" w:right="219" w:firstLine="1944"/>
        <w:spacing w:after="0" w:line="238" w:lineRule="auto"/>
        <w:rPr>
          <w:sz w:val="20"/>
          <w:szCs w:val="20"/>
          <w:color w:val="auto"/>
        </w:rPr>
      </w:pPr>
      <w:r>
        <w:rPr>
          <w:rFonts w:ascii="Times New Roman" w:cs="Times New Roman" w:eastAsia="Times New Roman" w:hAnsi="Times New Roman"/>
          <w:sz w:val="22"/>
          <w:szCs w:val="22"/>
          <w:color w:val="auto"/>
        </w:rPr>
        <w:t>(b) Each Bank acknowledges and agrees that neither such Bank, nor any of its Affiliates, participants or assignees, may rely on the Agent to carry out such Bank’s, Affiliate’s, participant’s or assignee’s customer identification program, or other obligations required or imposed under or pursuant to the USA Patriot Act or the regulations thereunder, including the regulations contained in 31 CFR 103.121 (as hereafter amended or replaced,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8" w:name="page129"/>
    <w:bookmarkEnd w:id="128"/>
    <w:p>
      <w:pPr>
        <w:ind w:left="180" w:right="25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CIP Regulations</w:t>
      </w:r>
      <w:r>
        <w:rPr>
          <w:rFonts w:ascii="Times New Roman" w:cs="Times New Roman" w:eastAsia="Times New Roman" w:hAnsi="Times New Roman"/>
          <w:sz w:val="21"/>
          <w:szCs w:val="21"/>
          <w:color w:val="auto"/>
        </w:rPr>
        <w:t>”), or any other Anti-Terrorism Law, including any programs involving any of the following items relating to or in connection with the Borrower, its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Anti-Terrorism Laws.</w:t>
      </w:r>
    </w:p>
    <w:p>
      <w:pPr>
        <w:spacing w:after="0" w:line="16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u w:val="single" w:color="auto"/>
          <w:color w:val="auto"/>
        </w:rPr>
        <w:t>ERISA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199" w:firstLine="1944"/>
        <w:spacing w:after="0" w:line="238" w:lineRule="auto"/>
        <w:rPr>
          <w:sz w:val="20"/>
          <w:szCs w:val="20"/>
          <w:color w:val="auto"/>
        </w:rPr>
      </w:pPr>
      <w:r>
        <w:rPr>
          <w:rFonts w:ascii="Times New Roman" w:cs="Times New Roman" w:eastAsia="Times New Roman" w:hAnsi="Times New Roman"/>
          <w:sz w:val="22"/>
          <w:szCs w:val="22"/>
          <w:color w:val="auto"/>
        </w:rPr>
        <w:t>(a) Each Bank (x) represents and warrants, as of the date such Person became a Bank party hereto, to, and (y) covenants, from the date such Person became a Bank party hereto to the date such Person ceases being a Bank party hereto, for the benefit of, Agent and their Affiliates, and not, for the avoidance of doubt, to or for the benefit of the Borrower, that at least one of the following is and will be true:</w:t>
      </w:r>
    </w:p>
    <w:p>
      <w:pPr>
        <w:spacing w:after="0" w:line="177" w:lineRule="exact"/>
        <w:rPr>
          <w:sz w:val="20"/>
          <w:szCs w:val="20"/>
          <w:color w:val="auto"/>
        </w:rPr>
      </w:pPr>
    </w:p>
    <w:p>
      <w:pPr>
        <w:jc w:val="both"/>
        <w:ind w:left="1480" w:right="819" w:firstLine="1296"/>
        <w:spacing w:after="0" w:line="247" w:lineRule="auto"/>
        <w:tabs>
          <w:tab w:leader="none" w:pos="407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Bank is not using “plan assets” (within the meaning of 29 CFR § 2510.3-101, as modified by Section 3(42) of ERISA or otherwise) of one or more Plans with respect to such Bank’s entrance into, participation in, administration of and performance of the Loans or</w:t>
      </w:r>
    </w:p>
    <w:p>
      <w:pPr>
        <w:spacing w:after="0" w:line="1"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Commitments,</w:t>
      </w:r>
    </w:p>
    <w:p>
      <w:pPr>
        <w:spacing w:after="0" w:line="182" w:lineRule="exact"/>
        <w:rPr>
          <w:rFonts w:ascii="Times New Roman" w:cs="Times New Roman" w:eastAsia="Times New Roman" w:hAnsi="Times New Roman"/>
          <w:sz w:val="21"/>
          <w:szCs w:val="21"/>
          <w:color w:val="auto"/>
        </w:rPr>
      </w:pPr>
    </w:p>
    <w:p>
      <w:pPr>
        <w:ind w:left="4060" w:hanging="1284"/>
        <w:spacing w:after="0"/>
        <w:tabs>
          <w:tab w:leader="none" w:pos="406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w:t>
      </w:r>
    </w:p>
    <w:p>
      <w:pPr>
        <w:spacing w:after="0" w:line="14" w:lineRule="exact"/>
        <w:rPr>
          <w:rFonts w:ascii="Times New Roman" w:cs="Times New Roman" w:eastAsia="Times New Roman" w:hAnsi="Times New Roman"/>
          <w:sz w:val="22"/>
          <w:szCs w:val="22"/>
          <w:color w:val="auto"/>
        </w:rPr>
      </w:pPr>
    </w:p>
    <w:p>
      <w:pPr>
        <w:ind w:left="1480" w:right="23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Prohibited Transaction Exemptions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76" w:lineRule="exact"/>
        <w:rPr>
          <w:rFonts w:ascii="Times New Roman" w:cs="Times New Roman" w:eastAsia="Times New Roman" w:hAnsi="Times New Roman"/>
          <w:sz w:val="22"/>
          <w:szCs w:val="22"/>
          <w:color w:val="auto"/>
        </w:rPr>
      </w:pPr>
    </w:p>
    <w:p>
      <w:pPr>
        <w:ind w:left="4080" w:hanging="1304"/>
        <w:spacing w:after="0"/>
        <w:tabs>
          <w:tab w:leader="none" w:pos="40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Bank is an investment fund managed by a</w:t>
      </w:r>
    </w:p>
    <w:p>
      <w:pPr>
        <w:spacing w:after="0" w:line="14" w:lineRule="exact"/>
        <w:rPr>
          <w:rFonts w:ascii="Times New Roman" w:cs="Times New Roman" w:eastAsia="Times New Roman" w:hAnsi="Times New Roman"/>
          <w:sz w:val="22"/>
          <w:szCs w:val="22"/>
          <w:color w:val="auto"/>
        </w:rPr>
      </w:pPr>
    </w:p>
    <w:p>
      <w:pPr>
        <w:ind w:left="1480" w:right="19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“Qualified Professional Asset Manager” (within the meaning of Part VI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w:t>
      </w:r>
    </w:p>
    <w:p>
      <w:pPr>
        <w:spacing w:after="0" w:line="3" w:lineRule="exact"/>
        <w:rPr>
          <w:rFonts w:ascii="Times New Roman" w:cs="Times New Roman" w:eastAsia="Times New Roman" w:hAnsi="Times New Roman"/>
          <w:sz w:val="22"/>
          <w:szCs w:val="22"/>
          <w:color w:val="auto"/>
        </w:rPr>
      </w:pPr>
    </w:p>
    <w:p>
      <w:pPr>
        <w:ind w:left="1480" w:right="339"/>
        <w:spacing w:after="0" w:line="235" w:lineRule="auto"/>
        <w:tabs>
          <w:tab w:leader="none" w:pos="177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Part I of PTE 84-14 are satisfied with respect to such Bank’s entrance into, participation in, administration of and performance of the Loans, the Commitments and this Agreement, or</w:t>
      </w:r>
    </w:p>
    <w:p>
      <w:pPr>
        <w:spacing w:after="0" w:line="177" w:lineRule="exact"/>
        <w:rPr>
          <w:rFonts w:ascii="Times New Roman" w:cs="Times New Roman" w:eastAsia="Times New Roman" w:hAnsi="Times New Roman"/>
          <w:sz w:val="22"/>
          <w:szCs w:val="22"/>
          <w:color w:val="auto"/>
        </w:rPr>
      </w:pPr>
    </w:p>
    <w:p>
      <w:pPr>
        <w:jc w:val="both"/>
        <w:ind w:left="1480" w:right="419" w:firstLine="1296"/>
        <w:spacing w:after="0" w:line="282" w:lineRule="auto"/>
        <w:tabs>
          <w:tab w:leader="none" w:pos="411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Agent, in its sole discretion, and such Bank.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9" w:name="page130"/>
    <w:bookmarkEnd w:id="129"/>
    <w:p>
      <w:pPr>
        <w:ind w:left="180" w:right="219" w:firstLine="1944"/>
        <w:spacing w:after="0"/>
        <w:rPr>
          <w:sz w:val="20"/>
          <w:szCs w:val="20"/>
          <w:color w:val="auto"/>
        </w:rPr>
      </w:pPr>
      <w:r>
        <w:rPr>
          <w:rFonts w:ascii="Times New Roman" w:cs="Times New Roman" w:eastAsia="Times New Roman" w:hAnsi="Times New Roman"/>
          <w:sz w:val="22"/>
          <w:szCs w:val="22"/>
          <w:color w:val="auto"/>
        </w:rPr>
        <w:t>(b) In addition, unless either (1) sub-clause (i) in the immediately preceding Section 8.12(a) is true with respect to a Bank or (2) a Bank has provided another representation, warranty and covenant in accordance with sub-clause (iv) in the immediately preceding Section 8.12(a), such Bank further (x) represents and warrants, as of the date such Person became a Bank party hereto, and (y) covenants, from the date such Person became a Bank party hereto to the date such Person ceases being a Bank party hereto, for the benefit of, the Agent and their Affiliates, and not, for the avoidance of doubt, to or for the benefit of the Borrower, that:</w:t>
      </w:r>
    </w:p>
    <w:p>
      <w:pPr>
        <w:spacing w:after="0" w:line="389" w:lineRule="exact"/>
        <w:rPr>
          <w:sz w:val="20"/>
          <w:szCs w:val="20"/>
          <w:color w:val="auto"/>
        </w:rPr>
      </w:pPr>
    </w:p>
    <w:p>
      <w:pPr>
        <w:ind w:left="4080" w:hanging="1304"/>
        <w:spacing w:after="0"/>
        <w:tabs>
          <w:tab w:leader="none" w:pos="40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Agent or any of their Affiliates is a</w:t>
      </w:r>
    </w:p>
    <w:p>
      <w:pPr>
        <w:spacing w:after="0" w:line="14" w:lineRule="exact"/>
        <w:rPr>
          <w:rFonts w:ascii="Times New Roman" w:cs="Times New Roman" w:eastAsia="Times New Roman" w:hAnsi="Times New Roman"/>
          <w:sz w:val="22"/>
          <w:szCs w:val="22"/>
          <w:color w:val="auto"/>
        </w:rPr>
      </w:pPr>
    </w:p>
    <w:p>
      <w:pPr>
        <w:ind w:left="1480" w:right="399"/>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fiduciary with respect to the assets of such Bank involved in such Bank’s entrance into, participation in, administration of and performance of the Loans, the Commitments and this Agreement (including in connection with the reservation or exercise of any rights by the Agent under this Agreement, any Loan Document or any other documents related hereto or thereto),</w:t>
      </w:r>
    </w:p>
    <w:p>
      <w:pPr>
        <w:spacing w:after="0" w:line="179" w:lineRule="exact"/>
        <w:rPr>
          <w:rFonts w:ascii="Times New Roman" w:cs="Times New Roman" w:eastAsia="Times New Roman" w:hAnsi="Times New Roman"/>
          <w:sz w:val="22"/>
          <w:szCs w:val="22"/>
          <w:color w:val="auto"/>
        </w:rPr>
      </w:pPr>
    </w:p>
    <w:p>
      <w:pPr>
        <w:ind w:left="4060" w:hanging="1284"/>
        <w:spacing w:after="0"/>
        <w:tabs>
          <w:tab w:leader="none" w:pos="40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making the investment decision on behalf</w:t>
      </w:r>
    </w:p>
    <w:p>
      <w:pPr>
        <w:spacing w:after="0" w:line="14" w:lineRule="exact"/>
        <w:rPr>
          <w:rFonts w:ascii="Times New Roman" w:cs="Times New Roman" w:eastAsia="Times New Roman" w:hAnsi="Times New Roman"/>
          <w:sz w:val="22"/>
          <w:szCs w:val="22"/>
          <w:color w:val="auto"/>
        </w:rPr>
      </w:pPr>
    </w:p>
    <w:p>
      <w:pPr>
        <w:ind w:left="1480" w:right="199"/>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of such Bank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169" w:lineRule="exact"/>
        <w:rPr>
          <w:rFonts w:ascii="Times New Roman" w:cs="Times New Roman" w:eastAsia="Times New Roman" w:hAnsi="Times New Roman"/>
          <w:sz w:val="22"/>
          <w:szCs w:val="22"/>
          <w:color w:val="auto"/>
        </w:rPr>
      </w:pPr>
    </w:p>
    <w:p>
      <w:pPr>
        <w:ind w:left="4080" w:hanging="1304"/>
        <w:spacing w:after="0"/>
        <w:tabs>
          <w:tab w:leader="none" w:pos="40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making the investment decision on behalf</w:t>
      </w:r>
    </w:p>
    <w:p>
      <w:pPr>
        <w:spacing w:after="0" w:line="14" w:lineRule="exact"/>
        <w:rPr>
          <w:rFonts w:ascii="Times New Roman" w:cs="Times New Roman" w:eastAsia="Times New Roman" w:hAnsi="Times New Roman"/>
          <w:sz w:val="22"/>
          <w:szCs w:val="22"/>
          <w:color w:val="auto"/>
        </w:rPr>
      </w:pPr>
    </w:p>
    <w:p>
      <w:pPr>
        <w:ind w:left="1480" w:right="199"/>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Bank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79" w:lineRule="exact"/>
        <w:rPr>
          <w:rFonts w:ascii="Times New Roman" w:cs="Times New Roman" w:eastAsia="Times New Roman" w:hAnsi="Times New Roman"/>
          <w:sz w:val="22"/>
          <w:szCs w:val="22"/>
          <w:color w:val="auto"/>
        </w:rPr>
      </w:pPr>
    </w:p>
    <w:p>
      <w:pPr>
        <w:ind w:left="4120" w:hanging="1344"/>
        <w:spacing w:after="0"/>
        <w:tabs>
          <w:tab w:leader="none" w:pos="41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fee or other compensation is being paid directly to</w:t>
      </w:r>
    </w:p>
    <w:p>
      <w:pPr>
        <w:spacing w:after="0" w:line="14" w:lineRule="exact"/>
        <w:rPr>
          <w:rFonts w:ascii="Times New Roman" w:cs="Times New Roman" w:eastAsia="Times New Roman" w:hAnsi="Times New Roman"/>
          <w:sz w:val="22"/>
          <w:szCs w:val="22"/>
          <w:color w:val="auto"/>
        </w:rPr>
      </w:pPr>
    </w:p>
    <w:p>
      <w:pPr>
        <w:jc w:val="both"/>
        <w:ind w:left="1480" w:right="81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Agent or any of their Affiliates for investment advice (as opposed to other services) in connection with the Loans, the Commitments or this Agreement.</w:t>
      </w:r>
    </w:p>
    <w:p>
      <w:pPr>
        <w:spacing w:after="0" w:line="159" w:lineRule="exact"/>
        <w:rPr>
          <w:sz w:val="20"/>
          <w:szCs w:val="20"/>
          <w:color w:val="auto"/>
        </w:rPr>
      </w:pPr>
    </w:p>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The Agent hereby informs the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Bank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0" w:name="page131"/>
    <w:bookmarkEnd w:id="130"/>
    <w:tbl>
      <w:tblPr>
        <w:tblLayout w:type="fixed"/>
        <w:tblInd w:w="840" w:type="dxa"/>
        <w:tblCellMar>
          <w:top w:w="0" w:type="dxa"/>
          <w:left w:w="0" w:type="dxa"/>
          <w:bottom w:w="0" w:type="dxa"/>
          <w:right w:w="0" w:type="dxa"/>
        </w:tblCellMar>
      </w:tblPr>
      <w:tr>
        <w:trPr>
          <w:trHeight w:val="253"/>
        </w:trPr>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3"/>
              </w:rPr>
              <w:t>8.13</w:t>
            </w: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Erroneous Payments.</w:t>
            </w:r>
          </w:p>
        </w:tc>
        <w:tc>
          <w:tcPr>
            <w:tcW w:w="4760" w:type="dxa"/>
            <w:vAlign w:val="bottom"/>
          </w:tcPr>
          <w:p>
            <w:pPr>
              <w:spacing w:after="0"/>
              <w:rPr>
                <w:sz w:val="22"/>
                <w:szCs w:val="22"/>
                <w:color w:val="auto"/>
              </w:rPr>
            </w:pPr>
          </w:p>
        </w:tc>
      </w:tr>
      <w:tr>
        <w:trPr>
          <w:trHeight w:val="476"/>
        </w:trPr>
        <w:tc>
          <w:tcPr>
            <w:tcW w:w="740" w:type="dxa"/>
            <w:vAlign w:val="bottom"/>
          </w:tcPr>
          <w:p>
            <w:pPr>
              <w:spacing w:after="0"/>
              <w:rPr>
                <w:sz w:val="24"/>
                <w:szCs w:val="24"/>
                <w:color w:val="auto"/>
              </w:rPr>
            </w:pPr>
          </w:p>
        </w:tc>
        <w:tc>
          <w:tcPr>
            <w:tcW w:w="1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spacing w:after="0"/>
              <w:rPr>
                <w:sz w:val="24"/>
                <w:szCs w:val="24"/>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If the Agent notifies a Bank or any Person who has</w:t>
            </w:r>
          </w:p>
        </w:tc>
      </w:tr>
    </w:tbl>
    <w:p>
      <w:pPr>
        <w:ind w:left="180" w:right="199"/>
        <w:spacing w:after="0" w:line="231" w:lineRule="auto"/>
        <w:rPr>
          <w:sz w:val="20"/>
          <w:szCs w:val="20"/>
          <w:color w:val="auto"/>
        </w:rPr>
      </w:pPr>
      <w:r>
        <w:rPr>
          <w:rFonts w:ascii="Times New Roman" w:cs="Times New Roman" w:eastAsia="Times New Roman" w:hAnsi="Times New Roman"/>
          <w:sz w:val="22"/>
          <w:szCs w:val="22"/>
          <w:color w:val="auto"/>
        </w:rPr>
        <w:t>received funds on behalf of a Bank (any such Bank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and demands the return of such Erroneous Payment (or a portion thereof), such Erroneous Payment shall at all times remain the property of the Agent and shall be segregated by the Payment Recipient and held in trust for the benefit of the Agent, and such Bank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Overnight Bank Funding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82" w:lineRule="exact"/>
        <w:rPr>
          <w:sz w:val="20"/>
          <w:szCs w:val="20"/>
          <w:color w:val="auto"/>
        </w:rPr>
      </w:pPr>
    </w:p>
    <w:p>
      <w:pPr>
        <w:ind w:left="180" w:right="279" w:firstLine="1944"/>
        <w:spacing w:after="0" w:line="234" w:lineRule="auto"/>
        <w:rPr>
          <w:sz w:val="20"/>
          <w:szCs w:val="20"/>
          <w:color w:val="auto"/>
        </w:rPr>
      </w:pPr>
      <w:r>
        <w:rPr>
          <w:rFonts w:ascii="Times New Roman" w:cs="Times New Roman" w:eastAsia="Times New Roman" w:hAnsi="Times New Roman"/>
          <w:sz w:val="22"/>
          <w:szCs w:val="22"/>
          <w:color w:val="auto"/>
        </w:rPr>
        <w:t>(b) Without limiting immediately preceding clause (a), each Bank, or any Person who has received funds on behalf of a Bank,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Bank or other such recipient, otherwise becomes aware was transmitted, or received, in error or by mistake (in whole or in part) in each case:</w:t>
      </w:r>
    </w:p>
    <w:p>
      <w:pPr>
        <w:spacing w:after="0" w:line="179" w:lineRule="exact"/>
        <w:rPr>
          <w:sz w:val="20"/>
          <w:szCs w:val="20"/>
          <w:color w:val="auto"/>
        </w:rPr>
      </w:pPr>
    </w:p>
    <w:p>
      <w:pPr>
        <w:ind w:left="1480" w:right="419" w:firstLine="1296"/>
        <w:spacing w:after="0" w:line="238" w:lineRule="auto"/>
        <w:tabs>
          <w:tab w:leader="none" w:pos="407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76" w:lineRule="exact"/>
        <w:rPr>
          <w:rFonts w:ascii="Times New Roman" w:cs="Times New Roman" w:eastAsia="Times New Roman" w:hAnsi="Times New Roman"/>
          <w:sz w:val="22"/>
          <w:szCs w:val="22"/>
          <w:color w:val="auto"/>
        </w:rPr>
      </w:pPr>
    </w:p>
    <w:p>
      <w:pPr>
        <w:jc w:val="both"/>
        <w:ind w:left="1480" w:right="439" w:firstLine="1296"/>
        <w:spacing w:after="0" w:line="251" w:lineRule="auto"/>
        <w:tabs>
          <w:tab w:leader="none" w:pos="406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Bank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8.13(b).</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31" w:name="page132"/>
    <w:bookmarkEnd w:id="131"/>
    <w:p>
      <w:pPr>
        <w:ind w:left="180" w:right="219" w:firstLine="1944"/>
        <w:spacing w:after="0" w:line="238" w:lineRule="auto"/>
        <w:rPr>
          <w:sz w:val="20"/>
          <w:szCs w:val="20"/>
          <w:color w:val="auto"/>
        </w:rPr>
      </w:pPr>
      <w:r>
        <w:rPr>
          <w:rFonts w:ascii="Times New Roman" w:cs="Times New Roman" w:eastAsia="Times New Roman" w:hAnsi="Times New Roman"/>
          <w:sz w:val="22"/>
          <w:szCs w:val="22"/>
          <w:color w:val="auto"/>
        </w:rPr>
        <w:t>(c) Each Bank hereby authorizes the Agent to set off, net and apply any and all amounts at any time owing to such Bank under any Loan Document, or otherwise payable or distributable by the Agent to such Bank from any source, against any amount due to the Agent under immediately preceding clause (a) or under the indemnification provisions of this Agreement.</w:t>
      </w:r>
    </w:p>
    <w:p>
      <w:pPr>
        <w:spacing w:after="0" w:line="177" w:lineRule="exact"/>
        <w:rPr>
          <w:sz w:val="20"/>
          <w:szCs w:val="20"/>
          <w:color w:val="auto"/>
        </w:rPr>
      </w:pPr>
    </w:p>
    <w:p>
      <w:pPr>
        <w:ind w:left="180" w:right="199" w:firstLine="1944"/>
        <w:spacing w:after="0" w:line="242" w:lineRule="auto"/>
        <w:rPr>
          <w:sz w:val="20"/>
          <w:szCs w:val="20"/>
          <w:color w:val="auto"/>
        </w:rPr>
      </w:pPr>
      <w:r>
        <w:rPr>
          <w:rFonts w:ascii="Times New Roman" w:cs="Times New Roman" w:eastAsia="Times New Roman" w:hAnsi="Times New Roman"/>
          <w:sz w:val="21"/>
          <w:szCs w:val="21"/>
          <w:color w:val="auto"/>
        </w:rPr>
        <w:t>(d) In the event that an Erroneous Payment (or portion thereof) is not recovered by the Agent for any reason, after demand therefor by the Agent in accordance with immediately preceding clause (a), from any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u w:val="single" w:color="auto"/>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Return Deficiency</w:t>
      </w:r>
      <w:r>
        <w:rPr>
          <w:rFonts w:ascii="Times New Roman" w:cs="Times New Roman" w:eastAsia="Times New Roman" w:hAnsi="Times New Roman"/>
          <w:sz w:val="21"/>
          <w:szCs w:val="21"/>
          <w:color w:val="auto"/>
        </w:rPr>
        <w:t>”), upon the Agent’s notice to such Bank at any time, (i) such Bank shall be deemed to have assigned its Loans (but not its Commitments) of the relevant Class with respect to which such Erroneous Payment was made (the “</w:t>
      </w:r>
      <w:r>
        <w:rPr>
          <w:rFonts w:ascii="Times New Roman" w:cs="Times New Roman" w:eastAsia="Times New Roman" w:hAnsi="Times New Roman"/>
          <w:sz w:val="21"/>
          <w:szCs w:val="21"/>
          <w:u w:val="single" w:color="auto"/>
          <w:color w:val="auto"/>
        </w:rPr>
        <w:t>Erroneous Payment Impacted Class</w:t>
      </w:r>
      <w:r>
        <w:rPr>
          <w:rFonts w:ascii="Times New Roman" w:cs="Times New Roman" w:eastAsia="Times New Roman" w:hAnsi="Times New Roman"/>
          <w:sz w:val="21"/>
          <w:szCs w:val="21"/>
          <w:color w:val="auto"/>
        </w:rPr>
        <w:t>”) in an amount equal to the Erroneous Payment Return Deficiency (or such lesser amount as the Agent may specify) (such assignment of the Loans (but not Commitments) of the Erroneous Payment Impacted Class, the “</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at par plus any accrued and unpaid interest (with the assignment fee to be waived by the Agent in such instance), and is hereby (together with the Borrower) deemed to execute and deliver an Assignment and Acceptance with respect to such Erroneous Payment Deficiency Assignment, and such Bank shall deliver any Notes evidencing such Loans to the Borrower or the Agent, (ii) the Agent as the assignee Bank shall be deemed to acquire the Erroneous Payment Deficiency Assignment, (iii) upon such deemed acquisition, the Agent as the assignee Bank shall become a Bank, as applicable, hereunder with respect to such Erroneous Payment Deficiency Assignment and the assigning Bank shall cease to be a Bank hereunder with respect to such Erroneous Payment Deficiency Assignment, excluding, for the avoidance of doubt, its obligations under the indemnification provisions of this Agreement and its applicable Commitments which shall survive as to such assigning Bank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Bank shall be reduced by the net proceeds of the sale of such Loan (or portion thereof), and the Agent shall retain all other rights, remedies and claims against such Bank (and/or against any recipient that receives funds on its respective behalf). For the avoidance of doubt, no Erroneous Payment Deficiency Assignment will reduce the Commitments of any Bank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Bank under the Loan Documents with respect to each Erroneous Payment Return Deficiency (the “</w:t>
      </w:r>
      <w:r>
        <w:rPr>
          <w:rFonts w:ascii="Times New Roman" w:cs="Times New Roman" w:eastAsia="Times New Roman" w:hAnsi="Times New Roman"/>
          <w:sz w:val="21"/>
          <w:szCs w:val="21"/>
          <w:u w:val="single" w:color="auto"/>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Subrogation 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2" w:lineRule="exact"/>
        <w:rPr>
          <w:sz w:val="20"/>
          <w:szCs w:val="20"/>
          <w:color w:val="auto"/>
        </w:rPr>
      </w:pPr>
    </w:p>
    <w:p>
      <w:pPr>
        <w:ind w:left="180" w:right="199" w:firstLine="1944"/>
        <w:spacing w:after="0" w:line="239" w:lineRule="auto"/>
        <w:rPr>
          <w:sz w:val="20"/>
          <w:szCs w:val="20"/>
          <w:color w:val="auto"/>
        </w:rPr>
      </w:pPr>
      <w:r>
        <w:rPr>
          <w:rFonts w:ascii="Times New Roman" w:cs="Times New Roman" w:eastAsia="Times New Roman" w:hAnsi="Times New Roman"/>
          <w:sz w:val="22"/>
          <w:szCs w:val="22"/>
          <w:color w:val="auto"/>
        </w:rPr>
        <w:t>(e) The parties hereto agree that an Erroneous Payment shall not pay, prepay, repay, discharge or otherwise satisfy any Loans or other obligations hereunder or under the other Loan Documents owed by the Borrower, except, in each case, to the extent such Erroneous Payment is, and solely with respect to the amount of such Erroneous Payment that is,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2" w:name="page133"/>
    <w:bookmarkEnd w:id="132"/>
    <w:p>
      <w:pPr>
        <w:ind w:left="180" w:right="799"/>
        <w:spacing w:after="0" w:line="258" w:lineRule="auto"/>
        <w:rPr>
          <w:sz w:val="20"/>
          <w:szCs w:val="20"/>
          <w:color w:val="auto"/>
        </w:rPr>
      </w:pPr>
      <w:r>
        <w:rPr>
          <w:rFonts w:ascii="Times New Roman" w:cs="Times New Roman" w:eastAsia="Times New Roman" w:hAnsi="Times New Roman"/>
          <w:sz w:val="22"/>
          <w:szCs w:val="22"/>
          <w:color w:val="auto"/>
        </w:rPr>
        <w:t>comprised of funds received by the Agent from the Borrower for the purpose of making such Erroneous Payment.</w:t>
      </w:r>
    </w:p>
    <w:p>
      <w:pPr>
        <w:spacing w:after="0" w:line="158" w:lineRule="exact"/>
        <w:rPr>
          <w:sz w:val="20"/>
          <w:szCs w:val="20"/>
          <w:color w:val="auto"/>
        </w:rPr>
      </w:pPr>
    </w:p>
    <w:p>
      <w:pPr>
        <w:ind w:left="180" w:right="219" w:firstLine="1944"/>
        <w:spacing w:after="0"/>
        <w:rPr>
          <w:sz w:val="20"/>
          <w:szCs w:val="20"/>
          <w:color w:val="auto"/>
        </w:rPr>
      </w:pPr>
      <w:r>
        <w:rPr>
          <w:rFonts w:ascii="Times New Roman" w:cs="Times New Roman" w:eastAsia="Times New Roman" w:hAnsi="Times New Roman"/>
          <w:sz w:val="22"/>
          <w:szCs w:val="22"/>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200" w:lineRule="exact"/>
        <w:rPr>
          <w:sz w:val="20"/>
          <w:szCs w:val="20"/>
          <w:color w:val="auto"/>
        </w:rPr>
      </w:pPr>
    </w:p>
    <w:p>
      <w:pPr>
        <w:spacing w:after="0" w:line="209" w:lineRule="exact"/>
        <w:rPr>
          <w:sz w:val="20"/>
          <w:szCs w:val="20"/>
          <w:color w:val="auto"/>
        </w:rPr>
      </w:pPr>
    </w:p>
    <w:p>
      <w:pPr>
        <w:ind w:left="180" w:right="219" w:firstLine="1944"/>
        <w:spacing w:after="0" w:line="255" w:lineRule="auto"/>
        <w:rPr>
          <w:sz w:val="20"/>
          <w:szCs w:val="20"/>
          <w:color w:val="auto"/>
        </w:rPr>
      </w:pPr>
      <w:r>
        <w:rPr>
          <w:rFonts w:ascii="Times New Roman" w:cs="Times New Roman" w:eastAsia="Times New Roman" w:hAnsi="Times New Roman"/>
          <w:sz w:val="21"/>
          <w:szCs w:val="21"/>
          <w:color w:val="auto"/>
        </w:rPr>
        <w:t>(g) Each party’s obligations, agreements and waivers under this Section 8.13 shall survive the resignation or replacement of the Agent, the termination of the Commitments and/or the repayment, satisfaction or discharge of all Loans or other obligations hereunder or under the other Loan Documents (or any portion thereof) under any Loan Document.</w:t>
      </w:r>
    </w:p>
    <w:p>
      <w:pPr>
        <w:spacing w:after="0" w:line="162" w:lineRule="exact"/>
        <w:rPr>
          <w:sz w:val="20"/>
          <w:szCs w:val="20"/>
          <w:color w:val="auto"/>
        </w:rPr>
      </w:pPr>
    </w:p>
    <w:p>
      <w:pPr>
        <w:ind w:left="180" w:right="199" w:firstLine="648"/>
        <w:spacing w:after="0" w:line="231"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u w:val="single" w:color="auto"/>
          <w:color w:val="auto"/>
        </w:rPr>
        <w:t>No Advisory or Fiduciary Relationship</w:t>
      </w:r>
      <w:r>
        <w:rPr>
          <w:rFonts w:ascii="Times New Roman" w:cs="Times New Roman" w:eastAsia="Times New Roman" w:hAnsi="Times New Roman"/>
          <w:sz w:val="22"/>
          <w:szCs w:val="22"/>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Agent or any Bank is intended to be or has been created in respect of the transactions contemplated hereby or by the other Loan Documents, irrespective of whether any arranger, any bookrunner, the Agent, or any Bank has advised or is advising the Borrower or any Subsidiary on other matters, (ii) the arranging and other services regarding this Agreement provided by any arranger, any bookrunner, the Agent, and the Banks are arm’s-length commercial transactions between the Borrower and its Affiliates, on the one hand, and any arranger, any bookrunner, the Agent, and the Banks,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each of any arranger, any bookrunner, the Agent, and the Banks is and has been acting solely as a principal and, except as expressly agreed in writing by the relevant parties, has not been, is not, and will not be acting as an advisor, agent or fiduciary for the Borrower or any of its Affiliates, or any other Person; (ii) none of any arranger, any bookrunner, the Agent, and the Banks has any obligation to the Borrower or any of the Borrower’s Affiliates with respect to the transactions contemplated hereby except those obligations expressly set forth herein and in the other Loan Documents; and (iii) any arranger, any bookrunner, the Agent, and the Banks and their respective Affiliates may be engaged, for their own accounts or the accounts of customers, in a broad range of transactions that involve interests that differ from those of the Borrower and its Affiliates, and none of any arranger, any bookrunner, the Agent, and the Banks has any obligation to disclose any of such interests to the Borrower or its Affiliates. To the fullest extent permitted by law, the Borrower hereby waives and releases any claims that it may have against any of any arrangers, any bookrunner, the Agent, and the Banks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3" w:name="page134"/>
    <w:bookmarkEnd w:id="133"/>
    <w:p>
      <w:pPr>
        <w:ind w:left="180" w:right="3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8.15 </w:t>
      </w:r>
      <w:r>
        <w:rPr>
          <w:rFonts w:ascii="Times New Roman" w:cs="Times New Roman" w:eastAsia="Times New Roman" w:hAnsi="Times New Roman"/>
          <w:sz w:val="22"/>
          <w:szCs w:val="22"/>
          <w:u w:val="single" w:color="auto"/>
          <w:color w:val="auto"/>
        </w:rPr>
        <w:t>Agent May File Proofs of Claim</w:t>
      </w:r>
      <w:r>
        <w:rPr>
          <w:rFonts w:ascii="Times New Roman" w:cs="Times New Roman" w:eastAsia="Times New Roman" w:hAnsi="Times New Roman"/>
          <w:sz w:val="22"/>
          <w:szCs w:val="22"/>
          <w:color w:val="auto"/>
        </w:rPr>
        <w:t>. In case of the pendency of any proceeding under any Debtor Relief Law, the Agent (irrespective of whether the principal of any Loan shall then be due and payable as herein expressed or by declaration or otherwise and irrespective of whether the Agent shall have made any demand on the Borrower) shall be entitled and empowered (but not obligated) by intervention in such proceeding or otherwise:</w:t>
      </w:r>
    </w:p>
    <w:p>
      <w:pPr>
        <w:spacing w:after="0" w:line="177" w:lineRule="exact"/>
        <w:rPr>
          <w:sz w:val="20"/>
          <w:szCs w:val="20"/>
          <w:color w:val="auto"/>
        </w:rPr>
      </w:pPr>
    </w:p>
    <w:p>
      <w:pPr>
        <w:ind w:left="180" w:right="319" w:firstLine="1944"/>
        <w:spacing w:after="0" w:line="235" w:lineRule="auto"/>
        <w:rPr>
          <w:sz w:val="20"/>
          <w:szCs w:val="20"/>
          <w:color w:val="auto"/>
        </w:rPr>
      </w:pPr>
      <w:r>
        <w:rPr>
          <w:rFonts w:ascii="Times New Roman" w:cs="Times New Roman" w:eastAsia="Times New Roman" w:hAnsi="Times New Roman"/>
          <w:sz w:val="22"/>
          <w:szCs w:val="22"/>
          <w:color w:val="auto"/>
        </w:rPr>
        <w:t xml:space="preserve">(a) to file and prove a claim for the whole amount of the principal and interest owing and unpaid in respect of the Loans and all other obligations hereunder or under the other Loan Documents that are owing and unpaid and to file such other documents as may be necessary or advisable in order to have the claims of the Banks and the Agent (including any claim for the reasonable compensation, expenses, disbursements and advances of the Banks, and the Agent and their respective agents and counsel and all other amounts due the Banks and the Agent under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allowed in such judicial proceeding; and</w:t>
      </w:r>
    </w:p>
    <w:p>
      <w:pPr>
        <w:spacing w:after="0" w:line="183" w:lineRule="exact"/>
        <w:rPr>
          <w:sz w:val="20"/>
          <w:szCs w:val="20"/>
          <w:color w:val="auto"/>
        </w:rPr>
      </w:pPr>
    </w:p>
    <w:p>
      <w:pPr>
        <w:ind w:left="180" w:right="499" w:firstLine="1944"/>
        <w:spacing w:after="0" w:line="258" w:lineRule="auto"/>
        <w:rPr>
          <w:sz w:val="20"/>
          <w:szCs w:val="20"/>
          <w:color w:val="auto"/>
        </w:rPr>
      </w:pPr>
      <w:r>
        <w:rPr>
          <w:rFonts w:ascii="Times New Roman" w:cs="Times New Roman" w:eastAsia="Times New Roman" w:hAnsi="Times New Roman"/>
          <w:sz w:val="22"/>
          <w:szCs w:val="22"/>
          <w:color w:val="auto"/>
        </w:rPr>
        <w:t>(b) to collect and receive any monies or other property payable or deliverable on any such claims and to distribute the same;</w:t>
      </w:r>
    </w:p>
    <w:p>
      <w:pPr>
        <w:spacing w:after="0" w:line="158" w:lineRule="exact"/>
        <w:rPr>
          <w:sz w:val="20"/>
          <w:szCs w:val="20"/>
          <w:color w:val="auto"/>
        </w:rPr>
      </w:pPr>
    </w:p>
    <w:p>
      <w:pPr>
        <w:ind w:left="180" w:right="219"/>
        <w:spacing w:after="0" w:line="236"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Bank to make such payments to the Agent and, in the event that the Agent shall consent to the making of such payments directly to the Banks,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8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neither this Agreement, any Note or any other Loan Document, nor any terms hereof of thereof may be amended, supplemented or modified except in accordance with the provisions of this subsection. With the written consent of the Required Banks, the Agent and the Borrower may, from time to time, enter into written amendments, supplements or modifications hereto and to the Notes and the other Loan Documents for the purpose of adding any provisions to this Agreement or the Notes or the other Loan Documents or changing in any manner the rights of the Banks or of the Borrower hereunder or thereunder or waiving, on such terms and conditions as the Agent may specify in such instrument, any of the requirements of this Agreement or the Notes or the other Loan Documents or any Default or Event of Default and its consequences;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waiver and no such amendment, supplement or modification shall directly or indirectly</w:t>
      </w:r>
    </w:p>
    <w:p>
      <w:pPr>
        <w:spacing w:after="0" w:line="8" w:lineRule="exact"/>
        <w:rPr>
          <w:sz w:val="20"/>
          <w:szCs w:val="20"/>
          <w:color w:val="auto"/>
        </w:rPr>
      </w:pPr>
    </w:p>
    <w:p>
      <w:pPr>
        <w:ind w:left="180" w:right="199" w:firstLine="4"/>
        <w:spacing w:after="0" w:line="232" w:lineRule="auto"/>
        <w:tabs>
          <w:tab w:leader="none" w:pos="47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or extend the maturity of any Note or any installment thereof, or reduce the rate or extend the time of payment of interest thereon, or reduce any Fees payable to any Bank hereunder, or change the duration or amount of any Bank’s Commitment, in each case without the consent of the Bank affected thereby or (b) amend, modify or waive any provision of this Section 9.1 or reduce the percentages specified in the definition of Required Banks or consent to the assignment or transfer by the Borrower of any of its rights and obligations under this Agreement, the Notes and the other Loan Documents or subordinate, or have the effect of subordinating, the Loans and other obligations hereunder to any other Debt for borrowed money, in each case without the written consent of all the Banks, (c) amend, modify or waive any provision of Section 2.2 without the written consent of the then Swing Line Bank or (d) amend,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4" w:name="page135"/>
    <w:bookmarkEnd w:id="134"/>
    <w:p>
      <w:pPr>
        <w:ind w:left="180" w:right="379"/>
        <w:spacing w:after="0" w:line="235" w:lineRule="auto"/>
        <w:rPr>
          <w:sz w:val="20"/>
          <w:szCs w:val="20"/>
          <w:color w:val="auto"/>
        </w:rPr>
      </w:pPr>
      <w:r>
        <w:rPr>
          <w:rFonts w:ascii="Times New Roman" w:cs="Times New Roman" w:eastAsia="Times New Roman" w:hAnsi="Times New Roman"/>
          <w:sz w:val="22"/>
          <w:szCs w:val="22"/>
          <w:color w:val="auto"/>
        </w:rPr>
        <w:t>modify or waive any provision of Section 8 without the written consent of the then Agent. Any such waiver and any such amendment, supplement or modification shall apply equally to each of the Banks and shall be binding upon the Borrower, the Banks, the Agent and all future holders of the Notes. In the case of any waiver, the Borrower, the Banks and the Agent shall be restored to their former position and rights hereunder and under the outstanding Notes, and any Default or Event of Default waived shall be deemed to be cured and not continuing; but no such waiver shall extend to any subsequent or other Default or Event of Default, or impair any right consequent thereon.</w:t>
      </w:r>
    </w:p>
    <w:p>
      <w:pPr>
        <w:spacing w:after="0" w:line="178" w:lineRule="exact"/>
        <w:rPr>
          <w:sz w:val="20"/>
          <w:szCs w:val="20"/>
          <w:color w:val="auto"/>
        </w:rPr>
      </w:pPr>
    </w:p>
    <w:p>
      <w:pPr>
        <w:ind w:left="180" w:right="219" w:firstLine="648"/>
        <w:spacing w:after="0" w:line="245" w:lineRule="auto"/>
        <w:rPr>
          <w:sz w:val="20"/>
          <w:szCs w:val="20"/>
          <w:color w:val="auto"/>
        </w:rPr>
      </w:pPr>
      <w:r>
        <w:rPr>
          <w:rFonts w:ascii="Times New Roman" w:cs="Times New Roman" w:eastAsia="Times New Roman" w:hAnsi="Times New Roman"/>
          <w:sz w:val="21"/>
          <w:szCs w:val="21"/>
          <w:color w:val="auto"/>
        </w:rPr>
        <w:t>Furthermore, notwithstanding the foregoing: (a) the Agent, with the consent of the Borrower, may amend, modify or supplement any Loan Document without the consent of any Bank or the Required Banks in order to correct, amend or cure any ambiguity, inconsistency or defect or correct any typographical error or other manifest error in any Loan Document, (b) no consent with respect to any amendment, modification, waiver or supplement of this Agreement or any other Loan Document shall be required of any Defaulting Bank, except as provided in Section 2.17 and</w:t>
      </w:r>
    </w:p>
    <w:p>
      <w:pPr>
        <w:spacing w:after="0" w:line="3" w:lineRule="exact"/>
        <w:rPr>
          <w:sz w:val="20"/>
          <w:szCs w:val="20"/>
          <w:color w:val="auto"/>
        </w:rPr>
      </w:pPr>
    </w:p>
    <w:p>
      <w:pPr>
        <w:ind w:left="180" w:right="199" w:firstLine="4"/>
        <w:spacing w:after="0" w:line="232" w:lineRule="auto"/>
        <w:tabs>
          <w:tab w:leader="none" w:pos="47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amendment, modification, waiver or supplement referred to in the proviso of the first paragraph of this Section 9.1, no consent with respect to any amendment, modification, waiver or supplement of this Agreement or any other Loan Document shall be required of any Bank that receives payment in full of the principal of and interest accrued on each Loan made by such Bank, and all other amounts owing to or accrued for the account of such Bank under this Agreement and the other Loan Documents, at the time such amendment, modification, waiver or supplement becomes effective and whose Commitments terminate by the terms and upon the effectiveness of such amendment, modification, waiver or supplement.</w:t>
      </w:r>
    </w:p>
    <w:p>
      <w:pPr>
        <w:spacing w:after="0" w:line="180" w:lineRule="exact"/>
        <w:rPr>
          <w:sz w:val="20"/>
          <w:szCs w:val="20"/>
          <w:color w:val="auto"/>
        </w:rPr>
      </w:pPr>
    </w:p>
    <w:p>
      <w:pPr>
        <w:ind w:left="18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 All notices, requests and demands to or upon the respective parties hereto to be effective shall be in writing (including electronic transmission, facsimile transmission or posting on a secured web site), and, unless otherwise expressly provided herein, shall be deemed to have been duly given or made when delivered by hand, or three days after being deposited in the mail, postage prepaid, or, in the case of facsimile transmission notice, when sent during normal business hours with electronic confirmation or otherwise when received, or in the case of electronic transmission, when received and in the case of posting on a secured web site, upon receipt of</w:t>
      </w:r>
    </w:p>
    <w:p>
      <w:pPr>
        <w:spacing w:after="0" w:line="6" w:lineRule="exact"/>
        <w:rPr>
          <w:sz w:val="20"/>
          <w:szCs w:val="20"/>
          <w:color w:val="auto"/>
        </w:rPr>
      </w:pPr>
    </w:p>
    <w:p>
      <w:pPr>
        <w:jc w:val="both"/>
        <w:ind w:left="180" w:right="279" w:firstLine="4"/>
        <w:spacing w:after="0" w:line="234" w:lineRule="auto"/>
        <w:tabs>
          <w:tab w:leader="none" w:pos="43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 of such posting and (ii) rights to access such web site, addressed as follows in the case of the Borrower and the Agent, and as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in the case of the other parties hereto, or to such other address as may be hereafter notified by the respective parties hereto and any future holders of the Notes:</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22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Borrower:</w:t>
            </w:r>
          </w:p>
        </w:tc>
        <w:tc>
          <w:tcPr>
            <w:tcW w:w="64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Aqua Pennsylvania, Inc.</w:t>
            </w:r>
          </w:p>
        </w:tc>
      </w:tr>
      <w:tr>
        <w:trPr>
          <w:trHeight w:val="243"/>
        </w:trPr>
        <w:tc>
          <w:tcPr>
            <w:tcW w:w="2260" w:type="dxa"/>
            <w:vAlign w:val="bottom"/>
          </w:tcPr>
          <w:p>
            <w:pPr>
              <w:spacing w:after="0"/>
              <w:rPr>
                <w:sz w:val="21"/>
                <w:szCs w:val="21"/>
                <w:color w:val="auto"/>
              </w:rPr>
            </w:pPr>
          </w:p>
        </w:tc>
        <w:tc>
          <w:tcPr>
            <w:tcW w:w="64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762 W. Lancaster Avenue</w:t>
            </w:r>
          </w:p>
        </w:tc>
      </w:tr>
      <w:tr>
        <w:trPr>
          <w:trHeight w:val="243"/>
        </w:trPr>
        <w:tc>
          <w:tcPr>
            <w:tcW w:w="2260" w:type="dxa"/>
            <w:vAlign w:val="bottom"/>
          </w:tcPr>
          <w:p>
            <w:pPr>
              <w:spacing w:after="0"/>
              <w:rPr>
                <w:sz w:val="21"/>
                <w:szCs w:val="21"/>
                <w:color w:val="auto"/>
              </w:rPr>
            </w:pPr>
          </w:p>
        </w:tc>
        <w:tc>
          <w:tcPr>
            <w:tcW w:w="64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Bryn Mawr, PA 19010-3489</w:t>
            </w:r>
          </w:p>
        </w:tc>
      </w:tr>
      <w:tr>
        <w:trPr>
          <w:trHeight w:val="243"/>
        </w:trPr>
        <w:tc>
          <w:tcPr>
            <w:tcW w:w="2260" w:type="dxa"/>
            <w:vAlign w:val="bottom"/>
          </w:tcPr>
          <w:p>
            <w:pPr>
              <w:spacing w:after="0"/>
              <w:rPr>
                <w:sz w:val="21"/>
                <w:szCs w:val="21"/>
                <w:color w:val="auto"/>
              </w:rPr>
            </w:pPr>
          </w:p>
        </w:tc>
        <w:tc>
          <w:tcPr>
            <w:tcW w:w="64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Attention: Daniel J. Schuller, Executive Vice</w:t>
            </w:r>
          </w:p>
        </w:tc>
      </w:tr>
      <w:tr>
        <w:trPr>
          <w:trHeight w:val="243"/>
        </w:trPr>
        <w:tc>
          <w:tcPr>
            <w:tcW w:w="2260" w:type="dxa"/>
            <w:vAlign w:val="bottom"/>
          </w:tcPr>
          <w:p>
            <w:pPr>
              <w:spacing w:after="0"/>
              <w:rPr>
                <w:sz w:val="21"/>
                <w:szCs w:val="21"/>
                <w:color w:val="auto"/>
              </w:rPr>
            </w:pPr>
          </w:p>
        </w:tc>
        <w:tc>
          <w:tcPr>
            <w:tcW w:w="64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President and Chief Financial Officer</w:t>
            </w:r>
          </w:p>
        </w:tc>
      </w:tr>
      <w:tr>
        <w:trPr>
          <w:trHeight w:val="282"/>
        </w:trPr>
        <w:tc>
          <w:tcPr>
            <w:tcW w:w="2260" w:type="dxa"/>
            <w:vAlign w:val="bottom"/>
          </w:tcPr>
          <w:p>
            <w:pPr>
              <w:spacing w:after="0"/>
              <w:rPr>
                <w:sz w:val="24"/>
                <w:szCs w:val="24"/>
                <w:color w:val="auto"/>
              </w:rPr>
            </w:pPr>
          </w:p>
        </w:tc>
        <w:tc>
          <w:tcPr>
            <w:tcW w:w="64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Email: djschuller@essential.co</w:t>
            </w:r>
          </w:p>
        </w:tc>
      </w:tr>
      <w:tr>
        <w:trPr>
          <w:trHeight w:val="918"/>
        </w:trPr>
        <w:tc>
          <w:tcPr>
            <w:tcW w:w="2260" w:type="dxa"/>
            <w:vAlign w:val="bottom"/>
          </w:tcPr>
          <w:p>
            <w:pPr>
              <w:spacing w:after="0"/>
              <w:rPr>
                <w:sz w:val="24"/>
                <w:szCs w:val="24"/>
                <w:color w:val="auto"/>
              </w:rPr>
            </w:pPr>
          </w:p>
        </w:tc>
        <w:tc>
          <w:tcPr>
            <w:tcW w:w="642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73</w:t>
            </w:r>
          </w:p>
        </w:tc>
      </w:tr>
      <w:tr>
        <w:trPr>
          <w:trHeight w:val="96"/>
        </w:trPr>
        <w:tc>
          <w:tcPr>
            <w:tcW w:w="2260" w:type="dxa"/>
            <w:vAlign w:val="bottom"/>
            <w:tcBorders>
              <w:bottom w:val="single" w:sz="8" w:color="9A9A9A"/>
            </w:tcBorders>
          </w:tcPr>
          <w:p>
            <w:pPr>
              <w:spacing w:after="0"/>
              <w:rPr>
                <w:sz w:val="8"/>
                <w:szCs w:val="8"/>
                <w:color w:val="auto"/>
              </w:rPr>
            </w:pPr>
          </w:p>
        </w:tc>
        <w:tc>
          <w:tcPr>
            <w:tcW w:w="6420" w:type="dxa"/>
            <w:vAlign w:val="bottom"/>
            <w:tcBorders>
              <w:bottom w:val="single" w:sz="8" w:color="9A9A9A"/>
            </w:tcBorders>
          </w:tcPr>
          <w:p>
            <w:pPr>
              <w:spacing w:after="0"/>
              <w:rPr>
                <w:sz w:val="8"/>
                <w:szCs w:val="8"/>
                <w:color w:val="auto"/>
              </w:rPr>
            </w:pPr>
          </w:p>
        </w:tc>
      </w:tr>
      <w:tr>
        <w:trPr>
          <w:trHeight w:val="20"/>
        </w:trPr>
        <w:tc>
          <w:tcPr>
            <w:tcW w:w="2260" w:type="dxa"/>
            <w:vAlign w:val="bottom"/>
            <w:tcBorders>
              <w:bottom w:val="single" w:sz="8" w:color="EEEEEE"/>
            </w:tcBorders>
          </w:tcPr>
          <w:p>
            <w:pPr>
              <w:spacing w:after="0" w:line="20" w:lineRule="exact"/>
              <w:rPr>
                <w:sz w:val="1"/>
                <w:szCs w:val="1"/>
                <w:color w:val="auto"/>
              </w:rPr>
            </w:pPr>
          </w:p>
        </w:tc>
        <w:tc>
          <w:tcPr>
            <w:tcW w:w="6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5" w:name="page136"/>
    <w:bookmarkEnd w:id="135"/>
    <w:p>
      <w:pPr>
        <w:ind w:left="94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 West Lancaster Avenue</w:t>
      </w:r>
    </w:p>
    <w:p>
      <w:pPr>
        <w:spacing w:after="0" w:line="230" w:lineRule="auto"/>
        <w:rPr>
          <w:sz w:val="20"/>
          <w:szCs w:val="20"/>
          <w:color w:val="auto"/>
        </w:rPr>
      </w:pPr>
      <w:r>
        <w:rPr>
          <w:rFonts w:ascii="Times New Roman" w:cs="Times New Roman" w:eastAsia="Times New Roman" w:hAnsi="Times New Roman"/>
          <w:sz w:val="22"/>
          <w:szCs w:val="22"/>
          <w:color w:val="auto"/>
        </w:rPr>
        <w:t>Bryn Mawr, PA 19010</w:t>
      </w:r>
    </w:p>
    <w:p>
      <w:pPr>
        <w:spacing w:after="0" w:line="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Attention:</w:t>
        <w:tab/>
        <w:t>Christopher P. Luning</w:t>
      </w:r>
    </w:p>
    <w:p>
      <w:pPr>
        <w:spacing w:after="0" w:line="200" w:lineRule="exact"/>
        <w:rPr>
          <w:sz w:val="20"/>
          <w:szCs w:val="20"/>
          <w:color w:val="auto"/>
        </w:rPr>
      </w:pPr>
    </w:p>
    <w:p>
      <w:pPr>
        <w:sectPr>
          <w:pgSz w:w="11900" w:h="16838" w:orient="portrait"/>
          <w:cols w:equalWidth="0" w:num="2">
            <w:col w:w="2300" w:space="720"/>
            <w:col w:w="5999"/>
          </w:cols>
          <w:pgMar w:left="1440" w:top="355" w:right="1440" w:bottom="1440" w:gutter="0" w:footer="0" w:header="0"/>
        </w:sectPr>
      </w:pP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General Counsel</w:t>
      </w:r>
    </w:p>
    <w:p>
      <w:pPr>
        <w:sectPr>
          <w:pgSz w:w="11900" w:h="16838" w:orient="portrait"/>
          <w:cols w:equalWidth="0" w:num="1">
            <w:col w:w="9019"/>
          </w:cols>
          <w:pgMar w:left="1440" w:top="355" w:right="1440" w:bottom="1440" w:gutter="0" w:footer="0" w:header="0"/>
          <w:type w:val="continuous"/>
        </w:sectPr>
      </w:pPr>
    </w:p>
    <w:p>
      <w:pPr>
        <w:spacing w:after="0" w:line="245" w:lineRule="exact"/>
        <w:rPr>
          <w:sz w:val="20"/>
          <w:szCs w:val="20"/>
          <w:color w:val="auto"/>
        </w:rPr>
      </w:pPr>
    </w:p>
    <w:p>
      <w:pPr>
        <w:jc w:val="both"/>
        <w:ind w:left="2700" w:right="199"/>
        <w:spacing w:after="0" w:line="239" w:lineRule="auto"/>
        <w:rPr>
          <w:sz w:val="20"/>
          <w:szCs w:val="20"/>
          <w:color w:val="auto"/>
        </w:rPr>
      </w:pPr>
      <w:r>
        <w:rPr>
          <w:rFonts w:ascii="Times New Roman" w:cs="Times New Roman" w:eastAsia="Times New Roman" w:hAnsi="Times New Roman"/>
          <w:sz w:val="22"/>
          <w:szCs w:val="22"/>
          <w:color w:val="auto"/>
        </w:rPr>
        <w:t>(provided that failure to send a copy of any notice to said counsel shall in no way affect, limit or invalidate any notice sent to the Borrower or the exercise of any of the Banks’ or the Agent’s rights or remedies pursuant to a notice sent to the Borrower.)</w:t>
      </w:r>
    </w:p>
    <w:p>
      <w:pPr>
        <w:sectPr>
          <w:pgSz w:w="11900" w:h="16838" w:orient="portrait"/>
          <w:cols w:equalWidth="0" w:num="1">
            <w:col w:w="9019"/>
          </w:cols>
          <w:pgMar w:left="1440" w:top="355" w:right="1440" w:bottom="1440" w:gutter="0" w:footer="0" w:header="0"/>
          <w:type w:val="continuous"/>
        </w:sectPr>
      </w:pP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Agent or</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Swing Line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Bank: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 Westlakes Drive, Suite 300</w:t>
      </w:r>
    </w:p>
    <w:p>
      <w:pPr>
        <w:spacing w:after="0" w:line="231" w:lineRule="auto"/>
        <w:rPr>
          <w:sz w:val="20"/>
          <w:szCs w:val="20"/>
          <w:color w:val="auto"/>
        </w:rPr>
      </w:pPr>
      <w:r>
        <w:rPr>
          <w:rFonts w:ascii="Times New Roman" w:cs="Times New Roman" w:eastAsia="Times New Roman" w:hAnsi="Times New Roman"/>
          <w:sz w:val="22"/>
          <w:szCs w:val="22"/>
          <w:color w:val="auto"/>
        </w:rPr>
        <w:t>Berwyn, PA 19312</w:t>
      </w:r>
    </w:p>
    <w:p>
      <w:pPr>
        <w:spacing w:after="0" w:line="231" w:lineRule="auto"/>
        <w:rPr>
          <w:sz w:val="20"/>
          <w:szCs w:val="20"/>
          <w:color w:val="auto"/>
        </w:rPr>
      </w:pPr>
      <w:r>
        <w:rPr>
          <w:rFonts w:ascii="Times New Roman" w:cs="Times New Roman" w:eastAsia="Times New Roman" w:hAnsi="Times New Roman"/>
          <w:sz w:val="22"/>
          <w:szCs w:val="22"/>
          <w:color w:val="auto"/>
        </w:rPr>
        <w:t>Attention: Domenic D’Ginto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(610) 725-5799</w:t>
      </w:r>
    </w:p>
    <w:p>
      <w:pPr>
        <w:spacing w:after="0" w:line="200" w:lineRule="exact"/>
        <w:rPr>
          <w:sz w:val="20"/>
          <w:szCs w:val="20"/>
          <w:color w:val="auto"/>
        </w:rPr>
      </w:pPr>
    </w:p>
    <w:p>
      <w:pPr>
        <w:sectPr>
          <w:pgSz w:w="11900" w:h="16838" w:orient="portrait"/>
          <w:cols w:equalWidth="0" w:num="2">
            <w:col w:w="2300" w:space="720"/>
            <w:col w:w="5999"/>
          </w:cols>
          <w:pgMar w:left="1440" w:top="355" w:right="1440" w:bottom="1440" w:gutter="0" w:footer="0" w:header="0"/>
          <w:type w:val="continuous"/>
        </w:sectPr>
      </w:pP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PNC Agency Services</w:t>
      </w:r>
    </w:p>
    <w:p>
      <w:pPr>
        <w:ind w:left="3020"/>
        <w:spacing w:after="0" w:line="230" w:lineRule="auto"/>
        <w:rPr>
          <w:sz w:val="20"/>
          <w:szCs w:val="20"/>
          <w:color w:val="auto"/>
        </w:rPr>
      </w:pPr>
      <w:r>
        <w:rPr>
          <w:rFonts w:ascii="Times New Roman" w:cs="Times New Roman" w:eastAsia="Times New Roman" w:hAnsi="Times New Roman"/>
          <w:sz w:val="22"/>
          <w:szCs w:val="22"/>
          <w:color w:val="auto"/>
        </w:rPr>
        <w:t>One PNC Plaza</w:t>
      </w:r>
    </w:p>
    <w:p>
      <w:pPr>
        <w:ind w:left="3020"/>
        <w:spacing w:after="0" w:line="231" w:lineRule="auto"/>
        <w:rPr>
          <w:sz w:val="20"/>
          <w:szCs w:val="20"/>
          <w:color w:val="auto"/>
        </w:rPr>
      </w:pPr>
      <w:r>
        <w:rPr>
          <w:rFonts w:ascii="Times New Roman" w:cs="Times New Roman" w:eastAsia="Times New Roman" w:hAnsi="Times New Roman"/>
          <w:sz w:val="22"/>
          <w:szCs w:val="22"/>
          <w:color w:val="auto"/>
        </w:rPr>
        <w:t>249 Fifth Avenue</w:t>
      </w:r>
    </w:p>
    <w:p>
      <w:pPr>
        <w:ind w:left="3020"/>
        <w:spacing w:after="0" w:line="23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0"/>
          <w:szCs w:val="10"/>
          <w:color w:val="auto"/>
        </w:rPr>
        <w:t>nd</w:t>
      </w:r>
      <w:r>
        <w:rPr>
          <w:rFonts w:ascii="Times New Roman" w:cs="Times New Roman" w:eastAsia="Times New Roman" w:hAnsi="Times New Roman"/>
          <w:sz w:val="22"/>
          <w:szCs w:val="22"/>
          <w:color w:val="auto"/>
        </w:rPr>
        <w:t xml:space="preserve"> Floor</w:t>
      </w:r>
    </w:p>
    <w:p>
      <w:pPr>
        <w:ind w:left="3020"/>
        <w:spacing w:after="0" w:line="231" w:lineRule="auto"/>
        <w:rPr>
          <w:sz w:val="20"/>
          <w:szCs w:val="20"/>
          <w:color w:val="auto"/>
        </w:rPr>
      </w:pPr>
      <w:r>
        <w:rPr>
          <w:rFonts w:ascii="Times New Roman" w:cs="Times New Roman" w:eastAsia="Times New Roman" w:hAnsi="Times New Roman"/>
          <w:sz w:val="22"/>
          <w:szCs w:val="22"/>
          <w:color w:val="auto"/>
        </w:rPr>
        <w:t>Pittsburgh, PA 15222</w:t>
      </w:r>
    </w:p>
    <w:p>
      <w:pPr>
        <w:ind w:left="3020"/>
        <w:spacing w:after="0"/>
        <w:rPr>
          <w:sz w:val="20"/>
          <w:szCs w:val="20"/>
          <w:color w:val="auto"/>
        </w:rPr>
      </w:pPr>
      <w:r>
        <w:rPr>
          <w:rFonts w:ascii="Times New Roman" w:cs="Times New Roman" w:eastAsia="Times New Roman" w:hAnsi="Times New Roman"/>
          <w:sz w:val="21"/>
          <w:szCs w:val="21"/>
          <w:color w:val="auto"/>
        </w:rPr>
        <w:t>Attention: Agency Services</w:t>
      </w:r>
    </w:p>
    <w:p>
      <w:pPr>
        <w:spacing w:after="0" w:line="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Facsimile: (412) 762-8672</w:t>
      </w:r>
    </w:p>
    <w:p>
      <w:pPr>
        <w:sectPr>
          <w:pgSz w:w="11900" w:h="16838" w:orient="portrait"/>
          <w:cols w:equalWidth="0" w:num="1">
            <w:col w:w="9019"/>
          </w:cols>
          <w:pgMar w:left="1440" w:top="355" w:right="1440" w:bottom="1440" w:gutter="0" w:footer="0" w:header="0"/>
          <w:type w:val="continuous"/>
        </w:sectPr>
      </w:pPr>
    </w:p>
    <w:p>
      <w:pPr>
        <w:spacing w:after="0" w:line="209" w:lineRule="exact"/>
        <w:rPr>
          <w:sz w:val="20"/>
          <w:szCs w:val="20"/>
          <w:color w:val="auto"/>
        </w:rPr>
      </w:pPr>
    </w:p>
    <w:p>
      <w:pPr>
        <w:ind w:left="180" w:right="69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notice, request or demand to or upon the Agent, the Swing Line Bank or the Banks pursuant to Sections 2.1, 2.2, 2.8 or 2.9 shall not be effective until received.</w:t>
      </w:r>
    </w:p>
    <w:p>
      <w:pPr>
        <w:spacing w:after="0" w:line="135"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39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(a)</w:t>
            </w:r>
          </w:p>
        </w:tc>
        <w:tc>
          <w:tcPr>
            <w:tcW w:w="4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Electronic Communications. Notices and other</w:t>
            </w:r>
          </w:p>
        </w:tc>
      </w:tr>
      <w:tr>
        <w:trPr>
          <w:trHeight w:val="260"/>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w w:val="98"/>
              </w:rPr>
              <w:t>communications to the Banks hereunder may</w:t>
            </w:r>
          </w:p>
        </w:tc>
        <w:tc>
          <w:tcPr>
            <w:tcW w:w="2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5"/>
              </w:rPr>
              <w:t>be delivered or furnished by</w:t>
            </w:r>
          </w:p>
        </w:tc>
        <w:tc>
          <w:tcPr>
            <w:tcW w:w="1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electronic</w:t>
            </w:r>
          </w:p>
        </w:tc>
      </w:tr>
    </w:tbl>
    <w:p>
      <w:pPr>
        <w:ind w:left="180" w:right="279"/>
        <w:spacing w:after="0" w:line="232" w:lineRule="auto"/>
        <w:rPr>
          <w:sz w:val="20"/>
          <w:szCs w:val="20"/>
          <w:color w:val="auto"/>
        </w:rPr>
      </w:pPr>
      <w:r>
        <w:rPr>
          <w:rFonts w:ascii="Times New Roman" w:cs="Times New Roman" w:eastAsia="Times New Roman" w:hAnsi="Times New Roman"/>
          <w:sz w:val="22"/>
          <w:szCs w:val="22"/>
          <w:color w:val="auto"/>
        </w:rPr>
        <w:t xml:space="preserve">communication (including e-mail and Internet or intranet websites) pursuant to procedures approved by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Bank pursuant to Article 2 if such Bank, as applicable,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1" w:lineRule="exact"/>
        <w:rPr>
          <w:sz w:val="20"/>
          <w:szCs w:val="20"/>
          <w:color w:val="auto"/>
        </w:rPr>
      </w:pPr>
    </w:p>
    <w:p>
      <w:pPr>
        <w:ind w:left="180" w:right="299"/>
        <w:spacing w:after="0" w:line="236" w:lineRule="auto"/>
        <w:rPr>
          <w:sz w:val="20"/>
          <w:szCs w:val="20"/>
          <w:color w:val="auto"/>
        </w:rPr>
      </w:pPr>
      <w:r>
        <w:rPr>
          <w:rFonts w:ascii="Times New Roman" w:cs="Times New Roman" w:eastAsia="Times New Roman" w:hAnsi="Times New Roman"/>
          <w:sz w:val="22"/>
          <w:szCs w:val="22"/>
          <w:color w:val="auto"/>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36" w:name="page137"/>
    <w:bookmarkEnd w:id="136"/>
    <w:p>
      <w:pPr>
        <w:ind w:left="180" w:right="239"/>
        <w:spacing w:after="0" w:line="239" w:lineRule="auto"/>
        <w:rPr>
          <w:sz w:val="20"/>
          <w:szCs w:val="20"/>
          <w:color w:val="auto"/>
        </w:rPr>
      </w:pPr>
      <w:r>
        <w:rPr>
          <w:rFonts w:ascii="Times New Roman" w:cs="Times New Roman" w:eastAsia="Times New Roman" w:hAnsi="Times New Roman"/>
          <w:sz w:val="22"/>
          <w:szCs w:val="22"/>
          <w:color w:val="auto"/>
        </w:rPr>
        <w:t xml:space="preserve">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0" w:lineRule="exact"/>
        <w:rPr>
          <w:sz w:val="20"/>
          <w:szCs w:val="20"/>
          <w:color w:val="auto"/>
        </w:rPr>
      </w:pPr>
    </w:p>
    <w:p>
      <w:pPr>
        <w:ind w:left="180" w:right="219" w:firstLine="1944"/>
        <w:spacing w:after="0" w:line="24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Any party hereto may change its address or facsimile number for notices and other communications hereunder by notice to the other parties hereto.</w:t>
      </w:r>
    </w:p>
    <w:p>
      <w:pPr>
        <w:spacing w:after="0" w:line="173" w:lineRule="exact"/>
        <w:rPr>
          <w:sz w:val="20"/>
          <w:szCs w:val="20"/>
          <w:color w:val="auto"/>
        </w:rPr>
      </w:pPr>
    </w:p>
    <w:p>
      <w:pPr>
        <w:ind w:left="2120"/>
        <w:spacing w:after="0"/>
        <w:tabs>
          <w:tab w:leader="none" w:pos="4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80" w:right="199" w:firstLine="1296"/>
        <w:spacing w:after="0" w:line="244" w:lineRule="auto"/>
        <w:tabs>
          <w:tab w:leader="none" w:pos="407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Agent may, but shall not be obligated to, make the Communications (as defined below) available to the Banks by posting the Communications on the Platform.</w:t>
      </w:r>
    </w:p>
    <w:p>
      <w:pPr>
        <w:spacing w:after="0" w:line="173" w:lineRule="exact"/>
        <w:rPr>
          <w:rFonts w:ascii="Times New Roman" w:cs="Times New Roman" w:eastAsia="Times New Roman" w:hAnsi="Times New Roman"/>
          <w:sz w:val="22"/>
          <w:szCs w:val="22"/>
          <w:color w:val="auto"/>
        </w:rPr>
      </w:pPr>
    </w:p>
    <w:p>
      <w:pPr>
        <w:ind w:left="1480" w:right="299" w:firstLine="1296"/>
        <w:spacing w:after="0" w:line="243" w:lineRule="auto"/>
        <w:tabs>
          <w:tab w:leader="none" w:pos="406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the Borrower, any Bank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the Borrower pursuant to this Agreement or any other Loan Document or the transactions contemplated herein or therein which is distributed to the Agent, any Bank by means of electronic communications pursuant to this Section, including through the Platform.</w:t>
      </w:r>
    </w:p>
    <w:p>
      <w:pPr>
        <w:spacing w:after="0" w:line="189"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No Waiver; Cumulative Remedies</w:t>
      </w:r>
      <w:r>
        <w:rPr>
          <w:rFonts w:ascii="Times New Roman" w:cs="Times New Roman" w:eastAsia="Times New Roman" w:hAnsi="Times New Roman"/>
          <w:sz w:val="21"/>
          <w:szCs w:val="21"/>
          <w:color w:val="auto"/>
        </w:rPr>
        <w:t>. No failure to exercise and no delay in</w:t>
      </w:r>
    </w:p>
    <w:p>
      <w:pPr>
        <w:spacing w:after="0" w:line="14" w:lineRule="exact"/>
        <w:rPr>
          <w:sz w:val="20"/>
          <w:szCs w:val="20"/>
          <w:color w:val="auto"/>
        </w:rPr>
      </w:pPr>
    </w:p>
    <w:p>
      <w:pPr>
        <w:ind w:left="180" w:right="319"/>
        <w:spacing w:after="0" w:line="232" w:lineRule="auto"/>
        <w:rPr>
          <w:sz w:val="20"/>
          <w:szCs w:val="20"/>
          <w:color w:val="auto"/>
        </w:rPr>
      </w:pPr>
      <w:r>
        <w:rPr>
          <w:rFonts w:ascii="Times New Roman" w:cs="Times New Roman" w:eastAsia="Times New Roman" w:hAnsi="Times New Roman"/>
          <w:sz w:val="22"/>
          <w:szCs w:val="22"/>
          <w:color w:val="auto"/>
        </w:rPr>
        <w:t>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left="180" w:right="35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made hereunder and in any document, certificate or statement delivered pursuant hereto or in connection herewith shall survive the execution and delivery of this Agreement, the Notes and the other Loan Documents.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7" w:name="page138"/>
    <w:bookmarkEnd w:id="137"/>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u w:val="single" w:color="auto"/>
          <w:color w:val="auto"/>
        </w:rPr>
        <w:t>Payment of Expenses and Taxes</w:t>
      </w:r>
      <w:r>
        <w:rPr>
          <w:rFonts w:ascii="Times New Roman" w:cs="Times New Roman" w:eastAsia="Times New Roman" w:hAnsi="Times New Roman"/>
          <w:sz w:val="21"/>
          <w:szCs w:val="21"/>
          <w:color w:val="auto"/>
        </w:rPr>
        <w:t>. The Borrower agrees (a) to pay or reimburse the</w:t>
      </w:r>
    </w:p>
    <w:p>
      <w:pPr>
        <w:spacing w:after="0" w:line="18" w:lineRule="exact"/>
        <w:rPr>
          <w:sz w:val="20"/>
          <w:szCs w:val="20"/>
          <w:color w:val="auto"/>
        </w:rPr>
      </w:pPr>
    </w:p>
    <w:p>
      <w:pPr>
        <w:ind w:left="180"/>
        <w:spacing w:after="0" w:line="253" w:lineRule="exact"/>
        <w:rPr>
          <w:sz w:val="20"/>
          <w:szCs w:val="20"/>
          <w:color w:val="auto"/>
        </w:rPr>
      </w:pPr>
      <w:r>
        <w:rPr>
          <w:rFonts w:ascii="Times New Roman" w:cs="Times New Roman" w:eastAsia="Times New Roman" w:hAnsi="Times New Roman"/>
          <w:sz w:val="22"/>
          <w:szCs w:val="22"/>
          <w:color w:val="auto"/>
        </w:rPr>
        <w:t>Agent for all of its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costs and expenses incurred in connection with any</w:t>
      </w:r>
    </w:p>
    <w:p>
      <w:pPr>
        <w:ind w:left="180"/>
        <w:spacing w:after="0" w:line="230" w:lineRule="auto"/>
        <w:rPr>
          <w:sz w:val="20"/>
          <w:szCs w:val="20"/>
          <w:color w:val="auto"/>
        </w:rPr>
      </w:pPr>
      <w:r>
        <w:rPr>
          <w:rFonts w:ascii="Times New Roman" w:cs="Times New Roman" w:eastAsia="Times New Roman" w:hAnsi="Times New Roman"/>
          <w:sz w:val="22"/>
          <w:szCs w:val="22"/>
          <w:color w:val="auto"/>
        </w:rPr>
        <w:t>amendment, supplement or modification to this Agreement, the Notes, the other Loan Documents</w:t>
      </w:r>
    </w:p>
    <w:p>
      <w:pPr>
        <w:ind w:left="180"/>
        <w:spacing w:after="0" w:line="231" w:lineRule="auto"/>
        <w:rPr>
          <w:sz w:val="20"/>
          <w:szCs w:val="20"/>
          <w:color w:val="auto"/>
        </w:rPr>
      </w:pPr>
      <w:r>
        <w:rPr>
          <w:rFonts w:ascii="Times New Roman" w:cs="Times New Roman" w:eastAsia="Times New Roman" w:hAnsi="Times New Roman"/>
          <w:sz w:val="22"/>
          <w:szCs w:val="22"/>
          <w:color w:val="auto"/>
        </w:rPr>
        <w:t>and any other documents prepared in connection therewith, including, without limitation, the</w:t>
      </w:r>
    </w:p>
    <w:p>
      <w:pPr>
        <w:ind w:left="180"/>
        <w:spacing w:after="0"/>
        <w:rPr>
          <w:sz w:val="20"/>
          <w:szCs w:val="20"/>
          <w:color w:val="auto"/>
        </w:rPr>
      </w:pPr>
      <w:r>
        <w:rPr>
          <w:rFonts w:ascii="Times New Roman" w:cs="Times New Roman" w:eastAsia="Times New Roman" w:hAnsi="Times New Roman"/>
          <w:sz w:val="21"/>
          <w:szCs w:val="21"/>
          <w:color w:val="auto"/>
        </w:rPr>
        <w:t>reasonable fees and disbursements of counsel to the Agent (which counsel may or may not include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employees of the Agent), (b) to pay or reimburse each Bank and the Agent for all of their costs and</w:t>
      </w:r>
    </w:p>
    <w:p>
      <w:pPr>
        <w:ind w:left="180"/>
        <w:spacing w:after="0" w:line="231" w:lineRule="auto"/>
        <w:rPr>
          <w:sz w:val="20"/>
          <w:szCs w:val="20"/>
          <w:color w:val="auto"/>
        </w:rPr>
      </w:pPr>
      <w:r>
        <w:rPr>
          <w:rFonts w:ascii="Times New Roman" w:cs="Times New Roman" w:eastAsia="Times New Roman" w:hAnsi="Times New Roman"/>
          <w:sz w:val="22"/>
          <w:szCs w:val="22"/>
          <w:color w:val="auto"/>
        </w:rPr>
        <w:t>expenses incurred in connection with the enforcement or preservation of any rights under this</w:t>
      </w:r>
    </w:p>
    <w:p>
      <w:pPr>
        <w:ind w:left="180"/>
        <w:spacing w:after="0" w:line="231" w:lineRule="auto"/>
        <w:rPr>
          <w:sz w:val="20"/>
          <w:szCs w:val="20"/>
          <w:color w:val="auto"/>
        </w:rPr>
      </w:pPr>
      <w:r>
        <w:rPr>
          <w:rFonts w:ascii="Times New Roman" w:cs="Times New Roman" w:eastAsia="Times New Roman" w:hAnsi="Times New Roman"/>
          <w:sz w:val="22"/>
          <w:szCs w:val="22"/>
          <w:color w:val="auto"/>
        </w:rPr>
        <w:t>Agreement, the other Loan Documents and any such other documents, including, without</w:t>
      </w:r>
    </w:p>
    <w:p>
      <w:pPr>
        <w:ind w:left="180"/>
        <w:spacing w:after="0" w:line="231" w:lineRule="auto"/>
        <w:rPr>
          <w:sz w:val="20"/>
          <w:szCs w:val="20"/>
          <w:color w:val="auto"/>
        </w:rPr>
      </w:pPr>
      <w:r>
        <w:rPr>
          <w:rFonts w:ascii="Times New Roman" w:cs="Times New Roman" w:eastAsia="Times New Roman" w:hAnsi="Times New Roman"/>
          <w:sz w:val="22"/>
          <w:szCs w:val="22"/>
          <w:color w:val="auto"/>
        </w:rPr>
        <w:t>limitation, reasonable fees and disbursements of counsel to the Agent (which counsel may or may</w:t>
      </w:r>
    </w:p>
    <w:p>
      <w:pPr>
        <w:ind w:left="180"/>
        <w:spacing w:after="0" w:line="230" w:lineRule="auto"/>
        <w:rPr>
          <w:sz w:val="20"/>
          <w:szCs w:val="20"/>
          <w:color w:val="auto"/>
        </w:rPr>
      </w:pPr>
      <w:r>
        <w:rPr>
          <w:rFonts w:ascii="Times New Roman" w:cs="Times New Roman" w:eastAsia="Times New Roman" w:hAnsi="Times New Roman"/>
          <w:sz w:val="22"/>
          <w:szCs w:val="22"/>
          <w:color w:val="auto"/>
        </w:rPr>
        <w:t>not include employees of the Agent) and to the several Banks, and (c) to pay, indemnify, and hold</w:t>
      </w:r>
    </w:p>
    <w:p>
      <w:pPr>
        <w:ind w:left="180"/>
        <w:spacing w:after="0" w:line="231" w:lineRule="auto"/>
        <w:rPr>
          <w:sz w:val="20"/>
          <w:szCs w:val="20"/>
          <w:color w:val="auto"/>
        </w:rPr>
      </w:pPr>
      <w:r>
        <w:rPr>
          <w:rFonts w:ascii="Times New Roman" w:cs="Times New Roman" w:eastAsia="Times New Roman" w:hAnsi="Times New Roman"/>
          <w:sz w:val="22"/>
          <w:szCs w:val="22"/>
          <w:color w:val="auto"/>
        </w:rPr>
        <w:t>each Bank and the Agent harmless from, any and all recording and filing fees and any and all</w:t>
      </w:r>
    </w:p>
    <w:p>
      <w:pPr>
        <w:ind w:left="180"/>
        <w:spacing w:after="0" w:line="230" w:lineRule="auto"/>
        <w:rPr>
          <w:sz w:val="20"/>
          <w:szCs w:val="20"/>
          <w:color w:val="auto"/>
        </w:rPr>
      </w:pPr>
      <w:r>
        <w:rPr>
          <w:rFonts w:ascii="Times New Roman" w:cs="Times New Roman" w:eastAsia="Times New Roman" w:hAnsi="Times New Roman"/>
          <w:sz w:val="22"/>
          <w:szCs w:val="22"/>
          <w:color w:val="auto"/>
        </w:rPr>
        <w:t>liabilities with respect to, or resulting from any delay in paying, stamp, excise and other similar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taxes, if any (other than Taxes expressly excluded from the definition of Taxes in Section 2.12 and</w:t>
      </w:r>
    </w:p>
    <w:p>
      <w:pPr>
        <w:ind w:left="180"/>
        <w:spacing w:after="0" w:line="231" w:lineRule="auto"/>
        <w:rPr>
          <w:sz w:val="20"/>
          <w:szCs w:val="20"/>
          <w:color w:val="auto"/>
        </w:rPr>
      </w:pPr>
      <w:r>
        <w:rPr>
          <w:rFonts w:ascii="Times New Roman" w:cs="Times New Roman" w:eastAsia="Times New Roman" w:hAnsi="Times New Roman"/>
          <w:sz w:val="22"/>
          <w:szCs w:val="22"/>
          <w:color w:val="auto"/>
        </w:rPr>
        <w:t>Taxes for which the Borrower has no liability under subsection 2.12(c)) which may be payable or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determined to be payable in connection with the execution and delivery of, or consummation of any</w:t>
      </w:r>
    </w:p>
    <w:p>
      <w:pPr>
        <w:ind w:left="180"/>
        <w:spacing w:after="0" w:line="231" w:lineRule="auto"/>
        <w:rPr>
          <w:sz w:val="20"/>
          <w:szCs w:val="20"/>
          <w:color w:val="auto"/>
        </w:rPr>
      </w:pPr>
      <w:r>
        <w:rPr>
          <w:rFonts w:ascii="Times New Roman" w:cs="Times New Roman" w:eastAsia="Times New Roman" w:hAnsi="Times New Roman"/>
          <w:sz w:val="22"/>
          <w:szCs w:val="22"/>
          <w:color w:val="auto"/>
        </w:rPr>
        <w:t>of the transactions contemplated by, or any amendment, supplement or modification of, or any</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waiver or consent under or in respect of, this Agreement, the Notes, the other Loan Documents, and</w:t>
      </w:r>
    </w:p>
    <w:p>
      <w:pPr>
        <w:ind w:left="180"/>
        <w:spacing w:after="0" w:line="231" w:lineRule="auto"/>
        <w:rPr>
          <w:sz w:val="20"/>
          <w:szCs w:val="20"/>
          <w:color w:val="auto"/>
        </w:rPr>
      </w:pPr>
      <w:r>
        <w:rPr>
          <w:rFonts w:ascii="Times New Roman" w:cs="Times New Roman" w:eastAsia="Times New Roman" w:hAnsi="Times New Roman"/>
          <w:sz w:val="22"/>
          <w:szCs w:val="22"/>
          <w:color w:val="auto"/>
        </w:rPr>
        <w:t>any such other documents, and (d) to pay, indemnify, and hold each Bank and the Agent harmless</w:t>
      </w:r>
    </w:p>
    <w:p>
      <w:pPr>
        <w:ind w:left="180"/>
        <w:spacing w:after="0" w:line="231" w:lineRule="auto"/>
        <w:rPr>
          <w:sz w:val="20"/>
          <w:szCs w:val="20"/>
          <w:color w:val="auto"/>
        </w:rPr>
      </w:pPr>
      <w:r>
        <w:rPr>
          <w:rFonts w:ascii="Times New Roman" w:cs="Times New Roman" w:eastAsia="Times New Roman" w:hAnsi="Times New Roman"/>
          <w:sz w:val="22"/>
          <w:szCs w:val="22"/>
          <w:color w:val="auto"/>
        </w:rPr>
        <w:t>from and against any and all other liabilities, obligations, losses, damages, penalties, actions,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judgments, suits, costs, expenses or disbursements of any kind or nature whatsoever with respect to</w:t>
      </w:r>
    </w:p>
    <w:p>
      <w:pPr>
        <w:ind w:left="180"/>
        <w:spacing w:after="0" w:line="231" w:lineRule="auto"/>
        <w:rPr>
          <w:sz w:val="20"/>
          <w:szCs w:val="20"/>
          <w:color w:val="auto"/>
        </w:rPr>
      </w:pPr>
      <w:r>
        <w:rPr>
          <w:rFonts w:ascii="Times New Roman" w:cs="Times New Roman" w:eastAsia="Times New Roman" w:hAnsi="Times New Roman"/>
          <w:sz w:val="22"/>
          <w:szCs w:val="22"/>
          <w:color w:val="auto"/>
        </w:rPr>
        <w:t>the execution, delivery, enforcement, and, incident to a Default or Event of Default,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performance and administration, of this Agreement, the Notes, the other Loan Documents and any</w:t>
      </w:r>
    </w:p>
    <w:p>
      <w:pPr>
        <w:ind w:left="180"/>
        <w:spacing w:after="0" w:line="231" w:lineRule="auto"/>
        <w:rPr>
          <w:sz w:val="20"/>
          <w:szCs w:val="20"/>
          <w:color w:val="auto"/>
        </w:rPr>
      </w:pPr>
      <w:r>
        <w:rPr>
          <w:rFonts w:ascii="Times New Roman" w:cs="Times New Roman" w:eastAsia="Times New Roman" w:hAnsi="Times New Roman"/>
          <w:sz w:val="22"/>
          <w:szCs w:val="22"/>
          <w:color w:val="auto"/>
        </w:rPr>
        <w:t>such other documents or the transactions contemplated hereby or thereby or any action taken or</w:t>
      </w:r>
    </w:p>
    <w:p>
      <w:pPr>
        <w:ind w:left="180"/>
        <w:spacing w:after="0" w:line="231" w:lineRule="auto"/>
        <w:rPr>
          <w:sz w:val="20"/>
          <w:szCs w:val="20"/>
          <w:color w:val="auto"/>
        </w:rPr>
      </w:pPr>
      <w:r>
        <w:rPr>
          <w:rFonts w:ascii="Times New Roman" w:cs="Times New Roman" w:eastAsia="Times New Roman" w:hAnsi="Times New Roman"/>
          <w:sz w:val="22"/>
          <w:szCs w:val="22"/>
          <w:color w:val="auto"/>
        </w:rPr>
        <w:t>omitted under or in connection with any of the foregoing (all the foregoing, collectively, the</w:t>
      </w:r>
    </w:p>
    <w:p>
      <w:pPr>
        <w:ind w:left="18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shall have no obligation hereunder to the</w:t>
      </w:r>
    </w:p>
    <w:p>
      <w:pPr>
        <w:ind w:left="180"/>
        <w:spacing w:after="0" w:line="230" w:lineRule="auto"/>
        <w:rPr>
          <w:sz w:val="20"/>
          <w:szCs w:val="20"/>
          <w:color w:val="auto"/>
        </w:rPr>
      </w:pPr>
      <w:r>
        <w:rPr>
          <w:rFonts w:ascii="Times New Roman" w:cs="Times New Roman" w:eastAsia="Times New Roman" w:hAnsi="Times New Roman"/>
          <w:sz w:val="22"/>
          <w:szCs w:val="22"/>
          <w:color w:val="auto"/>
        </w:rPr>
        <w:t>Agent or any Bank with respect to indemnified liabilities arising from the gross negligence or</w:t>
      </w:r>
    </w:p>
    <w:p>
      <w:pPr>
        <w:ind w:left="180"/>
        <w:spacing w:after="0" w:line="231" w:lineRule="auto"/>
        <w:rPr>
          <w:sz w:val="20"/>
          <w:szCs w:val="20"/>
          <w:color w:val="auto"/>
        </w:rPr>
      </w:pPr>
      <w:r>
        <w:rPr>
          <w:rFonts w:ascii="Times New Roman" w:cs="Times New Roman" w:eastAsia="Times New Roman" w:hAnsi="Times New Roman"/>
          <w:sz w:val="22"/>
          <w:szCs w:val="22"/>
          <w:color w:val="auto"/>
        </w:rPr>
        <w:t>willful misconduct of the Agent or any such Bank. The Borrower shall be given notice of any</w:t>
      </w:r>
    </w:p>
    <w:p>
      <w:pPr>
        <w:ind w:left="180"/>
        <w:spacing w:after="0"/>
        <w:rPr>
          <w:sz w:val="20"/>
          <w:szCs w:val="20"/>
          <w:color w:val="auto"/>
        </w:rPr>
      </w:pPr>
      <w:r>
        <w:rPr>
          <w:rFonts w:ascii="Times New Roman" w:cs="Times New Roman" w:eastAsia="Times New Roman" w:hAnsi="Times New Roman"/>
          <w:sz w:val="21"/>
          <w:szCs w:val="21"/>
          <w:color w:val="auto"/>
        </w:rPr>
        <w:t>claim for indemnified liabilities and shall be afforded a reasonable opportunity to participate in the</w:t>
      </w:r>
    </w:p>
    <w:p>
      <w:pPr>
        <w:ind w:left="180"/>
        <w:spacing w:after="0" w:line="231" w:lineRule="auto"/>
        <w:rPr>
          <w:sz w:val="20"/>
          <w:szCs w:val="20"/>
          <w:color w:val="auto"/>
        </w:rPr>
      </w:pPr>
      <w:r>
        <w:rPr>
          <w:rFonts w:ascii="Times New Roman" w:cs="Times New Roman" w:eastAsia="Times New Roman" w:hAnsi="Times New Roman"/>
          <w:sz w:val="22"/>
          <w:szCs w:val="22"/>
          <w:color w:val="auto"/>
        </w:rPr>
        <w:t>defense, compromise or settlement thereof. The agreements in this subsection shall survive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repayment of the Notes and all other amounts payable hereunder.</w:t>
      </w:r>
    </w:p>
    <w:p>
      <w:pPr>
        <w:spacing w:after="0" w:line="182"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To the fullest extent permitted by applicable law, none of the parties hereto shall assert, or permit any of its controlled Affiliates to assert, and each party hereto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provided that nothing in this paragraph shall limit the Borrower’s indemnity and reimbursement obligations set forth in this Section 9.5,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179" w:lineRule="exact"/>
        <w:rPr>
          <w:sz w:val="20"/>
          <w:szCs w:val="20"/>
          <w:color w:val="auto"/>
        </w:rPr>
      </w:pPr>
    </w:p>
    <w:p>
      <w:pPr>
        <w:ind w:left="180" w:right="37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 Whenever in this Agreement any of the parties hereto is referred to, such reference shall be deemed to include the successors and assigns of such party, and all covenants, promises and agreements by or on behalf of the Borrower, the Agent or the Banks that are contained in this Agreement shall bind and inure to the benefit of their respective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8" w:name="page139"/>
    <w:bookmarkEnd w:id="138"/>
    <w:p>
      <w:pPr>
        <w:ind w:left="180" w:right="239"/>
        <w:spacing w:after="0" w:line="282" w:lineRule="auto"/>
        <w:rPr>
          <w:sz w:val="20"/>
          <w:szCs w:val="20"/>
          <w:color w:val="auto"/>
        </w:rPr>
      </w:pPr>
      <w:r>
        <w:rPr>
          <w:rFonts w:ascii="Times New Roman" w:cs="Times New Roman" w:eastAsia="Times New Roman" w:hAnsi="Times New Roman"/>
          <w:sz w:val="21"/>
          <w:szCs w:val="21"/>
          <w:color w:val="auto"/>
        </w:rPr>
        <w:t>successors and assigns. The Borrower may not assign or transfer any of its rights or obligations under this Agreement or the other Loan Documents without the prior written consent of each Bank.</w:t>
      </w:r>
    </w:p>
    <w:p>
      <w:pPr>
        <w:spacing w:after="0" w:line="135" w:lineRule="exact"/>
        <w:rPr>
          <w:sz w:val="20"/>
          <w:szCs w:val="20"/>
          <w:color w:val="auto"/>
        </w:rPr>
      </w:pPr>
    </w:p>
    <w:p>
      <w:pPr>
        <w:ind w:left="180" w:right="199" w:firstLine="1944"/>
        <w:spacing w:after="0" w:line="243" w:lineRule="auto"/>
        <w:rPr>
          <w:sz w:val="20"/>
          <w:szCs w:val="20"/>
          <w:color w:val="auto"/>
        </w:rPr>
      </w:pPr>
      <w:r>
        <w:rPr>
          <w:rFonts w:ascii="Times New Roman" w:cs="Times New Roman" w:eastAsia="Times New Roman" w:hAnsi="Times New Roman"/>
          <w:sz w:val="21"/>
          <w:szCs w:val="21"/>
          <w:color w:val="auto"/>
        </w:rPr>
        <w:t xml:space="preserve">(b) Each Bank may, in accordance with applicable law, assign all or a portion of its interests, rights and obligations under this Agreement and the other Loan Documents (including all or a portion of its Commitment or the Swing Line Commitment, and the Loans at the time owing to it and the Notes held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each such assignment shall be to a Bank or Affiliate thereof, or, with the consent of the Agent and, prior to the occurrence of an Event of Default, of the Borrower (each such consent not to be unreasonably withheld or delayed) to one or more banks or other financial institutions, (ii) so long as the Commitments are in effect, the amount of each such assignment (determined as of the date the Assignment and Acceptance with respect to such assignment is delivered to the Agent) shall not be less than $5,000,000, (iii) the parties to each such assignment shall execute and deliver to the Agent an Assignment and Acceptance, together with the Note or Notes subject to such assignment and a processing and recordation fee of $3,500 (except in the case of an assignment by any Bank to one of its Affiliates), (iv) any assignment of the Swing Line Commitment may be made only to a Bank which holds a Commitment hereunder and must be of the entire Swing Line Commitment and</w:t>
      </w:r>
    </w:p>
    <w:p>
      <w:pPr>
        <w:spacing w:after="0" w:line="3" w:lineRule="exact"/>
        <w:rPr>
          <w:sz w:val="20"/>
          <w:szCs w:val="20"/>
          <w:color w:val="auto"/>
        </w:rPr>
      </w:pPr>
    </w:p>
    <w:p>
      <w:pPr>
        <w:ind w:left="180" w:right="299" w:firstLine="4"/>
        <w:spacing w:after="0" w:line="242" w:lineRule="auto"/>
        <w:tabs>
          <w:tab w:leader="none" w:pos="48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assignment of Revolving Credit Loans and all or any portion of a Bank’s Commitment shall be of a constant, and not a varying, percentage of the assigning Bank’s Commitment and Revolving Credit Loans then outstanding. Upon acceptance and recording pursuant to paragraph (d) of this Section 9.6, from and after the effective date specified in each Assignment and Acceptance, which effective date shall be at least five Business Days after the execution thereof, (A) the assignee thereunder shall be a party hereto and, to the extent of the interest assigned by such Assignment and Acceptance, have the rights and obligations of a Bank under this Agreement and (B) the assigning Bank thereunder shall, to the extent of the interest assigned by such Assignment and Acceptance, be released from its obligations under this Agreement (and, in the case of an Assignment and Acceptance covering all or the remaining portion of an assigning Bank’s rights and obligations under this Agreement, such Bank shall cease to be a party hereto but shall continue to be entitled to the benefits of Sections 2.11, 2.12, 2.13 and 9.5 (to the extent that such Bank’s entitlement to such benefits arose out of such Bank’s position as a Bank prior to the applicable assignment)). Notwithstanding any provision of this subsection 9.6, after the Commitments and the Swing Line Commitments have been terminated, any Bank may assign all or any portion of its interests, rights and obligations under this Agreement and the other Loan Documents to any Person (whether or not an entity described in clause (i) above).</w:t>
      </w:r>
    </w:p>
    <w:p>
      <w:pPr>
        <w:spacing w:after="0" w:line="184" w:lineRule="exact"/>
        <w:rPr>
          <w:sz w:val="20"/>
          <w:szCs w:val="20"/>
          <w:color w:val="auto"/>
        </w:rPr>
      </w:pPr>
    </w:p>
    <w:p>
      <w:pPr>
        <w:ind w:left="180" w:right="239" w:firstLine="1944"/>
        <w:spacing w:after="0"/>
        <w:rPr>
          <w:sz w:val="20"/>
          <w:szCs w:val="20"/>
          <w:color w:val="auto"/>
        </w:rPr>
      </w:pPr>
      <w:r>
        <w:rPr>
          <w:rFonts w:ascii="Times New Roman" w:cs="Times New Roman" w:eastAsia="Times New Roman" w:hAnsi="Times New Roman"/>
          <w:sz w:val="22"/>
          <w:szCs w:val="22"/>
          <w:color w:val="auto"/>
        </w:rPr>
        <w:t>(c) By executing and delivering an Assignment and Acceptance,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and/or the Swing Line Commitment, as the case may be, and the outstanding balances of its Loans, in each case without giving effect to assignments thereof which have not become effective, are as set forth in such Assignment and Acceptance, (ii) except as set forth in (i) above, such assigning Bank makes no representation or warranty and assumes no responsibility with respect to any statements, warranties or representations made in or in connection with this Agreement or the other Loan Documents, or the execution, legality,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9" w:name="page140"/>
    <w:bookmarkEnd w:id="139"/>
    <w:p>
      <w:pPr>
        <w:ind w:left="180" w:right="259"/>
        <w:spacing w:after="0" w:line="247" w:lineRule="auto"/>
        <w:rPr>
          <w:sz w:val="20"/>
          <w:szCs w:val="20"/>
          <w:color w:val="auto"/>
        </w:rPr>
      </w:pPr>
      <w:r>
        <w:rPr>
          <w:rFonts w:ascii="Times New Roman" w:cs="Times New Roman" w:eastAsia="Times New Roman" w:hAnsi="Times New Roman"/>
          <w:sz w:val="21"/>
          <w:szCs w:val="21"/>
          <w:color w:val="auto"/>
        </w:rPr>
        <w:t>validity, enforceability, genuineness, sufficiency or value of this Agreement or the other Loan Documents, or any other instrument or document furnished pursuant hereto or thereto, or the financial condition of the Borrower or the performance or observance by the Borrower of any of its obligations under this Agreement or any other instrument or document furnished pursuant hereto;</w:t>
      </w:r>
    </w:p>
    <w:p>
      <w:pPr>
        <w:spacing w:after="0" w:line="2" w:lineRule="exact"/>
        <w:rPr>
          <w:sz w:val="20"/>
          <w:szCs w:val="20"/>
          <w:color w:val="auto"/>
        </w:rPr>
      </w:pPr>
    </w:p>
    <w:p>
      <w:pPr>
        <w:ind w:left="180" w:right="199" w:firstLine="4"/>
        <w:spacing w:after="0" w:line="231" w:lineRule="auto"/>
        <w:tabs>
          <w:tab w:leader="none" w:pos="55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assignee represents and warrants that it is legally authorized to enter into such Assignment and Acceptance; (iv) such assignee confirms that it has received a copy of this Agreement, together with copies of the most recent financial statements delivered pursuant to Section 5.1 and such other documents and information as it has deemed appropriate to make its own credit analysis and decision to enter into such Assignment and Acceptance; (v) such assignee will independently and without reliance upon the Agent, such assigning Bank or any other Bank and based on such documents and information as it shall deem appropriate at the time, continue to make its own credit decisions in taking or not taking action under this Agreement; (vi) such assignee appoints and authorizes the Agent to take such action as agent on its behalf and to exercise such powers under this Agreement as are delegated to the Agent by the terms hereof, together with such powers as are reasonably incidental thereto; and (vii) such assignee agrees that it will perform in accordance with their terms all the obligations which by the terms of this Agreement are required to be performed by it as a Bank.</w:t>
      </w:r>
    </w:p>
    <w:p>
      <w:pPr>
        <w:spacing w:after="0" w:line="186"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The Agent shall maintain at its offices in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Philadelphia, Pennsylvania a copy of each Assignment and Acceptance and the names and</w:t>
      </w:r>
    </w:p>
    <w:p>
      <w:pPr>
        <w:ind w:left="180"/>
        <w:spacing w:after="0"/>
        <w:rPr>
          <w:sz w:val="20"/>
          <w:szCs w:val="20"/>
          <w:color w:val="auto"/>
        </w:rPr>
      </w:pPr>
      <w:r>
        <w:rPr>
          <w:rFonts w:ascii="Times New Roman" w:cs="Times New Roman" w:eastAsia="Times New Roman" w:hAnsi="Times New Roman"/>
          <w:sz w:val="21"/>
          <w:szCs w:val="21"/>
          <w:color w:val="auto"/>
        </w:rPr>
        <w:t>addresses of the Banks, and the Commitment and/or the Swing Line Commitment of, and principal</w:t>
      </w:r>
    </w:p>
    <w:p>
      <w:pPr>
        <w:ind w:left="180"/>
        <w:spacing w:after="0" w:line="231" w:lineRule="auto"/>
        <w:rPr>
          <w:sz w:val="20"/>
          <w:szCs w:val="20"/>
          <w:color w:val="auto"/>
        </w:rPr>
      </w:pPr>
      <w:r>
        <w:rPr>
          <w:rFonts w:ascii="Times New Roman" w:cs="Times New Roman" w:eastAsia="Times New Roman" w:hAnsi="Times New Roman"/>
          <w:sz w:val="22"/>
          <w:szCs w:val="22"/>
          <w:color w:val="auto"/>
        </w:rPr>
        <w:t>amount of the Loans owing to, each Bank pursuant to the terms hereof from time to time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in the absence of manifest error and the</w:t>
      </w:r>
    </w:p>
    <w:p>
      <w:pPr>
        <w:ind w:left="180"/>
        <w:spacing w:after="0" w:line="231" w:lineRule="auto"/>
        <w:rPr>
          <w:sz w:val="20"/>
          <w:szCs w:val="20"/>
          <w:color w:val="auto"/>
        </w:rPr>
      </w:pPr>
      <w:r>
        <w:rPr>
          <w:rFonts w:ascii="Times New Roman" w:cs="Times New Roman" w:eastAsia="Times New Roman" w:hAnsi="Times New Roman"/>
          <w:sz w:val="22"/>
          <w:szCs w:val="22"/>
          <w:color w:val="auto"/>
        </w:rPr>
        <w:t>Borrower, the Agent and the Banks may treat each person whose name is recorded in the Register</w:t>
      </w:r>
    </w:p>
    <w:p>
      <w:pPr>
        <w:ind w:left="180"/>
        <w:spacing w:after="0" w:line="231" w:lineRule="auto"/>
        <w:rPr>
          <w:sz w:val="20"/>
          <w:szCs w:val="20"/>
          <w:color w:val="auto"/>
        </w:rPr>
      </w:pPr>
      <w:r>
        <w:rPr>
          <w:rFonts w:ascii="Times New Roman" w:cs="Times New Roman" w:eastAsia="Times New Roman" w:hAnsi="Times New Roman"/>
          <w:sz w:val="22"/>
          <w:szCs w:val="22"/>
          <w:color w:val="auto"/>
        </w:rPr>
        <w:t>pursuant to the terms hereof as a Bank hereunder for all purposes of this Agreement. The Register</w:t>
      </w:r>
    </w:p>
    <w:p>
      <w:pPr>
        <w:ind w:left="180"/>
        <w:spacing w:after="0" w:line="231" w:lineRule="auto"/>
        <w:rPr>
          <w:sz w:val="20"/>
          <w:szCs w:val="20"/>
          <w:color w:val="auto"/>
        </w:rPr>
      </w:pPr>
      <w:r>
        <w:rPr>
          <w:rFonts w:ascii="Times New Roman" w:cs="Times New Roman" w:eastAsia="Times New Roman" w:hAnsi="Times New Roman"/>
          <w:sz w:val="22"/>
          <w:szCs w:val="22"/>
          <w:color w:val="auto"/>
        </w:rPr>
        <w:t>shall be available for inspection by the Borrower and any Bank, at any reasonable time and from</w:t>
      </w:r>
    </w:p>
    <w:p>
      <w:pPr>
        <w:ind w:left="180"/>
        <w:spacing w:after="0"/>
        <w:rPr>
          <w:sz w:val="20"/>
          <w:szCs w:val="20"/>
          <w:color w:val="auto"/>
        </w:rPr>
      </w:pPr>
      <w:r>
        <w:rPr>
          <w:rFonts w:ascii="Times New Roman" w:cs="Times New Roman" w:eastAsia="Times New Roman" w:hAnsi="Times New Roman"/>
          <w:sz w:val="22"/>
          <w:szCs w:val="22"/>
          <w:color w:val="auto"/>
        </w:rPr>
        <w:t>time to time upon reasonable prior notice.</w:t>
      </w:r>
    </w:p>
    <w:p>
      <w:pPr>
        <w:spacing w:after="0" w:line="182" w:lineRule="exact"/>
        <w:rPr>
          <w:sz w:val="20"/>
          <w:szCs w:val="20"/>
          <w:color w:val="auto"/>
        </w:rPr>
      </w:pPr>
    </w:p>
    <w:p>
      <w:pPr>
        <w:ind w:left="180" w:right="199" w:firstLine="1944"/>
        <w:spacing w:after="0" w:line="232" w:lineRule="auto"/>
        <w:rPr>
          <w:sz w:val="20"/>
          <w:szCs w:val="20"/>
          <w:color w:val="auto"/>
        </w:rPr>
      </w:pPr>
      <w:r>
        <w:rPr>
          <w:rFonts w:ascii="Times New Roman" w:cs="Times New Roman" w:eastAsia="Times New Roman" w:hAnsi="Times New Roman"/>
          <w:sz w:val="22"/>
          <w:szCs w:val="22"/>
          <w:color w:val="auto"/>
        </w:rPr>
        <w:t xml:space="preserve">(e) Upon its receipt of a duly completed Assignment and Acceptance executed by an assigning Bank and an assignee together with the Note or Notes subject to such assignment, the processing and recordation fee referred to in paragraph (b) above, the Agent shall (i) accept such Assignment and Acceptance, (ii) record the information contained therein in the Register and (iii) give prompt notice thereof to the Banks. Within five Business Days after receipt of notice, the Borrower, at its own expense, shall execute and deliver to the Agent, in exchange for the surrendered original Note(s), (x) a new Revolving Credit Note to the order of such assignee in an amount equal to the portion of the Commitment assumed by it pursuant to such Assignment and Acceptance and, if applicable, a new Swing Line Note to the order of such assignee in an amount equal to the Swing Line Commitment and, (y) if the assigning Bank has retained a Commitment, a new Revolving Credit Note to the order of such assigning Bank in a principal amount equal to the applicable Commitment retained by it. Such new Notes shall be in an aggregate principal amount equal to the aggregate principal amount of such surrendered Notes; such new Notes shall be dated the date of the surrendered Notes which they replace and shall otherwise be in substantially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hereto, as appropriate. Canceled Notes shall be returned to the Borrower.</w:t>
      </w:r>
    </w:p>
    <w:p>
      <w:pPr>
        <w:spacing w:after="0" w:line="191" w:lineRule="exact"/>
        <w:rPr>
          <w:sz w:val="20"/>
          <w:szCs w:val="20"/>
          <w:color w:val="auto"/>
        </w:rPr>
      </w:pPr>
    </w:p>
    <w:p>
      <w:pPr>
        <w:ind w:left="180" w:right="239" w:firstLine="1944"/>
        <w:spacing w:after="0" w:line="246" w:lineRule="auto"/>
        <w:rPr>
          <w:sz w:val="20"/>
          <w:szCs w:val="20"/>
          <w:color w:val="auto"/>
        </w:rPr>
      </w:pPr>
      <w:r>
        <w:rPr>
          <w:rFonts w:ascii="Times New Roman" w:cs="Times New Roman" w:eastAsia="Times New Roman" w:hAnsi="Times New Roman"/>
          <w:sz w:val="22"/>
          <w:szCs w:val="22"/>
          <w:color w:val="auto"/>
        </w:rPr>
        <w:t>(f) Each Bank may without the consent of the Borrower or the Agent sell participations to one or more banks or other entities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in all or a portion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0" w:name="page141"/>
    <w:bookmarkEnd w:id="140"/>
    <w:p>
      <w:pPr>
        <w:jc w:val="both"/>
        <w:ind w:left="180" w:right="319"/>
        <w:spacing w:after="0" w:line="247" w:lineRule="auto"/>
        <w:rPr>
          <w:sz w:val="20"/>
          <w:szCs w:val="20"/>
          <w:color w:val="auto"/>
        </w:rPr>
      </w:pPr>
      <w:r>
        <w:rPr>
          <w:rFonts w:ascii="Times New Roman" w:cs="Times New Roman" w:eastAsia="Times New Roman" w:hAnsi="Times New Roman"/>
          <w:sz w:val="21"/>
          <w:szCs w:val="21"/>
          <w:color w:val="auto"/>
        </w:rPr>
        <w:t xml:space="preserve">of its rights and obligations under this Agreement (including all or a portion of its Commitment or Swing Line Commitment and the Loans owing to it and the Notes held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such Bank’s obligations under this Agreement shall remain unchanged, (ii) such Bank shall remain solely responsible to the other parties hereto for the performance of such obligations,</w:t>
      </w:r>
    </w:p>
    <w:p>
      <w:pPr>
        <w:ind w:left="560" w:hanging="376"/>
        <w:spacing w:after="0" w:line="232" w:lineRule="auto"/>
        <w:tabs>
          <w:tab w:leader="none" w:pos="5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Bank shall remain the holder of any such Note for all purposes under this Agreement,</w:t>
      </w:r>
    </w:p>
    <w:p>
      <w:pPr>
        <w:ind w:left="180" w:right="199" w:firstLine="4"/>
        <w:spacing w:after="0" w:line="231" w:lineRule="auto"/>
        <w:tabs>
          <w:tab w:leader="none" w:pos="54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Agent and the other Banks shall continue to deal solely and directly with such Bank in connection with such Bank’s rights and obligations under this Agreement, (v) in any proceeding under the Bankruptcy Code such Bank shall be, to the extent permitted by law, the sole representative with respect to the obligations held in the name of such Bank whether for its own account or for the account of any Participant and (vi) such Bank shall retain the sole right to enforce the obligations of the Borrower relating to the Loans and to approve any amendment, modification or waiver of any provision of this Agreement or the Note or Notes held by such Bank other than any such amendment, modification or waiver with respect to any Loan or Commitment in which such Participant has an interest and which is described in subsection 9.1(a) hereof. Each Bank that sells a participation will, acting solely for this purpose as a non-fiduciary agent of the Borrower, maintain a register on which it enters the name and address of each Participant and the principal amounts (and stated interest) of each Participant’s interest in the Revolving Credit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provided that no Bank has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are conclusive absent manifest error, and such Bank must treat each Person whose name is recorded in the Participant Register as the owner of such participation for all purposes of this Agreement notwithstanding any notice to the contrary. For the avoidance of doubt, the Agent has no responsibility for maintaining a Participant Register for any other Bank.</w:t>
      </w:r>
    </w:p>
    <w:p>
      <w:pPr>
        <w:spacing w:after="0" w:line="181" w:lineRule="exact"/>
        <w:rPr>
          <w:sz w:val="20"/>
          <w:szCs w:val="20"/>
          <w:color w:val="auto"/>
        </w:rPr>
      </w:pPr>
    </w:p>
    <w:p>
      <w:pPr>
        <w:ind w:left="180" w:right="199" w:firstLine="1944"/>
        <w:spacing w:after="0" w:line="233" w:lineRule="auto"/>
        <w:rPr>
          <w:sz w:val="20"/>
          <w:szCs w:val="20"/>
          <w:color w:val="auto"/>
        </w:rPr>
      </w:pPr>
      <w:r>
        <w:rPr>
          <w:rFonts w:ascii="Times New Roman" w:cs="Times New Roman" w:eastAsia="Times New Roman" w:hAnsi="Times New Roman"/>
          <w:sz w:val="22"/>
          <w:szCs w:val="22"/>
          <w:color w:val="auto"/>
        </w:rPr>
        <w:t xml:space="preserve">(g) If amounts outstanding under this Agreement and the Notes are due or unpaid, or shall have been declared or shall have become due and payable upon the occurrence of an Event of Default, each Participant shall be deemed to have the right of set-off in respect of its participating interest in amounts owing under this Agreement and any Note to the same extent as if the amount of its participating interest were owing directly to it as a Bank under this Agreement or any Note,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purchasing such participation such Participant shall be deemed to have agreed to share with the Banks the proceeds thereof as provided in Section</w:t>
      </w:r>
    </w:p>
    <w:p>
      <w:pPr>
        <w:ind w:left="180"/>
        <w:spacing w:after="0" w:line="236" w:lineRule="auto"/>
        <w:rPr>
          <w:sz w:val="20"/>
          <w:szCs w:val="20"/>
          <w:color w:val="auto"/>
        </w:rPr>
      </w:pPr>
      <w:r>
        <w:rPr>
          <w:rFonts w:ascii="Times New Roman" w:cs="Times New Roman" w:eastAsia="Times New Roman" w:hAnsi="Times New Roman"/>
          <w:sz w:val="22"/>
          <w:szCs w:val="22"/>
          <w:color w:val="auto"/>
        </w:rPr>
        <w:t>9.8. The Borrower also agrees that each Participant shall be entitled to the benefits of Sections</w:t>
      </w:r>
    </w:p>
    <w:p>
      <w:pPr>
        <w:ind w:left="180" w:right="259"/>
        <w:spacing w:after="0" w:line="233" w:lineRule="auto"/>
        <w:rPr>
          <w:sz w:val="20"/>
          <w:szCs w:val="20"/>
          <w:color w:val="auto"/>
        </w:rPr>
      </w:pPr>
      <w:r>
        <w:rPr>
          <w:rFonts w:ascii="Times New Roman" w:cs="Times New Roman" w:eastAsia="Times New Roman" w:hAnsi="Times New Roman"/>
          <w:sz w:val="22"/>
          <w:szCs w:val="22"/>
          <w:color w:val="auto"/>
        </w:rPr>
        <w:t xml:space="preserve">2.11, 2.12, 2.13 and 9.5 with respect to its participation in the Commitments and the Loans outstanding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Participant shall be entitled to receive any greater amount pursuant to such Sections than the Bank selling the participation would have been entitled to receive in respect of the amount of the participation transferred by such Bank to such Participant had no such transfer occurred.</w:t>
      </w:r>
    </w:p>
    <w:p>
      <w:pPr>
        <w:spacing w:after="0" w:line="179" w:lineRule="exact"/>
        <w:rPr>
          <w:sz w:val="20"/>
          <w:szCs w:val="20"/>
          <w:color w:val="auto"/>
        </w:rPr>
      </w:pPr>
    </w:p>
    <w:p>
      <w:pPr>
        <w:ind w:left="180" w:right="219" w:firstLine="1944"/>
        <w:spacing w:after="0" w:line="238" w:lineRule="auto"/>
        <w:rPr>
          <w:sz w:val="20"/>
          <w:szCs w:val="20"/>
          <w:color w:val="auto"/>
        </w:rPr>
      </w:pPr>
      <w:r>
        <w:rPr>
          <w:rFonts w:ascii="Times New Roman" w:cs="Times New Roman" w:eastAsia="Times New Roman" w:hAnsi="Times New Roman"/>
          <w:sz w:val="22"/>
          <w:szCs w:val="22"/>
          <w:color w:val="auto"/>
        </w:rPr>
        <w:t>(h) If any Participant is organized under the laws of any jurisdiction other than the United States or any state thereof, the Bank selling the participation, concurrently with the sale of a participating interest to such Participant, shall cause such Participant</w:t>
      </w:r>
    </w:p>
    <w:p>
      <w:pPr>
        <w:ind w:left="180" w:right="359" w:firstLine="4"/>
        <w:spacing w:after="0" w:line="237" w:lineRule="auto"/>
        <w:tabs>
          <w:tab w:leader="none" w:pos="4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represent to the Bank selling the participation (for the benefit of such Bank, the other Banks,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1" w:name="page142"/>
    <w:bookmarkEnd w:id="141"/>
    <w:p>
      <w:pPr>
        <w:ind w:left="180" w:right="239"/>
        <w:spacing w:after="0" w:line="249" w:lineRule="auto"/>
        <w:rPr>
          <w:sz w:val="20"/>
          <w:szCs w:val="20"/>
          <w:color w:val="auto"/>
        </w:rPr>
      </w:pPr>
      <w:r>
        <w:rPr>
          <w:rFonts w:ascii="Times New Roman" w:cs="Times New Roman" w:eastAsia="Times New Roman" w:hAnsi="Times New Roman"/>
          <w:sz w:val="21"/>
          <w:szCs w:val="21"/>
          <w:color w:val="auto"/>
        </w:rPr>
        <w:t>Agent and the Borrower) that under applicable law and treaties no taxes will be required to be withheld by the Agent, the Borrower or the Bank selling the participation with respect to any payments to be made to such Participant in respect of its participation in the Loans and (ii) to agree (for the benefit of such Bank, the other Banks, the Agent and Borrower) that it will deliver the tax forms and other documents required to be delivered pursuant to Section 2.12 and comply from time to time with all applicable U.S. laws and regulations with respect to withholding tax exemptions.</w:t>
      </w:r>
    </w:p>
    <w:p>
      <w:pPr>
        <w:spacing w:after="0" w:line="171" w:lineRule="exact"/>
        <w:rPr>
          <w:sz w:val="20"/>
          <w:szCs w:val="20"/>
          <w:color w:val="auto"/>
        </w:rPr>
      </w:pPr>
    </w:p>
    <w:p>
      <w:pPr>
        <w:jc w:val="both"/>
        <w:ind w:left="180" w:right="239" w:firstLine="1944"/>
        <w:spacing w:after="0" w:line="244" w:lineRule="auto"/>
        <w:rPr>
          <w:sz w:val="20"/>
          <w:szCs w:val="20"/>
          <w:color w:val="auto"/>
        </w:rPr>
      </w:pPr>
      <w:r>
        <w:rPr>
          <w:rFonts w:ascii="Times New Roman" w:cs="Times New Roman" w:eastAsia="Times New Roman" w:hAnsi="Times New Roman"/>
          <w:sz w:val="22"/>
          <w:szCs w:val="22"/>
          <w:color w:val="auto"/>
        </w:rPr>
        <w:t xml:space="preserve">(i) Any Bank may at any time assign all or any portion of its rights under this Agreement and the Notes issued to it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assignment shall release a Bank from any of its obligations hereunder.</w:t>
      </w:r>
    </w:p>
    <w:p>
      <w:pPr>
        <w:spacing w:after="0" w:line="173" w:lineRule="exact"/>
        <w:rPr>
          <w:sz w:val="20"/>
          <w:szCs w:val="20"/>
          <w:color w:val="auto"/>
        </w:rPr>
      </w:pPr>
    </w:p>
    <w:p>
      <w:pPr>
        <w:ind w:left="18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The Banks agree that they will maintain all information and financial statements provided to them or otherwise obtained by them with respect to the Borrower and its Subsidiaries confidential and that they will not disclose the same or use it for any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prevent any Bank from disclosing any such information (a) to the Agent or any other Bank, (b) to any prospective assignee or participant in connection with any assignment or participation of Loans permitted by this Agreement, (c) to its employees, directors, agents, attorneys, accountants and other professional advisers, provided that any such person is advised by such Bank that such information is subject to the confidentiality limitations of this Section, (d) upon the request or demand of any Governmental Authority having jurisdiction over such Bank, (e) in response to any order of any court or other Governmental Authority or as may otherwise be required pursuant to any Requirement of Law, provided that the Borrower has (unless prohibited by the terms of any such order or requirement) been advised at least ten (10) days (or if such is not possible or practicable, such lesser number of days as is possible or practicable under the circumstances) prior to such disclosure of the existence of such order or requirement, (f) which has been publicly disclosed other than in breach of this Agreement, or (g) in connection with the exercise of any remedy hereunder or under the Notes.</w:t>
      </w:r>
    </w:p>
    <w:p>
      <w:pPr>
        <w:spacing w:after="0" w:line="157" w:lineRule="exact"/>
        <w:rPr>
          <w:sz w:val="20"/>
          <w:szCs w:val="20"/>
          <w:color w:val="auto"/>
        </w:rPr>
      </w:pPr>
    </w:p>
    <w:p>
      <w:pPr>
        <w:ind w:left="180" w:right="259" w:firstLine="648"/>
        <w:spacing w:after="0" w:line="250" w:lineRule="exact"/>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Adjustments; Set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w:t>
      </w:r>
      <w:r>
        <w:rPr>
          <w:rFonts w:ascii="Times New Roman" w:cs="Times New Roman" w:eastAsia="Times New Roman" w:hAnsi="Times New Roman"/>
          <w:sz w:val="22"/>
          <w:szCs w:val="22"/>
          <w:color w:val="auto"/>
        </w:rPr>
        <w:t>. (a) If any Bank (a “benefited Bank”) shall at any time receive any payment of all or part of its Loans, or interest thereon, or receive any collateral in respect thereof (whether voluntarily or involuntarily, by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pursuant to events or proceedings of the nature referred to in subsection 7.1(g) or otherwise), in a greater proportion than any such payment to or collateral received by any other Bank, if any, in respect of such other Bank’s Loans, or interest thereon, being paid in respect of Loans being repaid simultaneously therewith or Loans required hereby to be paid proportionately such benefited Bank shall purchase for cash from the other Banks such portion of each such other Bank’s Loan, or shall provide such other Banks with the benefits of any such collateral, or the proceeds thereof, as shall be necessary to cause such benefited Bank to share the excess payment or benefits of such collateral or proceeds ratably with each of the Banks;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all or any portion of such excess payment or benefits is thereafter recovered from such benefited Bank, such purchase shall be rescinded, and the purchase price and benefits returned, to the extent of such recovery, but without interest. The Borrower agrees that each Bank so purchasing a portion of another Bank’s Loan may exercise all rights of payment (including, without limitation,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with respect to such portion as fully as if such Bank were the direct holder of such portion.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2" w:name="page143"/>
    <w:bookmarkEnd w:id="142"/>
    <w:p>
      <w:pPr>
        <w:ind w:left="180" w:right="199" w:firstLine="1944"/>
        <w:spacing w:after="0" w:line="252" w:lineRule="exact"/>
        <w:rPr>
          <w:sz w:val="20"/>
          <w:szCs w:val="20"/>
          <w:color w:val="auto"/>
        </w:rPr>
      </w:pPr>
      <w:r>
        <w:rPr>
          <w:rFonts w:ascii="Times New Roman" w:cs="Times New Roman" w:eastAsia="Times New Roman" w:hAnsi="Times New Roman"/>
          <w:sz w:val="22"/>
          <w:szCs w:val="22"/>
          <w:color w:val="auto"/>
        </w:rPr>
        <w:t>(b) In addition to any rights and remedies of the Banks provided by law, upon the occurrence of an Event of Default, each Bank shall have the right, without prior notice to the Borrower, any such notice being expressly waived by the Borrower to the extent permitted by applicable law, upon any amount becoming due and payable by the Borrower hereunder or under the Notes (whether at the stated maturity, by acceleration or otherwise) to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Bank to or for the credit or the account of the Borrower. Each Bank agrees promptly to notify the Borrower and the Agent after any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and application made by such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and application.</w:t>
      </w:r>
    </w:p>
    <w:p>
      <w:pPr>
        <w:spacing w:after="0" w:line="149" w:lineRule="exact"/>
        <w:rPr>
          <w:sz w:val="20"/>
          <w:szCs w:val="20"/>
          <w:color w:val="auto"/>
        </w:rPr>
      </w:pPr>
    </w:p>
    <w:p>
      <w:pPr>
        <w:ind w:left="180" w:right="3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each of the Banks.</w:t>
      </w:r>
    </w:p>
    <w:p>
      <w:pPr>
        <w:spacing w:after="0" w:line="180" w:lineRule="exact"/>
        <w:rPr>
          <w:sz w:val="20"/>
          <w:szCs w:val="20"/>
          <w:color w:val="auto"/>
        </w:rPr>
      </w:pPr>
    </w:p>
    <w:p>
      <w:pPr>
        <w:ind w:left="180" w:right="2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7" w:lineRule="exact"/>
        <w:rPr>
          <w:sz w:val="20"/>
          <w:szCs w:val="20"/>
          <w:color w:val="auto"/>
        </w:rPr>
      </w:pPr>
    </w:p>
    <w:p>
      <w:pPr>
        <w:ind w:left="180" w:right="35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represents the agreement of the Borrower, the Agent and the Banks with respect to the subject matter hereof, and there are no promises, undertakings, representations or warranties by the Agent or any Bank relative to subject matter hereof not expressly set forth or referred to herein or in the Notes or the other Loan Documents.</w:t>
      </w:r>
    </w:p>
    <w:p>
      <w:pPr>
        <w:spacing w:after="0" w:line="180" w:lineRule="exact"/>
        <w:rPr>
          <w:sz w:val="20"/>
          <w:szCs w:val="20"/>
          <w:color w:val="auto"/>
        </w:rPr>
      </w:pPr>
    </w:p>
    <w:p>
      <w:pPr>
        <w:ind w:left="18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THE NOTES AND THE OTHER LOAN DOCUMENTS HAVE BEEN EXECUTED IN THE COMMONWEALTH OF PENNSYLVANIA AND SAID DOCUMENT AND THE RIGHTS AND OBLIGATIONS OF THE PARTIES UNDER THIS AGREEMENT, THE NOTES AND THE OTHER LOAN DOCUMENTS SHALL BE GOVERNED BY, AND CONSTRUED AND INTERPRETED IN ACCORDANCE WITH, THE LAW OF THE COMMONWEALTH OF PENNSYLVANIA.</w:t>
      </w:r>
    </w:p>
    <w:p>
      <w:pPr>
        <w:spacing w:after="0" w:line="181" w:lineRule="exact"/>
        <w:rPr>
          <w:sz w:val="20"/>
          <w:szCs w:val="20"/>
          <w:color w:val="auto"/>
        </w:rPr>
      </w:pPr>
    </w:p>
    <w:p>
      <w:pPr>
        <w:ind w:left="180" w:right="8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Submission To Jurisdiction; Waivers</w:t>
      </w:r>
      <w:r>
        <w:rPr>
          <w:rFonts w:ascii="Times New Roman" w:cs="Times New Roman" w:eastAsia="Times New Roman" w:hAnsi="Times New Roman"/>
          <w:sz w:val="22"/>
          <w:szCs w:val="22"/>
          <w:color w:val="auto"/>
        </w:rPr>
        <w:t>. The Borrower hereby irrevocably and unconditionally:</w:t>
      </w:r>
    </w:p>
    <w:p>
      <w:pPr>
        <w:spacing w:after="0" w:line="158" w:lineRule="exact"/>
        <w:rPr>
          <w:sz w:val="20"/>
          <w:szCs w:val="20"/>
          <w:color w:val="auto"/>
        </w:rPr>
      </w:pPr>
    </w:p>
    <w:p>
      <w:pPr>
        <w:ind w:left="180" w:right="399" w:firstLine="1944"/>
        <w:spacing w:after="0" w:line="251" w:lineRule="exact"/>
        <w:rPr>
          <w:sz w:val="20"/>
          <w:szCs w:val="20"/>
          <w:color w:val="auto"/>
        </w:rPr>
      </w:pPr>
      <w:r>
        <w:rPr>
          <w:rFonts w:ascii="Times New Roman" w:cs="Times New Roman" w:eastAsia="Times New Roman" w:hAnsi="Times New Roman"/>
          <w:sz w:val="22"/>
          <w:szCs w:val="22"/>
          <w:color w:val="auto"/>
        </w:rPr>
        <w:t>(a) submits for itself and its property in any legal action or proceeding relating to this Agreement, the Notes or the other Loan Documents, or for recognition and enforcement of any judgment in respect thereof,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general jurisdiction of the Courts of the Commonwealth of Pennsylvania located in Montgomery and Philadelphia Counties, the courts of the United States of America for the Eastern District of Pennsylvania, and appellate courts from any thereof;</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3" w:name="page144"/>
    <w:bookmarkEnd w:id="143"/>
    <w:p>
      <w:pPr>
        <w:ind w:left="180" w:right="219" w:firstLine="1944"/>
        <w:spacing w:after="0" w:line="239" w:lineRule="auto"/>
        <w:rPr>
          <w:sz w:val="20"/>
          <w:szCs w:val="20"/>
          <w:color w:val="auto"/>
        </w:rPr>
      </w:pPr>
      <w:r>
        <w:rPr>
          <w:rFonts w:ascii="Times New Roman" w:cs="Times New Roman" w:eastAsia="Times New Roman" w:hAnsi="Times New Roman"/>
          <w:sz w:val="22"/>
          <w:szCs w:val="22"/>
          <w:color w:val="auto"/>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0" w:lineRule="exact"/>
        <w:rPr>
          <w:sz w:val="20"/>
          <w:szCs w:val="20"/>
          <w:color w:val="auto"/>
        </w:rPr>
      </w:pPr>
    </w:p>
    <w:p>
      <w:pPr>
        <w:ind w:left="180" w:right="439" w:firstLine="1944"/>
        <w:spacing w:after="0" w:line="238" w:lineRule="auto"/>
        <w:rPr>
          <w:sz w:val="20"/>
          <w:szCs w:val="20"/>
          <w:color w:val="auto"/>
        </w:rPr>
      </w:pPr>
      <w:r>
        <w:rPr>
          <w:rFonts w:ascii="Times New Roman" w:cs="Times New Roman" w:eastAsia="Times New Roman" w:hAnsi="Times New Roman"/>
          <w:sz w:val="22"/>
          <w:szCs w:val="22"/>
          <w:color w:val="auto"/>
        </w:rPr>
        <w:t>(c) agrees that service of process in any such action or proceeding may be effected by mailing a copy thereof by registered or certified mail (or any substantially similar form of mail), postage prepaid, to the Borrower at the address set forth in Section 9.2 for the Borrower or at such other address of which the Agent shall have been notified pursuant thereto; and</w:t>
      </w:r>
    </w:p>
    <w:p>
      <w:pPr>
        <w:spacing w:after="0" w:line="177" w:lineRule="exact"/>
        <w:rPr>
          <w:sz w:val="20"/>
          <w:szCs w:val="20"/>
          <w:color w:val="auto"/>
        </w:rPr>
      </w:pPr>
    </w:p>
    <w:p>
      <w:pPr>
        <w:ind w:left="180" w:right="359" w:firstLine="1944"/>
        <w:spacing w:after="0" w:line="244" w:lineRule="auto"/>
        <w:rPr>
          <w:sz w:val="20"/>
          <w:szCs w:val="20"/>
          <w:color w:val="auto"/>
        </w:rPr>
      </w:pPr>
      <w:r>
        <w:rPr>
          <w:rFonts w:ascii="Times New Roman" w:cs="Times New Roman" w:eastAsia="Times New Roman" w:hAnsi="Times New Roman"/>
          <w:sz w:val="22"/>
          <w:szCs w:val="22"/>
          <w:color w:val="auto"/>
        </w:rPr>
        <w:t>(d) agrees that nothing herein shall affect the right to effect service of process in any other manner permitted by law or shall limit the right to sue in any other jurisdiction.</w:t>
      </w:r>
    </w:p>
    <w:p>
      <w:pPr>
        <w:spacing w:after="0" w:line="17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The Borrower hereby acknowledges that:</w:t>
      </w:r>
    </w:p>
    <w:p>
      <w:pPr>
        <w:spacing w:after="0" w:line="206" w:lineRule="exact"/>
        <w:rPr>
          <w:sz w:val="20"/>
          <w:szCs w:val="20"/>
          <w:color w:val="auto"/>
        </w:rPr>
      </w:pPr>
    </w:p>
    <w:p>
      <w:pPr>
        <w:ind w:left="180" w:right="659" w:firstLine="1944"/>
        <w:spacing w:after="0" w:line="258" w:lineRule="auto"/>
        <w:rPr>
          <w:sz w:val="20"/>
          <w:szCs w:val="20"/>
          <w:color w:val="auto"/>
        </w:rPr>
      </w:pPr>
      <w:r>
        <w:rPr>
          <w:rFonts w:ascii="Times New Roman" w:cs="Times New Roman" w:eastAsia="Times New Roman" w:hAnsi="Times New Roman"/>
          <w:sz w:val="22"/>
          <w:szCs w:val="22"/>
          <w:color w:val="auto"/>
        </w:rPr>
        <w:t>(a) it has been advised by counsel in the negotiation, execution and delivery of this Agreement, the Notes and the other Loan Documents;</w:t>
      </w:r>
    </w:p>
    <w:p>
      <w:pPr>
        <w:spacing w:after="0" w:line="158" w:lineRule="exact"/>
        <w:rPr>
          <w:sz w:val="20"/>
          <w:szCs w:val="20"/>
          <w:color w:val="auto"/>
        </w:rPr>
      </w:pPr>
    </w:p>
    <w:p>
      <w:pPr>
        <w:ind w:left="2120"/>
        <w:spacing w:after="0"/>
        <w:tabs>
          <w:tab w:leader="none" w:pos="41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neither the Agent nor any Bank has any fiduciary</w:t>
      </w:r>
    </w:p>
    <w:p>
      <w:pPr>
        <w:spacing w:after="0" w:line="14" w:lineRule="exact"/>
        <w:rPr>
          <w:sz w:val="20"/>
          <w:szCs w:val="20"/>
          <w:color w:val="auto"/>
        </w:rPr>
      </w:pPr>
    </w:p>
    <w:p>
      <w:pPr>
        <w:ind w:left="180" w:right="419"/>
        <w:spacing w:after="0" w:line="237" w:lineRule="auto"/>
        <w:rPr>
          <w:sz w:val="20"/>
          <w:szCs w:val="20"/>
          <w:color w:val="auto"/>
        </w:rPr>
      </w:pPr>
      <w:r>
        <w:rPr>
          <w:rFonts w:ascii="Times New Roman" w:cs="Times New Roman" w:eastAsia="Times New Roman" w:hAnsi="Times New Roman"/>
          <w:sz w:val="22"/>
          <w:szCs w:val="22"/>
          <w:color w:val="auto"/>
        </w:rPr>
        <w:t>relationship to the Borrower, and the relationship between the Agent and the Banks, on one hand, and the Borrower, on the other hand, is solely that of debtor and creditor; and</w:t>
      </w:r>
    </w:p>
    <w:p>
      <w:pPr>
        <w:sectPr>
          <w:pgSz w:w="11900" w:h="16838" w:orient="portrait"/>
          <w:cols w:equalWidth="0" w:num="1">
            <w:col w:w="9019"/>
          </w:cols>
          <w:pgMar w:left="1440" w:top="355" w:right="1440" w:bottom="1440" w:gutter="0" w:footer="0" w:header="0"/>
        </w:sectPr>
      </w:pP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the Borrower and the Banks.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joint venture exists among the Banks or between</w:t>
      </w:r>
    </w:p>
    <w:p>
      <w:pPr>
        <w:spacing w:after="0" w:line="456" w:lineRule="exact"/>
        <w:rPr>
          <w:sz w:val="20"/>
          <w:szCs w:val="20"/>
          <w:color w:val="auto"/>
        </w:rPr>
      </w:pPr>
    </w:p>
    <w:p>
      <w:pPr>
        <w:sectPr>
          <w:pgSz w:w="11900" w:h="16838" w:orient="portrait"/>
          <w:cols w:equalWidth="0" w:num="2">
            <w:col w:w="3380" w:space="720"/>
            <w:col w:w="4919"/>
          </w:cols>
          <w:pgMar w:left="1440" w:top="355" w:right="1440" w:bottom="1440" w:gutter="0" w:footer="0" w:header="0"/>
          <w:type w:val="continuous"/>
        </w:sectPr>
      </w:pPr>
    </w:p>
    <w:p>
      <w:pPr>
        <w:ind w:left="180" w:right="4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9.15 </w:t>
      </w:r>
      <w:r>
        <w:rPr>
          <w:rFonts w:ascii="Times New Roman" w:cs="Times New Roman" w:eastAsia="Times New Roman" w:hAnsi="Times New Roman"/>
          <w:sz w:val="22"/>
          <w:szCs w:val="22"/>
          <w:u w:val="single" w:color="auto"/>
          <w:color w:val="auto"/>
        </w:rPr>
        <w:t>WAIVERS OF JURY TRIAL</w:t>
      </w:r>
      <w:r>
        <w:rPr>
          <w:rFonts w:ascii="Times New Roman" w:cs="Times New Roman" w:eastAsia="Times New Roman" w:hAnsi="Times New Roman"/>
          <w:sz w:val="22"/>
          <w:szCs w:val="22"/>
          <w:b w:val="1"/>
          <w:bCs w:val="1"/>
          <w:color w:val="auto"/>
        </w:rPr>
        <w:t>. EACH OF THE BORROWER, THE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THE BANKS HEREBY IRREVOCABLY AND UNCONDITIONALLY WAIVES TRIAL BY JURY IN ANY LEGAL ACTION OR PROCEEDING RELATING TO THIS AGREEMENT, THE NOTES OR THE OTHER LOAN DOCUMENTS AND FOR ANY COUNTERCLAIM THEREIN.</w:t>
      </w:r>
    </w:p>
    <w:p>
      <w:pPr>
        <w:spacing w:after="0" w:line="181" w:lineRule="exact"/>
        <w:rPr>
          <w:sz w:val="20"/>
          <w:szCs w:val="20"/>
          <w:color w:val="auto"/>
        </w:rPr>
      </w:pPr>
    </w:p>
    <w:p>
      <w:pPr>
        <w:ind w:left="18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9.16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Bank that is subject to the requirements of the USA Patriot Act hereby notifies the Borrower that pursuant to the requirements of the USA Patriot Act, it is required to obtain, verify and record information that identifies the Borrower, which information includes the name and address of the Borrower and other information that will allow such Bank to identify the Borrower in accordance with the USA Patriot Act.</w:t>
      </w:r>
    </w:p>
    <w:p>
      <w:pPr>
        <w:spacing w:after="0" w:line="177" w:lineRule="exact"/>
        <w:rPr>
          <w:sz w:val="20"/>
          <w:szCs w:val="20"/>
          <w:color w:val="auto"/>
        </w:rPr>
      </w:pPr>
    </w:p>
    <w:p>
      <w:pPr>
        <w:ind w:left="180" w:right="3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9.17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44" w:name="page145"/>
    <w:bookmarkEnd w:id="144"/>
    <w:p>
      <w:pPr>
        <w:ind w:left="180" w:right="319" w:firstLine="1944"/>
        <w:spacing w:after="0" w:line="244" w:lineRule="auto"/>
        <w:rPr>
          <w:sz w:val="20"/>
          <w:szCs w:val="20"/>
          <w:color w:val="auto"/>
        </w:rPr>
      </w:pPr>
      <w:r>
        <w:rPr>
          <w:rFonts w:ascii="Times New Roman" w:cs="Times New Roman" w:eastAsia="Times New Roman" w:hAnsi="Times New Roman"/>
          <w:sz w:val="22"/>
          <w:szCs w:val="22"/>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4080" w:hanging="1304"/>
        <w:spacing w:after="0"/>
        <w:tabs>
          <w:tab w:leader="none" w:pos="408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w:t>
      </w:r>
    </w:p>
    <w:p>
      <w:pPr>
        <w:spacing w:after="0" w:line="25"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including, if applicable:</w:t>
      </w:r>
    </w:p>
    <w:p>
      <w:pPr>
        <w:spacing w:after="0" w:line="182" w:lineRule="exact"/>
        <w:rPr>
          <w:rFonts w:ascii="Times New Roman" w:cs="Times New Roman" w:eastAsia="Times New Roman" w:hAnsi="Times New Roman"/>
          <w:sz w:val="21"/>
          <w:szCs w:val="21"/>
          <w:color w:val="auto"/>
        </w:rPr>
      </w:pPr>
    </w:p>
    <w:p>
      <w:pPr>
        <w:ind w:left="4060" w:hanging="1284"/>
        <w:spacing w:after="0"/>
        <w:tabs>
          <w:tab w:leader="none" w:pos="40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liability;</w:t>
      </w:r>
    </w:p>
    <w:p>
      <w:pPr>
        <w:spacing w:after="0" w:line="182" w:lineRule="exact"/>
        <w:rPr>
          <w:rFonts w:ascii="Times New Roman" w:cs="Times New Roman" w:eastAsia="Times New Roman" w:hAnsi="Times New Roman"/>
          <w:sz w:val="22"/>
          <w:szCs w:val="22"/>
          <w:color w:val="auto"/>
        </w:rPr>
      </w:pPr>
    </w:p>
    <w:p>
      <w:pPr>
        <w:jc w:val="both"/>
        <w:ind w:left="1480" w:right="379" w:firstLine="1296"/>
        <w:spacing w:after="0" w:line="236" w:lineRule="auto"/>
        <w:tabs>
          <w:tab w:leader="none" w:pos="407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1" w:lineRule="exact"/>
        <w:rPr>
          <w:sz w:val="20"/>
          <w:szCs w:val="20"/>
          <w:color w:val="auto"/>
        </w:rPr>
      </w:pPr>
    </w:p>
    <w:p>
      <w:pPr>
        <w:jc w:val="both"/>
        <w:ind w:left="180" w:right="1079" w:firstLine="1944"/>
        <w:spacing w:after="0" w:line="244" w:lineRule="auto"/>
        <w:rPr>
          <w:sz w:val="20"/>
          <w:szCs w:val="20"/>
          <w:color w:val="auto"/>
        </w:rPr>
      </w:pPr>
      <w:r>
        <w:rPr>
          <w:rFonts w:ascii="Times New Roman" w:cs="Times New Roman" w:eastAsia="Times New Roman" w:hAnsi="Times New Roman"/>
          <w:sz w:val="22"/>
          <w:szCs w:val="22"/>
          <w:color w:val="auto"/>
        </w:rPr>
        <w:t>(b) the variation of the terms of such liability in connection with the exercise of the Write-Down and Conversion Powers of the applicable Resolution Authority.</w:t>
      </w:r>
    </w:p>
    <w:p>
      <w:pPr>
        <w:spacing w:after="0" w:line="173" w:lineRule="exact"/>
        <w:rPr>
          <w:sz w:val="20"/>
          <w:szCs w:val="20"/>
          <w:color w:val="auto"/>
        </w:rPr>
      </w:pPr>
    </w:p>
    <w:p>
      <w:pPr>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9.18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interest rate hedge agreements or contracts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Commonwealth of Pennsylvania and/or of the United States or any other state of the United States):</w:t>
      </w:r>
    </w:p>
    <w:p>
      <w:pPr>
        <w:spacing w:after="0" w:line="187" w:lineRule="exact"/>
        <w:rPr>
          <w:sz w:val="20"/>
          <w:szCs w:val="20"/>
          <w:color w:val="auto"/>
        </w:rPr>
      </w:pPr>
    </w:p>
    <w:p>
      <w:pPr>
        <w:ind w:left="4080" w:hanging="1304"/>
        <w:spacing w:after="0"/>
        <w:tabs>
          <w:tab w:leader="none" w:pos="40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w:t>
      </w:r>
    </w:p>
    <w:p>
      <w:pPr>
        <w:spacing w:after="0" w:line="14" w:lineRule="exact"/>
        <w:rPr>
          <w:rFonts w:ascii="Times New Roman" w:cs="Times New Roman" w:eastAsia="Times New Roman" w:hAnsi="Times New Roman"/>
          <w:sz w:val="22"/>
          <w:szCs w:val="22"/>
          <w:color w:val="auto"/>
        </w:rPr>
      </w:pPr>
    </w:p>
    <w:p>
      <w:pPr>
        <w:ind w:left="1480" w:right="219"/>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5" w:name="page146"/>
    <w:bookmarkEnd w:id="145"/>
    <w:p>
      <w:pPr>
        <w:ind w:left="1480" w:right="279"/>
        <w:spacing w:after="0" w:line="236" w:lineRule="auto"/>
        <w:rPr>
          <w:sz w:val="20"/>
          <w:szCs w:val="20"/>
          <w:color w:val="auto"/>
        </w:rPr>
      </w:pPr>
      <w:r>
        <w:rPr>
          <w:rFonts w:ascii="Times New Roman" w:cs="Times New Roman" w:eastAsia="Times New Roman" w:hAnsi="Times New Roman"/>
          <w:sz w:val="22"/>
          <w:szCs w:val="22"/>
          <w:color w:val="auto"/>
        </w:rPr>
        <w:t>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81" w:lineRule="exact"/>
        <w:rPr>
          <w:sz w:val="20"/>
          <w:szCs w:val="20"/>
          <w:color w:val="auto"/>
        </w:rPr>
      </w:pPr>
    </w:p>
    <w:p>
      <w:pPr>
        <w:ind w:left="4060" w:hanging="1284"/>
        <w:spacing w:after="0"/>
        <w:tabs>
          <w:tab w:leader="none" w:pos="40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Section 9.18, the following terms have</w:t>
      </w:r>
    </w:p>
    <w:p>
      <w:pPr>
        <w:spacing w:after="0" w:line="25"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following meanings:</w:t>
      </w:r>
    </w:p>
    <w:p>
      <w:pPr>
        <w:spacing w:after="0" w:line="182" w:lineRule="exact"/>
        <w:rPr>
          <w:sz w:val="20"/>
          <w:szCs w:val="20"/>
          <w:color w:val="auto"/>
        </w:rPr>
      </w:pPr>
    </w:p>
    <w:p>
      <w:pPr>
        <w:ind w:left="1480" w:right="339"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180" w:right="1019" w:firstLine="1948"/>
        <w:spacing w:after="0" w:line="258" w:lineRule="auto"/>
        <w:tabs>
          <w:tab w:leader="none" w:pos="276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entity” as that term is defined in, and interpreted in accordance with, 12 C.F.R. § 252.82(b);</w:t>
      </w:r>
    </w:p>
    <w:p>
      <w:pPr>
        <w:spacing w:after="0" w:line="158" w:lineRule="exact"/>
        <w:rPr>
          <w:sz w:val="20"/>
          <w:szCs w:val="20"/>
          <w:color w:val="auto"/>
        </w:rPr>
      </w:pPr>
    </w:p>
    <w:p>
      <w:pPr>
        <w:ind w:left="180" w:right="939" w:firstLine="1944"/>
        <w:spacing w:after="0" w:line="258" w:lineRule="auto"/>
        <w:rPr>
          <w:sz w:val="20"/>
          <w:szCs w:val="20"/>
          <w:color w:val="auto"/>
        </w:rPr>
      </w:pPr>
      <w:r>
        <w:rPr>
          <w:rFonts w:ascii="Times New Roman" w:cs="Times New Roman" w:eastAsia="Times New Roman" w:hAnsi="Times New Roman"/>
          <w:sz w:val="22"/>
          <w:szCs w:val="22"/>
          <w:color w:val="auto"/>
        </w:rPr>
        <w:t>(b) “covered bank” as that term is defined in, and interpreted in accordance with, 12 C.F.R. § 47.3(b); or</w:t>
      </w:r>
    </w:p>
    <w:p>
      <w:pPr>
        <w:spacing w:after="0" w:line="158" w:lineRule="exact"/>
        <w:rPr>
          <w:sz w:val="20"/>
          <w:szCs w:val="20"/>
          <w:color w:val="auto"/>
        </w:rPr>
      </w:pPr>
    </w:p>
    <w:p>
      <w:pPr>
        <w:ind w:left="180" w:right="919" w:firstLine="1944"/>
        <w:spacing w:after="0" w:line="258" w:lineRule="auto"/>
        <w:rPr>
          <w:sz w:val="20"/>
          <w:szCs w:val="20"/>
          <w:color w:val="auto"/>
        </w:rPr>
      </w:pPr>
      <w:r>
        <w:rPr>
          <w:rFonts w:ascii="Times New Roman" w:cs="Times New Roman" w:eastAsia="Times New Roman" w:hAnsi="Times New Roman"/>
          <w:sz w:val="22"/>
          <w:szCs w:val="22"/>
          <w:color w:val="auto"/>
        </w:rPr>
        <w:t>(c) a “covered FSI” as that term is defined in, and interpreted in accordance with, 12 C.F.R. § 382.2(b).</w:t>
      </w:r>
    </w:p>
    <w:p>
      <w:pPr>
        <w:spacing w:after="0" w:line="158" w:lineRule="exact"/>
        <w:rPr>
          <w:sz w:val="20"/>
          <w:szCs w:val="20"/>
          <w:color w:val="auto"/>
        </w:rPr>
      </w:pPr>
    </w:p>
    <w:p>
      <w:pPr>
        <w:ind w:left="1480" w:right="519"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35" w:lineRule="exact"/>
        <w:rPr>
          <w:sz w:val="20"/>
          <w:szCs w:val="20"/>
          <w:color w:val="auto"/>
        </w:rPr>
      </w:pPr>
    </w:p>
    <w:p>
      <w:pPr>
        <w:ind w:left="1480" w:right="459"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6" w:name="page147"/>
    <w:bookmarkEnd w:id="146"/>
    <w:p>
      <w:pPr>
        <w:ind w:left="180" w:right="679" w:firstLine="648"/>
        <w:spacing w:after="0" w:line="244"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proper and duly authorized officers as of the day and year first above written.</w:t>
      </w:r>
    </w:p>
    <w:p>
      <w:pPr>
        <w:spacing w:after="0" w:line="169" w:lineRule="exact"/>
        <w:rPr>
          <w:sz w:val="20"/>
          <w:szCs w:val="20"/>
          <w:color w:val="auto"/>
        </w:rPr>
      </w:pPr>
    </w:p>
    <w:p>
      <w:pPr>
        <w:ind w:left="320"/>
        <w:spacing w:after="0"/>
        <w:tabs>
          <w:tab w:leader="none" w:pos="4300" w:val="left"/>
        </w:tabs>
        <w:rPr>
          <w:sz w:val="20"/>
          <w:szCs w:val="20"/>
          <w:color w:val="auto"/>
        </w:rPr>
      </w:pP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2"/>
          <w:szCs w:val="22"/>
          <w:b w:val="1"/>
          <w:bCs w:val="1"/>
          <w:color w:val="auto"/>
        </w:rPr>
        <w:t>AQUA PENNSYLVANIA, INC.</w:t>
      </w: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w:t>
      </w:r>
    </w:p>
    <w:p>
      <w:pPr>
        <w:ind w:left="43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355" w:right="1440" w:bottom="1440" w:gutter="0" w:footer="0" w:header="0"/>
        </w:sectPr>
      </w:pPr>
    </w:p>
    <w:p>
      <w:pPr>
        <w:spacing w:after="0" w:line="3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as Agent and as a Bank</w:t>
      </w:r>
    </w:p>
    <w:p>
      <w:pPr>
        <w:sectPr>
          <w:pgSz w:w="11900" w:h="16838" w:orient="portrait"/>
          <w:cols w:equalWidth="0" w:num="1">
            <w:col w:w="9019"/>
          </w:cols>
          <w:pgMar w:left="1440" w:top="355" w:right="1440" w:bottom="1440" w:gutter="0" w:footer="0" w:header="0"/>
          <w:type w:val="continuous"/>
        </w:sectPr>
      </w:pPr>
    </w:p>
    <w:p>
      <w:pPr>
        <w:spacing w:after="0" w:line="3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3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DMFIRM #410910023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2"/>
          <w:szCs w:val="22"/>
          <w:color w:val="auto"/>
        </w:rPr>
        <w:t>Schedule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Bank and Commitment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color w:val="auto"/>
                <w:w w:val="99"/>
              </w:rPr>
              <w:t>Swing Line</w:t>
            </w:r>
          </w:p>
        </w:tc>
      </w:tr>
      <w:tr>
        <w:trPr>
          <w:trHeight w:val="230"/>
        </w:trPr>
        <w:tc>
          <w:tcPr>
            <w:tcW w:w="1820" w:type="dxa"/>
            <w:vAlign w:val="bottom"/>
          </w:tcPr>
          <w:p>
            <w:pPr>
              <w:spacing w:after="0"/>
              <w:rPr>
                <w:sz w:val="19"/>
                <w:szCs w:val="19"/>
                <w:color w:val="auto"/>
              </w:rPr>
            </w:pPr>
          </w:p>
        </w:tc>
        <w:tc>
          <w:tcPr>
            <w:tcW w:w="20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Bank</w:t>
            </w:r>
          </w:p>
        </w:tc>
        <w:tc>
          <w:tcPr>
            <w:tcW w:w="2560" w:type="dxa"/>
            <w:vAlign w:val="bottom"/>
            <w:gridSpan w:val="3"/>
          </w:tcPr>
          <w:p>
            <w:pPr>
              <w:jc w:val="center"/>
              <w:ind w:left="192"/>
              <w:spacing w:after="0" w:line="230" w:lineRule="exact"/>
              <w:rPr>
                <w:sz w:val="20"/>
                <w:szCs w:val="20"/>
                <w:color w:val="auto"/>
              </w:rPr>
            </w:pPr>
            <w:r>
              <w:rPr>
                <w:rFonts w:ascii="Times New Roman" w:cs="Times New Roman" w:eastAsia="Times New Roman" w:hAnsi="Times New Roman"/>
                <w:sz w:val="22"/>
                <w:szCs w:val="22"/>
                <w:color w:val="auto"/>
                <w:w w:val="98"/>
              </w:rPr>
              <w:t>Commitment</w:t>
            </w:r>
          </w:p>
        </w:tc>
        <w:tc>
          <w:tcPr>
            <w:tcW w:w="2260" w:type="dxa"/>
            <w:vAlign w:val="bottom"/>
            <w:gridSpan w:val="3"/>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Commitment</w:t>
            </w:r>
          </w:p>
        </w:tc>
      </w:tr>
      <w:tr>
        <w:trPr>
          <w:trHeight w:val="237"/>
        </w:trPr>
        <w:tc>
          <w:tcPr>
            <w:tcW w:w="18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382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2"/>
                <w:szCs w:val="22"/>
                <w:color w:val="auto"/>
              </w:rPr>
              <w:t>PNC Bank, National Association</w:t>
            </w:r>
          </w:p>
        </w:tc>
        <w:tc>
          <w:tcPr>
            <w:tcW w:w="2000" w:type="dxa"/>
            <w:vAlign w:val="bottom"/>
            <w:gridSpan w:val="2"/>
            <w:shd w:val="clear" w:color="auto" w:fill="CCEEFF"/>
          </w:tcPr>
          <w:p>
            <w:pPr>
              <w:jc w:val="center"/>
              <w:ind w:left="732"/>
              <w:spacing w:after="0" w:line="216" w:lineRule="exact"/>
              <w:rPr>
                <w:sz w:val="20"/>
                <w:szCs w:val="20"/>
                <w:color w:val="auto"/>
              </w:rPr>
            </w:pPr>
            <w:r>
              <w:rPr>
                <w:rFonts w:ascii="Times New Roman" w:cs="Times New Roman" w:eastAsia="Times New Roman" w:hAnsi="Times New Roman"/>
                <w:sz w:val="22"/>
                <w:szCs w:val="22"/>
                <w:color w:val="auto"/>
                <w:w w:val="98"/>
              </w:rPr>
              <w:t>$50,000,000</w:t>
            </w:r>
          </w:p>
        </w:tc>
        <w:tc>
          <w:tcPr>
            <w:tcW w:w="5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472"/>
              <w:spacing w:after="0" w:line="216" w:lineRule="exact"/>
              <w:rPr>
                <w:sz w:val="20"/>
                <w:szCs w:val="20"/>
                <w:color w:val="auto"/>
              </w:rPr>
            </w:pPr>
            <w:r>
              <w:rPr>
                <w:rFonts w:ascii="Times New Roman" w:cs="Times New Roman" w:eastAsia="Times New Roman" w:hAnsi="Times New Roman"/>
                <w:sz w:val="22"/>
                <w:szCs w:val="22"/>
                <w:color w:val="auto"/>
                <w:w w:val="98"/>
              </w:rPr>
              <w:t>$10,000,000</w:t>
            </w:r>
          </w:p>
        </w:tc>
        <w:tc>
          <w:tcPr>
            <w:tcW w:w="560" w:type="dxa"/>
            <w:vAlign w:val="bottom"/>
            <w:shd w:val="clear" w:color="auto" w:fill="CCEEFF"/>
          </w:tcPr>
          <w:p>
            <w:pPr>
              <w:spacing w:after="0"/>
              <w:rPr>
                <w:sz w:val="18"/>
                <w:szCs w:val="18"/>
                <w:color w:val="auto"/>
              </w:rPr>
            </w:pPr>
          </w:p>
        </w:tc>
      </w:tr>
      <w:tr>
        <w:trPr>
          <w:trHeight w:val="243"/>
        </w:trPr>
        <w:tc>
          <w:tcPr>
            <w:tcW w:w="38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1000 Westlakes Drive</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3"/>
        </w:trPr>
        <w:tc>
          <w:tcPr>
            <w:tcW w:w="38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3"/>
        </w:trPr>
        <w:tc>
          <w:tcPr>
            <w:tcW w:w="38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Berwyn, PA 19312</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82"/>
        </w:trPr>
        <w:tc>
          <w:tcPr>
            <w:tcW w:w="3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Attention: Domenic D’Ginto</w:t>
            </w:r>
          </w:p>
        </w:tc>
        <w:tc>
          <w:tcPr>
            <w:tcW w:w="8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04"/>
        </w:trPr>
        <w:tc>
          <w:tcPr>
            <w:tcW w:w="1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382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2"/>
                <w:szCs w:val="22"/>
                <w:color w:val="auto"/>
              </w:rPr>
              <w:t>Citizens Bank, N.A.</w:t>
            </w:r>
          </w:p>
        </w:tc>
        <w:tc>
          <w:tcPr>
            <w:tcW w:w="2000" w:type="dxa"/>
            <w:vAlign w:val="bottom"/>
            <w:gridSpan w:val="2"/>
          </w:tcPr>
          <w:p>
            <w:pPr>
              <w:jc w:val="center"/>
              <w:ind w:left="732"/>
              <w:spacing w:after="0" w:line="216" w:lineRule="exact"/>
              <w:rPr>
                <w:sz w:val="20"/>
                <w:szCs w:val="20"/>
                <w:color w:val="auto"/>
              </w:rPr>
            </w:pPr>
            <w:r>
              <w:rPr>
                <w:rFonts w:ascii="Times New Roman" w:cs="Times New Roman" w:eastAsia="Times New Roman" w:hAnsi="Times New Roman"/>
                <w:sz w:val="22"/>
                <w:szCs w:val="22"/>
                <w:color w:val="auto"/>
                <w:w w:val="98"/>
              </w:rPr>
              <w:t>$25,000,000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jc w:val="center"/>
              <w:ind w:right="560"/>
              <w:spacing w:after="0" w:line="216" w:lineRule="exact"/>
              <w:rPr>
                <w:sz w:val="20"/>
                <w:szCs w:val="20"/>
                <w:color w:val="auto"/>
              </w:rPr>
            </w:pPr>
            <w:r>
              <w:rPr>
                <w:rFonts w:ascii="Times New Roman" w:cs="Times New Roman" w:eastAsia="Times New Roman" w:hAnsi="Times New Roman"/>
                <w:sz w:val="22"/>
                <w:szCs w:val="22"/>
                <w:color w:val="auto"/>
              </w:rPr>
              <w:t>N/A</w:t>
            </w:r>
          </w:p>
        </w:tc>
      </w:tr>
      <w:tr>
        <w:trPr>
          <w:trHeight w:val="243"/>
        </w:trPr>
        <w:tc>
          <w:tcPr>
            <w:tcW w:w="38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610 W. Germantown Avenue</w:t>
            </w: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38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Plymouth Meeting, PA 19462</w:t>
            </w: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82"/>
        </w:trPr>
        <w:tc>
          <w:tcPr>
            <w:tcW w:w="38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Attention: Leslie Broderick</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4"/>
        </w:trPr>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382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2"/>
                <w:szCs w:val="22"/>
                <w:color w:val="auto"/>
              </w:rPr>
              <w:t>The Huntington National Bank</w:t>
            </w:r>
          </w:p>
        </w:tc>
        <w:tc>
          <w:tcPr>
            <w:tcW w:w="2000" w:type="dxa"/>
            <w:vAlign w:val="bottom"/>
            <w:gridSpan w:val="2"/>
            <w:shd w:val="clear" w:color="auto" w:fill="CCEEFF"/>
          </w:tcPr>
          <w:p>
            <w:pPr>
              <w:jc w:val="center"/>
              <w:ind w:left="732"/>
              <w:spacing w:after="0" w:line="216" w:lineRule="exact"/>
              <w:rPr>
                <w:sz w:val="20"/>
                <w:szCs w:val="20"/>
                <w:color w:val="auto"/>
              </w:rPr>
            </w:pPr>
            <w:r>
              <w:rPr>
                <w:rFonts w:ascii="Times New Roman" w:cs="Times New Roman" w:eastAsia="Times New Roman" w:hAnsi="Times New Roman"/>
                <w:sz w:val="22"/>
                <w:szCs w:val="22"/>
                <w:color w:val="auto"/>
                <w:w w:val="98"/>
              </w:rPr>
              <w:t>$25,000,000</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560"/>
              <w:spacing w:after="0" w:line="216" w:lineRule="exact"/>
              <w:rPr>
                <w:sz w:val="20"/>
                <w:szCs w:val="20"/>
                <w:color w:val="auto"/>
              </w:rPr>
            </w:pPr>
            <w:r>
              <w:rPr>
                <w:rFonts w:ascii="Times New Roman" w:cs="Times New Roman" w:eastAsia="Times New Roman" w:hAnsi="Times New Roman"/>
                <w:sz w:val="22"/>
                <w:szCs w:val="22"/>
                <w:color w:val="auto"/>
              </w:rPr>
              <w:t>N/A</w:t>
            </w:r>
          </w:p>
        </w:tc>
      </w:tr>
      <w:tr>
        <w:trPr>
          <w:trHeight w:val="243"/>
        </w:trPr>
        <w:tc>
          <w:tcPr>
            <w:tcW w:w="38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310 Grant Street, 2nd Floor</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3"/>
        </w:trPr>
        <w:tc>
          <w:tcPr>
            <w:tcW w:w="382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Pittsburgh PA 15219</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82"/>
        </w:trPr>
        <w:tc>
          <w:tcPr>
            <w:tcW w:w="3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Attention: Chris Olsen</w:t>
            </w:r>
          </w:p>
        </w:tc>
        <w:tc>
          <w:tcPr>
            <w:tcW w:w="8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04"/>
        </w:trPr>
        <w:tc>
          <w:tcPr>
            <w:tcW w:w="1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color w:val="auto"/>
        </w:rPr>
        <w:t>Schedule 3.6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Existing Litigation</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2"/>
          <w:szCs w:val="22"/>
          <w:color w:val="auto"/>
        </w:rPr>
        <w:t>Schedule 3.11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Regulatory Approvals</w:t>
      </w: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color w:val="auto"/>
        </w:rPr>
        <w:t>Schedule 3.13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Environmental Matters</w:t>
      </w:r>
    </w:p>
    <w:p>
      <w:pPr>
        <w:spacing w:after="0" w:line="206" w:lineRule="exact"/>
        <w:rPr>
          <w:sz w:val="20"/>
          <w:szCs w:val="20"/>
          <w:color w:val="auto"/>
        </w:rPr>
      </w:pPr>
    </w:p>
    <w:p>
      <w:pPr>
        <w:ind w:left="180" w:right="479"/>
        <w:spacing w:after="0" w:line="239" w:lineRule="auto"/>
        <w:rPr>
          <w:sz w:val="20"/>
          <w:szCs w:val="20"/>
          <w:color w:val="auto"/>
        </w:rPr>
      </w:pPr>
      <w:r>
        <w:rPr>
          <w:rFonts w:ascii="Times New Roman" w:cs="Times New Roman" w:eastAsia="Times New Roman" w:hAnsi="Times New Roman"/>
          <w:sz w:val="22"/>
          <w:szCs w:val="22"/>
          <w:color w:val="auto"/>
        </w:rPr>
        <w:t>In its water treatment process, the Borrower uses chemicals, including chlorine, caustic soda and sodium chlorite, which are listed as hazardous substances. These chemicals are, in all material respects, stored and used at the Borrower’s plants and facilities in accordance with the Environmental Laws.</w:t>
      </w:r>
    </w:p>
    <w:p>
      <w:pPr>
        <w:spacing w:after="0" w:line="180" w:lineRule="exact"/>
        <w:rPr>
          <w:sz w:val="20"/>
          <w:szCs w:val="20"/>
          <w:color w:val="auto"/>
        </w:rPr>
      </w:pPr>
    </w:p>
    <w:p>
      <w:pPr>
        <w:ind w:left="180" w:right="279"/>
        <w:spacing w:after="0" w:line="255" w:lineRule="auto"/>
        <w:rPr>
          <w:sz w:val="20"/>
          <w:szCs w:val="20"/>
          <w:color w:val="auto"/>
        </w:rPr>
      </w:pPr>
      <w:r>
        <w:rPr>
          <w:rFonts w:ascii="Times New Roman" w:cs="Times New Roman" w:eastAsia="Times New Roman" w:hAnsi="Times New Roman"/>
          <w:sz w:val="21"/>
          <w:szCs w:val="21"/>
          <w:color w:val="auto"/>
        </w:rPr>
        <w:t>The Borrower operates a central laboratory at its Bryn Mawr facility for analysis of drinking water samples. To perform required analyses, the Borrower maintains small quantities of solvents, reagents and chemical standards, some of which are listed as hazardous substances. These materials, in all material respects, are stored and used in compliance with the Environmental Laws.</w:t>
      </w:r>
    </w:p>
    <w:p>
      <w:pPr>
        <w:spacing w:after="0" w:line="162" w:lineRule="exact"/>
        <w:rPr>
          <w:sz w:val="20"/>
          <w:szCs w:val="20"/>
          <w:color w:val="auto"/>
        </w:rPr>
      </w:pPr>
    </w:p>
    <w:p>
      <w:pPr>
        <w:ind w:left="180" w:right="199"/>
        <w:spacing w:after="0" w:line="243" w:lineRule="auto"/>
        <w:rPr>
          <w:sz w:val="20"/>
          <w:szCs w:val="20"/>
          <w:color w:val="auto"/>
        </w:rPr>
      </w:pPr>
      <w:r>
        <w:rPr>
          <w:rFonts w:ascii="Times New Roman" w:cs="Times New Roman" w:eastAsia="Times New Roman" w:hAnsi="Times New Roman"/>
          <w:sz w:val="21"/>
          <w:szCs w:val="21"/>
          <w:color w:val="auto"/>
        </w:rPr>
        <w:t>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 There is a potential for undetermined material costs due to the recent EPA final rule designating two PFAS compounds—perfluorooctanoic acid (“</w:t>
      </w:r>
      <w:r>
        <w:rPr>
          <w:rFonts w:ascii="Times New Roman" w:cs="Times New Roman" w:eastAsia="Times New Roman" w:hAnsi="Times New Roman"/>
          <w:sz w:val="21"/>
          <w:szCs w:val="21"/>
          <w:u w:val="single" w:color="auto"/>
          <w:color w:val="auto"/>
        </w:rPr>
        <w:t>PFOA</w:t>
      </w:r>
      <w:r>
        <w:rPr>
          <w:rFonts w:ascii="Times New Roman" w:cs="Times New Roman" w:eastAsia="Times New Roman" w:hAnsi="Times New Roman"/>
          <w:sz w:val="21"/>
          <w:szCs w:val="21"/>
          <w:color w:val="auto"/>
        </w:rPr>
        <w:t>”) and perfluorooctanesulfonic acid (“</w:t>
      </w:r>
      <w:r>
        <w:rPr>
          <w:rFonts w:ascii="Times New Roman" w:cs="Times New Roman" w:eastAsia="Times New Roman" w:hAnsi="Times New Roman"/>
          <w:sz w:val="21"/>
          <w:szCs w:val="21"/>
          <w:u w:val="single" w:color="auto"/>
          <w:color w:val="auto"/>
        </w:rPr>
        <w:t>PFOS</w:t>
      </w:r>
      <w:r>
        <w:rPr>
          <w:rFonts w:ascii="Times New Roman" w:cs="Times New Roman" w:eastAsia="Times New Roman" w:hAnsi="Times New Roman"/>
          <w:sz w:val="21"/>
          <w:szCs w:val="21"/>
          <w:color w:val="auto"/>
        </w:rPr>
        <w:t xml:space="preserve"> ”), including their salts and structural isomers—as hazardous substances under the Comprehensive Environmental Response, Compensation, and Liability Act (“</w:t>
      </w:r>
      <w:r>
        <w:rPr>
          <w:rFonts w:ascii="Times New Roman" w:cs="Times New Roman" w:eastAsia="Times New Roman" w:hAnsi="Times New Roman"/>
          <w:sz w:val="21"/>
          <w:szCs w:val="21"/>
          <w:u w:val="single" w:color="auto"/>
          <w:color w:val="auto"/>
        </w:rPr>
        <w:t>CERCLA</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Superfund</w:t>
      </w:r>
      <w:r>
        <w:rPr>
          <w:rFonts w:ascii="Times New Roman" w:cs="Times New Roman" w:eastAsia="Times New Roman" w:hAnsi="Times New Roman"/>
          <w:sz w:val="21"/>
          <w:szCs w:val="21"/>
          <w:color w:val="auto"/>
        </w:rPr>
        <w:t>”) on May 8, 2024. EPA released a PFAS Enforcement Discretion and Settlement Policy Under CERCLA on April 19, 2024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Under the Policy, EPA has stated that EPA will not “pursue entities where equitable factors do not support seeking response actions or costs under CERCLA” for PFAS contamination. Instead, the Policy indicates that EPA will focus on holding parties that have played a significant role in releasing or exacerbating the spread of PFAS into the environment, such as PFAS manufacturers and those that have used PFAS in manufacturing. The Policy expressly states that EPA does not intend to pursue response actions or costs from community water systems, publicly owned treatment works, municipal separate storm sewer systems, publicly owned/operated municipal solid waste landfills, publicly owned airports, publicly owned fire departments, and farms where biosolids are applied to land. For other similarly situated parties, the Policy indicates that EPA will apply equitable factors to determine whether to utilize enforcement discretion, including whether the party is a public entity, performs a public service and was ever engaged in the manufacturing of PFAS, and the degree to which it is involved in the use, storage, treatment, transport or disposal of PFAS. Where factors permit, the Policy allows EPA to provide contribution protection from third-party claims through settlements.</w:t>
      </w:r>
    </w:p>
    <w:p>
      <w:pPr>
        <w:spacing w:after="0" w:line="181" w:lineRule="exact"/>
        <w:rPr>
          <w:sz w:val="20"/>
          <w:szCs w:val="20"/>
          <w:color w:val="auto"/>
        </w:rPr>
      </w:pPr>
    </w:p>
    <w:p>
      <w:pPr>
        <w:ind w:left="180" w:right="539"/>
        <w:spacing w:after="0" w:line="251" w:lineRule="auto"/>
        <w:rPr>
          <w:sz w:val="20"/>
          <w:szCs w:val="20"/>
          <w:color w:val="auto"/>
        </w:rPr>
      </w:pPr>
      <w:r>
        <w:rPr>
          <w:rFonts w:ascii="Times New Roman" w:cs="Times New Roman" w:eastAsia="Times New Roman" w:hAnsi="Times New Roman"/>
          <w:sz w:val="21"/>
          <w:szCs w:val="21"/>
          <w:color w:val="auto"/>
        </w:rPr>
        <w:t>The Borrower will incur material costs to comply with recently finalized PFAS regulations for drinking water which costs are included in current and future capital and operating budget plans and intends to apply for recovery for these costs. In Pennsylvania the drinking water Maximum Contaminant Levels for PFOS and PFOA became effective on January 1, 2024. In addition, on April 26, 2024, the EPA promulgated the National Primary Drinking Water Regulation</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1" w:name="page152"/>
    <w:bookmarkEnd w:id="151"/>
    <w:p>
      <w:pPr>
        <w:ind w:left="180" w:right="53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NPDWR</w:t>
      </w:r>
      <w:r>
        <w:rPr>
          <w:rFonts w:ascii="Times New Roman" w:cs="Times New Roman" w:eastAsia="Times New Roman" w:hAnsi="Times New Roman"/>
          <w:sz w:val="22"/>
          <w:szCs w:val="22"/>
          <w:color w:val="auto"/>
        </w:rPr>
        <w:t>”) for the treatment of six PFAS. This will result in the construction and operation of water treatment systems to remove PFAS.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2"/>
          <w:szCs w:val="22"/>
          <w:color w:val="auto"/>
        </w:rPr>
        <w:t>Schedule 3.19</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Interests in Partnerships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3" w:name="page154"/>
    <w:bookmarkEnd w:id="153"/>
    <w:p>
      <w:pPr>
        <w:ind w:left="3940"/>
        <w:spacing w:after="0"/>
        <w:rPr>
          <w:sz w:val="20"/>
          <w:szCs w:val="20"/>
          <w:color w:val="auto"/>
        </w:rPr>
      </w:pPr>
      <w:r>
        <w:rPr>
          <w:rFonts w:ascii="Times New Roman" w:cs="Times New Roman" w:eastAsia="Times New Roman" w:hAnsi="Times New Roman"/>
          <w:sz w:val="22"/>
          <w:szCs w:val="22"/>
          <w:color w:val="auto"/>
        </w:rPr>
        <w:t>Schedule 6.3</w:t>
      </w:r>
    </w:p>
    <w:p>
      <w:pPr>
        <w:spacing w:after="0" w:line="20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Existing Liens</w:t>
      </w:r>
    </w:p>
    <w:p>
      <w:pPr>
        <w:spacing w:after="0" w:line="206" w:lineRule="exact"/>
        <w:rPr>
          <w:sz w:val="20"/>
          <w:szCs w:val="20"/>
          <w:color w:val="auto"/>
        </w:rPr>
      </w:pPr>
    </w:p>
    <w:p>
      <w:pPr>
        <w:ind w:left="840" w:right="239" w:hanging="656"/>
        <w:spacing w:after="0" w:line="244" w:lineRule="auto"/>
        <w:tabs>
          <w:tab w:leader="none" w:pos="9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 of Mortgage dated as of January 1, 1941 from the Borrower to The Bank of New York Mellon Trust Company, N.A., as current trustee thereunder, as amended and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Schedule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4" w:name="page155"/>
    <w:bookmarkEnd w:id="154"/>
    <w:p>
      <w:pPr>
        <w:ind w:left="3960"/>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BORROWING REQUEST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as Agent for the</w:t>
      </w:r>
    </w:p>
    <w:p>
      <w:pPr>
        <w:ind w:left="240"/>
        <w:spacing w:after="0" w:line="230" w:lineRule="auto"/>
        <w:rPr>
          <w:sz w:val="20"/>
          <w:szCs w:val="20"/>
          <w:color w:val="auto"/>
        </w:rPr>
      </w:pPr>
      <w:r>
        <w:rPr>
          <w:rFonts w:ascii="Times New Roman" w:cs="Times New Roman" w:eastAsia="Times New Roman" w:hAnsi="Times New Roman"/>
          <w:sz w:val="22"/>
          <w:szCs w:val="22"/>
          <w:color w:val="auto"/>
        </w:rPr>
        <w:t>Banks referred to below</w:t>
      </w:r>
    </w:p>
    <w:p>
      <w:pPr>
        <w:ind w:left="180"/>
        <w:spacing w:after="0" w:line="231" w:lineRule="auto"/>
        <w:rPr>
          <w:sz w:val="20"/>
          <w:szCs w:val="20"/>
          <w:color w:val="auto"/>
        </w:rPr>
      </w:pPr>
      <w:r>
        <w:rPr>
          <w:rFonts w:ascii="Times New Roman" w:cs="Times New Roman" w:eastAsia="Times New Roman" w:hAnsi="Times New Roman"/>
          <w:sz w:val="22"/>
          <w:szCs w:val="22"/>
          <w:color w:val="auto"/>
        </w:rPr>
        <w:t>PNC Agency Services</w:t>
      </w:r>
    </w:p>
    <w:p>
      <w:pPr>
        <w:ind w:left="180"/>
        <w:spacing w:after="0" w:line="230" w:lineRule="auto"/>
        <w:rPr>
          <w:sz w:val="20"/>
          <w:szCs w:val="20"/>
          <w:color w:val="auto"/>
        </w:rPr>
      </w:pPr>
      <w:r>
        <w:rPr>
          <w:rFonts w:ascii="Times New Roman" w:cs="Times New Roman" w:eastAsia="Times New Roman" w:hAnsi="Times New Roman"/>
          <w:sz w:val="22"/>
          <w:szCs w:val="22"/>
          <w:color w:val="auto"/>
        </w:rPr>
        <w:t>One PNC Plaza</w:t>
      </w:r>
    </w:p>
    <w:p>
      <w:pPr>
        <w:ind w:left="180"/>
        <w:spacing w:after="0" w:line="231" w:lineRule="auto"/>
        <w:rPr>
          <w:sz w:val="20"/>
          <w:szCs w:val="20"/>
          <w:color w:val="auto"/>
        </w:rPr>
      </w:pPr>
      <w:r>
        <w:rPr>
          <w:rFonts w:ascii="Times New Roman" w:cs="Times New Roman" w:eastAsia="Times New Roman" w:hAnsi="Times New Roman"/>
          <w:sz w:val="22"/>
          <w:szCs w:val="22"/>
          <w:color w:val="auto"/>
        </w:rPr>
        <w:t>249 Fifth Avenue</w:t>
      </w:r>
    </w:p>
    <w:p>
      <w:pPr>
        <w:ind w:left="180"/>
        <w:spacing w:after="0" w:line="23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0"/>
          <w:szCs w:val="10"/>
          <w:color w:val="auto"/>
        </w:rPr>
        <w:t>nd</w:t>
      </w:r>
      <w:r>
        <w:rPr>
          <w:rFonts w:ascii="Times New Roman" w:cs="Times New Roman" w:eastAsia="Times New Roman" w:hAnsi="Times New Roman"/>
          <w:sz w:val="22"/>
          <w:szCs w:val="22"/>
          <w:color w:val="auto"/>
        </w:rPr>
        <w:t xml:space="preserve"> Floor</w:t>
      </w:r>
    </w:p>
    <w:p>
      <w:pPr>
        <w:ind w:left="180"/>
        <w:spacing w:after="0" w:line="231" w:lineRule="auto"/>
        <w:rPr>
          <w:sz w:val="20"/>
          <w:szCs w:val="20"/>
          <w:color w:val="auto"/>
        </w:rPr>
      </w:pPr>
      <w:r>
        <w:rPr>
          <w:rFonts w:ascii="Times New Roman" w:cs="Times New Roman" w:eastAsia="Times New Roman" w:hAnsi="Times New Roman"/>
          <w:sz w:val="22"/>
          <w:szCs w:val="22"/>
          <w:color w:val="auto"/>
        </w:rPr>
        <w:t>Pittsburgh, PA 15222</w:t>
      </w:r>
    </w:p>
    <w:p>
      <w:pPr>
        <w:ind w:left="180"/>
        <w:spacing w:after="0"/>
        <w:rPr>
          <w:sz w:val="20"/>
          <w:szCs w:val="20"/>
          <w:color w:val="auto"/>
        </w:rPr>
      </w:pPr>
      <w:r>
        <w:rPr>
          <w:rFonts w:ascii="Times New Roman" w:cs="Times New Roman" w:eastAsia="Times New Roman" w:hAnsi="Times New Roman"/>
          <w:sz w:val="22"/>
          <w:szCs w:val="22"/>
          <w:color w:val="auto"/>
        </w:rPr>
        <w:t>Attention: Agency Services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The undersigned, Aqua Pennsylvania, Inc. (the “Borrower”), refers to the Amended and Restated Credit Agreement dated as of November __, 2016 (as amended, modified, extended or restated from time to time, the “Agreement”), among the Borrower, the Banks party thereto and PNC Bank, National Association as Agent. Capitalized terms used herein and not otherwise defined herein shall have the meanings assigned to such terms in the Agreement. The Borrower hereby gives you notice pursuant to Section 2.1 of the Agreement that it requests a Borrowing under the Agreement, and in that connection sets forth below the terms on which such Borrowing is requested to be made:</w:t>
      </w:r>
    </w:p>
    <w:p>
      <w:pPr>
        <w:spacing w:after="0" w:line="178" w:lineRule="exact"/>
        <w:rPr>
          <w:sz w:val="20"/>
          <w:szCs w:val="20"/>
          <w:color w:val="auto"/>
        </w:rPr>
      </w:pPr>
    </w:p>
    <w:p>
      <w:pPr>
        <w:ind w:left="1260" w:right="5519" w:hanging="955"/>
        <w:spacing w:after="0" w:line="282" w:lineRule="auto"/>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Date of Borrowing (which is a Business Day)</w:t>
      </w:r>
    </w:p>
    <w:p>
      <w:pPr>
        <w:sectPr>
          <w:pgSz w:w="11900" w:h="16838" w:orient="portrait"/>
          <w:cols w:equalWidth="0" w:num="1">
            <w:col w:w="9019"/>
          </w:cols>
          <w:pgMar w:left="1440" w:top="355" w:right="1440" w:bottom="1440" w:gutter="0" w:footer="0" w:header="0"/>
        </w:sectPr>
      </w:pP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32" w:lineRule="exact"/>
        <w:rPr>
          <w:sz w:val="20"/>
          <w:szCs w:val="20"/>
          <w:color w:val="auto"/>
        </w:rPr>
      </w:pPr>
    </w:p>
    <w:p>
      <w:pPr>
        <w:sectPr>
          <w:pgSz w:w="11900" w:h="16838" w:orient="portrait"/>
          <w:cols w:equalWidth="0" w:num="3">
            <w:col w:w="600" w:space="660"/>
            <w:col w:w="2520" w:space="720"/>
            <w:col w:w="4519"/>
          </w:cols>
          <w:pgMar w:left="1440" w:top="355" w:right="1440" w:bottom="1440" w:gutter="0" w:footer="0" w:header="0"/>
          <w:type w:val="continuous"/>
        </w:sectPr>
      </w:pPr>
    </w:p>
    <w:p>
      <w:pPr>
        <w:ind w:left="1260" w:hanging="955"/>
        <w:spacing w:after="0" w:line="223" w:lineRule="auto"/>
        <w:tabs>
          <w:tab w:leader="none" w:pos="12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Interest rate basis</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55" w:name="page156"/>
    <w:bookmarkEnd w:id="155"/>
    <w:p>
      <w:pPr>
        <w:ind w:left="1260" w:right="6139" w:hanging="955"/>
        <w:spacing w:after="0" w:line="234" w:lineRule="auto"/>
        <w:tabs>
          <w:tab w:leader="none" w:pos="1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Interest Period and the last day thereof</w:t>
      </w:r>
    </w:p>
    <w:p>
      <w:pPr>
        <w:spacing w:after="0" w:line="217" w:lineRule="exact"/>
        <w:rPr>
          <w:sz w:val="20"/>
          <w:szCs w:val="20"/>
          <w:color w:val="auto"/>
        </w:rPr>
      </w:pPr>
    </w:p>
    <w:p>
      <w:pPr>
        <w:ind w:left="180" w:right="399" w:firstLine="648"/>
        <w:spacing w:after="0" w:line="244" w:lineRule="auto"/>
        <w:rPr>
          <w:sz w:val="20"/>
          <w:szCs w:val="20"/>
          <w:color w:val="auto"/>
        </w:rPr>
      </w:pPr>
      <w:r>
        <w:rPr>
          <w:rFonts w:ascii="Times New Roman" w:cs="Times New Roman" w:eastAsia="Times New Roman" w:hAnsi="Times New Roman"/>
          <w:sz w:val="22"/>
          <w:szCs w:val="22"/>
          <w:color w:val="auto"/>
        </w:rPr>
        <w:t>Upon acceptance of any or all of the Revolving Credit Loans made by the Banks in response to this request, the Borrower shall be deemed to have represented and warranted that the conditions to lending specified in Section 4.2 of the Agreement have been satisfied.</w:t>
      </w:r>
    </w:p>
    <w:p>
      <w:pPr>
        <w:spacing w:after="0" w:line="17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56" w:name="page157"/>
    <w:bookmarkEnd w:id="156"/>
    <w:tbl>
      <w:tblPr>
        <w:tblLayout w:type="fixed"/>
        <w:tblInd w:w="180" w:type="dxa"/>
        <w:tblCellMar>
          <w:top w:w="0" w:type="dxa"/>
          <w:left w:w="0" w:type="dxa"/>
          <w:bottom w:w="0" w:type="dxa"/>
          <w:right w:w="0" w:type="dxa"/>
        </w:tblCellMar>
      </w:tblPr>
      <w:tr>
        <w:trPr>
          <w:trHeight w:val="282"/>
        </w:trPr>
        <w:tc>
          <w:tcPr>
            <w:tcW w:w="2420" w:type="dxa"/>
            <w:vAlign w:val="bottom"/>
          </w:tcPr>
          <w:p>
            <w:pPr>
              <w:spacing w:after="0"/>
              <w:rPr>
                <w:sz w:val="24"/>
                <w:szCs w:val="24"/>
                <w:color w:val="auto"/>
              </w:rPr>
            </w:pPr>
          </w:p>
        </w:tc>
        <w:tc>
          <w:tcPr>
            <w:tcW w:w="5660" w:type="dxa"/>
            <w:vAlign w:val="bottom"/>
          </w:tcPr>
          <w:p>
            <w:pPr>
              <w:jc w:val="center"/>
              <w:ind w:right="1752"/>
              <w:spacing w:after="0"/>
              <w:rPr>
                <w:sz w:val="20"/>
                <w:szCs w:val="20"/>
                <w:color w:val="auto"/>
              </w:rPr>
            </w:pPr>
            <w:r>
              <w:rPr>
                <w:rFonts w:ascii="Times New Roman" w:cs="Times New Roman" w:eastAsia="Times New Roman" w:hAnsi="Times New Roman"/>
                <w:sz w:val="22"/>
                <w:szCs w:val="22"/>
                <w:color w:val="auto"/>
                <w:w w:val="98"/>
              </w:rPr>
              <w:t>EXHIBIT B-1</w:t>
            </w: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5660" w:type="dxa"/>
            <w:vAlign w:val="bottom"/>
          </w:tcPr>
          <w:p>
            <w:pPr>
              <w:jc w:val="center"/>
              <w:ind w:right="1732"/>
              <w:spacing w:after="0"/>
              <w:rPr>
                <w:sz w:val="20"/>
                <w:szCs w:val="20"/>
                <w:color w:val="auto"/>
              </w:rPr>
            </w:pPr>
            <w:r>
              <w:rPr>
                <w:rFonts w:ascii="Times New Roman" w:cs="Times New Roman" w:eastAsia="Times New Roman" w:hAnsi="Times New Roman"/>
                <w:sz w:val="22"/>
                <w:szCs w:val="22"/>
                <w:color w:val="auto"/>
                <w:w w:val="98"/>
              </w:rPr>
              <w:t>NOTE</w:t>
            </w:r>
          </w:p>
        </w:tc>
        <w:tc>
          <w:tcPr>
            <w:tcW w:w="0" w:type="dxa"/>
            <w:vAlign w:val="bottom"/>
          </w:tcPr>
          <w:p>
            <w:pPr>
              <w:spacing w:after="0"/>
              <w:rPr>
                <w:sz w:val="1"/>
                <w:szCs w:val="1"/>
                <w:color w:val="auto"/>
              </w:rPr>
            </w:pPr>
          </w:p>
        </w:tc>
      </w:tr>
      <w:tr>
        <w:trPr>
          <w:trHeight w:val="906"/>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$[_]</w:t>
            </w:r>
          </w:p>
        </w:tc>
        <w:tc>
          <w:tcPr>
            <w:tcW w:w="5660" w:type="dxa"/>
            <w:vAlign w:val="bottom"/>
          </w:tcPr>
          <w:p>
            <w:pPr>
              <w:ind w:left="4220"/>
              <w:spacing w:after="0"/>
              <w:rPr>
                <w:sz w:val="20"/>
                <w:szCs w:val="20"/>
                <w:color w:val="auto"/>
              </w:rPr>
            </w:pPr>
            <w:r>
              <w:rPr>
                <w:rFonts w:ascii="Times New Roman" w:cs="Times New Roman" w:eastAsia="Times New Roman" w:hAnsi="Times New Roman"/>
                <w:sz w:val="22"/>
                <w:szCs w:val="22"/>
                <w:color w:val="auto"/>
              </w:rPr>
              <w:t>Philadelphia,</w:t>
            </w: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Pennsylvania</w:t>
            </w:r>
          </w:p>
        </w:tc>
        <w:tc>
          <w:tcPr>
            <w:tcW w:w="5660" w:type="dxa"/>
            <w:vAlign w:val="bottom"/>
            <w:vMerge w:val="restart"/>
          </w:tcPr>
          <w:p>
            <w:pPr>
              <w:ind w:left="5100"/>
              <w:spacing w:after="0"/>
              <w:rPr>
                <w:sz w:val="20"/>
                <w:szCs w:val="20"/>
                <w:color w:val="auto"/>
              </w:rPr>
            </w:pPr>
            <w:r>
              <w:rPr>
                <w:rFonts w:ascii="Times New Roman" w:cs="Times New Roman" w:eastAsia="Times New Roman" w:hAnsi="Times New Roman"/>
                <w:sz w:val="22"/>
                <w:szCs w:val="22"/>
                <w:color w:val="auto"/>
                <w:w w:val="96"/>
              </w:rPr>
              <w:t>[Date]</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5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FOR VALUE RECEIVED, the undersigned, AQUA PENNSYLVANIA, INC. (the</w:t>
      </w:r>
    </w:p>
    <w:p>
      <w:pPr>
        <w:spacing w:after="0" w:line="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promises to pay to the order of ___________________ (the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at the</w:t>
      </w:r>
    </w:p>
    <w:p>
      <w:pPr>
        <w:spacing w:after="0" w:line="2" w:lineRule="exact"/>
        <w:rPr>
          <w:sz w:val="20"/>
          <w:szCs w:val="20"/>
          <w:color w:val="auto"/>
        </w:rPr>
      </w:pPr>
    </w:p>
    <w:p>
      <w:pPr>
        <w:ind w:left="180" w:right="419"/>
        <w:spacing w:after="0" w:line="241" w:lineRule="auto"/>
        <w:rPr>
          <w:sz w:val="20"/>
          <w:szCs w:val="20"/>
          <w:color w:val="auto"/>
        </w:rPr>
      </w:pPr>
      <w:r>
        <w:rPr>
          <w:rFonts w:ascii="Times New Roman" w:cs="Times New Roman" w:eastAsia="Times New Roman" w:hAnsi="Times New Roman"/>
          <w:sz w:val="21"/>
          <w:szCs w:val="21"/>
          <w:color w:val="auto"/>
        </w:rPr>
        <w:t>office of PNC Bank, National Association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at 1600 Market Street, Philadelphia, PA 19103, on the Termination Date, the lesser of the principal sum of ___________ ___________</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Dollars ($__________) and the aggregate unpaid principal amount of all Loans made by the Bank</w:t>
      </w:r>
    </w:p>
    <w:p>
      <w:pPr>
        <w:spacing w:after="0" w:line="2" w:lineRule="exact"/>
        <w:rPr>
          <w:sz w:val="20"/>
          <w:szCs w:val="20"/>
          <w:color w:val="auto"/>
        </w:rPr>
      </w:pPr>
    </w:p>
    <w:p>
      <w:pPr>
        <w:ind w:left="180" w:right="219"/>
        <w:spacing w:after="0" w:line="232" w:lineRule="auto"/>
        <w:rPr>
          <w:sz w:val="20"/>
          <w:szCs w:val="20"/>
          <w:color w:val="auto"/>
        </w:rPr>
      </w:pPr>
      <w:r>
        <w:rPr>
          <w:rFonts w:ascii="Times New Roman" w:cs="Times New Roman" w:eastAsia="Times New Roman" w:hAnsi="Times New Roman"/>
          <w:sz w:val="22"/>
          <w:szCs w:val="22"/>
          <w:color w:val="auto"/>
        </w:rPr>
        <w:t>to the Borrower pursuant to Section 2.1 of the Amended and Restated Credit Agreement dated as of November 17, 2016, among the Borrower, the Banks party thereto and the Agent (as amended, modified, extended or restated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lawful money of the United States of America in same day funds, and to pay interest from the date hereof on such principal amount from time to time outstanding, in like funds, at said office, at a rate or rates per annum and payable on the dates determined pursuant to the Agreement.</w:t>
      </w:r>
    </w:p>
    <w:p>
      <w:pPr>
        <w:spacing w:after="0" w:line="183" w:lineRule="exact"/>
        <w:rPr>
          <w:sz w:val="20"/>
          <w:szCs w:val="20"/>
          <w:color w:val="auto"/>
        </w:rPr>
      </w:pPr>
    </w:p>
    <w:p>
      <w:pPr>
        <w:ind w:left="180" w:right="359" w:firstLine="648"/>
        <w:spacing w:after="0" w:line="244" w:lineRule="auto"/>
        <w:rPr>
          <w:sz w:val="20"/>
          <w:szCs w:val="20"/>
          <w:color w:val="auto"/>
        </w:rPr>
      </w:pPr>
      <w:r>
        <w:rPr>
          <w:rFonts w:ascii="Times New Roman" w:cs="Times New Roman" w:eastAsia="Times New Roman" w:hAnsi="Times New Roman"/>
          <w:sz w:val="22"/>
          <w:szCs w:val="22"/>
          <w:color w:val="auto"/>
        </w:rPr>
        <w:t>The Borrower promises to pay interest, on demand, on any overdue principal and, to the extent permitted by law, overdue interest from their due dates at the rate or rates determined as set forth in the Agreement.</w:t>
      </w:r>
    </w:p>
    <w:p>
      <w:pPr>
        <w:spacing w:after="0" w:line="173" w:lineRule="exact"/>
        <w:rPr>
          <w:sz w:val="20"/>
          <w:szCs w:val="20"/>
          <w:color w:val="auto"/>
        </w:rPr>
      </w:pPr>
    </w:p>
    <w:p>
      <w:pPr>
        <w:jc w:val="both"/>
        <w:ind w:left="180" w:right="619" w:firstLine="648"/>
        <w:spacing w:after="0" w:line="244" w:lineRule="auto"/>
        <w:rPr>
          <w:sz w:val="20"/>
          <w:szCs w:val="20"/>
          <w:color w:val="auto"/>
        </w:rPr>
      </w:pPr>
      <w:r>
        <w:rPr>
          <w:rFonts w:ascii="Times New Roman" w:cs="Times New Roman" w:eastAsia="Times New Roman" w:hAnsi="Times New Roman"/>
          <w:sz w:val="22"/>
          <w:szCs w:val="22"/>
          <w:color w:val="auto"/>
        </w:rPr>
        <w:t>The Borrower hereby waives diligence, presentment, demand, protest and notice of any kind whatsoever. The nonexercise by the holder of any of its rights hereunder in any particular instance shall not constitute a waiver thereof in that or any subsequent instance.</w:t>
      </w:r>
    </w:p>
    <w:p>
      <w:pPr>
        <w:spacing w:after="0" w:line="173"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holder hereof to make such a notation or any error in such a notation shall not in any manner affect the obligations of the Borrower to make payments of principal and interest in accordance with the terms of this Note and the Agreement.</w:t>
      </w:r>
    </w:p>
    <w:p>
      <w:pPr>
        <w:spacing w:after="0" w:line="183" w:lineRule="exact"/>
        <w:rPr>
          <w:sz w:val="20"/>
          <w:szCs w:val="20"/>
          <w:color w:val="auto"/>
        </w:rPr>
      </w:pPr>
    </w:p>
    <w:p>
      <w:pPr>
        <w:ind w:left="180" w:right="419" w:firstLine="648"/>
        <w:spacing w:after="0" w:line="253" w:lineRule="auto"/>
        <w:rPr>
          <w:sz w:val="20"/>
          <w:szCs w:val="20"/>
          <w:color w:val="auto"/>
        </w:rPr>
      </w:pPr>
      <w:r>
        <w:rPr>
          <w:rFonts w:ascii="Times New Roman" w:cs="Times New Roman" w:eastAsia="Times New Roman" w:hAnsi="Times New Roman"/>
          <w:sz w:val="21"/>
          <w:szCs w:val="21"/>
          <w:color w:val="auto"/>
        </w:rPr>
        <w:t>[This Note amends, restates and supersedes a prior note of the Borrower payable to the Bank, dated ___________________ (the “</w:t>
      </w:r>
      <w:r>
        <w:rPr>
          <w:rFonts w:ascii="Times New Roman" w:cs="Times New Roman" w:eastAsia="Times New Roman" w:hAnsi="Times New Roman"/>
          <w:sz w:val="21"/>
          <w:szCs w:val="21"/>
          <w:u w:val="single" w:color="auto"/>
          <w:color w:val="auto"/>
        </w:rPr>
        <w:t>Prior Note</w:t>
      </w:r>
      <w:r>
        <w:rPr>
          <w:rFonts w:ascii="Times New Roman" w:cs="Times New Roman" w:eastAsia="Times New Roman" w:hAnsi="Times New Roman"/>
          <w:sz w:val="21"/>
          <w:szCs w:val="21"/>
          <w:color w:val="auto"/>
        </w:rPr>
        <w:t>”). This Note shall in no way extinguish the</w:t>
      </w:r>
    </w:p>
    <w:p>
      <w:pPr>
        <w:spacing w:after="0" w:line="1" w:lineRule="exact"/>
        <w:rPr>
          <w:sz w:val="20"/>
          <w:szCs w:val="20"/>
          <w:color w:val="auto"/>
        </w:rPr>
      </w:pPr>
    </w:p>
    <w:p>
      <w:pPr>
        <w:ind w:left="180" w:right="219"/>
        <w:spacing w:after="0" w:line="235" w:lineRule="auto"/>
        <w:rPr>
          <w:sz w:val="20"/>
          <w:szCs w:val="20"/>
          <w:color w:val="auto"/>
        </w:rPr>
      </w:pPr>
      <w:r>
        <w:rPr>
          <w:rFonts w:ascii="Times New Roman" w:cs="Times New Roman" w:eastAsia="Times New Roman" w:hAnsi="Times New Roman"/>
          <w:sz w:val="22"/>
          <w:szCs w:val="22"/>
          <w:color w:val="auto"/>
        </w:rPr>
        <w:t>Borrower’s unconditional obligation to repay all indebtedness evidenced by the Prior Note, is given in substitution for and not as payment of the Prior Note and is in no way intended to constitute a novation of the Prior Note.]</w:t>
      </w:r>
    </w:p>
    <w:p>
      <w:pPr>
        <w:spacing w:after="0" w:line="178" w:lineRule="exact"/>
        <w:rPr>
          <w:sz w:val="20"/>
          <w:szCs w:val="20"/>
          <w:color w:val="auto"/>
        </w:rPr>
      </w:pPr>
    </w:p>
    <w:p>
      <w:pPr>
        <w:ind w:left="180" w:right="279" w:firstLine="648"/>
        <w:spacing w:after="0" w:line="238" w:lineRule="auto"/>
        <w:rPr>
          <w:sz w:val="20"/>
          <w:szCs w:val="20"/>
          <w:color w:val="auto"/>
        </w:rPr>
      </w:pPr>
      <w:r>
        <w:rPr>
          <w:rFonts w:ascii="Times New Roman" w:cs="Times New Roman" w:eastAsia="Times New Roman" w:hAnsi="Times New Roman"/>
          <w:sz w:val="22"/>
          <w:szCs w:val="22"/>
          <w:color w:val="auto"/>
        </w:rPr>
        <w:t>This Note is one of the Notes referred to, in evidences indebtedness incurred under, and is entitled to the benefits of the Agreement. The Agreement, among other things, contains provisions for the acceleration of the maturity hereof upon the happening of certain events, for optional and mandatory prepayments of the principal hereof prior to the maturity hereof, for a higher rate of interest hereunder after an Event of Default and for the amendment or waiver of</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7" w:name="page158"/>
    <w:bookmarkEnd w:id="157"/>
    <w:p>
      <w:pPr>
        <w:ind w:left="180" w:right="239"/>
        <w:spacing w:after="0" w:line="239" w:lineRule="auto"/>
        <w:rPr>
          <w:sz w:val="20"/>
          <w:szCs w:val="20"/>
          <w:color w:val="auto"/>
        </w:rPr>
      </w:pPr>
      <w:r>
        <w:rPr>
          <w:rFonts w:ascii="Times New Roman" w:cs="Times New Roman" w:eastAsia="Times New Roman" w:hAnsi="Times New Roman"/>
          <w:sz w:val="22"/>
          <w:szCs w:val="22"/>
          <w:color w:val="auto"/>
        </w:rPr>
        <w:t>certain provisions of the Agreement, all upon the terms and conditions therein specified. This Note shall be construed in accordance with and governed by the laws of the Commonwealth of Pennsylvania and any applicable laws of the United States of America. Capitalized terms not otherwise defined herein shall have the meanings set forth in the Agreement.</w:t>
      </w:r>
    </w:p>
    <w:p>
      <w:pPr>
        <w:spacing w:after="0" w:line="200" w:lineRule="exact"/>
        <w:rPr>
          <w:sz w:val="20"/>
          <w:szCs w:val="20"/>
          <w:color w:val="auto"/>
        </w:rPr>
      </w:pPr>
    </w:p>
    <w:p>
      <w:pPr>
        <w:spacing w:after="0" w:line="2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Unpaid</w:t>
            </w:r>
          </w:p>
        </w:tc>
        <w:tc>
          <w:tcPr>
            <w:tcW w:w="900" w:type="dxa"/>
            <w:vAlign w:val="bottom"/>
            <w:gridSpan w:val="3"/>
          </w:tcPr>
          <w:p>
            <w:pPr>
              <w:jc w:val="center"/>
              <w:ind w:left="41"/>
              <w:spacing w:after="0"/>
              <w:rPr>
                <w:sz w:val="20"/>
                <w:szCs w:val="20"/>
                <w:color w:val="auto"/>
              </w:rPr>
            </w:pPr>
            <w:r>
              <w:rPr>
                <w:rFonts w:ascii="Times New Roman" w:cs="Times New Roman" w:eastAsia="Times New Roman" w:hAnsi="Times New Roman"/>
                <w:sz w:val="20"/>
                <w:szCs w:val="20"/>
                <w:color w:val="auto"/>
                <w:w w:val="97"/>
              </w:rPr>
              <w:t>Name of</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Payments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Principal</w:t>
            </w:r>
          </w:p>
        </w:tc>
        <w:tc>
          <w:tcPr>
            <w:tcW w:w="20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Person</w:t>
            </w:r>
          </w:p>
        </w:tc>
        <w:tc>
          <w:tcPr>
            <w:tcW w:w="0" w:type="dxa"/>
            <w:vAlign w:val="bottom"/>
          </w:tcPr>
          <w:p>
            <w:pPr>
              <w:spacing w:after="0"/>
              <w:rPr>
                <w:sz w:val="1"/>
                <w:szCs w:val="1"/>
                <w:color w:val="auto"/>
              </w:rPr>
            </w:pPr>
          </w:p>
        </w:tc>
      </w:tr>
      <w:tr>
        <w:trPr>
          <w:trHeight w:val="50"/>
        </w:trPr>
        <w:tc>
          <w:tcPr>
            <w:tcW w:w="380" w:type="dxa"/>
            <w:vAlign w:val="bottom"/>
          </w:tcPr>
          <w:p>
            <w:pPr>
              <w:spacing w:after="0"/>
              <w:rPr>
                <w:sz w:val="4"/>
                <w:szCs w:val="4"/>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20"/>
                <w:szCs w:val="20"/>
                <w:color w:val="auto"/>
              </w:rPr>
              <w:t>Amount</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Interest</w:t>
            </w:r>
          </w:p>
        </w:tc>
        <w:tc>
          <w:tcPr>
            <w:tcW w:w="12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Interest</w:t>
            </w:r>
          </w:p>
        </w:tc>
        <w:tc>
          <w:tcPr>
            <w:tcW w:w="52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Balance of</w:t>
            </w:r>
          </w:p>
        </w:tc>
        <w:tc>
          <w:tcPr>
            <w:tcW w:w="200" w:type="dxa"/>
            <w:vAlign w:val="bottom"/>
          </w:tcPr>
          <w:p>
            <w:pPr>
              <w:spacing w:after="0"/>
              <w:rPr>
                <w:sz w:val="4"/>
                <w:szCs w:val="4"/>
                <w:color w:val="auto"/>
              </w:rPr>
            </w:pP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w w:val="96"/>
              </w:rPr>
              <w:t>Making</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5"/>
              </w:rPr>
              <w:t>Date</w:t>
            </w:r>
          </w:p>
        </w:tc>
        <w:tc>
          <w:tcPr>
            <w:tcW w:w="520" w:type="dxa"/>
            <w:vAlign w:val="bottom"/>
          </w:tcPr>
          <w:p>
            <w:pPr>
              <w:spacing w:after="0"/>
              <w:rPr>
                <w:sz w:val="18"/>
                <w:szCs w:val="18"/>
                <w:color w:val="auto"/>
              </w:rPr>
            </w:pPr>
          </w:p>
        </w:tc>
        <w:tc>
          <w:tcPr>
            <w:tcW w:w="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of Loan</w:t>
            </w:r>
          </w:p>
        </w:tc>
        <w:tc>
          <w:tcPr>
            <w:tcW w:w="360" w:type="dxa"/>
            <w:vAlign w:val="bottom"/>
          </w:tcPr>
          <w:p>
            <w:pPr>
              <w:spacing w:after="0"/>
              <w:rPr>
                <w:sz w:val="18"/>
                <w:szCs w:val="18"/>
                <w:color w:val="auto"/>
              </w:rPr>
            </w:pPr>
          </w:p>
        </w:tc>
        <w:tc>
          <w:tcPr>
            <w:tcW w:w="700" w:type="dxa"/>
            <w:vAlign w:val="bottom"/>
            <w:gridSpan w:val="2"/>
          </w:tcPr>
          <w:p>
            <w:pPr>
              <w:jc w:val="center"/>
              <w:ind w:right="340"/>
              <w:spacing w:after="0" w:line="212" w:lineRule="exact"/>
              <w:rPr>
                <w:sz w:val="20"/>
                <w:szCs w:val="20"/>
                <w:color w:val="auto"/>
              </w:rPr>
            </w:pPr>
            <w:r>
              <w:rPr>
                <w:rFonts w:ascii="Times New Roman" w:cs="Times New Roman" w:eastAsia="Times New Roman" w:hAnsi="Times New Roman"/>
                <w:sz w:val="20"/>
                <w:szCs w:val="20"/>
                <w:color w:val="auto"/>
                <w:w w:val="98"/>
              </w:rPr>
              <w:t>Rate</w:t>
            </w:r>
          </w:p>
        </w:tc>
        <w:tc>
          <w:tcPr>
            <w:tcW w:w="1280" w:type="dxa"/>
            <w:vAlign w:val="bottom"/>
            <w:gridSpan w:val="3"/>
          </w:tcPr>
          <w:p>
            <w:pPr>
              <w:jc w:val="center"/>
              <w:ind w:right="200"/>
              <w:spacing w:after="0" w:line="212" w:lineRule="exact"/>
              <w:rPr>
                <w:sz w:val="20"/>
                <w:szCs w:val="20"/>
                <w:color w:val="auto"/>
              </w:rPr>
            </w:pPr>
            <w:r>
              <w:rPr>
                <w:rFonts w:ascii="Times New Roman" w:cs="Times New Roman" w:eastAsia="Times New Roman" w:hAnsi="Times New Roman"/>
                <w:sz w:val="20"/>
                <w:szCs w:val="20"/>
                <w:color w:val="auto"/>
                <w:w w:val="99"/>
              </w:rPr>
              <w:t>Period</w:t>
            </w:r>
          </w:p>
        </w:tc>
        <w:tc>
          <w:tcPr>
            <w:tcW w:w="11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Principal</w:t>
            </w:r>
          </w:p>
        </w:tc>
        <w:tc>
          <w:tcPr>
            <w:tcW w:w="7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Interest</w:t>
            </w:r>
          </w:p>
        </w:tc>
        <w:tc>
          <w:tcPr>
            <w:tcW w:w="420" w:type="dxa"/>
            <w:vAlign w:val="bottom"/>
          </w:tcPr>
          <w:p>
            <w:pPr>
              <w:spacing w:after="0"/>
              <w:rPr>
                <w:sz w:val="18"/>
                <w:szCs w:val="18"/>
                <w:color w:val="auto"/>
              </w:rPr>
            </w:pPr>
          </w:p>
        </w:tc>
        <w:tc>
          <w:tcPr>
            <w:tcW w:w="780" w:type="dxa"/>
            <w:vAlign w:val="bottom"/>
            <w:gridSpan w:val="2"/>
          </w:tcPr>
          <w:p>
            <w:pPr>
              <w:jc w:val="center"/>
              <w:ind w:right="400"/>
              <w:spacing w:after="0" w:line="212" w:lineRule="exact"/>
              <w:rPr>
                <w:sz w:val="20"/>
                <w:szCs w:val="20"/>
                <w:color w:val="auto"/>
              </w:rPr>
            </w:pPr>
            <w:r>
              <w:rPr>
                <w:rFonts w:ascii="Times New Roman" w:cs="Times New Roman" w:eastAsia="Times New Roman" w:hAnsi="Times New Roman"/>
                <w:sz w:val="20"/>
                <w:szCs w:val="20"/>
                <w:color w:val="auto"/>
                <w:w w:val="97"/>
              </w:rPr>
              <w:t>Note</w:t>
            </w:r>
          </w:p>
        </w:tc>
        <w:tc>
          <w:tcPr>
            <w:tcW w:w="900" w:type="dxa"/>
            <w:vAlign w:val="bottom"/>
            <w:gridSpan w:val="3"/>
          </w:tcPr>
          <w:p>
            <w:pPr>
              <w:jc w:val="center"/>
              <w:ind w:left="101"/>
              <w:spacing w:after="0" w:line="212" w:lineRule="exact"/>
              <w:rPr>
                <w:sz w:val="20"/>
                <w:szCs w:val="20"/>
                <w:color w:val="auto"/>
              </w:rPr>
            </w:pPr>
            <w:r>
              <w:rPr>
                <w:rFonts w:ascii="Times New Roman" w:cs="Times New Roman" w:eastAsia="Times New Roman" w:hAnsi="Times New Roman"/>
                <w:sz w:val="20"/>
                <w:szCs w:val="20"/>
                <w:color w:val="auto"/>
                <w:w w:val="99"/>
              </w:rPr>
              <w:t>Notation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2"/>
          <w:szCs w:val="22"/>
          <w:color w:val="auto"/>
        </w:rPr>
        <w:t>EXHIBIT B-2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SWING LINE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334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w w:val="96"/>
              </w:rPr>
              <w:t>$10,000,000</w:t>
            </w:r>
          </w:p>
        </w:tc>
        <w:tc>
          <w:tcPr>
            <w:tcW w:w="4460" w:type="dxa"/>
            <w:vAlign w:val="bottom"/>
          </w:tcPr>
          <w:p>
            <w:pPr>
              <w:ind w:left="3340"/>
              <w:spacing w:after="0"/>
              <w:rPr>
                <w:sz w:val="20"/>
                <w:szCs w:val="20"/>
                <w:color w:val="auto"/>
              </w:rPr>
            </w:pPr>
            <w:r>
              <w:rPr>
                <w:rFonts w:ascii="Times New Roman" w:cs="Times New Roman" w:eastAsia="Times New Roman" w:hAnsi="Times New Roman"/>
                <w:sz w:val="22"/>
                <w:szCs w:val="22"/>
                <w:color w:val="auto"/>
                <w:w w:val="95"/>
              </w:rPr>
              <w:t>Philadelphia,</w:t>
            </w:r>
          </w:p>
        </w:tc>
        <w:tc>
          <w:tcPr>
            <w:tcW w:w="0" w:type="dxa"/>
            <w:vAlign w:val="bottom"/>
          </w:tcPr>
          <w:p>
            <w:pPr>
              <w:spacing w:after="0"/>
              <w:rPr>
                <w:sz w:val="1"/>
                <w:szCs w:val="1"/>
                <w:color w:val="auto"/>
              </w:rPr>
            </w:pPr>
          </w:p>
        </w:tc>
      </w:tr>
      <w:tr>
        <w:trPr>
          <w:trHeight w:val="282"/>
        </w:trPr>
        <w:tc>
          <w:tcPr>
            <w:tcW w:w="3340" w:type="dxa"/>
            <w:vAlign w:val="bottom"/>
          </w:tcPr>
          <w:p>
            <w:pPr>
              <w:jc w:val="right"/>
              <w:ind w:right="2012"/>
              <w:spacing w:after="0"/>
              <w:rPr>
                <w:sz w:val="20"/>
                <w:szCs w:val="20"/>
                <w:color w:val="auto"/>
              </w:rPr>
            </w:pPr>
            <w:r>
              <w:rPr>
                <w:rFonts w:ascii="Times New Roman" w:cs="Times New Roman" w:eastAsia="Times New Roman" w:hAnsi="Times New Roman"/>
                <w:sz w:val="22"/>
                <w:szCs w:val="22"/>
                <w:color w:val="auto"/>
              </w:rPr>
              <w:t>Pennsylvania</w:t>
            </w:r>
          </w:p>
        </w:tc>
        <w:tc>
          <w:tcPr>
            <w:tcW w:w="4460" w:type="dxa"/>
            <w:vAlign w:val="bottom"/>
            <w:vMerge w:val="restart"/>
          </w:tcPr>
          <w:p>
            <w:pPr>
              <w:ind w:left="2140"/>
              <w:spacing w:after="0"/>
              <w:rPr>
                <w:sz w:val="20"/>
                <w:szCs w:val="20"/>
                <w:color w:val="auto"/>
              </w:rPr>
            </w:pPr>
            <w:r>
              <w:rPr>
                <w:rFonts w:ascii="Times New Roman" w:cs="Times New Roman" w:eastAsia="Times New Roman" w:hAnsi="Times New Roman"/>
                <w:sz w:val="22"/>
                <w:szCs w:val="22"/>
                <w:color w:val="auto"/>
              </w:rPr>
              <w:t>November __, 2016</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4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FOR VALUE RECEIVED, the undersigned, AQUA PENNSYLVANIA, INC.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hereby promises to pay to the order of PNC BANK, NATIONAL ASSOCIATION (the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at the office of the Agent (as hereinafter defined), at 1600 Market Street, Philadelphia, PA 19103, in accordance with the terms of the Agreement (as hereinafter defined), the lesser of the principal sum of Ten Million Dollars ($10,000,000) and the aggregate unpaid principal amount of all Swing Line Loans made by the Bank to the Borrower pursuant to Section 2.2 of the Amended and Restated Credit Agreement dated as of November __, 2016, among the Borrower, the Banks party thereto and PNC Bank, National Association, as agent for the Banks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(as amended, modified, extended or restated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lawful money of the United States of America in same day funds, and to pay interest from the date hereof on such principal amount from time to time outstanding, in like funds, at said office, at a rate or rates per annum and payable on the dates determined pursuant to the Agreement.</w:t>
      </w:r>
    </w:p>
    <w:p>
      <w:pPr>
        <w:spacing w:after="0" w:line="185"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The Borrower promises to pay interest, on demand, on any overdue principal and, to the extent permitted by law, overdue interest from their due dates at the rate or rates determined as set forth in the Agreement.</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The Borrower hereby waives diligence, presentment, demand, protest and notice of any kind whatsoever. The nonexercise by the holder of any of its rights hereunder in any particular instance shall not constitute a waiver thereof in that or any subsequent instance.</w:t>
      </w:r>
    </w:p>
    <w:p>
      <w:pPr>
        <w:spacing w:after="0" w:line="173"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All borrowings evidenced by this Swing Line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holder hereof to make such a notation or any error in such a notation shall not in any manner affect the obligations of the Borrower to make payments of principal and interest in accordance with the terms of this Swing Line Note and the Agreement.</w:t>
      </w:r>
    </w:p>
    <w:p>
      <w:pPr>
        <w:spacing w:after="0" w:line="178" w:lineRule="exact"/>
        <w:rPr>
          <w:sz w:val="20"/>
          <w:szCs w:val="20"/>
          <w:color w:val="auto"/>
        </w:rPr>
      </w:pPr>
    </w:p>
    <w:p>
      <w:pPr>
        <w:jc w:val="both"/>
        <w:ind w:left="180" w:right="199" w:firstLine="1296"/>
        <w:spacing w:after="0" w:line="241" w:lineRule="auto"/>
        <w:rPr>
          <w:sz w:val="20"/>
          <w:szCs w:val="20"/>
          <w:color w:val="auto"/>
        </w:rPr>
      </w:pPr>
      <w:r>
        <w:rPr>
          <w:rFonts w:ascii="Times New Roman" w:cs="Times New Roman" w:eastAsia="Times New Roman" w:hAnsi="Times New Roman"/>
          <w:sz w:val="22"/>
          <w:szCs w:val="22"/>
          <w:color w:val="auto"/>
        </w:rPr>
        <w:t>[This Note amends, restates and supersedes a prior note of the Borrower payable to the Bank, dated ___________________ (the “</w:t>
      </w:r>
      <w:r>
        <w:rPr>
          <w:rFonts w:ascii="Times New Roman" w:cs="Times New Roman" w:eastAsia="Times New Roman" w:hAnsi="Times New Roman"/>
          <w:sz w:val="22"/>
          <w:szCs w:val="22"/>
          <w:u w:val="single" w:color="auto"/>
          <w:color w:val="auto"/>
        </w:rPr>
        <w:t>Prior Note</w:t>
      </w:r>
      <w:r>
        <w:rPr>
          <w:rFonts w:ascii="Times New Roman" w:cs="Times New Roman" w:eastAsia="Times New Roman" w:hAnsi="Times New Roman"/>
          <w:sz w:val="22"/>
          <w:szCs w:val="22"/>
          <w:color w:val="auto"/>
        </w:rPr>
        <w:t>”). This Note shall in no way extinguish</w:t>
      </w:r>
    </w:p>
    <w:p>
      <w:pPr>
        <w:spacing w:after="0" w:line="2"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the Borrower’s unconditional obligation to repay all indebtedness evidenced by the Prior Note, is given in substitution for and not as payment of the Prior Note and is in no way intended to constitute a novation of the Prior Note.]</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0" w:name="page161"/>
    <w:bookmarkEnd w:id="160"/>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This Swing Line Note is the Swing Line Note referred to in, evidences indebtedness incurred under, and is entitled to the benefits of the Agreement. The Agreement, among other things, contains provisions for the acceleration of the maturity hereof upon the happening of certain events, for optional and mandatory prepayments of the principal hereof prior to the maturity hereof, for a higher rate of interest hereunder after an Event of Default and for the amendment or waiver of certain provisions of the Agreement, all upon the terms and conditions therein specified. This Swing Line Note shall be construed in accordance with and governed by the laws of the Commonwealth of Pennsylvania and any applicable laws of the United States of America. Capitalized terms not otherwise defined herein shall have the meanings set forth in the Agreement.</w:t>
      </w: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Unpaid</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7"/>
              </w:rPr>
              <w:t>Name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9"/>
              </w:rPr>
              <w:t>Swing Line</w:t>
            </w:r>
          </w:p>
        </w:tc>
        <w:tc>
          <w:tcPr>
            <w:tcW w:w="500" w:type="dxa"/>
            <w:vAlign w:val="bottom"/>
          </w:tcPr>
          <w:p>
            <w:pPr>
              <w:spacing w:after="0"/>
              <w:rPr>
                <w:sz w:val="19"/>
                <w:szCs w:val="19"/>
                <w:color w:val="auto"/>
              </w:rPr>
            </w:pPr>
          </w:p>
        </w:tc>
        <w:tc>
          <w:tcPr>
            <w:tcW w:w="14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Payments</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Principal</w:t>
            </w: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Person</w:t>
            </w:r>
          </w:p>
        </w:tc>
        <w:tc>
          <w:tcPr>
            <w:tcW w:w="0" w:type="dxa"/>
            <w:vAlign w:val="bottom"/>
          </w:tcPr>
          <w:p>
            <w:pPr>
              <w:spacing w:after="0"/>
              <w:rPr>
                <w:sz w:val="1"/>
                <w:szCs w:val="1"/>
                <w:color w:val="auto"/>
              </w:rPr>
            </w:pPr>
          </w:p>
        </w:tc>
      </w:tr>
      <w:tr>
        <w:trPr>
          <w:trHeight w:val="50"/>
        </w:trPr>
        <w:tc>
          <w:tcPr>
            <w:tcW w:w="380" w:type="dxa"/>
            <w:vAlign w:val="bottom"/>
          </w:tcPr>
          <w:p>
            <w:pPr>
              <w:spacing w:after="0"/>
              <w:rPr>
                <w:sz w:val="4"/>
                <w:szCs w:val="4"/>
                <w:color w:val="auto"/>
              </w:rPr>
            </w:pPr>
          </w:p>
        </w:tc>
        <w:tc>
          <w:tcPr>
            <w:tcW w:w="134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Amount</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Interest</w:t>
            </w:r>
          </w:p>
        </w:tc>
        <w:tc>
          <w:tcPr>
            <w:tcW w:w="14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20"/>
                <w:szCs w:val="20"/>
                <w:color w:val="auto"/>
                <w:w w:val="98"/>
              </w:rPr>
              <w:t>Repayment</w:t>
            </w:r>
          </w:p>
        </w:tc>
        <w:tc>
          <w:tcPr>
            <w:tcW w:w="50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Balance of</w:t>
            </w:r>
          </w:p>
        </w:tc>
        <w:tc>
          <w:tcPr>
            <w:tcW w:w="180" w:type="dxa"/>
            <w:vAlign w:val="bottom"/>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Making</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5"/>
              </w:rPr>
              <w:t>Date</w:t>
            </w:r>
          </w:p>
        </w:tc>
        <w:tc>
          <w:tcPr>
            <w:tcW w:w="1340" w:type="dxa"/>
            <w:vAlign w:val="bottom"/>
            <w:gridSpan w:val="3"/>
          </w:tcPr>
          <w:p>
            <w:pPr>
              <w:ind w:left="500"/>
              <w:spacing w:after="0" w:line="212" w:lineRule="exact"/>
              <w:rPr>
                <w:sz w:val="20"/>
                <w:szCs w:val="20"/>
                <w:color w:val="auto"/>
              </w:rPr>
            </w:pPr>
            <w:r>
              <w:rPr>
                <w:rFonts w:ascii="Times New Roman" w:cs="Times New Roman" w:eastAsia="Times New Roman" w:hAnsi="Times New Roman"/>
                <w:sz w:val="20"/>
                <w:szCs w:val="20"/>
                <w:color w:val="auto"/>
              </w:rPr>
              <w:t>of Loan</w:t>
            </w:r>
          </w:p>
        </w:tc>
        <w:tc>
          <w:tcPr>
            <w:tcW w:w="340" w:type="dxa"/>
            <w:vAlign w:val="bottom"/>
          </w:tcPr>
          <w:p>
            <w:pPr>
              <w:spacing w:after="0"/>
              <w:rPr>
                <w:sz w:val="18"/>
                <w:szCs w:val="18"/>
                <w:color w:val="auto"/>
              </w:rPr>
            </w:pPr>
          </w:p>
        </w:tc>
        <w:tc>
          <w:tcPr>
            <w:tcW w:w="660" w:type="dxa"/>
            <w:vAlign w:val="bottom"/>
            <w:gridSpan w:val="2"/>
          </w:tcPr>
          <w:p>
            <w:pPr>
              <w:jc w:val="center"/>
              <w:ind w:right="300"/>
              <w:spacing w:after="0" w:line="212" w:lineRule="exact"/>
              <w:rPr>
                <w:sz w:val="20"/>
                <w:szCs w:val="20"/>
                <w:color w:val="auto"/>
              </w:rPr>
            </w:pPr>
            <w:r>
              <w:rPr>
                <w:rFonts w:ascii="Times New Roman" w:cs="Times New Roman" w:eastAsia="Times New Roman" w:hAnsi="Times New Roman"/>
                <w:sz w:val="20"/>
                <w:szCs w:val="20"/>
                <w:color w:val="auto"/>
                <w:w w:val="98"/>
              </w:rPr>
              <w:t>Rate</w:t>
            </w:r>
          </w:p>
        </w:tc>
        <w:tc>
          <w:tcPr>
            <w:tcW w:w="1460" w:type="dxa"/>
            <w:vAlign w:val="bottom"/>
            <w:gridSpan w:val="3"/>
          </w:tcPr>
          <w:p>
            <w:pPr>
              <w:jc w:val="center"/>
              <w:ind w:right="160"/>
              <w:spacing w:after="0" w:line="212" w:lineRule="exact"/>
              <w:rPr>
                <w:sz w:val="20"/>
                <w:szCs w:val="20"/>
                <w:color w:val="auto"/>
              </w:rPr>
            </w:pPr>
            <w:r>
              <w:rPr>
                <w:rFonts w:ascii="Times New Roman" w:cs="Times New Roman" w:eastAsia="Times New Roman" w:hAnsi="Times New Roman"/>
                <w:sz w:val="20"/>
                <w:szCs w:val="20"/>
                <w:color w:val="auto"/>
              </w:rPr>
              <w:t>Date</w:t>
            </w:r>
          </w:p>
        </w:tc>
        <w:tc>
          <w:tcPr>
            <w:tcW w:w="94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Principal</w:t>
            </w:r>
          </w:p>
        </w:tc>
        <w:tc>
          <w:tcPr>
            <w:tcW w:w="980" w:type="dxa"/>
            <w:vAlign w:val="bottom"/>
            <w:gridSpan w:val="4"/>
          </w:tcPr>
          <w:p>
            <w:pPr>
              <w:ind w:left="220"/>
              <w:spacing w:after="0" w:line="212" w:lineRule="exact"/>
              <w:rPr>
                <w:sz w:val="20"/>
                <w:szCs w:val="20"/>
                <w:color w:val="auto"/>
              </w:rPr>
            </w:pPr>
            <w:r>
              <w:rPr>
                <w:rFonts w:ascii="Times New Roman" w:cs="Times New Roman" w:eastAsia="Times New Roman" w:hAnsi="Times New Roman"/>
                <w:sz w:val="20"/>
                <w:szCs w:val="20"/>
                <w:color w:val="auto"/>
              </w:rPr>
              <w:t>Interest</w:t>
            </w:r>
          </w:p>
        </w:tc>
        <w:tc>
          <w:tcPr>
            <w:tcW w:w="420" w:type="dxa"/>
            <w:vAlign w:val="bottom"/>
          </w:tcPr>
          <w:p>
            <w:pPr>
              <w:spacing w:after="0"/>
              <w:rPr>
                <w:sz w:val="18"/>
                <w:szCs w:val="18"/>
                <w:color w:val="auto"/>
              </w:rPr>
            </w:pPr>
          </w:p>
        </w:tc>
        <w:tc>
          <w:tcPr>
            <w:tcW w:w="780" w:type="dxa"/>
            <w:vAlign w:val="bottom"/>
            <w:gridSpan w:val="2"/>
          </w:tcPr>
          <w:p>
            <w:pPr>
              <w:jc w:val="center"/>
              <w:ind w:right="400"/>
              <w:spacing w:after="0" w:line="212" w:lineRule="exact"/>
              <w:rPr>
                <w:sz w:val="20"/>
                <w:szCs w:val="20"/>
                <w:color w:val="auto"/>
              </w:rPr>
            </w:pPr>
            <w:r>
              <w:rPr>
                <w:rFonts w:ascii="Times New Roman" w:cs="Times New Roman" w:eastAsia="Times New Roman" w:hAnsi="Times New Roman"/>
                <w:sz w:val="20"/>
                <w:szCs w:val="20"/>
                <w:color w:val="auto"/>
                <w:w w:val="97"/>
              </w:rPr>
              <w:t>Note</w:t>
            </w:r>
          </w:p>
        </w:tc>
        <w:tc>
          <w:tcPr>
            <w:tcW w:w="180" w:type="dxa"/>
            <w:vAlign w:val="bottom"/>
          </w:tcPr>
          <w:p>
            <w:pPr>
              <w:spacing w:after="0"/>
              <w:rPr>
                <w:sz w:val="18"/>
                <w:szCs w:val="18"/>
                <w:color w:val="auto"/>
              </w:rPr>
            </w:pPr>
          </w:p>
        </w:tc>
        <w:tc>
          <w:tcPr>
            <w:tcW w:w="70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Notation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2" w:name="page163"/>
    <w:bookmarkEnd w:id="162"/>
    <w:p>
      <w:pPr>
        <w:ind w:left="3980"/>
        <w:spacing w:after="0"/>
        <w:rPr>
          <w:sz w:val="20"/>
          <w:szCs w:val="20"/>
          <w:color w:val="auto"/>
        </w:rPr>
      </w:pPr>
      <w:r>
        <w:rPr>
          <w:rFonts w:ascii="Times New Roman" w:cs="Times New Roman" w:eastAsia="Times New Roman" w:hAnsi="Times New Roman"/>
          <w:sz w:val="22"/>
          <w:szCs w:val="22"/>
          <w:color w:val="auto"/>
        </w:rPr>
        <w:t>EXHIBIT C</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AND ACCEPTANCE</w:t>
      </w:r>
    </w:p>
    <w:p>
      <w:pPr>
        <w:spacing w:after="0" w:line="182"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Reference is made to the Amended and Restated Credit Agreement dated as of November __, 2016 (as amended, modified, extended or restated from time to time, the “Agreement”), among Aqua Pennsylvania, Inc. (the “Borrower”), the banks party thereto (the “Banks”) and PNC Bank, National Association, as Agent. Terms defined in the Agreement are used herein with the same meanings.</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________________ (the “Assignor”) and ________________ (the “Assignee”)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hereby agree as follows:</w:t>
      </w:r>
    </w:p>
    <w:p>
      <w:pPr>
        <w:spacing w:after="0" w:line="182" w:lineRule="exact"/>
        <w:rPr>
          <w:sz w:val="20"/>
          <w:szCs w:val="20"/>
          <w:color w:val="auto"/>
        </w:rPr>
      </w:pPr>
    </w:p>
    <w:p>
      <w:pPr>
        <w:jc w:val="both"/>
        <w:ind w:left="180" w:right="199" w:firstLine="1296"/>
        <w:spacing w:after="0" w:line="243" w:lineRule="auto"/>
        <w:rPr>
          <w:sz w:val="20"/>
          <w:szCs w:val="20"/>
          <w:color w:val="auto"/>
        </w:rPr>
      </w:pPr>
      <w:r>
        <w:rPr>
          <w:rFonts w:ascii="Times New Roman" w:cs="Times New Roman" w:eastAsia="Times New Roman" w:hAnsi="Times New Roman"/>
          <w:sz w:val="21"/>
          <w:szCs w:val="21"/>
          <w:color w:val="auto"/>
        </w:rPr>
        <w:t>The Assignor hereby sells and assigns, without recourse, to the Assignee, and the Assignee hereby purchases and assumes, without recourse, from the Assignor, effective as of the Effective Date set forth on Schedule A attached hereto, the interests set forth on Schedule A (the “Assigned Interest”) in the Assignor’s rights and obligations under the Agreement, including, without limitation, the interests set forth on Schedule A in the Commitment of the Assignor on the Effective Date and the Loans owing to the Assignor which are outstanding on the Effective Date, together with unpaid interest accrued on the assigned Loans to the Effective Date and the amount, if any, set forth on Schedule A of the Fees accrued to the Effective Date for the account of the Assignor. Each of the Assignor and the Assignee hereby makes and agrees to be bound by all the representations, warranties and agreements set forth in Section 9.6(c) of the Agreement, a copy of which has been received by each such party. From and after the Effective Date (i) the Assignee shall be a party to and be bound by the provisions of the Agreement and, to the extent of the interests assigned by this Assignment and Acceptance, have the rights and obligations of a Bank thereunder and under the Agreement or any other document issued in connection therewith and</w:t>
      </w:r>
    </w:p>
    <w:p>
      <w:pPr>
        <w:spacing w:after="0" w:line="3" w:lineRule="exact"/>
        <w:rPr>
          <w:sz w:val="20"/>
          <w:szCs w:val="20"/>
          <w:color w:val="auto"/>
        </w:rPr>
      </w:pPr>
    </w:p>
    <w:p>
      <w:pPr>
        <w:ind w:left="180" w:right="199" w:firstLine="4"/>
        <w:spacing w:after="0" w:line="237" w:lineRule="auto"/>
        <w:tabs>
          <w:tab w:leader="none" w:pos="51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shall, to the extent of the interests assigned by this Assignment and Acceptance, relinquish its rights and be released from its obligations under this Agreement.</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This Assignment and Acceptance is being delivered to the Agent together with</w:t>
      </w:r>
    </w:p>
    <w:p>
      <w:pPr>
        <w:spacing w:after="0" w:line="14" w:lineRule="exact"/>
        <w:rPr>
          <w:sz w:val="20"/>
          <w:szCs w:val="20"/>
          <w:color w:val="auto"/>
        </w:rPr>
      </w:pPr>
    </w:p>
    <w:p>
      <w:pPr>
        <w:jc w:val="both"/>
        <w:ind w:left="180" w:right="199" w:firstLine="4"/>
        <w:spacing w:after="0" w:line="241" w:lineRule="auto"/>
        <w:tabs>
          <w:tab w:leader="none" w:pos="49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evidencing the Loans included in the Assigned Interest, (ii) if the Assignee is organized under the laws of a jurisdiction outside the United States, the forms prescribed by the Internal Revenue Service of the United States certifying as to the Assignee’s exemption from withholding taxes with respect to all payments to be made to the Assignee under the Agreement or such other documents as are necessary to indicate that all such payments are subject to such tax at a rate reduced by an applicable tax treaty, all duly completed and executed by such Assignee, and</w:t>
      </w:r>
    </w:p>
    <w:p>
      <w:pPr>
        <w:spacing w:after="0" w:line="3" w:lineRule="exact"/>
        <w:rPr>
          <w:rFonts w:ascii="Times New Roman" w:cs="Times New Roman" w:eastAsia="Times New Roman" w:hAnsi="Times New Roman"/>
          <w:sz w:val="21"/>
          <w:szCs w:val="21"/>
          <w:color w:val="auto"/>
        </w:rPr>
      </w:pPr>
    </w:p>
    <w:p>
      <w:pPr>
        <w:ind w:left="560" w:hanging="376"/>
        <w:spacing w:after="0"/>
        <w:tabs>
          <w:tab w:leader="none" w:pos="5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processing and recordation fee of $3,500, if required.</w:t>
      </w:r>
    </w:p>
    <w:p>
      <w:pPr>
        <w:spacing w:after="0" w:line="182"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This Assignment and Acceptance shall be governed by and construed in accordance with the laws of the Commonwealth of Pennsylvania.</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3" w:name="page164"/>
    <w:bookmarkEnd w:id="163"/>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The terms set forth above and on Schedule A attached hereto are hereby agreed to as of the date hereof.</w:t>
      </w:r>
    </w:p>
    <w:p>
      <w:pPr>
        <w:spacing w:after="0" w:line="200" w:lineRule="exact"/>
        <w:rPr>
          <w:sz w:val="20"/>
          <w:szCs w:val="20"/>
          <w:color w:val="auto"/>
        </w:rPr>
      </w:pPr>
    </w:p>
    <w:p>
      <w:pPr>
        <w:spacing w:after="0" w:line="20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______________________, as Assignor</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_____________________, as Assignee</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Acknowledged: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Agent</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w:t>
      </w:r>
    </w:p>
    <w:p>
      <w:pPr>
        <w:ind w:left="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Consented to:</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w:t>
      </w:r>
    </w:p>
    <w:p>
      <w:pPr>
        <w:ind w:left="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22"/>
          <w:szCs w:val="22"/>
          <w:color w:val="auto"/>
        </w:rPr>
        <w:t>SCHEDULE A</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of Assignment: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Legal Name of Assignor:</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Legal Name of Assignee: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Assignee’s Address for Notices: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Attention:</w:t>
      </w:r>
    </w:p>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Telecopy:</w:t>
      </w:r>
    </w:p>
    <w:p>
      <w:pPr>
        <w:spacing w:after="0" w:line="200" w:lineRule="exact"/>
        <w:rPr>
          <w:sz w:val="20"/>
          <w:szCs w:val="20"/>
          <w:color w:val="auto"/>
        </w:rPr>
      </w:pPr>
    </w:p>
    <w:p>
      <w:pPr>
        <w:spacing w:after="0" w:line="215" w:lineRule="exact"/>
        <w:rPr>
          <w:sz w:val="20"/>
          <w:szCs w:val="20"/>
          <w:color w:val="auto"/>
        </w:rPr>
      </w:pPr>
    </w:p>
    <w:tbl>
      <w:tblPr>
        <w:tblLayout w:type="fixed"/>
        <w:tblInd w:w="190" w:type="dxa"/>
        <w:tblCellMar>
          <w:top w:w="0" w:type="dxa"/>
          <w:left w:w="0" w:type="dxa"/>
          <w:bottom w:w="0" w:type="dxa"/>
          <w:right w:w="0" w:type="dxa"/>
        </w:tblCellMar>
      </w:tblPr>
      <w:tr>
        <w:trPr>
          <w:trHeight w:val="253"/>
        </w:trPr>
        <w:tc>
          <w:tcPr>
            <w:tcW w:w="30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Effective Date of Assignment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0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w w:val="97"/>
              </w:rPr>
              <w:t>(may not be fewer than 5 Business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2"/>
        </w:trPr>
        <w:tc>
          <w:tcPr>
            <w:tcW w:w="3460" w:type="dxa"/>
            <w:vAlign w:val="bottom"/>
            <w:gridSpan w:val="8"/>
          </w:tcPr>
          <w:p>
            <w:pPr>
              <w:jc w:val="right"/>
              <w:ind w:right="340"/>
              <w:spacing w:after="0"/>
              <w:rPr>
                <w:sz w:val="20"/>
                <w:szCs w:val="20"/>
                <w:color w:val="auto"/>
              </w:rPr>
            </w:pPr>
            <w:r>
              <w:rPr>
                <w:rFonts w:ascii="Times New Roman" w:cs="Times New Roman" w:eastAsia="Times New Roman" w:hAnsi="Times New Roman"/>
                <w:sz w:val="22"/>
                <w:szCs w:val="22"/>
                <w:color w:val="auto"/>
                <w:w w:val="97"/>
              </w:rPr>
              <w:t>Days after the Date of Assignment):</w:t>
            </w:r>
          </w:p>
        </w:tc>
        <w:tc>
          <w:tcPr>
            <w:tcW w:w="258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____________________</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Borders>
              <w:right w:val="single" w:sz="8" w:color="auto"/>
            </w:tcBorders>
            <w:gridSpan w:val="3"/>
          </w:tcPr>
          <w:p>
            <w:pPr>
              <w:jc w:val="center"/>
              <w:ind w:right="320"/>
              <w:spacing w:after="0" w:line="209" w:lineRule="exact"/>
              <w:rPr>
                <w:sz w:val="20"/>
                <w:szCs w:val="20"/>
                <w:color w:val="auto"/>
              </w:rPr>
            </w:pPr>
            <w:r>
              <w:rPr>
                <w:rFonts w:ascii="Times New Roman" w:cs="Times New Roman" w:eastAsia="Times New Roman" w:hAnsi="Times New Roman"/>
                <w:sz w:val="22"/>
                <w:szCs w:val="22"/>
                <w:color w:val="auto"/>
                <w:w w:val="98"/>
              </w:rPr>
              <w:t>Percentage of Loans and</w:t>
            </w:r>
          </w:p>
        </w:tc>
        <w:tc>
          <w:tcPr>
            <w:tcW w:w="20" w:type="dxa"/>
            <w:vAlign w:val="bottom"/>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5"/>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Revolving Credit Facility</w:t>
            </w:r>
          </w:p>
        </w:tc>
        <w:tc>
          <w:tcPr>
            <w:tcW w:w="100" w:type="dxa"/>
            <w:vAlign w:val="bottom"/>
          </w:tcPr>
          <w:p>
            <w:pPr>
              <w:spacing w:after="0"/>
              <w:rPr>
                <w:sz w:val="19"/>
                <w:szCs w:val="19"/>
                <w:color w:val="auto"/>
              </w:rPr>
            </w:pPr>
          </w:p>
        </w:tc>
        <w:tc>
          <w:tcPr>
            <w:tcW w:w="2760" w:type="dxa"/>
            <w:vAlign w:val="bottom"/>
            <w:tcBorders>
              <w:right w:val="single" w:sz="8" w:color="auto"/>
            </w:tcBorders>
            <w:gridSpan w:val="4"/>
          </w:tcPr>
          <w:p>
            <w:pPr>
              <w:ind w:left="120"/>
              <w:spacing w:after="0" w:line="230" w:lineRule="exact"/>
              <w:rPr>
                <w:sz w:val="20"/>
                <w:szCs w:val="20"/>
                <w:color w:val="auto"/>
              </w:rPr>
            </w:pPr>
            <w:r>
              <w:rPr>
                <w:rFonts w:ascii="Times New Roman" w:cs="Times New Roman" w:eastAsia="Times New Roman" w:hAnsi="Times New Roman"/>
                <w:sz w:val="22"/>
                <w:szCs w:val="22"/>
                <w:color w:val="auto"/>
              </w:rPr>
              <w:t>Principal Amount Assigned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tcBorders>
              <w:right w:val="single" w:sz="8" w:color="auto"/>
            </w:tcBorders>
            <w:gridSpan w:val="2"/>
          </w:tcPr>
          <w:p>
            <w:pPr>
              <w:jc w:val="center"/>
              <w:ind w:right="460"/>
              <w:spacing w:after="0" w:line="230" w:lineRule="exact"/>
              <w:rPr>
                <w:sz w:val="20"/>
                <w:szCs w:val="20"/>
                <w:color w:val="auto"/>
              </w:rPr>
            </w:pPr>
            <w:r>
              <w:rPr>
                <w:rFonts w:ascii="Times New Roman" w:cs="Times New Roman" w:eastAsia="Times New Roman" w:hAnsi="Times New Roman"/>
                <w:sz w:val="22"/>
                <w:szCs w:val="22"/>
                <w:color w:val="auto"/>
                <w:w w:val="98"/>
              </w:rPr>
              <w:t>Commitment Assigned</w:t>
            </w:r>
          </w:p>
        </w:tc>
        <w:tc>
          <w:tcPr>
            <w:tcW w:w="20" w:type="dxa"/>
            <w:vAlign w:val="bottom"/>
          </w:tcPr>
          <w:p>
            <w:pPr>
              <w:spacing w:after="0"/>
              <w:rPr>
                <w:sz w:val="19"/>
                <w:szCs w:val="19"/>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Commitment Assigned:</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Revolving Credit Loans: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3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722"/>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Borders>
              <w:right w:val="single" w:sz="8" w:color="auto"/>
            </w:tcBorders>
            <w:gridSpan w:val="3"/>
          </w:tcPr>
          <w:p>
            <w:pPr>
              <w:jc w:val="center"/>
              <w:ind w:right="320"/>
              <w:spacing w:after="0" w:line="209" w:lineRule="exact"/>
              <w:rPr>
                <w:sz w:val="20"/>
                <w:szCs w:val="20"/>
                <w:color w:val="auto"/>
              </w:rPr>
            </w:pPr>
            <w:r>
              <w:rPr>
                <w:rFonts w:ascii="Times New Roman" w:cs="Times New Roman" w:eastAsia="Times New Roman" w:hAnsi="Times New Roman"/>
                <w:sz w:val="22"/>
                <w:szCs w:val="22"/>
                <w:color w:val="auto"/>
                <w:w w:val="98"/>
              </w:rPr>
              <w:t>Percentage of Loans and</w:t>
            </w:r>
          </w:p>
        </w:tc>
        <w:tc>
          <w:tcPr>
            <w:tcW w:w="20" w:type="dxa"/>
            <w:vAlign w:val="bottom"/>
          </w:tcPr>
          <w:p>
            <w:pPr>
              <w:spacing w:after="0"/>
              <w:rPr>
                <w:sz w:val="18"/>
                <w:szCs w:val="18"/>
                <w:color w:val="auto"/>
              </w:rPr>
            </w:pPr>
          </w:p>
        </w:tc>
      </w:tr>
      <w:tr>
        <w:trPr>
          <w:trHeight w:val="230"/>
        </w:trPr>
        <w:tc>
          <w:tcPr>
            <w:tcW w:w="34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Borders>
              <w:right w:val="single" w:sz="8" w:color="auto"/>
            </w:tcBorders>
            <w:gridSpan w:val="3"/>
          </w:tcPr>
          <w:p>
            <w:pPr>
              <w:jc w:val="center"/>
              <w:ind w:right="560"/>
              <w:spacing w:after="0" w:line="230" w:lineRule="exact"/>
              <w:rPr>
                <w:sz w:val="20"/>
                <w:szCs w:val="20"/>
                <w:color w:val="auto"/>
              </w:rPr>
            </w:pPr>
            <w:r>
              <w:rPr>
                <w:rFonts w:ascii="Times New Roman" w:cs="Times New Roman" w:eastAsia="Times New Roman" w:hAnsi="Times New Roman"/>
                <w:sz w:val="22"/>
                <w:szCs w:val="22"/>
                <w:color w:val="auto"/>
                <w:w w:val="99"/>
              </w:rPr>
              <w:t>Swing Loan Facility</w:t>
            </w:r>
          </w:p>
        </w:tc>
        <w:tc>
          <w:tcPr>
            <w:tcW w:w="100" w:type="dxa"/>
            <w:vAlign w:val="bottom"/>
          </w:tcPr>
          <w:p>
            <w:pPr>
              <w:spacing w:after="0"/>
              <w:rPr>
                <w:sz w:val="19"/>
                <w:szCs w:val="19"/>
                <w:color w:val="auto"/>
              </w:rPr>
            </w:pPr>
          </w:p>
        </w:tc>
        <w:tc>
          <w:tcPr>
            <w:tcW w:w="2760" w:type="dxa"/>
            <w:vAlign w:val="bottom"/>
            <w:tcBorders>
              <w:right w:val="single" w:sz="8" w:color="auto"/>
            </w:tcBorders>
            <w:gridSpan w:val="4"/>
          </w:tcPr>
          <w:p>
            <w:pPr>
              <w:ind w:left="120"/>
              <w:spacing w:after="0" w:line="230" w:lineRule="exact"/>
              <w:rPr>
                <w:sz w:val="20"/>
                <w:szCs w:val="20"/>
                <w:color w:val="auto"/>
              </w:rPr>
            </w:pPr>
            <w:r>
              <w:rPr>
                <w:rFonts w:ascii="Times New Roman" w:cs="Times New Roman" w:eastAsia="Times New Roman" w:hAnsi="Times New Roman"/>
                <w:sz w:val="22"/>
                <w:szCs w:val="22"/>
                <w:color w:val="auto"/>
              </w:rPr>
              <w:t>Principal Amount Assigned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tcBorders>
              <w:right w:val="single" w:sz="8" w:color="auto"/>
            </w:tcBorders>
            <w:gridSpan w:val="2"/>
          </w:tcPr>
          <w:p>
            <w:pPr>
              <w:jc w:val="center"/>
              <w:ind w:right="460"/>
              <w:spacing w:after="0" w:line="230" w:lineRule="exact"/>
              <w:rPr>
                <w:sz w:val="20"/>
                <w:szCs w:val="20"/>
                <w:color w:val="auto"/>
              </w:rPr>
            </w:pPr>
            <w:r>
              <w:rPr>
                <w:rFonts w:ascii="Times New Roman" w:cs="Times New Roman" w:eastAsia="Times New Roman" w:hAnsi="Times New Roman"/>
                <w:sz w:val="22"/>
                <w:szCs w:val="22"/>
                <w:color w:val="auto"/>
                <w:w w:val="98"/>
              </w:rPr>
              <w:t>Commitment Assigned</w:t>
            </w:r>
          </w:p>
        </w:tc>
        <w:tc>
          <w:tcPr>
            <w:tcW w:w="20" w:type="dxa"/>
            <w:vAlign w:val="bottom"/>
          </w:tcPr>
          <w:p>
            <w:pPr>
              <w:spacing w:after="0"/>
              <w:rPr>
                <w:sz w:val="19"/>
                <w:szCs w:val="19"/>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Commitment Assigned:</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left="32"/>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Swing Line Loans: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left="32"/>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950"/>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5" w:name="page166"/>
    <w:bookmarkEnd w:id="165"/>
    <w:p>
      <w:pPr>
        <w:jc w:val="right"/>
        <w:ind w:right="199"/>
        <w:spacing w:after="0"/>
        <w:rPr>
          <w:sz w:val="20"/>
          <w:szCs w:val="20"/>
          <w:color w:val="auto"/>
        </w:rPr>
      </w:pPr>
      <w:r>
        <w:rPr>
          <w:rFonts w:ascii="Times New Roman" w:cs="Times New Roman" w:eastAsia="Times New Roman" w:hAnsi="Times New Roman"/>
          <w:sz w:val="22"/>
          <w:szCs w:val="22"/>
          <w:color w:val="auto"/>
        </w:rPr>
        <w:t>Exhibit 10.2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FOURTH AMENDMENT TO CREDIT AGREEMENT</w:t>
      </w:r>
    </w:p>
    <w:p>
      <w:pPr>
        <w:spacing w:after="0" w:line="398" w:lineRule="exact"/>
        <w:rPr>
          <w:sz w:val="20"/>
          <w:szCs w:val="20"/>
          <w:color w:val="auto"/>
        </w:rPr>
      </w:pPr>
    </w:p>
    <w:p>
      <w:pPr>
        <w:ind w:left="180" w:right="199" w:firstLine="1296"/>
        <w:spacing w:after="0" w:line="253" w:lineRule="auto"/>
        <w:rPr>
          <w:sz w:val="20"/>
          <w:szCs w:val="20"/>
          <w:color w:val="auto"/>
        </w:rPr>
      </w:pPr>
      <w:r>
        <w:rPr>
          <w:rFonts w:ascii="Times New Roman" w:cs="Times New Roman" w:eastAsia="Times New Roman" w:hAnsi="Times New Roman"/>
          <w:sz w:val="21"/>
          <w:szCs w:val="21"/>
          <w:color w:val="auto"/>
        </w:rPr>
        <w:t>THIS FOURTH AMENDMENT TO CREDIT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this 12th day of June, 2024 (the “</w:t>
      </w:r>
      <w:r>
        <w:rPr>
          <w:rFonts w:ascii="Times New Roman" w:cs="Times New Roman" w:eastAsia="Times New Roman" w:hAnsi="Times New Roman"/>
          <w:sz w:val="21"/>
          <w:szCs w:val="21"/>
          <w:u w:val="single" w:color="auto"/>
          <w:color w:val="auto"/>
        </w:rPr>
        <w:t>Fourth Amendment Effective Date</w:t>
      </w:r>
      <w:r>
        <w:rPr>
          <w:rFonts w:ascii="Times New Roman" w:cs="Times New Roman" w:eastAsia="Times New Roman" w:hAnsi="Times New Roman"/>
          <w:sz w:val="21"/>
          <w:szCs w:val="21"/>
          <w:color w:val="auto"/>
        </w:rPr>
        <w:t>”), by and among</w:t>
      </w:r>
    </w:p>
    <w:p>
      <w:pPr>
        <w:spacing w:after="0" w:line="1" w:lineRule="exact"/>
        <w:rPr>
          <w:sz w:val="20"/>
          <w:szCs w:val="20"/>
          <w:color w:val="auto"/>
        </w:rPr>
      </w:pPr>
    </w:p>
    <w:p>
      <w:pPr>
        <w:ind w:left="180" w:right="199" w:firstLine="4"/>
        <w:spacing w:after="0" w:line="231" w:lineRule="auto"/>
        <w:tabs>
          <w:tab w:leader="none" w:pos="4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PNG COMPANIES LLC, a Delaware limited liability company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(ii) the several banks and other financial institutions or entities parties on the date hereof to the Existing Credit Agreement (as defined below) and listed on the signature pages hereto as a “Continuing Lender” (each a “</w:t>
      </w:r>
      <w:r>
        <w:rPr>
          <w:rFonts w:ascii="Times New Roman" w:cs="Times New Roman" w:eastAsia="Times New Roman" w:hAnsi="Times New Roman"/>
          <w:sz w:val="22"/>
          <w:szCs w:val="22"/>
          <w:u w:val="single" w:color="auto"/>
          <w:color w:val="auto"/>
        </w:rPr>
        <w:t>Continuing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Continuing Lenders</w:t>
      </w:r>
      <w:r>
        <w:rPr>
          <w:rFonts w:ascii="Times New Roman" w:cs="Times New Roman" w:eastAsia="Times New Roman" w:hAnsi="Times New Roman"/>
          <w:sz w:val="22"/>
          <w:szCs w:val="22"/>
          <w:color w:val="auto"/>
        </w:rPr>
        <w:t>”), (iii) the lender party on the date hereof to the Existing Credit Agreement and listed on the signature page hereto as the “Departing Lender” (the “</w:t>
      </w:r>
      <w:r>
        <w:rPr>
          <w:rFonts w:ascii="Times New Roman" w:cs="Times New Roman" w:eastAsia="Times New Roman" w:hAnsi="Times New Roman"/>
          <w:sz w:val="22"/>
          <w:szCs w:val="22"/>
          <w:u w:val="single" w:color="auto"/>
          <w:color w:val="auto"/>
        </w:rPr>
        <w:t>Departing Lender</w:t>
      </w:r>
      <w:r>
        <w:rPr>
          <w:rFonts w:ascii="Times New Roman" w:cs="Times New Roman" w:eastAsia="Times New Roman" w:hAnsi="Times New Roman"/>
          <w:sz w:val="22"/>
          <w:szCs w:val="22"/>
          <w:color w:val="auto"/>
        </w:rPr>
        <w:t>”; together with the Continuing Lenders, each an “</w:t>
      </w:r>
      <w:r>
        <w:rPr>
          <w:rFonts w:ascii="Times New Roman" w:cs="Times New Roman" w:eastAsia="Times New Roman" w:hAnsi="Times New Roman"/>
          <w:sz w:val="22"/>
          <w:szCs w:val="22"/>
          <w:u w:val="single" w:color="auto"/>
          <w:color w:val="auto"/>
        </w:rPr>
        <w:t>Existing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(iv) the new lender joining the Amended Credit Agreement on the date hereof and listed on the signature pages hereto as the “New Lender” (the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together with the Continuing Lenders, each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(v) PNC BANK, NATIONAL ASSOCIATION in its capacity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06" w:lineRule="exact"/>
        <w:rPr>
          <w:sz w:val="20"/>
          <w:szCs w:val="20"/>
          <w:color w:val="auto"/>
        </w:rPr>
      </w:pPr>
    </w:p>
    <w:p>
      <w:pPr>
        <w:jc w:val="both"/>
        <w:ind w:left="300" w:right="199" w:firstLine="532"/>
        <w:spacing w:after="0" w:line="241" w:lineRule="auto"/>
        <w:tabs>
          <w:tab w:leader="none" w:pos="149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and the Existing Lenders are parties to a Credit Agreement, dated as of November 25, 2020 (as heretofore amended, supplemented,</w:t>
      </w:r>
    </w:p>
    <w:p>
      <w:pPr>
        <w:spacing w:after="0" w:line="2" w:lineRule="exact"/>
        <w:rPr>
          <w:sz w:val="20"/>
          <w:szCs w:val="20"/>
          <w:color w:val="auto"/>
        </w:rPr>
      </w:pPr>
    </w:p>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modified, or restated, including by the First Amendment to Credit Agreement, dated as of November 5, 2021, the Second Amendment to Credit Agreement, dated as of June 30, 2022, and the Third Amendment to Credit Agreement, dated as of June 29, 2023, the “</w:t>
      </w:r>
      <w:r>
        <w:rPr>
          <w:rFonts w:ascii="Times New Roman" w:cs="Times New Roman" w:eastAsia="Times New Roman" w:hAnsi="Times New Roman"/>
          <w:sz w:val="22"/>
          <w:szCs w:val="22"/>
          <w:u w:val="single" w:color="auto"/>
          <w:color w:val="auto"/>
        </w:rPr>
        <w:t>Existing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the Existing Credit Agreement, as amended by this Agreement and as may be further amended, supplemented, modified or restated from time to time, the “</w:t>
      </w:r>
      <w:r>
        <w:rPr>
          <w:rFonts w:ascii="Times New Roman" w:cs="Times New Roman" w:eastAsia="Times New Roman" w:hAnsi="Times New Roman"/>
          <w:sz w:val="22"/>
          <w:szCs w:val="22"/>
          <w:u w:val="single" w:color="auto"/>
          <w:color w:val="auto"/>
        </w:rPr>
        <w:t>Amended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pursuant to which the Lenders have made available to the Borrower a revolving credit facility in an aggregate amount of $300,000,000 (the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80" w:right="199" w:firstLine="652"/>
        <w:spacing w:after="0" w:line="258" w:lineRule="auto"/>
        <w:tabs>
          <w:tab w:leader="none" w:pos="147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New Lender join the Amended Credit Agreement as a Lender.</w:t>
      </w:r>
    </w:p>
    <w:p>
      <w:pPr>
        <w:spacing w:after="0" w:line="158"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Departing Lender has agreed to be replaced as a Lender.</w:t>
      </w:r>
    </w:p>
    <w:p>
      <w:pPr>
        <w:spacing w:after="0" w:line="206" w:lineRule="exact"/>
        <w:rPr>
          <w:rFonts w:ascii="Times New Roman" w:cs="Times New Roman" w:eastAsia="Times New Roman" w:hAnsi="Times New Roman"/>
          <w:sz w:val="22"/>
          <w:szCs w:val="22"/>
          <w:color w:val="auto"/>
        </w:rPr>
      </w:pPr>
    </w:p>
    <w:p>
      <w:pPr>
        <w:jc w:val="both"/>
        <w:ind w:left="180" w:right="199" w:firstLine="652"/>
        <w:spacing w:after="0" w:line="238" w:lineRule="auto"/>
        <w:tabs>
          <w:tab w:leader="none" w:pos="148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the Continuing Lenders and the New Lender desire to (i) extend the Revolving Commitment Termination Date; (ii) transition the interest rate provisions in the Existing Credit Agreement from BSBY based rates to SOFR based rates and (iii) modify certain other provisions of the Existing Credit Agreement, all on the terms and subject to the conditions herein set forth.</w:t>
      </w:r>
    </w:p>
    <w:p>
      <w:pPr>
        <w:spacing w:after="0" w:line="176" w:lineRule="exact"/>
        <w:rPr>
          <w:rFonts w:ascii="Times New Roman" w:cs="Times New Roman" w:eastAsia="Times New Roman" w:hAnsi="Times New Roman"/>
          <w:sz w:val="22"/>
          <w:szCs w:val="22"/>
          <w:color w:val="auto"/>
        </w:rPr>
      </w:pPr>
    </w:p>
    <w:p>
      <w:pPr>
        <w:jc w:val="both"/>
        <w:ind w:left="180" w:right="199" w:firstLine="652"/>
        <w:spacing w:after="0" w:line="238" w:lineRule="auto"/>
        <w:tabs>
          <w:tab w:leader="none" w:pos="14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Departing Lender has agreed to execute its signature page hereto solely as the Departing Lender in acceptance of the termination of its commitment and obligations under the Existing Credit Agreement as a “Lender” (as defined in the Existing Credit Agreement) thereunder, and not as a Lender party to the Amended Credit Agreement, as described in further detail in its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116840</wp:posOffset>
            </wp:positionV>
            <wp:extent cx="552894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6" w:name="page167"/>
    <w:bookmarkEnd w:id="166"/>
    <w:p>
      <w:pPr>
        <w:ind w:left="1480"/>
        <w:spacing w:after="0"/>
        <w:rPr>
          <w:sz w:val="20"/>
          <w:szCs w:val="20"/>
          <w:color w:val="auto"/>
        </w:rPr>
      </w:pPr>
      <w:r>
        <w:rPr>
          <w:rFonts w:ascii="Times New Roman" w:cs="Times New Roman" w:eastAsia="Times New Roman" w:hAnsi="Times New Roman"/>
          <w:sz w:val="21"/>
          <w:szCs w:val="21"/>
          <w:color w:val="auto"/>
        </w:rPr>
        <w:t>NOW THEREFORE, the parties hereto, intending to be legally bound hereby, agree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follows: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ind w:left="180" w:right="199" w:firstLine="1300"/>
        <w:spacing w:after="0" w:line="258" w:lineRule="auto"/>
        <w:tabs>
          <w:tab w:leader="none" w:pos="209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Capitalized terms used herein and not otherwise defined herein shall have the meanings given to such terms in the Amended Credit Agreement.</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09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Existing Credit Agreement</w:t>
      </w:r>
      <w:r>
        <w:rPr>
          <w:rFonts w:ascii="Times New Roman" w:cs="Times New Roman" w:eastAsia="Times New Roman" w:hAnsi="Times New Roman"/>
          <w:sz w:val="22"/>
          <w:szCs w:val="22"/>
          <w:color w:val="auto"/>
        </w:rPr>
        <w:t>. Effective on the Fourth Amendment Effective Date, the text of each of the Existing Credit Agreement and each of the Schedules and Exhibits thereto are hereby amended and restated to read in full as set forth in the pages of the Amended Credit Agreement, Schedules and Exhibits attached as Annex A hereto.</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09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The Borrower shall execute and deliver to the Administrative Agent on the Fourth Amendment Effective Date an amended and restated Note (in the case of each Continuing Lender) or a new Note (in the case of the New Lender) in an amount equal to the amount of such Lender’s Revolving Commitment outstanding immediately after giving effect to this Agreement (such Notes being collectively referred to as the “</w:t>
      </w: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and each as a “</w:t>
      </w:r>
      <w:r>
        <w:rPr>
          <w:rFonts w:ascii="Times New Roman" w:cs="Times New Roman" w:eastAsia="Times New Roman" w:hAnsi="Times New Roman"/>
          <w:sz w:val="22"/>
          <w:szCs w:val="22"/>
          <w:u w:val="single" w:color="auto"/>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097"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Lender; Intercreditor Agreement</w:t>
      </w:r>
      <w:r>
        <w:rPr>
          <w:rFonts w:ascii="Times New Roman" w:cs="Times New Roman" w:eastAsia="Times New Roman" w:hAnsi="Times New Roman"/>
          <w:sz w:val="21"/>
          <w:szCs w:val="21"/>
          <w:color w:val="auto"/>
        </w:rPr>
        <w:t>. (a) The New Lender (i) confirms that a copy of the Amended Credit Agreement and the other applicable Loan Documents, together with copies of the financial statements referred to therein and such other documents and information as the New Lender has deemed appropriate to make its own credit analysis and decision to enter into this Agreement and provide its Revolving Commitment, have been made available to the New Lender, (ii) agrees that it will, independently and without reliance upon the Administrative Agent, any other agent or arranger listed on the cover page to the Amended Credit Agreement or any other Lender and based on such documents and information as it shall deem appropriate at the time, continue to make its own credit decisions in taking or not taking action under the Amended Credit Agreement and the other Loan Documents, including this Agreement, (iii) appoints and authorizes the Administrative Agent to take such action as agent on its behalf and to exercise such powers under the Amended Credit Agreement and the other Loan Documents as are delegated to the Administrative Agent by the terms thereof, together with such powers as are reasonably incidental thereto, and (iv) acknowledges and agrees that by its execution hereof, the New Lender hereby joins the Amended Credit Agreement effective on and as of the Fourth Amendment Effective Date, and the New Lender shall be a “Lender” under, and for all purposes of, the Amended Credit Agreement and the other Loan Documents, and shall be subject to and bound by the terms thereof, and shall perform all the obligations of and shall have all rights of a Lender thereunder.</w:t>
      </w:r>
    </w:p>
    <w:p>
      <w:pPr>
        <w:spacing w:after="0" w:line="188" w:lineRule="exact"/>
        <w:rPr>
          <w:rFonts w:ascii="Times New Roman" w:cs="Times New Roman" w:eastAsia="Times New Roman" w:hAnsi="Times New Roman"/>
          <w:sz w:val="21"/>
          <w:szCs w:val="21"/>
          <w:color w:val="auto"/>
        </w:rPr>
      </w:pPr>
    </w:p>
    <w:p>
      <w:pPr>
        <w:jc w:val="both"/>
        <w:ind w:left="180" w:right="199" w:firstLine="1948"/>
        <w:spacing w:after="0" w:line="247" w:lineRule="auto"/>
        <w:tabs>
          <w:tab w:leader="none" w:pos="2769"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10.18 of the Amended Credit Agreement, the New Lender hereby (i) acknowledges that a copy of the Intercreditor Agreement was delivered, or made available, to such Lender, (ii) approves the Intercreditor Agreement, (iii) agrees that it will be bound by, and will take no actions contrary to, the provisions of the Intercreditor Agreement,</w:t>
      </w:r>
    </w:p>
    <w:p>
      <w:pPr>
        <w:spacing w:after="0" w:line="1" w:lineRule="exact"/>
        <w:rPr>
          <w:rFonts w:ascii="Times New Roman" w:cs="Times New Roman" w:eastAsia="Times New Roman" w:hAnsi="Times New Roman"/>
          <w:sz w:val="21"/>
          <w:szCs w:val="21"/>
          <w:color w:val="auto"/>
        </w:rPr>
      </w:pPr>
    </w:p>
    <w:p>
      <w:pPr>
        <w:ind w:left="540" w:hanging="356"/>
        <w:spacing w:after="0"/>
        <w:tabs>
          <w:tab w:leader="none" w:pos="5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and agrees that the Administrative Agent entered into the Intercreditor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7" w:name="page168"/>
    <w:bookmarkEnd w:id="167"/>
    <w:p>
      <w:pPr>
        <w:jc w:val="both"/>
        <w:ind w:left="180" w:right="199"/>
        <w:spacing w:after="0"/>
        <w:rPr>
          <w:sz w:val="20"/>
          <w:szCs w:val="20"/>
          <w:color w:val="auto"/>
        </w:rPr>
      </w:pPr>
      <w:r>
        <w:rPr>
          <w:rFonts w:ascii="Times New Roman" w:cs="Times New Roman" w:eastAsia="Times New Roman" w:hAnsi="Times New Roman"/>
          <w:sz w:val="22"/>
          <w:szCs w:val="22"/>
          <w:color w:val="auto"/>
        </w:rPr>
        <w:t>Agreement as Administrative Agent on behalf of the Lenders, and (v) agrees that, upon becoming a party to the Amended Credit Agreement pursuant to the provisions hereof, the New Lender is deemed to have made the representations and warranties set forth in Section 2.2(a) of the Intercreditor Agreement for the benefit of the other parties thereto.</w:t>
      </w:r>
    </w:p>
    <w:p>
      <w:pPr>
        <w:spacing w:after="0" w:line="177" w:lineRule="exact"/>
        <w:rPr>
          <w:sz w:val="20"/>
          <w:szCs w:val="20"/>
          <w:color w:val="auto"/>
        </w:rPr>
      </w:pPr>
    </w:p>
    <w:p>
      <w:pPr>
        <w:ind w:left="2100" w:hanging="620"/>
        <w:spacing w:after="0"/>
        <w:tabs>
          <w:tab w:leader="none" w:pos="21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Reallocations; Treatment of Outstanding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80" w:right="199" w:firstLine="1948"/>
        <w:spacing w:after="0" w:line="242" w:lineRule="auto"/>
        <w:tabs>
          <w:tab w:leader="none" w:pos="2769"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Fourth Amendment Effective Date (i) all “Revolving Loans” (as defined in the Existing Credit Agreement) made under the Existing Credit Agreement which are outstanding on the Fourth Amendment Effective Date shall continue as Revolving Loans under (and shall be governed by the terms of) the Amended Credit Agreement and shall have the same Interest Periods as in effect under the Existing Credit Agreement, (ii) all “Swing Line Loans” (as defined in the Existing Credit Agreement) made under the Existing Credit Agreement which are outstanding on the Fourth Amendment Effective Date shall continue under (and shall be governed by the terms of) the Amended Credit Agreement and the other Loan Documents, (iii) the Departing Lender’s outstanding “Revolving Loans” under (and as defined in) the Existing Credit Agreement as of the Fourth Amendment Effective Date shall be repaid in full in cash in immediately available funds (accompanied by any accrued and unpaid interest and fees thereon and any other amounts or liabilities owing to the Departing Lender under the Existing Credit Agreement), the Departing Lender’s “Revolving Commitment” under and as defined in the Existing Credit Agreement shall be terminated and be of no further force and effect, the Departing Lender shall not be a Lender for any purpose under the Amended Credit Agreement and the other Loan Documents (provided that the Departing Lender shall retain its rights as a “Lender”, as defined in the Existing Credit Agreement, under the Existing Credit Agreement to expense reimbursement and indemnification pursuant to, and in accordance with, the terms of the Existing Credit Agreement), and the Departing Lender shall be released from any obligation or liability under the Existing Credit Agreement, (iv) all obligations constituting “Obligations” under and as defined in the Existing Credit Agreement or any Loan Document owed to any Lender (but not, for the avoidance of doubt, owed to the Departing Lender or an Affiliate of the Departing Lender) which are outstanding on the Fourth Amendment Effective Date and are not being paid on such date shall continue as Obligations under Amended Credit Agreement and the other Loan Documents, (v) the Administrative Agent shall make such reallocations, sales, assignments or other relevant actions in respect of each Lender’s credit and loan exposure under the Existing Credit Agreement as are necessary in order that such Lender’s pro rata share of the outstanding Revolving Loans under the Amended Credit Agreement reflect such Lender’s pro rata share of the outstanding aggregate Revolving Loans on the Fourth Amendment Effective Date based on its Revolving Percentage after giving effect to this Agreement, and (vi) the Borrower shall compensate the Departing Lender for any and all losses, costs and expenses incurred by the Departing Lender in connection with the repayment of any “BSBY Rate Loans” (as defined in the Existing Credit Agreement), on the terms and in the manner set forth in the Existing Credit Agreement, provided, however, that, for the avoidance of doubt, the Continuing Lenders under this Agreement agree to waive any right to compensation under Section 2.15 of the Existing Credit Agreement in connection with the reallocation and transactions described above. Without limiting the foregoing, the parties hereto (including, without limitation, the Departing Lender) hereby agree that the consent of the Departing Lender shall be limited to the acknowledgments and agreements set forth in this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8" w:name="page169"/>
    <w:bookmarkEnd w:id="168"/>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Section 5, and shall not be required as a condition to the effectiveness of any other amendments, restatements, supplements or modifications to the Existing Credit Agreement or the Loan Documents.</w:t>
      </w:r>
    </w:p>
    <w:p>
      <w:pPr>
        <w:spacing w:after="0" w:line="174" w:lineRule="exact"/>
        <w:rPr>
          <w:sz w:val="20"/>
          <w:szCs w:val="20"/>
          <w:color w:val="auto"/>
        </w:rPr>
      </w:pPr>
    </w:p>
    <w:p>
      <w:pPr>
        <w:jc w:val="both"/>
        <w:ind w:left="180" w:right="199" w:firstLine="1948"/>
        <w:spacing w:after="0" w:line="234" w:lineRule="auto"/>
        <w:tabs>
          <w:tab w:leader="none" w:pos="278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Fourth Amendment Effective Date, to the extent necessary, each Lender (including the New Lender) shall fund Revolving Loans (or receive payment of its “Revolving Loans”, as defined in the Existing Credit Agreement), such that the Revolving Loans of each of the Lenders on the Fourth Amendment Effective Date are equal to its Revolving Percentage of the Revolving Loans of all of the Lenders outstanding on the Fourth Amendment Effective Date, in each case after giving effect to this Agreement. The requirements under Section 10.6 of the Existing Credit Agreement and requirements in respect of minimum borrowing, pro rata borrowing and pro rata payment requirements contained elsewhere in the Amended Credit Agreement shall not apply to the transactions effected pursuant to this Section 5.</w:t>
      </w:r>
    </w:p>
    <w:p>
      <w:pPr>
        <w:spacing w:after="0" w:line="18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6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in more detail in Section 6 hereof, it is the express intent of the parties hereto that the Amended Credit Agreement is entered into not in substitution for, and not in payment of, the obligations of the Borrower under the Existing Credit Agreement and is in no way intended to constitute a novation of any of the Borrower’s indebtedness which was evidenced by the Existing Credit Agreement or any of the other Loan Documents.</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0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 Transitional Arrangements</w:t>
      </w:r>
      <w:r>
        <w:rPr>
          <w:rFonts w:ascii="Times New Roman" w:cs="Times New Roman" w:eastAsia="Times New Roman" w:hAnsi="Times New Roman"/>
          <w:sz w:val="22"/>
          <w:szCs w:val="22"/>
          <w:color w:val="auto"/>
        </w:rPr>
        <w:t xml:space="preserve">. This Agreement shall not constitute a termination of the Existing Credit Agreement nor a novation of any indebtedness or other obligations owing to the Administrative Agent or any Lender under the Existing Credit Agreement. On the Fourth Amendment Effective Date, the credit facilities described in the Existing Credit Agreement shall be amended, supplemented and modified in their entirety by the facilities described in the Amended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BSBY Rate Loan (as defined in the Existing Credit Agreement) outstanding immediately before giving effect to this Agreement shall continue to bear interest after the Fourth Amendment Effective Date at the applicable BSBY Rate (as defined in the Existing Credit Agreement) for the Interest Period (as defined in the Existing Credit Agreement) in effect for such outstanding BSBY Rate Loan immediately before giving effect to this Agreement plus ninety (90) basis points (0.90%) until the end of such Interest Period. At the end of the applicable Interest Period for any such outstanding BSBY Rate Loan, the Borrower shall either (a) convert such Loan to an ABR Loan or a Term SOFR Rate Loan in accordance with the terms of the Amended Credit Agreement or (b) repay such Loan in full in accordance with the terms of the Amended Credit Agreement.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0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Borrower’s Ratification</w:t>
      </w:r>
      <w:r>
        <w:rPr>
          <w:rFonts w:ascii="Times New Roman" w:cs="Times New Roman" w:eastAsia="Times New Roman" w:hAnsi="Times New Roman"/>
          <w:sz w:val="22"/>
          <w:szCs w:val="22"/>
          <w:color w:val="auto"/>
        </w:rPr>
        <w:t>. The Borrower agrees that it has no defenses, set-offs, counterclaims or challenges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9" w:name="page170"/>
    <w:bookmarkEnd w:id="169"/>
    <w:p>
      <w:pPr>
        <w:ind w:left="180" w:right="199" w:firstLine="1300"/>
        <w:spacing w:after="0" w:line="259" w:lineRule="auto"/>
        <w:tabs>
          <w:tab w:leader="none" w:pos="209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hereby represents and warrants to the Administrative Agent and the Lenders that:</w:t>
      </w:r>
    </w:p>
    <w:p>
      <w:pPr>
        <w:spacing w:after="0" w:line="156" w:lineRule="exact"/>
        <w:rPr>
          <w:rFonts w:ascii="Times New Roman" w:cs="Times New Roman" w:eastAsia="Times New Roman" w:hAnsi="Times New Roman"/>
          <w:sz w:val="22"/>
          <w:szCs w:val="22"/>
          <w:color w:val="auto"/>
        </w:rPr>
      </w:pPr>
    </w:p>
    <w:p>
      <w:pPr>
        <w:jc w:val="both"/>
        <w:ind w:left="180" w:right="199" w:firstLine="1948"/>
        <w:spacing w:after="0" w:line="234" w:lineRule="auto"/>
        <w:tabs>
          <w:tab w:leader="none" w:pos="2769"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Fourth Amendment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79" w:lineRule="exact"/>
        <w:rPr>
          <w:rFonts w:ascii="Times New Roman" w:cs="Times New Roman" w:eastAsia="Times New Roman" w:hAnsi="Times New Roman"/>
          <w:sz w:val="22"/>
          <w:szCs w:val="22"/>
          <w:color w:val="auto"/>
        </w:rPr>
      </w:pPr>
    </w:p>
    <w:p>
      <w:pPr>
        <w:jc w:val="both"/>
        <w:ind w:left="180" w:right="199" w:firstLine="1948"/>
        <w:spacing w:after="0" w:line="239" w:lineRule="auto"/>
        <w:tabs>
          <w:tab w:leader="none" w:pos="278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giving effect to this Agreement, there exists no Default or Event of Default under the Existing Credit Agreement, and immediately after giving effect to this Agreement, there exists no Default or Event of Default under the Amended Credit Agreement;</w:t>
      </w:r>
    </w:p>
    <w:p>
      <w:pPr>
        <w:spacing w:after="0" w:line="180"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69"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and each of this Agreement and the Amended Credit Agreement constitutes the legal, valid and binding obligation of the Borrower, enforceable in accordance with its terms; and</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8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Agreement or performance by the Borrower of the Amended Credit Agreement (except for those which have been obtained on or prior to the date hereof).</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All of the above representations and warranties shall survive the making of this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180" w:right="199" w:firstLine="1300"/>
        <w:spacing w:after="0" w:line="244" w:lineRule="auto"/>
        <w:tabs>
          <w:tab w:leader="none" w:pos="209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The effectiveness of the amendments set forth herein is subject to the fulfillment, to the satisfaction of the Administrative Agent and its counsel, of the following conditions precedent on or before the Fourth Amendment Effective Date:</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6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counterpart of this Agreement duly executed and delivered by the Borrower, the Continuing Lenders, the New Lender, the Departing Lender and the Administrative Agent;</w:t>
      </w:r>
    </w:p>
    <w:p>
      <w:pPr>
        <w:spacing w:after="0" w:line="173" w:lineRule="exact"/>
        <w:rPr>
          <w:rFonts w:ascii="Times New Roman" w:cs="Times New Roman" w:eastAsia="Times New Roman" w:hAnsi="Times New Roman"/>
          <w:sz w:val="22"/>
          <w:szCs w:val="22"/>
          <w:color w:val="auto"/>
        </w:rPr>
      </w:pPr>
    </w:p>
    <w:p>
      <w:pPr>
        <w:ind w:left="180" w:right="199" w:firstLine="1948"/>
        <w:spacing w:after="0" w:line="258" w:lineRule="auto"/>
        <w:tabs>
          <w:tab w:leader="none" w:pos="278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New Notes duly executed and delivered by the Borrower;</w:t>
      </w:r>
    </w:p>
    <w:p>
      <w:pPr>
        <w:spacing w:after="0" w:line="158"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6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following, all of which shall be in form and substance satisfactory to the Administrative Agent and shall be duly completed and executed by the Borrower and the Administrative Agent as applicable: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0" w:name="page171"/>
    <w:bookmarkEnd w:id="170"/>
    <w:p>
      <w:pPr>
        <w:jc w:val="both"/>
        <w:ind w:left="3420" w:right="199" w:hanging="644"/>
        <w:spacing w:after="0" w:line="236" w:lineRule="auto"/>
        <w:tabs>
          <w:tab w:leader="none" w:pos="342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certified by an officer of the Borrower as of a recent date, of resolutions of the board of directors of the Borrower in effect on the date hereof authorizing the execution, delivery and performance of this Agreement and the transactions contemplated hereby and the performance of the Amended Credit Agreement;</w:t>
      </w:r>
    </w:p>
    <w:p>
      <w:pPr>
        <w:spacing w:after="0" w:line="182" w:lineRule="exact"/>
        <w:rPr>
          <w:rFonts w:ascii="Times New Roman" w:cs="Times New Roman" w:eastAsia="Times New Roman" w:hAnsi="Times New Roman"/>
          <w:sz w:val="22"/>
          <w:szCs w:val="22"/>
          <w:color w:val="auto"/>
        </w:rPr>
      </w:pPr>
    </w:p>
    <w:p>
      <w:pPr>
        <w:jc w:val="both"/>
        <w:ind w:left="3420" w:right="199" w:hanging="644"/>
        <w:spacing w:after="0" w:line="239" w:lineRule="auto"/>
        <w:tabs>
          <w:tab w:leader="none" w:pos="341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certified by an officer of the Borrower as of a recent date, of the certificate of formation and limited liability company agreement of the Borrower as in effect on the Fourth Amendment Effective Date;</w:t>
      </w:r>
    </w:p>
    <w:p>
      <w:pPr>
        <w:spacing w:after="0" w:line="180" w:lineRule="exact"/>
        <w:rPr>
          <w:rFonts w:ascii="Times New Roman" w:cs="Times New Roman" w:eastAsia="Times New Roman" w:hAnsi="Times New Roman"/>
          <w:sz w:val="22"/>
          <w:szCs w:val="22"/>
          <w:color w:val="auto"/>
        </w:rPr>
      </w:pPr>
    </w:p>
    <w:p>
      <w:pPr>
        <w:ind w:left="3420" w:right="199" w:hanging="644"/>
        <w:spacing w:after="0" w:line="258" w:lineRule="auto"/>
        <w:tabs>
          <w:tab w:leader="none" w:pos="342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for the Borrower in the State of its formation dated as of a recent date;</w:t>
      </w:r>
    </w:p>
    <w:p>
      <w:pPr>
        <w:spacing w:after="0" w:line="158" w:lineRule="exact"/>
        <w:rPr>
          <w:rFonts w:ascii="Times New Roman" w:cs="Times New Roman" w:eastAsia="Times New Roman" w:hAnsi="Times New Roman"/>
          <w:sz w:val="22"/>
          <w:szCs w:val="22"/>
          <w:color w:val="auto"/>
        </w:rPr>
      </w:pPr>
    </w:p>
    <w:p>
      <w:pPr>
        <w:jc w:val="both"/>
        <w:ind w:left="3420" w:right="199" w:hanging="644"/>
        <w:spacing w:after="0" w:line="244" w:lineRule="auto"/>
        <w:tabs>
          <w:tab w:leader="none" w:pos="346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legal opinion of counsel to the Borrower reasonably satisfactory in form and substance to the Administrative Agent and its counsel;</w:t>
      </w:r>
    </w:p>
    <w:p>
      <w:pPr>
        <w:spacing w:after="0" w:line="173" w:lineRule="exact"/>
        <w:rPr>
          <w:rFonts w:ascii="Times New Roman" w:cs="Times New Roman" w:eastAsia="Times New Roman" w:hAnsi="Times New Roman"/>
          <w:sz w:val="22"/>
          <w:szCs w:val="22"/>
          <w:color w:val="auto"/>
        </w:rPr>
      </w:pPr>
    </w:p>
    <w:p>
      <w:pPr>
        <w:jc w:val="both"/>
        <w:ind w:left="3420" w:right="199" w:hanging="644"/>
        <w:spacing w:after="0" w:line="239" w:lineRule="auto"/>
        <w:tabs>
          <w:tab w:leader="none" w:pos="3469"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State-level Uniform Commercial Code lien searches with respect to the Borrower in its jurisdiction of organization and with results reasonably acceptable to the Administrative Agent;</w:t>
      </w:r>
    </w:p>
    <w:p>
      <w:pPr>
        <w:spacing w:after="0" w:line="180" w:lineRule="exact"/>
        <w:rPr>
          <w:rFonts w:ascii="Times New Roman" w:cs="Times New Roman" w:eastAsia="Times New Roman" w:hAnsi="Times New Roman"/>
          <w:sz w:val="22"/>
          <w:szCs w:val="22"/>
          <w:color w:val="auto"/>
        </w:rPr>
      </w:pPr>
    </w:p>
    <w:p>
      <w:pPr>
        <w:jc w:val="both"/>
        <w:ind w:left="3420" w:right="199" w:hanging="644"/>
        <w:spacing w:after="0" w:line="248" w:lineRule="auto"/>
        <w:tabs>
          <w:tab w:leader="none" w:pos="3462"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qualifies as a legal entity customer under the Beneficial Ownership Regulations, an executed Certificate of Beneficial Ownership for the Borrower and, in any case, such other documentation and other information requested by the Administrative Agent and the Lenders in connection with applicable “know your customer” and anti-money laundering rules and regulations, including the USA Patriot Act; and</w:t>
      </w:r>
    </w:p>
    <w:p>
      <w:pPr>
        <w:spacing w:after="0" w:line="170" w:lineRule="exact"/>
        <w:rPr>
          <w:rFonts w:ascii="Times New Roman" w:cs="Times New Roman" w:eastAsia="Times New Roman" w:hAnsi="Times New Roman"/>
          <w:sz w:val="21"/>
          <w:szCs w:val="21"/>
          <w:color w:val="auto"/>
        </w:rPr>
      </w:pPr>
    </w:p>
    <w:p>
      <w:pPr>
        <w:jc w:val="both"/>
        <w:ind w:left="3420" w:right="199" w:hanging="644"/>
        <w:spacing w:after="0" w:line="244" w:lineRule="auto"/>
        <w:tabs>
          <w:tab w:leader="none" w:pos="346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documents, certificates and information as the Administrative Agent or the Lenders may require pursuant to the terms hereof or otherwise reasonably request.</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39" w:lineRule="auto"/>
        <w:tabs>
          <w:tab w:leader="none" w:pos="278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Loans of the Departing Lender outstanding under the Existing Credit Agreement as of the Fourth Amendment Effective Date, including any accrued interest thereon, and all fees owed to the Departing Lender under the Existing Credit Agreement, shall have been paid in full.</w:t>
      </w:r>
    </w:p>
    <w:p>
      <w:pPr>
        <w:spacing w:after="0" w:line="180"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fees as shall have</w:t>
      </w:r>
    </w:p>
    <w:p>
      <w:pPr>
        <w:spacing w:after="0" w:line="2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been agreed.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1" w:name="page172"/>
    <w:bookmarkEnd w:id="171"/>
    <w:p>
      <w:pPr>
        <w:jc w:val="both"/>
        <w:ind w:left="180" w:right="199" w:firstLine="1948"/>
        <w:spacing w:after="0"/>
        <w:tabs>
          <w:tab w:leader="none" w:pos="278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to the extent invoiced at least one Business Day prior to the Fourth Amendment Effective Date, reimbursement of all reasonable and documented fees and expenses of counsel to the Administrative Agent required to be paid or reimbursed by the Borrower hereunder.</w:t>
      </w:r>
    </w:p>
    <w:p>
      <w:pPr>
        <w:spacing w:after="0" w:line="177" w:lineRule="exact"/>
        <w:rPr>
          <w:sz w:val="20"/>
          <w:szCs w:val="20"/>
          <w:color w:val="auto"/>
        </w:rPr>
      </w:pPr>
    </w:p>
    <w:p>
      <w:pPr>
        <w:ind w:left="180" w:right="879"/>
        <w:spacing w:after="0" w:line="258" w:lineRule="auto"/>
        <w:rPr>
          <w:sz w:val="20"/>
          <w:szCs w:val="20"/>
          <w:color w:val="auto"/>
        </w:rPr>
      </w:pPr>
      <w:r>
        <w:rPr>
          <w:rFonts w:ascii="Times New Roman" w:cs="Times New Roman" w:eastAsia="Times New Roman" w:hAnsi="Times New Roman"/>
          <w:sz w:val="22"/>
          <w:szCs w:val="22"/>
          <w:color w:val="auto"/>
        </w:rPr>
        <w:t>All of the foregoing fees shall be in all respects, fully earned, due and payable on the Fourth Amendment Effective Date and non-refundable and non-creditable thereafter.</w:t>
      </w:r>
    </w:p>
    <w:p>
      <w:pPr>
        <w:spacing w:after="0" w:line="158" w:lineRule="exact"/>
        <w:rPr>
          <w:sz w:val="20"/>
          <w:szCs w:val="20"/>
          <w:color w:val="auto"/>
        </w:rPr>
      </w:pPr>
    </w:p>
    <w:p>
      <w:pPr>
        <w:jc w:val="both"/>
        <w:ind w:left="180" w:right="199" w:firstLine="1300"/>
        <w:spacing w:after="0" w:line="235" w:lineRule="auto"/>
        <w:tabs>
          <w:tab w:leader="none" w:pos="21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sole agreement of the parties hereto with respect to the transactions contemplated hereby and shall supersede all oral negotiations and the terms of prior writings with respect thereto. From and after the Fourth Amendment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80" w:right="199" w:firstLine="1948"/>
        <w:spacing w:after="0" w:line="239" w:lineRule="auto"/>
        <w:tabs>
          <w:tab w:leader="none" w:pos="276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all of the Administrative Agent’s reasonable out-of-pocket fees and expenses incurred in connection with this Agreement and the transactions contemplated hereby, including, without limitation, the reasonable fees and expenses of counsel to the Administrative Agent.</w:t>
      </w:r>
    </w:p>
    <w:p>
      <w:pPr>
        <w:spacing w:after="0" w:line="180" w:lineRule="exact"/>
        <w:rPr>
          <w:rFonts w:ascii="Times New Roman" w:cs="Times New Roman" w:eastAsia="Times New Roman" w:hAnsi="Times New Roman"/>
          <w:sz w:val="22"/>
          <w:szCs w:val="22"/>
          <w:color w:val="auto"/>
        </w:rPr>
      </w:pPr>
    </w:p>
    <w:p>
      <w:pPr>
        <w:jc w:val="both"/>
        <w:ind w:left="180" w:right="199" w:firstLine="1948"/>
        <w:spacing w:after="0" w:line="236" w:lineRule="auto"/>
        <w:tabs>
          <w:tab w:leader="none" w:pos="278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81" w:lineRule="exact"/>
        <w:rPr>
          <w:rFonts w:ascii="Times New Roman" w:cs="Times New Roman" w:eastAsia="Times New Roman" w:hAnsi="Times New Roman"/>
          <w:sz w:val="22"/>
          <w:szCs w:val="22"/>
          <w:color w:val="auto"/>
        </w:rPr>
      </w:pPr>
    </w:p>
    <w:p>
      <w:pPr>
        <w:jc w:val="both"/>
        <w:ind w:left="180" w:right="199" w:firstLine="1948"/>
        <w:spacing w:after="0" w:line="239" w:lineRule="auto"/>
        <w:tabs>
          <w:tab w:leader="none" w:pos="276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Agreement shall neither operate as a waiver of any right, power or remedy of the Administrative Agent or the Lenders under any of the Loan Documents nor constitute a waiver of any Default or Event of Default thereunder.</w:t>
      </w:r>
    </w:p>
    <w:p>
      <w:pPr>
        <w:spacing w:after="0" w:line="180" w:lineRule="exact"/>
        <w:rPr>
          <w:rFonts w:ascii="Times New Roman" w:cs="Times New Roman" w:eastAsia="Times New Roman" w:hAnsi="Times New Roman"/>
          <w:sz w:val="22"/>
          <w:szCs w:val="22"/>
          <w:color w:val="auto"/>
        </w:rPr>
      </w:pPr>
    </w:p>
    <w:p>
      <w:pPr>
        <w:jc w:val="both"/>
        <w:ind w:left="180" w:right="199" w:firstLine="1948"/>
        <w:spacing w:after="0" w:line="261" w:lineRule="auto"/>
        <w:tabs>
          <w:tab w:leader="none" w:pos="2781"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Administrative Agent’s and the Lenders’ agreement to amend the existing revolving credit facility on the terms hereof, the Borrower hereby waives and releases the Administrative Agent and the Lenders and their respective officers,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2" w:name="page173"/>
    <w:bookmarkEnd w:id="172"/>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attorneys, agents and employees from any liability, suit, damage, claim, loss or expense of any kind or failure whatsoever and howsoever arising that it ever had up until, or has as of, the date of this Agreement.</w:t>
      </w:r>
    </w:p>
    <w:p>
      <w:pPr>
        <w:spacing w:after="0" w:line="174" w:lineRule="exact"/>
        <w:rPr>
          <w:sz w:val="20"/>
          <w:szCs w:val="20"/>
          <w:color w:val="auto"/>
        </w:rPr>
      </w:pPr>
    </w:p>
    <w:p>
      <w:pPr>
        <w:jc w:val="both"/>
        <w:ind w:left="180" w:right="199" w:firstLine="1948"/>
        <w:spacing w:after="0" w:line="244" w:lineRule="auto"/>
        <w:tabs>
          <w:tab w:leader="none" w:pos="276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of the parties with respect to the subject matter hereof and supersedes all prior and contemporaneous understandings and agreements.</w:t>
      </w:r>
    </w:p>
    <w:p>
      <w:pPr>
        <w:spacing w:after="0" w:line="173" w:lineRule="exact"/>
        <w:rPr>
          <w:rFonts w:ascii="Times New Roman" w:cs="Times New Roman" w:eastAsia="Times New Roman" w:hAnsi="Times New Roman"/>
          <w:sz w:val="22"/>
          <w:szCs w:val="22"/>
          <w:color w:val="auto"/>
        </w:rPr>
      </w:pPr>
    </w:p>
    <w:p>
      <w:pPr>
        <w:ind w:left="180" w:right="199" w:firstLine="1948"/>
        <w:spacing w:after="0" w:line="258" w:lineRule="auto"/>
        <w:tabs>
          <w:tab w:leader="none" w:pos="278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according to the laws of the State of New York.</w:t>
      </w:r>
    </w:p>
    <w:p>
      <w:pPr>
        <w:spacing w:after="0" w:line="158" w:lineRule="exact"/>
        <w:rPr>
          <w:rFonts w:ascii="Times New Roman" w:cs="Times New Roman" w:eastAsia="Times New Roman" w:hAnsi="Times New Roman"/>
          <w:sz w:val="22"/>
          <w:szCs w:val="22"/>
          <w:color w:val="auto"/>
        </w:rPr>
      </w:pPr>
    </w:p>
    <w:p>
      <w:pPr>
        <w:ind w:left="180" w:right="199" w:firstLine="1948"/>
        <w:spacing w:after="0" w:line="258" w:lineRule="auto"/>
        <w:tabs>
          <w:tab w:leader="none" w:pos="27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used in this Agreement are for convenience of reference only, do not form a part of this Agreement and shall not affect in any way the meaning or interpretation of this Agreement.</w:t>
      </w:r>
    </w:p>
    <w:p>
      <w:pPr>
        <w:spacing w:after="0" w:line="173" w:lineRule="exact"/>
        <w:rPr>
          <w:rFonts w:ascii="Times New Roman" w:cs="Times New Roman" w:eastAsia="Times New Roman" w:hAnsi="Times New Roman"/>
          <w:sz w:val="22"/>
          <w:szCs w:val="22"/>
          <w:color w:val="auto"/>
        </w:rPr>
      </w:pPr>
    </w:p>
    <w:p>
      <w:pPr>
        <w:jc w:val="both"/>
        <w:ind w:left="180" w:right="199" w:firstLine="1948"/>
        <w:spacing w:after="0" w:line="238" w:lineRule="auto"/>
        <w:tabs>
          <w:tab w:leader="none" w:pos="278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176" w:lineRule="exact"/>
        <w:rPr>
          <w:rFonts w:ascii="Times New Roman" w:cs="Times New Roman" w:eastAsia="Times New Roman" w:hAnsi="Times New Roman"/>
          <w:sz w:val="22"/>
          <w:szCs w:val="22"/>
          <w:color w:val="auto"/>
        </w:rPr>
      </w:pPr>
    </w:p>
    <w:p>
      <w:pPr>
        <w:jc w:val="both"/>
        <w:ind w:left="180" w:right="199" w:firstLine="1948"/>
        <w:spacing w:after="0" w:line="244" w:lineRule="auto"/>
        <w:tabs>
          <w:tab w:leader="none" w:pos="277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modification hereof or any agreement referred to herein shall be binding or enforceable unless in writing and signed on behalf of the party against whom enforcement is sought.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3" w:name="page174"/>
    <w:bookmarkEnd w:id="173"/>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IN WITNESS WHEREOF, the Borrower, the Administrative Agent and the Lenders have caused this Agreement to be executed by their duly authorized officers as of the date first above written.</w:t>
      </w:r>
    </w:p>
    <w:p>
      <w:pPr>
        <w:spacing w:after="0" w:line="18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23" w:lineRule="exact"/>
        <w:rPr>
          <w:sz w:val="20"/>
          <w:szCs w:val="20"/>
          <w:color w:val="auto"/>
        </w:rPr>
      </w:pPr>
    </w:p>
    <w:tbl>
      <w:tblPr>
        <w:tblLayout w:type="fixed"/>
        <w:tblInd w:w="366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Brian Dingerdissen</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Brian Dingerdissen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Investor Relations &amp;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16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By:</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Domenic D’Ginto</w:t>
            </w:r>
          </w:p>
        </w:tc>
      </w:tr>
      <w:tr>
        <w:trPr>
          <w:trHeight w:val="243"/>
        </w:trPr>
        <w:tc>
          <w:tcPr>
            <w:tcW w:w="4160" w:type="dxa"/>
            <w:vAlign w:val="bottom"/>
          </w:tcPr>
          <w:p>
            <w:pPr>
              <w:ind w:left="3480"/>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45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Domenic D’Ginto</w:t>
            </w:r>
          </w:p>
        </w:tc>
      </w:tr>
      <w:tr>
        <w:trPr>
          <w:trHeight w:val="282"/>
        </w:trPr>
        <w:tc>
          <w:tcPr>
            <w:tcW w:w="416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1041"/>
        </w:trPr>
        <w:tc>
          <w:tcPr>
            <w:tcW w:w="41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r>
        <w:trPr>
          <w:trHeight w:val="20"/>
        </w:trPr>
        <w:tc>
          <w:tcPr>
            <w:tcW w:w="4160" w:type="dxa"/>
            <w:vAlign w:val="bottom"/>
            <w:tcBorders>
              <w:bottom w:val="single" w:sz="8" w:color="EEEEEE"/>
            </w:tcBorders>
          </w:tcPr>
          <w:p>
            <w:pPr>
              <w:spacing w:after="0" w:line="20" w:lineRule="exact"/>
              <w:rPr>
                <w:sz w:val="1"/>
                <w:szCs w:val="1"/>
                <w:color w:val="auto"/>
              </w:rPr>
            </w:pPr>
          </w:p>
        </w:tc>
        <w:tc>
          <w:tcPr>
            <w:tcW w:w="4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4" w:name="page175"/>
    <w:bookmarkEnd w:id="174"/>
    <w:tbl>
      <w:tblPr>
        <w:tblLayout w:type="fixed"/>
        <w:tblInd w:w="18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CONTINUING LENDERS:</w:t>
            </w:r>
          </w:p>
        </w:tc>
        <w:tc>
          <w:tcPr>
            <w:tcW w:w="56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PNC BANK, NATIONAL ASSOCIATION,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96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as Swing Line Lender and as a Continuing Lender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0"/>
        </w:trPr>
        <w:tc>
          <w:tcPr>
            <w:tcW w:w="2960" w:type="dxa"/>
            <w:vAlign w:val="bottom"/>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Domenic D’Ginto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Domenic D’Ginto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960" w:type="dxa"/>
            <w:vAlign w:val="bottom"/>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296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CITIZENS BANK, N.A., as a Continuing Lender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0"/>
        </w:trPr>
        <w:tc>
          <w:tcPr>
            <w:tcW w:w="2960" w:type="dxa"/>
            <w:vAlign w:val="bottom"/>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A. Paul Dawley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 Paul Dawley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960" w:type="dxa"/>
            <w:vAlign w:val="bottom"/>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1"/>
        </w:trPr>
        <w:tc>
          <w:tcPr>
            <w:tcW w:w="2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602" w:right="1440" w:bottom="1440" w:gutter="0" w:footer="0" w:header="0"/>
        </w:sectPr>
      </w:pPr>
    </w:p>
    <w:bookmarkStart w:id="175" w:name="page176"/>
    <w:bookmarkEnd w:id="175"/>
    <w:p>
      <w:pPr>
        <w:ind w:left="180"/>
        <w:spacing w:after="0"/>
        <w:rPr>
          <w:sz w:val="20"/>
          <w:szCs w:val="20"/>
          <w:color w:val="auto"/>
        </w:rPr>
      </w:pPr>
      <w:r>
        <w:rPr>
          <w:rFonts w:ascii="Times New Roman" w:cs="Times New Roman" w:eastAsia="Times New Roman" w:hAnsi="Times New Roman"/>
          <w:sz w:val="21"/>
          <w:szCs w:val="21"/>
          <w:color w:val="auto"/>
        </w:rPr>
        <w:t>NEW LENDER:</w:t>
      </w:r>
    </w:p>
    <w:p>
      <w:pPr>
        <w:spacing w:after="0" w:line="20" w:lineRule="exact"/>
        <w:rPr>
          <w:sz w:val="20"/>
          <w:szCs w:val="20"/>
          <w:color w:val="auto"/>
        </w:rPr>
      </w:pPr>
      <w:r>
        <w:rPr>
          <w:sz w:val="20"/>
          <w:szCs w:val="20"/>
          <w:color w:val="auto"/>
        </w:rPr>
        <w:br w:type="column"/>
      </w:r>
    </w:p>
    <w:p>
      <w:pPr>
        <w:ind w:right="819"/>
        <w:spacing w:after="0" w:line="258" w:lineRule="auto"/>
        <w:rPr>
          <w:sz w:val="20"/>
          <w:szCs w:val="20"/>
          <w:color w:val="auto"/>
        </w:rPr>
      </w:pPr>
      <w:r>
        <w:rPr>
          <w:rFonts w:ascii="Times New Roman" w:cs="Times New Roman" w:eastAsia="Times New Roman" w:hAnsi="Times New Roman"/>
          <w:sz w:val="22"/>
          <w:szCs w:val="22"/>
          <w:color w:val="auto"/>
        </w:rPr>
        <w:t>THE HUNTINGTON NATIONAL BANK, as the New Lender</w:t>
      </w:r>
    </w:p>
    <w:p>
      <w:pPr>
        <w:spacing w:after="0" w:line="200" w:lineRule="exact"/>
        <w:rPr>
          <w:sz w:val="20"/>
          <w:szCs w:val="20"/>
          <w:color w:val="auto"/>
        </w:rPr>
      </w:pPr>
    </w:p>
    <w:p>
      <w:pPr>
        <w:sectPr>
          <w:pgSz w:w="11900" w:h="16838" w:orient="portrait"/>
          <w:cols w:equalWidth="0" w:num="2">
            <w:col w:w="3720" w:space="720"/>
            <w:col w:w="4579"/>
          </w:cols>
          <w:pgMar w:left="144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26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/s/ Christopher Olsen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60" w:type="dxa"/>
            <w:vAlign w:val="bottom"/>
            <w:vMerge w:val="restart"/>
          </w:tcPr>
          <w:p>
            <w:pPr>
              <w:ind w:left="348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Christopher Olsen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6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1"/>
        </w:trPr>
        <w:tc>
          <w:tcPr>
            <w:tcW w:w="42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FOURTH AMENDMENT TO THE CREDIT AGREEMENT OF</w:t>
      </w:r>
    </w:p>
    <w:p>
      <w:pPr>
        <w:jc w:val="center"/>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182" w:lineRule="exact"/>
        <w:rPr>
          <w:sz w:val="20"/>
          <w:szCs w:val="20"/>
          <w:color w:val="auto"/>
        </w:rPr>
      </w:pPr>
    </w:p>
    <w:p>
      <w:pPr>
        <w:ind w:left="180" w:right="459" w:firstLine="648"/>
        <w:spacing w:after="0" w:line="235" w:lineRule="auto"/>
        <w:rPr>
          <w:sz w:val="20"/>
          <w:szCs w:val="20"/>
          <w:color w:val="auto"/>
        </w:rPr>
      </w:pPr>
      <w:r>
        <w:rPr>
          <w:rFonts w:ascii="Times New Roman" w:cs="Times New Roman" w:eastAsia="Times New Roman" w:hAnsi="Times New Roman"/>
          <w:sz w:val="22"/>
          <w:szCs w:val="22"/>
          <w:color w:val="auto"/>
        </w:rPr>
        <w:t>The undersigned is executing this signature page solely as the Departing Lender in its acceptance of the termination of its commitments and obligations under the Existing Credit Agreement as a Lender thereunder, and not as a Lender party to the Amended Credit Agreement. The undersigned hereby acknowledges that the Existing Credit Agreement is being amended pursuant to the Fourth Amendment to which this signature page is attached and the undersigned shall not constitute a party to said Fourth Amendment as a Lender other than as the Departing Lender for purposes of effectuating the amendments to the Existing Credit Agreement contemplated by the Fourth Amendment.</w:t>
      </w:r>
    </w:p>
    <w:p>
      <w:pPr>
        <w:spacing w:after="0" w:line="19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TD BANK, N.A., as the Departing Lender</w:t>
      </w:r>
    </w:p>
    <w:p>
      <w:pPr>
        <w:spacing w:after="0" w:line="4" w:lineRule="exact"/>
        <w:rPr>
          <w:sz w:val="20"/>
          <w:szCs w:val="20"/>
          <w:color w:val="auto"/>
        </w:rPr>
      </w:pP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Jennifer L. Suspenski</w:t>
      </w: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Jennifer L. Suspenski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-158115</wp:posOffset>
            </wp:positionV>
            <wp:extent cx="2785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ind w:left="3660"/>
        <w:spacing w:after="0"/>
        <w:tabs>
          <w:tab w:leader="none" w:pos="442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441325</wp:posOffset>
            </wp:positionV>
            <wp:extent cx="548640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6400" cy="1714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951865</wp:posOffset>
            </wp:positionV>
            <wp:extent cx="5528945"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28945" cy="5143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278765</wp:posOffset>
            </wp:positionV>
            <wp:extent cx="34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7" w:name="page178"/>
    <w:bookmarkEnd w:id="177"/>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ANNEX A TO FOURTH AMENDMENT</w:t>
      </w:r>
    </w:p>
    <w:p>
      <w:pPr>
        <w:spacing w:after="0" w:line="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CUSIP No. 69349CAP3</w:t>
      </w: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REVOLVER CUSIP No. 69349CAQ15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149860</wp:posOffset>
            </wp:positionV>
            <wp:extent cx="548640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Borrower,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Several Lenders from Time to Time Parties Hereto,</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Lead Arranger and Sole Bookrunner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November 25, 2020</w:t>
      </w:r>
    </w:p>
    <w:p>
      <w:pPr>
        <w:spacing w:after="0" w:line="3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 Amended by the First Amendment,</w:t>
      </w:r>
    </w:p>
    <w:p>
      <w:pPr>
        <w:spacing w:after="0" w:line="1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dated as of November 5, 2021,</w:t>
      </w:r>
    </w:p>
    <w:p>
      <w:pPr>
        <w:spacing w:after="0" w:line="18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the Second Amendment,</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dated as of June 30, 2022,</w:t>
      </w:r>
    </w:p>
    <w:p>
      <w:pPr>
        <w:spacing w:after="0" w:line="18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the Third Amendment,</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dated as of June 29, 2023,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Fourth Amendment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424180</wp:posOffset>
            </wp:positionV>
            <wp:extent cx="548640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86400" cy="1714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1234440</wp:posOffset>
            </wp:positionV>
            <wp:extent cx="552894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8" w:name="page179"/>
    <w:bookmarkEnd w:id="178"/>
    <w:tbl>
      <w:tblPr>
        <w:tblLayout w:type="fixed"/>
        <w:tblInd w:w="18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616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TABLE OF CONTENTS</w:t>
            </w:r>
          </w:p>
        </w:tc>
        <w:tc>
          <w:tcPr>
            <w:tcW w:w="1100" w:type="dxa"/>
            <w:vAlign w:val="bottom"/>
          </w:tcPr>
          <w:p>
            <w:pPr>
              <w:spacing w:after="0"/>
              <w:rPr>
                <w:sz w:val="22"/>
                <w:szCs w:val="22"/>
                <w:color w:val="auto"/>
              </w:rPr>
            </w:pPr>
          </w:p>
        </w:tc>
      </w:tr>
      <w:tr>
        <w:trPr>
          <w:trHeight w:val="493"/>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243"/>
        </w:trPr>
        <w:tc>
          <w:tcPr>
            <w:tcW w:w="75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SECTION 1. DEFINITIONS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Defined Terms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Other Definitional Provisions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Benchmark Replacement Notification; Rates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Divisions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Negative Covenant Compliance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Timing of Payment or Performance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Rounding</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Certifications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75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SECTION 2. AMOUNT AND TERMS OF COMMITMENTS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Revolving Commitments; Payments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Procedure for Revolving Loan Borrowing</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Additional Fees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Termination or Reduction of Total Revolving Commitments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Optional Prepayments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Mandatory Prepayments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Conversion and Continuation Options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Limitations on Tranches of Term SOFR Rate Loans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Interest Rates and Payment Dates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Computation of Interest and Fees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Inability to Determine Interest Rate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2.12</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Pro Rata Treatment and Payments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Requirements of Law</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2.14</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2.15</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Indemnity</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2.16</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Change of Lending Office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2.17</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Replacement of Lenders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Benchmark Replacement Setting</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2.19</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Defaulting Lender</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Swing Line Loans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2.21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Conforming Changes Relating to the Term SOFR Rate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75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SECTION 3. [Reserved]</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75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SECTION 4. REPRESENTATIONS AND WARRANTIES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Financial Condition</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No Change</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Existence; Compliance with Law</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Power; Authorization; Enforceable Obligations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No Legal Bar</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No Default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Ownership of Property; Liens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61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Federal Regulations</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82"/>
        </w:trPr>
        <w:tc>
          <w:tcPr>
            <w:tcW w:w="14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4.12</w:t>
            </w:r>
          </w:p>
        </w:tc>
        <w:tc>
          <w:tcPr>
            <w:tcW w:w="61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[Reserved]</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85"/>
        </w:trPr>
        <w:tc>
          <w:tcPr>
            <w:tcW w:w="1420" w:type="dxa"/>
            <w:vAlign w:val="bottom"/>
          </w:tcPr>
          <w:p>
            <w:pPr>
              <w:spacing w:after="0"/>
              <w:rPr>
                <w:sz w:val="24"/>
                <w:szCs w:val="24"/>
                <w:color w:val="auto"/>
              </w:rPr>
            </w:pPr>
          </w:p>
        </w:tc>
        <w:tc>
          <w:tcPr>
            <w:tcW w:w="4000" w:type="dxa"/>
            <w:vAlign w:val="bottom"/>
            <w:gridSpan w:val="2"/>
          </w:tcPr>
          <w:p>
            <w:pPr>
              <w:ind w:left="2860"/>
              <w:spacing w:after="0"/>
              <w:rPr>
                <w:sz w:val="20"/>
                <w:szCs w:val="20"/>
                <w:color w:val="auto"/>
              </w:rPr>
            </w:pPr>
            <w:r>
              <w:rPr>
                <w:rFonts w:ascii="Arial" w:cs="Arial" w:eastAsia="Arial" w:hAnsi="Arial"/>
                <w:sz w:val="14"/>
                <w:szCs w:val="14"/>
                <w:color w:val="auto"/>
              </w:rPr>
              <w:t>1</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9"/>
        </w:trPr>
        <w:tc>
          <w:tcPr>
            <w:tcW w:w="142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r>
        <w:trPr>
          <w:trHeight w:val="20"/>
        </w:trPr>
        <w:tc>
          <w:tcPr>
            <w:tcW w:w="142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89"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180" w:type="dxa"/>
        <w:tblCellMar>
          <w:top w:w="0" w:type="dxa"/>
          <w:left w:w="0" w:type="dxa"/>
          <w:bottom w:w="0" w:type="dxa"/>
          <w:right w:w="0" w:type="dxa"/>
        </w:tblCellMar>
      </w:tblPr>
      <w:tr>
        <w:trPr>
          <w:trHeight w:val="282"/>
        </w:trPr>
        <w:tc>
          <w:tcPr>
            <w:tcW w:w="1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23"/>
        </w:trPr>
        <w:tc>
          <w:tcPr>
            <w:tcW w:w="14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4.13</w:t>
            </w:r>
          </w:p>
        </w:tc>
        <w:tc>
          <w:tcPr>
            <w:tcW w:w="60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ERISA</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Investment Company Act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4.16</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4.17</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Accuracy of Information, etc.</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Security Documents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4.21</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Patriot Act; Anti-Corruption Laws; Sanctions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4.22</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Pari Passu Obligations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4.23</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Regulation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4.24</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Affected Financial Institutions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Beneficial Ownership Certification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7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5. CONDITIONS PRECEDENT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Conditions to Initial Extension of Credit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Conditions to Each Extension of Credit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7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6. AFFIRMATIVE COVENANTS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Certificates; Other Information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Payment of Taxes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Maintenance of Existence; Compliance</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Maintenance of Property; Insurance</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Inspection of Property; Books and Records; Discussions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Environmental Laws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6.12</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Intercompany Loans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6.13</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First Priority Security Interest</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6.14</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Direct Ownership</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6.15</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Sanctions; Anti-Terrorism Laws; Anti-Corruption Laws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7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7. NEGATIVE COVENANTS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Financial Covenants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Disposition of Property</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Indebtedness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Swap Agreements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Changes in Fiscal Periods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4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6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Clauses Restricting Distributions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82"/>
        </w:trPr>
        <w:tc>
          <w:tcPr>
            <w:tcW w:w="14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7.11</w:t>
            </w:r>
          </w:p>
        </w:tc>
        <w:tc>
          <w:tcPr>
            <w:tcW w:w="60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Amendments to Indebtedness Documents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459"/>
        </w:trPr>
        <w:tc>
          <w:tcPr>
            <w:tcW w:w="1420" w:type="dxa"/>
            <w:vAlign w:val="bottom"/>
          </w:tcPr>
          <w:p>
            <w:pPr>
              <w:spacing w:after="0"/>
              <w:rPr>
                <w:sz w:val="24"/>
                <w:szCs w:val="24"/>
                <w:color w:val="auto"/>
              </w:rPr>
            </w:pPr>
          </w:p>
        </w:tc>
        <w:tc>
          <w:tcPr>
            <w:tcW w:w="6000" w:type="dxa"/>
            <w:vAlign w:val="bottom"/>
          </w:tcPr>
          <w:p>
            <w:pPr>
              <w:ind w:left="2860"/>
              <w:spacing w:after="0"/>
              <w:rPr>
                <w:sz w:val="20"/>
                <w:szCs w:val="20"/>
                <w:color w:val="auto"/>
              </w:rPr>
            </w:pPr>
            <w:r>
              <w:rPr>
                <w:rFonts w:ascii="Times New Roman" w:cs="Times New Roman" w:eastAsia="Times New Roman" w:hAnsi="Times New Roman"/>
                <w:sz w:val="22"/>
                <w:szCs w:val="22"/>
                <w:color w:val="auto"/>
              </w:rPr>
              <w:t>2</w:t>
            </w:r>
          </w:p>
        </w:tc>
        <w:tc>
          <w:tcPr>
            <w:tcW w:w="1260" w:type="dxa"/>
            <w:vAlign w:val="bottom"/>
          </w:tcPr>
          <w:p>
            <w:pPr>
              <w:spacing w:after="0"/>
              <w:rPr>
                <w:sz w:val="24"/>
                <w:szCs w:val="24"/>
                <w:color w:val="auto"/>
              </w:rPr>
            </w:pPr>
          </w:p>
        </w:tc>
      </w:tr>
      <w:tr>
        <w:trPr>
          <w:trHeight w:val="96"/>
        </w:trPr>
        <w:tc>
          <w:tcPr>
            <w:tcW w:w="1420" w:type="dxa"/>
            <w:vAlign w:val="bottom"/>
            <w:tcBorders>
              <w:bottom w:val="single" w:sz="8" w:color="9A9A9A"/>
            </w:tcBorders>
          </w:tcPr>
          <w:p>
            <w:pPr>
              <w:spacing w:after="0"/>
              <w:rPr>
                <w:sz w:val="8"/>
                <w:szCs w:val="8"/>
                <w:color w:val="auto"/>
              </w:rPr>
            </w:pPr>
          </w:p>
        </w:tc>
        <w:tc>
          <w:tcPr>
            <w:tcW w:w="60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20"/>
        </w:trPr>
        <w:tc>
          <w:tcPr>
            <w:tcW w:w="1420" w:type="dxa"/>
            <w:vAlign w:val="bottom"/>
            <w:tcBorders>
              <w:bottom w:val="single" w:sz="8" w:color="EEEEEE"/>
            </w:tcBorders>
          </w:tcPr>
          <w:p>
            <w:pPr>
              <w:spacing w:after="0" w:line="20" w:lineRule="exact"/>
              <w:rPr>
                <w:sz w:val="1"/>
                <w:szCs w:val="1"/>
                <w:color w:val="auto"/>
              </w:rPr>
            </w:pPr>
          </w:p>
        </w:tc>
        <w:tc>
          <w:tcPr>
            <w:tcW w:w="60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180" w:type="dxa"/>
        <w:tblCellMar>
          <w:top w:w="0" w:type="dxa"/>
          <w:left w:w="0" w:type="dxa"/>
          <w:bottom w:w="0" w:type="dxa"/>
          <w:right w:w="0" w:type="dxa"/>
        </w:tblCellMar>
      </w:tblPr>
      <w:tr>
        <w:trPr>
          <w:trHeight w:val="282"/>
        </w:trPr>
        <w:tc>
          <w:tcPr>
            <w:tcW w:w="1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23"/>
        </w:trPr>
        <w:tc>
          <w:tcPr>
            <w:tcW w:w="14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7.12</w:t>
            </w:r>
          </w:p>
        </w:tc>
        <w:tc>
          <w:tcPr>
            <w:tcW w:w="6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New Subsidiaries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7.13</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7.14</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7.15</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7.16</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Sanctions and other Anti-Terrorism Laws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8. EVENTS OF DEFAULT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8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9. THE AGENTS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Appointment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Reliance by Administrative Agent; Delegation of Duties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Notice of Default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Non-Reliance on Agents and Other Lenders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9.8</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Agent in Its Individual Capacity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Successor Administrative Agent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9.10</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Lead Arranger</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Certain ERISA Matters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9.12</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Erroneous Payments.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9.13</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 Advisory or Fiduciary Relationship</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9.14</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Administrative Agent May File Proofs of Claim</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9.15</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 Reliance on Administrative Agent’s Customer Identification Program</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8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SECTION 10. MISCELLANEOUS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Amendments and Waivers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 Waiver; Cumulative Remedies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Survival of Representations and Warranties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Payment of Expenses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Successors and Assigns; Participations and Assignments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Adjustments; Set-off</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10.9</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10.10</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Integration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10.11</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10.12</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Submission To Jurisdiction; Waivers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10.13</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Acknowledgements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10.14</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Releases of Liens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10.15</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10.16</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WAIVERS OF JURY TRIAL</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10.17</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10.18</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Intercreditor Agreement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4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10.19</w:t>
            </w:r>
          </w:p>
        </w:tc>
        <w:tc>
          <w:tcPr>
            <w:tcW w:w="6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82"/>
        </w:trPr>
        <w:tc>
          <w:tcPr>
            <w:tcW w:w="14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10.20</w:t>
            </w:r>
          </w:p>
        </w:tc>
        <w:tc>
          <w:tcPr>
            <w:tcW w:w="6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Acknowledgment and Consent to Bail-In of Affected Financial Institutions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945"/>
        </w:trPr>
        <w:tc>
          <w:tcPr>
            <w:tcW w:w="1480" w:type="dxa"/>
            <w:vAlign w:val="bottom"/>
          </w:tcPr>
          <w:p>
            <w:pPr>
              <w:spacing w:after="0"/>
              <w:rPr>
                <w:sz w:val="24"/>
                <w:szCs w:val="24"/>
                <w:color w:val="auto"/>
              </w:rPr>
            </w:pPr>
          </w:p>
        </w:tc>
        <w:tc>
          <w:tcPr>
            <w:tcW w:w="6740" w:type="dxa"/>
            <w:vAlign w:val="bottom"/>
          </w:tcPr>
          <w:p>
            <w:pPr>
              <w:ind w:left="2800"/>
              <w:spacing w:after="0"/>
              <w:rPr>
                <w:sz w:val="20"/>
                <w:szCs w:val="20"/>
                <w:color w:val="auto"/>
              </w:rPr>
            </w:pPr>
            <w:r>
              <w:rPr>
                <w:rFonts w:ascii="Times New Roman" w:cs="Times New Roman" w:eastAsia="Times New Roman" w:hAnsi="Times New Roman"/>
                <w:sz w:val="22"/>
                <w:szCs w:val="22"/>
                <w:color w:val="auto"/>
              </w:rPr>
              <w:t>3</w:t>
            </w:r>
          </w:p>
        </w:tc>
        <w:tc>
          <w:tcPr>
            <w:tcW w:w="460" w:type="dxa"/>
            <w:vAlign w:val="bottom"/>
          </w:tcPr>
          <w:p>
            <w:pPr>
              <w:spacing w:after="0"/>
              <w:rPr>
                <w:sz w:val="24"/>
                <w:szCs w:val="24"/>
                <w:color w:val="auto"/>
              </w:rPr>
            </w:pPr>
          </w:p>
        </w:tc>
      </w:tr>
      <w:tr>
        <w:trPr>
          <w:trHeight w:val="96"/>
        </w:trPr>
        <w:tc>
          <w:tcPr>
            <w:tcW w:w="1480" w:type="dxa"/>
            <w:vAlign w:val="bottom"/>
            <w:tcBorders>
              <w:bottom w:val="single" w:sz="8" w:color="9A9A9A"/>
            </w:tcBorders>
          </w:tcPr>
          <w:p>
            <w:pPr>
              <w:spacing w:after="0"/>
              <w:rPr>
                <w:sz w:val="8"/>
                <w:szCs w:val="8"/>
                <w:color w:val="auto"/>
              </w:rPr>
            </w:pPr>
          </w:p>
        </w:tc>
        <w:tc>
          <w:tcPr>
            <w:tcW w:w="6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r>
      <w:tr>
        <w:trPr>
          <w:trHeight w:val="20"/>
        </w:trPr>
        <w:tc>
          <w:tcPr>
            <w:tcW w:w="1480" w:type="dxa"/>
            <w:vAlign w:val="bottom"/>
            <w:tcBorders>
              <w:bottom w:val="single" w:sz="8" w:color="EEEEEE"/>
            </w:tcBorders>
          </w:tcPr>
          <w:p>
            <w:pPr>
              <w:spacing w:after="0" w:line="20" w:lineRule="exact"/>
              <w:rPr>
                <w:sz w:val="1"/>
                <w:szCs w:val="1"/>
                <w:color w:val="auto"/>
              </w:rPr>
            </w:pPr>
          </w:p>
        </w:tc>
        <w:tc>
          <w:tcPr>
            <w:tcW w:w="67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1" w:name="page182"/>
    <w:bookmarkEnd w:id="181"/>
    <w:p>
      <w:pPr>
        <w:ind w:left="180"/>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22"/>
          <w:szCs w:val="22"/>
          <w:color w:val="auto"/>
        </w:rPr>
        <w:t>1.1A</w:t>
      </w:r>
      <w:r>
        <w:rPr>
          <w:sz w:val="20"/>
          <w:szCs w:val="20"/>
          <w:color w:val="auto"/>
        </w:rPr>
        <w:tab/>
      </w:r>
      <w:r>
        <w:rPr>
          <w:rFonts w:ascii="Times New Roman" w:cs="Times New Roman" w:eastAsia="Times New Roman" w:hAnsi="Times New Roman"/>
          <w:sz w:val="21"/>
          <w:szCs w:val="21"/>
          <w:color w:val="auto"/>
        </w:rPr>
        <w:t>Commitments</w:t>
      </w:r>
    </w:p>
    <w:p>
      <w:pPr>
        <w:spacing w:after="0" w:line="4" w:lineRule="exact"/>
        <w:rPr>
          <w:sz w:val="20"/>
          <w:szCs w:val="20"/>
          <w:color w:val="auto"/>
        </w:rPr>
      </w:pPr>
    </w:p>
    <w:p>
      <w:pPr>
        <w:ind w:left="180"/>
        <w:spacing w:after="0"/>
        <w:tabs>
          <w:tab w:leader="none" w:pos="10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Consents, Authorizations, Filings and Notices</w:t>
      </w:r>
    </w:p>
    <w:p>
      <w:pPr>
        <w:ind w:left="180"/>
        <w:spacing w:after="0"/>
        <w:tabs>
          <w:tab w:leader="none" w:pos="1200" w:val="left"/>
        </w:tabs>
        <w:rPr>
          <w:sz w:val="20"/>
          <w:szCs w:val="20"/>
          <w:color w:val="auto"/>
        </w:rPr>
      </w:pPr>
      <w:r>
        <w:rPr>
          <w:rFonts w:ascii="Times New Roman" w:cs="Times New Roman" w:eastAsia="Times New Roman" w:hAnsi="Times New Roman"/>
          <w:sz w:val="22"/>
          <w:szCs w:val="22"/>
          <w:color w:val="auto"/>
        </w:rPr>
        <w:t>4.15</w:t>
      </w:r>
      <w:r>
        <w:rPr>
          <w:sz w:val="20"/>
          <w:szCs w:val="20"/>
          <w:color w:val="auto"/>
        </w:rPr>
        <w:tab/>
      </w:r>
      <w:r>
        <w:rPr>
          <w:rFonts w:ascii="Times New Roman" w:cs="Times New Roman" w:eastAsia="Times New Roman" w:hAnsi="Times New Roman"/>
          <w:sz w:val="21"/>
          <w:szCs w:val="21"/>
          <w:color w:val="auto"/>
        </w:rPr>
        <w:t>Subsidiaries</w:t>
      </w:r>
    </w:p>
    <w:p>
      <w:pPr>
        <w:ind w:left="180"/>
        <w:spacing w:after="0"/>
        <w:tabs>
          <w:tab w:leader="none" w:pos="1200" w:val="left"/>
        </w:tabs>
        <w:rPr>
          <w:sz w:val="20"/>
          <w:szCs w:val="20"/>
          <w:color w:val="auto"/>
        </w:rPr>
      </w:pPr>
      <w:r>
        <w:rPr>
          <w:rFonts w:ascii="Times New Roman" w:cs="Times New Roman" w:eastAsia="Times New Roman" w:hAnsi="Times New Roman"/>
          <w:sz w:val="22"/>
          <w:szCs w:val="22"/>
          <w:color w:val="auto"/>
        </w:rPr>
        <w:t>4.18</w:t>
      </w:r>
      <w:r>
        <w:rPr>
          <w:sz w:val="20"/>
          <w:szCs w:val="20"/>
          <w:color w:val="auto"/>
        </w:rPr>
        <w:tab/>
      </w:r>
      <w:r>
        <w:rPr>
          <w:rFonts w:ascii="Times New Roman" w:cs="Times New Roman" w:eastAsia="Times New Roman" w:hAnsi="Times New Roman"/>
          <w:sz w:val="21"/>
          <w:szCs w:val="21"/>
          <w:color w:val="auto"/>
        </w:rPr>
        <w:t>UCC Filing Jurisdictions</w:t>
      </w:r>
    </w:p>
    <w:p>
      <w:pPr>
        <w:ind w:left="180"/>
        <w:spacing w:after="0"/>
        <w:tabs>
          <w:tab w:leader="none" w:pos="10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Existing Liens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980" w:hanging="796"/>
        <w:spacing w:after="0"/>
        <w:tabs>
          <w:tab w:leader="none" w:pos="9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Compliance Certificate</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1"/>
          <w:szCs w:val="21"/>
          <w:color w:val="auto"/>
        </w:rPr>
        <w:t>Form of Closing Certificate</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1"/>
          <w:szCs w:val="21"/>
          <w:color w:val="auto"/>
        </w:rPr>
        <w:t>Form of Assignment and Assumption</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D-1</w:t>
      </w:r>
      <w:r>
        <w:rPr>
          <w:rFonts w:ascii="Times New Roman" w:cs="Times New Roman" w:eastAsia="Times New Roman" w:hAnsi="Times New Roman"/>
          <w:sz w:val="21"/>
          <w:szCs w:val="21"/>
          <w:color w:val="auto"/>
        </w:rPr>
        <w:t>Form of Legal Opinion of Simpson Thacher &amp; Bartlett LLP</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D-2</w:t>
      </w:r>
      <w:r>
        <w:rPr>
          <w:rFonts w:ascii="Times New Roman" w:cs="Times New Roman" w:eastAsia="Times New Roman" w:hAnsi="Times New Roman"/>
          <w:sz w:val="21"/>
          <w:szCs w:val="21"/>
          <w:color w:val="auto"/>
        </w:rPr>
        <w:t>Form of Legal Opinion of Post &amp; Schell P.C.</w:t>
      </w:r>
    </w:p>
    <w:p>
      <w:pPr>
        <w:ind w:left="840" w:right="41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E-1Form of U.S. Tax Certificate (For Non-U.S. Lenders That Are Not Partnerships For U.S. Federal Income Tax Purposes)</w:t>
      </w:r>
    </w:p>
    <w:p>
      <w:pPr>
        <w:spacing w:after="0" w:line="1" w:lineRule="exact"/>
        <w:rPr>
          <w:rFonts w:ascii="Times New Roman" w:cs="Times New Roman" w:eastAsia="Times New Roman" w:hAnsi="Times New Roman"/>
          <w:sz w:val="22"/>
          <w:szCs w:val="22"/>
          <w:color w:val="auto"/>
        </w:rPr>
      </w:pPr>
    </w:p>
    <w:p>
      <w:pPr>
        <w:ind w:left="840" w:right="79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E-2Form of U.S. Tax Certificate (For Non-U.S. Lenders That Are Partnerships For U.S. Federal Income Tax Purposes)</w:t>
      </w:r>
    </w:p>
    <w:p>
      <w:pPr>
        <w:spacing w:after="0" w:line="1" w:lineRule="exact"/>
        <w:rPr>
          <w:rFonts w:ascii="Times New Roman" w:cs="Times New Roman" w:eastAsia="Times New Roman" w:hAnsi="Times New Roman"/>
          <w:sz w:val="22"/>
          <w:szCs w:val="22"/>
          <w:color w:val="auto"/>
        </w:rPr>
      </w:pPr>
    </w:p>
    <w:p>
      <w:pPr>
        <w:ind w:left="840" w:right="53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E-3Form of U.S. Tax Certificate (For Non-U.S. Participants That Are Not Partnerships For U.S. Federal Income Tax Purposes)</w:t>
      </w:r>
    </w:p>
    <w:p>
      <w:pPr>
        <w:spacing w:after="0" w:line="1" w:lineRule="exact"/>
        <w:rPr>
          <w:rFonts w:ascii="Times New Roman" w:cs="Times New Roman" w:eastAsia="Times New Roman" w:hAnsi="Times New Roman"/>
          <w:sz w:val="22"/>
          <w:szCs w:val="22"/>
          <w:color w:val="auto"/>
        </w:rPr>
      </w:pPr>
    </w:p>
    <w:p>
      <w:pPr>
        <w:ind w:left="840" w:right="47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E-4Form of U.S. Tax Certificate (For Non-U.S. Participants That Are Partnerships For U.S. Federal Income Tax Purposes)</w:t>
      </w:r>
    </w:p>
    <w:p>
      <w:pPr>
        <w:spacing w:after="0" w:line="1"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1"/>
          <w:szCs w:val="21"/>
          <w:color w:val="auto"/>
        </w:rPr>
        <w:t>Form of Borrowing Request</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1"/>
          <w:szCs w:val="21"/>
          <w:color w:val="auto"/>
        </w:rPr>
        <w:t>Form of Note</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1"/>
          <w:szCs w:val="21"/>
          <w:color w:val="auto"/>
        </w:rPr>
        <w:t>Form of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52894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2" w:name="page183"/>
    <w:bookmarkEnd w:id="182"/>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November 25, 2020, among PNG Companies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to this Agreement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PNC Capital Markets LLC, as lead arranger and sole bookrunner (in such capacity, the “</w:t>
      </w:r>
      <w:r>
        <w:rPr>
          <w:rFonts w:ascii="Times New Roman" w:cs="Times New Roman" w:eastAsia="Times New Roman" w:hAnsi="Times New Roman"/>
          <w:sz w:val="22"/>
          <w:szCs w:val="22"/>
          <w:u w:val="single" w:color="auto"/>
          <w:color w:val="auto"/>
        </w:rPr>
        <w:t>Lead Arranger</w:t>
      </w:r>
      <w:r>
        <w:rPr>
          <w:rFonts w:ascii="Times New Roman" w:cs="Times New Roman" w:eastAsia="Times New Roman" w:hAnsi="Times New Roman"/>
          <w:sz w:val="22"/>
          <w:szCs w:val="22"/>
          <w:color w:val="auto"/>
        </w:rPr>
        <w:t>”), and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WHEREAS, the Borrower has requested, and the Lenders have agreed, to make available a revolving facility in an aggregate amount, as of the Fourth Amendment Effective Date, of $300,000,000, the proceeds of which shall be used for (i) purchases of natural gas inventory and/or (ii) other working capital needs and general corporate purposes of the Borrower and its Subsidiaries.</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agreements hereinafter set forth, the parties hereto agree as follows:</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1. DEFINITIONS</w:t>
      </w:r>
    </w:p>
    <w:p>
      <w:pPr>
        <w:spacing w:after="0" w:line="206" w:lineRule="exact"/>
        <w:rPr>
          <w:sz w:val="20"/>
          <w:szCs w:val="20"/>
          <w:color w:val="auto"/>
        </w:rPr>
      </w:pPr>
    </w:p>
    <w:p>
      <w:pPr>
        <w:ind w:left="180" w:right="6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As used in this Agreement (including the preamble and recitals hereof), the terms listed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have the respective meanings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for any day, a fluctuating per annum rate of interest equal to the highest of</w:t>
      </w:r>
    </w:p>
    <w:p>
      <w:pPr>
        <w:spacing w:after="0" w:line="14" w:lineRule="exact"/>
        <w:rPr>
          <w:sz w:val="20"/>
          <w:szCs w:val="20"/>
          <w:color w:val="auto"/>
        </w:rPr>
      </w:pPr>
    </w:p>
    <w:p>
      <w:pPr>
        <w:jc w:val="both"/>
        <w:ind w:left="180" w:right="199" w:firstLine="4"/>
        <w:spacing w:after="0" w:line="243" w:lineRule="auto"/>
        <w:tabs>
          <w:tab w:leader="none" w:pos="44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Overnight Bank Funding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0.5%, (ii) the Prime Rate, and (iii) Daily Simple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1.00%, so long as Daily Simple SOFR is offered, ascertainable and not unlawful;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if the ABR as determined above would be less than zero, then such rate shall be deemed to be zero. Any change in the ABR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2.13(d)</w:t>
      </w:r>
      <w:r>
        <w:rPr>
          <w:rFonts w:ascii="Times New Roman" w:cs="Times New Roman" w:eastAsia="Times New Roman" w:hAnsi="Times New Roman"/>
          <w:sz w:val="21"/>
          <w:szCs w:val="21"/>
          <w:color w:val="auto"/>
        </w:rPr>
        <w:t>, to the extent any such determination affects the calculation of the ABR, the definition hereof shall be calculated without reference to clause (iii) until the circumstances giving rise to such event no longer exist.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ABR Loans</w:t>
      </w:r>
      <w:r>
        <w:rPr>
          <w:rFonts w:ascii="Times New Roman" w:cs="Times New Roman" w:eastAsia="Times New Roman" w:hAnsi="Times New Roman"/>
          <w:sz w:val="21"/>
          <w:szCs w:val="21"/>
          <w:color w:val="auto"/>
        </w:rPr>
        <w:t>”: Loans the rate of interest applicable to which is based upon the ABR.</w:t>
      </w:r>
    </w:p>
    <w:p>
      <w:pPr>
        <w:spacing w:after="0" w:line="21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Option</w:t>
      </w:r>
      <w:r>
        <w:rPr>
          <w:rFonts w:ascii="Times New Roman" w:cs="Times New Roman" w:eastAsia="Times New Roman" w:hAnsi="Times New Roman"/>
          <w:sz w:val="22"/>
          <w:szCs w:val="22"/>
          <w:color w:val="auto"/>
        </w:rPr>
        <w:t xml:space="preserve">”: the option of the Borrower to have Loans bear interest at the ABR and under the terms specified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PNC Bank, National Association, together with its affiliates, as the administrative agent for the Lenders under this Agreement and the other Loan Documents, together with any of its successors.</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328295</wp:posOffset>
            </wp:positionV>
            <wp:extent cx="5528945"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3" w:name="page184"/>
    <w:bookmarkEnd w:id="183"/>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to any Person, any other Person that,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the Administrative Agent and the Collateral Agent.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defined in the preamble hereto.</w:t>
      </w:r>
    </w:p>
    <w:p>
      <w:pPr>
        <w:spacing w:after="0" w:line="206"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all laws, rules and regulations of any jurisdiction applicable to the Borrower or its Subsidiaries from time to time concerning or relating to bribery or corruption, including without limitation, the Foreign Corrupt Practices Act of 1977 and the U.K. Bribery Act of 2010 and the rules and regulations thereunder.</w:t>
      </w:r>
    </w:p>
    <w:p>
      <w:pPr>
        <w:spacing w:after="0" w:line="180"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(a) the Bank Secrecy Act and the Patriot Act; (b) the U.K. Proceeds of Crime Act 2002, the Money Laundering Regulations 2017, as amended and the Terrorist Asset-Freezing etc. Act 2010; and (c) any other applicable law or regulation relating to anti-money laundering and countering the financing of terrorism in any jurisdiction in which any Loan Party is located or doing business.</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the rate per annum equal to the rates set forth in the table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below:</w:t>
      </w:r>
    </w:p>
    <w:p>
      <w:pPr>
        <w:spacing w:after="0" w:line="189" w:lineRule="exact"/>
        <w:rPr>
          <w:sz w:val="20"/>
          <w:szCs w:val="20"/>
          <w:color w:val="auto"/>
        </w:rPr>
      </w:pPr>
    </w:p>
    <w:tbl>
      <w:tblPr>
        <w:tblLayout w:type="fixed"/>
        <w:tblInd w:w="190" w:type="dxa"/>
        <w:tblCellMar>
          <w:top w:w="0" w:type="dxa"/>
          <w:left w:w="0" w:type="dxa"/>
          <w:bottom w:w="0" w:type="dxa"/>
          <w:right w:w="0" w:type="dxa"/>
        </w:tblCellMar>
      </w:tblPr>
      <w:tr>
        <w:trPr>
          <w:trHeight w:val="229"/>
        </w:trPr>
        <w:tc>
          <w:tcPr>
            <w:tcW w:w="262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Applicable Margin</w:t>
            </w:r>
          </w:p>
        </w:tc>
        <w:tc>
          <w:tcPr>
            <w:tcW w:w="2620" w:type="dxa"/>
            <w:vAlign w:val="bottom"/>
            <w:tcBorders>
              <w:top w:val="single" w:sz="8" w:color="auto"/>
              <w:right w:val="single" w:sz="8" w:color="auto"/>
            </w:tcBorders>
          </w:tcPr>
          <w:p>
            <w:pPr>
              <w:spacing w:after="0"/>
              <w:rPr>
                <w:sz w:val="19"/>
                <w:szCs w:val="19"/>
                <w:color w:val="auto"/>
              </w:rPr>
            </w:pPr>
          </w:p>
        </w:tc>
      </w:tr>
      <w:tr>
        <w:trPr>
          <w:trHeight w:val="243"/>
        </w:trPr>
        <w:tc>
          <w:tcPr>
            <w:tcW w:w="26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for Term SOFR Rate</w:t>
            </w:r>
          </w:p>
        </w:tc>
        <w:tc>
          <w:tcPr>
            <w:tcW w:w="26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Applicable Margin</w:t>
            </w:r>
          </w:p>
        </w:tc>
      </w:tr>
      <w:tr>
        <w:trPr>
          <w:trHeight w:val="27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Loans</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for ABR Loans</w:t>
            </w:r>
          </w:p>
        </w:tc>
      </w:tr>
      <w:tr>
        <w:trPr>
          <w:trHeight w:val="237"/>
        </w:trPr>
        <w:tc>
          <w:tcPr>
            <w:tcW w:w="26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0.90%</w:t>
            </w:r>
          </w:p>
        </w:tc>
        <w:tc>
          <w:tcPr>
            <w:tcW w:w="26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0.00%</w:t>
            </w:r>
          </w:p>
        </w:tc>
      </w:tr>
    </w:tbl>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10.6(b)(ii)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an Assignment and Assumption,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such other form approved by the Administrative Agent.</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Revolving Commitments</w:t>
      </w:r>
      <w:r>
        <w:rPr>
          <w:rFonts w:ascii="Times New Roman" w:cs="Times New Roman" w:eastAsia="Times New Roman" w:hAnsi="Times New Roman"/>
          <w:sz w:val="22"/>
          <w:szCs w:val="22"/>
          <w:color w:val="auto"/>
        </w:rPr>
        <w:t xml:space="preserve">”: with respect to any Lender at any time, an amount equal to the excess, if any, of (a) such Lender’s Revolving Commitment then in effect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such Lender’s Revolving Extensions of Credit then outstanding.</w:t>
      </w:r>
    </w:p>
    <w:p>
      <w:pPr>
        <w:spacing w:after="0" w:line="173"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4" w:name="page185"/>
    <w:bookmarkEnd w:id="184"/>
    <w:p>
      <w:pPr>
        <w:jc w:val="both"/>
        <w:ind w:left="180" w:right="19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jc w:val="both"/>
        <w:ind w:left="180" w:right="19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 certification regarding beneficial ownership as required by the Beneficial Ownership Regulation.</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31 C.F.R. § 1010.230.</w:t>
      </w:r>
    </w:p>
    <w:p>
      <w:pPr>
        <w:spacing w:after="0" w:line="206" w:lineRule="exact"/>
        <w:rPr>
          <w:sz w:val="20"/>
          <w:szCs w:val="20"/>
          <w:color w:val="auto"/>
        </w:rPr>
      </w:pPr>
    </w:p>
    <w:p>
      <w:pPr>
        <w:jc w:val="both"/>
        <w:ind w:left="180" w:right="19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any of (a) an “employee benefit plan” (as defined in ERISA) that is subject to Title I of ERISA, (b) a “plan” as defined in and subject to Section 4975 of the Code or</w:t>
      </w:r>
    </w:p>
    <w:p>
      <w:pPr>
        <w:spacing w:after="0" w:line="2" w:lineRule="exact"/>
        <w:rPr>
          <w:sz w:val="20"/>
          <w:szCs w:val="20"/>
          <w:color w:val="auto"/>
        </w:rPr>
      </w:pPr>
    </w:p>
    <w:p>
      <w:pPr>
        <w:jc w:val="both"/>
        <w:ind w:left="180" w:right="199" w:firstLine="4"/>
        <w:spacing w:after="0" w:line="235" w:lineRule="auto"/>
        <w:tabs>
          <w:tab w:leader="none" w:pos="5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whose assets include (for purposes of ERISA Section 3(42) or otherwise for purposes of Title I of ERISA or Section 4975 of the Code) the assets of any such “employee benefit plan” or “plan”.</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Benefitted Lender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Property</w:t>
      </w:r>
      <w:r>
        <w:rPr>
          <w:rFonts w:ascii="Times New Roman" w:cs="Times New Roman" w:eastAsia="Times New Roman" w:hAnsi="Times New Roman"/>
          <w:sz w:val="22"/>
          <w:szCs w:val="22"/>
          <w:color w:val="auto"/>
        </w:rPr>
        <w:t>”: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the Lenders, the Administrative Agent or the Collateral Agent of any applicable International Trade Law if the Lenders or the Administrative Agent were to obtain an encumbrance on, lien on, pledge of, or security interest in such property, or provide services in consideration of such property.</w:t>
      </w:r>
    </w:p>
    <w:p>
      <w:pPr>
        <w:spacing w:after="0" w:line="18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Governors of the Federal Reserve System of the United States (or any successor).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5" w:name="page186"/>
    <w:bookmarkEnd w:id="185"/>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as defined in the preamble hereto.</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any Business Day specified by the Borrower as a date on which the Borrower requests the relevant Lenders to make Loans hereunder.</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with respect to any request for borrowing of Revolving Loans hereunder, a notice from the Borrower, substantially in the form of, and containing the information prescribed by,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(or such other form approved by the Administrative Agent) delivered to the Administrative Agent, which Borrowing Request shall, unless otherwise agreed by the Administrative Agent and the Borrower, detail whether the proceeds of such Revolving Loan are being used for (a) purchases of natural gas inventory or (b) other working capital needs and general corporate purposes.</w:t>
      </w:r>
    </w:p>
    <w:p>
      <w:pPr>
        <w:spacing w:after="0" w:line="183"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Tranche</w:t>
      </w:r>
      <w:r>
        <w:rPr>
          <w:rFonts w:ascii="Times New Roman" w:cs="Times New Roman" w:eastAsia="Times New Roman" w:hAnsi="Times New Roman"/>
          <w:sz w:val="22"/>
          <w:szCs w:val="22"/>
          <w:color w:val="auto"/>
        </w:rPr>
        <w:t>”: specified portions of Loans outstanding as follows: (a) any Loans to which a Term SOFR Rate Option applies under the same Borrowing Request by the Borrower and which have the same Interest Period shall constitute one Borrowing Tranche, and</w:t>
      </w:r>
    </w:p>
    <w:p>
      <w:pPr>
        <w:ind w:left="1480" w:right="1339" w:hanging="1296"/>
        <w:spacing w:after="0" w:line="424" w:lineRule="auto"/>
        <w:tabs>
          <w:tab w:leader="none" w:pos="49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Loans to which an ABR Option applies shall constitute one Borrowing Tranche.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w:t>
      </w: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any day other than a Saturday or Sunday or a legal holiday on which commercial banks are authorized or required to be closed, or are in fact closed, for business in New York, New York or Pittsburgh, Pennsylvania (or, if otherwise, the Funding Office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8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0"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and which are rated at least AA-by S&amp;P or Aa3 by Moody’s; (c) commercial paper of an issuer rated at least AA- by S&amp;P or P-1 by Moody’s, or carrying an equivalent rating by a nationally recognized rating agency, if both of the two named rating agencies cease publishing ratings of commercial paper issuers generally, and maturing within 270 days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6" w:name="page187"/>
    <w:bookmarkEnd w:id="186"/>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AA- by S&amp;P or Aa3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2.20(d)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date on which the conditions precedent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have been satisfied, which date is November 25, 2020.</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all real and personal property of the Borrower, now owned or hereafter acquired, upon which a Lien is purported to be created by any Security Document (including without limitation, all Pledged Stock).</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Wilmington Trust, National Association, as collateral agent and its successors and permitted assigns under the Intercreditor Agreement.</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Anti-Terrorism or International Trade Laws with respect to the conduct of a Covered Entity.</w:t>
      </w:r>
    </w:p>
    <w:p>
      <w:pPr>
        <w:spacing w:after="0" w:line="17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 certificate duly executed by a Responsible Officer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with respect to the Term SOFR Rate or any Benchmark Replacement in relation thereto, any technical, administrative or operational changes (including changes to the definition of “ABR,”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or such Benchmark Replacement and to permit the administration thereof by the Administrative Agent in a manner substantially consistent with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7" w:name="page188"/>
    <w:bookmarkEnd w:id="187"/>
    <w:p>
      <w:pPr>
        <w:jc w:val="both"/>
        <w:ind w:left="180" w:right="199"/>
        <w:spacing w:after="0" w:line="251" w:lineRule="auto"/>
        <w:rPr>
          <w:sz w:val="20"/>
          <w:szCs w:val="20"/>
          <w:color w:val="auto"/>
        </w:rPr>
      </w:pPr>
      <w:r>
        <w:rPr>
          <w:rFonts w:ascii="Times New Roman" w:cs="Times New Roman" w:eastAsia="Times New Roman" w:hAnsi="Times New Roman"/>
          <w:sz w:val="21"/>
          <w:szCs w:val="21"/>
          <w:color w:val="auto"/>
        </w:rPr>
        <w:t>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of administration as the Administrative Agent decides is reasonably necessary in connection with the administration of this Agreement and the other Loan Documents).</w:t>
      </w:r>
    </w:p>
    <w:p>
      <w:pPr>
        <w:spacing w:after="0" w:line="16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Capitalization</w:t>
      </w:r>
      <w:r>
        <w:rPr>
          <w:rFonts w:ascii="Times New Roman" w:cs="Times New Roman" w:eastAsia="Times New Roman" w:hAnsi="Times New Roman"/>
          <w:sz w:val="22"/>
          <w:szCs w:val="22"/>
          <w:color w:val="auto"/>
        </w:rPr>
        <w:t>” at any date, the sum of (a) Consolidated Total Net Worth as at the end of the most recently ended fiscal quarter of the Borrower and (b) Consolidated Debt at such date.</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Debt</w:t>
      </w:r>
      <w:r>
        <w:rPr>
          <w:rFonts w:ascii="Times New Roman" w:cs="Times New Roman" w:eastAsia="Times New Roman" w:hAnsi="Times New Roman"/>
          <w:sz w:val="22"/>
          <w:szCs w:val="22"/>
          <w:color w:val="auto"/>
        </w:rPr>
        <w:t>”: at any date, the aggregate principal amount of all Indebtedness of the Borrower and its Subsidiaries at such date, determined on a consolidated basis in accordance with GAAP.</w:t>
      </w:r>
    </w:p>
    <w:p>
      <w:pPr>
        <w:spacing w:after="0" w:line="173" w:lineRule="exact"/>
        <w:rPr>
          <w:sz w:val="20"/>
          <w:szCs w:val="20"/>
          <w:color w:val="auto"/>
        </w:rPr>
      </w:pPr>
    </w:p>
    <w:p>
      <w:pPr>
        <w:jc w:val="both"/>
        <w:ind w:left="180" w:right="19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for any period, Consolidated Net Income for such period plus, without duplication and to the extent reflected as a charge in the statement of such Consolidated Net Income for such period, the sum of (a) income tax expense, (b) interest expense, amortization or writeoff of debt discount, debt issuance costs and commissions, discounts and other fees and charges associated with Indebtedness, (c) depreciation and amortization expense,</w:t>
      </w:r>
    </w:p>
    <w:p>
      <w:pPr>
        <w:spacing w:after="0" w:line="1" w:lineRule="exact"/>
        <w:rPr>
          <w:sz w:val="20"/>
          <w:szCs w:val="20"/>
          <w:color w:val="auto"/>
        </w:rPr>
      </w:pPr>
    </w:p>
    <w:p>
      <w:pPr>
        <w:ind w:left="500" w:hanging="316"/>
        <w:spacing w:after="0"/>
        <w:tabs>
          <w:tab w:leader="none" w:pos="50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amortization of intangibles (including, but not limited to, goodwill) and organization costs and</w:t>
      </w:r>
    </w:p>
    <w:p>
      <w:pPr>
        <w:spacing w:after="0" w:line="1" w:lineRule="exact"/>
        <w:rPr>
          <w:rFonts w:ascii="Times New Roman" w:cs="Times New Roman" w:eastAsia="Times New Roman" w:hAnsi="Times New Roman"/>
          <w:sz w:val="21"/>
          <w:szCs w:val="21"/>
          <w:color w:val="auto"/>
        </w:rPr>
      </w:pPr>
    </w:p>
    <w:p>
      <w:pPr>
        <w:jc w:val="both"/>
        <w:ind w:left="180" w:right="199" w:firstLine="4"/>
        <w:spacing w:after="0" w:line="231" w:lineRule="auto"/>
        <w:tabs>
          <w:tab w:leader="none" w:pos="5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or non-recurring non-cash expenses or losses (including, whether or not otherwise includable as a separate item in the statement of such Consolidated Net Income for such period, non-cash losses on sales of assets outside of the ordinary course of business), provided, that the amounts referred to in this clause (e) shall not, in the aggregate, exceed $15,000,000 for any fiscal year of the Borrower, and minus, (1) to the extent included in the statement of such Consolidated Net Income for such period, the sum of (i) any extraordinary, unusual or non-recurring income or gains (including, whether or not otherwise includable as a separate item in the statement of such Consolidated Net Income for such period, gains on the sales of assets outside of the ordinary course of business), (ii) income tax credits (to the extent not netted from income tax expense) and (iii) any other non-cash income and (2) any cash payments made during such period in respect of items described in clause (e) above subsequent to the fiscal quarter in which the relevant non-cash expenses or losses were reflected as a charge in the statement of Consolidated Net Income, all as determined on a consolidated basis.</w:t>
      </w:r>
    </w:p>
    <w:p>
      <w:pPr>
        <w:spacing w:after="0" w:line="186"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for any period, total cash interest expense (including that attributable to Finance Lease Obligations and capitalized interest)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8" w:name="page189"/>
    <w:bookmarkEnd w:id="188"/>
    <w:p>
      <w:pPr>
        <w:jc w:val="both"/>
        <w:ind w:left="180" w:right="19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for any period, the consolidated net income (or loss) of the Borrower and its Subsidiaries determined on a consolidated basis in accordance with GAAP.</w:t>
      </w:r>
    </w:p>
    <w:p>
      <w:pPr>
        <w:spacing w:after="0" w:line="135" w:lineRule="exact"/>
        <w:rPr>
          <w:sz w:val="20"/>
          <w:szCs w:val="20"/>
          <w:color w:val="auto"/>
        </w:rPr>
      </w:pPr>
    </w:p>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Assets</w:t>
      </w:r>
      <w:r>
        <w:rPr>
          <w:rFonts w:ascii="Times New Roman" w:cs="Times New Roman" w:eastAsia="Times New Roman" w:hAnsi="Times New Roman"/>
          <w:sz w:val="21"/>
          <w:szCs w:val="21"/>
          <w:color w:val="auto"/>
        </w:rPr>
        <w:t>”: as of the date of any determination thereof, the total assets of the Borrower and its Subsidiaries that would be shown as assets on a consolidated balance sheet of the Borrower and its Subsidiaries as of such date prepared in accordance with GAAP.</w:t>
      </w:r>
    </w:p>
    <w:p>
      <w:pPr>
        <w:spacing w:after="0" w:line="157"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Net Worth</w:t>
      </w:r>
      <w:r>
        <w:rPr>
          <w:rFonts w:ascii="Times New Roman" w:cs="Times New Roman" w:eastAsia="Times New Roman" w:hAnsi="Times New Roman"/>
          <w:sz w:val="22"/>
          <w:szCs w:val="22"/>
          <w:color w:val="auto"/>
        </w:rPr>
        <w:t>”: at any date, all amounts that would, in conformity with GAAP, be included on a consolidated balance sheet of the Borrower and its Subsidiaries under stockholders’ equity at such date.</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the Administrative Agent or any Lender.</w:t>
      </w:r>
    </w:p>
    <w:p>
      <w:pPr>
        <w:spacing w:after="0" w:line="206" w:lineRule="exact"/>
        <w:rPr>
          <w:sz w:val="20"/>
          <w:szCs w:val="20"/>
          <w:color w:val="auto"/>
        </w:rPr>
      </w:pPr>
    </w:p>
    <w:p>
      <w:pPr>
        <w:jc w:val="both"/>
        <w:ind w:left="180" w:right="19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for any day (a “SOFR Rate Day”), the interest rate per annum determined by the Administrative Agent (rounded upwards, at the Administrative Agent’s discretion, to the nearest 1/100th of 1%) equal to SOFR for the day (the “SOFR Determination Date”)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86"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xml:space="preserve">”: any of the events specified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whether or not any requirement for the giving of notice, the lapse of time, or both, hereunder has been satisfied.</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any Lender, as determined by the Administrative Agent, that</w:t>
      </w:r>
    </w:p>
    <w:p>
      <w:pPr>
        <w:spacing w:after="0" w:line="14" w:lineRule="exact"/>
        <w:rPr>
          <w:sz w:val="20"/>
          <w:szCs w:val="20"/>
          <w:color w:val="auto"/>
        </w:rPr>
      </w:pPr>
    </w:p>
    <w:p>
      <w:pPr>
        <w:ind w:left="480" w:hanging="296"/>
        <w:spacing w:after="0"/>
        <w:tabs>
          <w:tab w:leader="none" w:pos="4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within three (3) Business Days of the date required to be funded or paid, to (i) fund</w:t>
      </w:r>
    </w:p>
    <w:p>
      <w:pPr>
        <w:spacing w:after="0" w:line="182" w:lineRule="exact"/>
        <w:rPr>
          <w:rFonts w:ascii="Times New Roman" w:cs="Times New Roman" w:eastAsia="Times New Roman" w:hAnsi="Times New Roman"/>
          <w:sz w:val="22"/>
          <w:szCs w:val="22"/>
          <w:color w:val="auto"/>
        </w:rPr>
      </w:pPr>
    </w:p>
    <w:p>
      <w:pPr>
        <w:ind w:left="4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9" w:name="page190"/>
    <w:bookmarkEnd w:id="189"/>
    <w:p>
      <w:pPr>
        <w:jc w:val="both"/>
        <w:ind w:left="180" w:right="199"/>
        <w:spacing w:after="0" w:line="243" w:lineRule="auto"/>
        <w:rPr>
          <w:sz w:val="20"/>
          <w:szCs w:val="20"/>
          <w:color w:val="auto"/>
        </w:rPr>
      </w:pPr>
      <w:r>
        <w:rPr>
          <w:rFonts w:ascii="Times New Roman" w:cs="Times New Roman" w:eastAsia="Times New Roman" w:hAnsi="Times New Roman"/>
          <w:sz w:val="21"/>
          <w:szCs w:val="21"/>
          <w:color w:val="auto"/>
        </w:rPr>
        <w:t>any portion of its Loans, (ii) fund any portion of its participations in Swing 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condition precedent, together with any applicable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condition precedent, together with any applicable default) to funding a loan under this Agreement cannot be satisfied) or generally under other agreements in which it commits to extend credit, (c) has failed, within three (3) Business Days after written request by a Credit Party, acting in good faith, to provide a certification in writing from an authorized officer of such Lender that it will comply with its obligations to fund prospective Loans and participations in Swing Line Loans under this Agreement, provided that such Lender shall cease to be a Defaulting Lender pursuant to this clause (c) upon such Credit Party’s receipt of such certification in form and substance satisfactory to it and the Administrative Agent, (d) has become, or has a Parent that has become, the subject of a Bankruptcy Event, or (e) has become the subject of a Bail-In Action.</w:t>
      </w:r>
    </w:p>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Delta</w:t>
      </w:r>
      <w:r>
        <w:rPr>
          <w:rFonts w:ascii="Times New Roman" w:cs="Times New Roman" w:eastAsia="Times New Roman" w:hAnsi="Times New Roman"/>
          <w:sz w:val="22"/>
          <w:szCs w:val="22"/>
          <w:color w:val="auto"/>
        </w:rPr>
        <w:t>”: Delta Natural Gas Company, Inc., a Kentucky corporation.</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with respect to any property, any sale, lease, sale and leaseback, assignment, conveyance, transfer or other disposition thereof. The terms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Disposed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w:t>
      </w:r>
      <w:r>
        <w:rPr>
          <w:rFonts w:ascii="Times New Roman" w:cs="Times New Roman" w:eastAsia="Times New Roman" w:hAnsi="Times New Roman"/>
          <w:sz w:val="22"/>
          <w:szCs w:val="22"/>
          <w:color w:val="auto"/>
        </w:rPr>
        <w:t>” shall have correlative meanings.</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dollars in lawful currency of the United States.</w:t>
      </w:r>
    </w:p>
    <w:p>
      <w:pPr>
        <w:spacing w:after="0" w:line="206" w:lineRule="exact"/>
        <w:rPr>
          <w:sz w:val="20"/>
          <w:szCs w:val="20"/>
          <w:color w:val="auto"/>
        </w:rPr>
      </w:pPr>
    </w:p>
    <w:p>
      <w:pPr>
        <w:jc w:val="both"/>
        <w:ind w:left="180" w:right="19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(a) any credit institution or investment firm established in any EEA Member Country which is subject to the supervision of an EEA Resolution Authority,</w:t>
      </w:r>
    </w:p>
    <w:p>
      <w:pPr>
        <w:spacing w:after="0" w:line="1" w:lineRule="exact"/>
        <w:rPr>
          <w:sz w:val="20"/>
          <w:szCs w:val="20"/>
          <w:color w:val="auto"/>
        </w:rPr>
      </w:pPr>
    </w:p>
    <w:p>
      <w:pPr>
        <w:jc w:val="both"/>
        <w:ind w:left="180" w:right="199" w:firstLine="4"/>
        <w:spacing w:after="0" w:line="234" w:lineRule="auto"/>
        <w:tabs>
          <w:tab w:leader="none" w:pos="49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(with respect to exposure to Materials of Environmental Concern) or the environment.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0" w:name="page191"/>
    <w:bookmarkEnd w:id="190"/>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 as amended from time to time, and the rules and regulations promulgated thereunder.</w:t>
      </w:r>
    </w:p>
    <w:p>
      <w:pPr>
        <w:spacing w:after="0" w:line="158"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any trade or business, whether or not incorporated, that together with any Group Member is treated as a single employer within the meaning of Section 414(b) or Section 414(c) of the Code or, solely for purposes of provisions relating to Section 302 of ERISA or Section 412 of the Code, is treated as a single employer with any Group Member under Section 414(m) or Section (o) of the Code.</w:t>
      </w:r>
    </w:p>
    <w:p>
      <w:pPr>
        <w:spacing w:after="0" w:line="177" w:lineRule="exact"/>
        <w:rPr>
          <w:sz w:val="20"/>
          <w:szCs w:val="20"/>
          <w:color w:val="auto"/>
        </w:rPr>
      </w:pPr>
    </w:p>
    <w:p>
      <w:pPr>
        <w:jc w:val="both"/>
        <w:ind w:left="180" w:right="199" w:firstLine="1296"/>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(a) any Reportable Event; (b) the existence with respect to any Plan of a non-exempt Prohibited Transaction; (c) any failure by any Plan to satisfy the minimum funding standards (within the meaning of Section 412 of the Code or Section 302 of ERISA) applicable to such Plan, whether or not waived in accordance with Section 412(c) of the Code or Section 302(c) of ERISA; (d) the filing pursuant to Section 412 of the Code or Section 302 of ERISA of an application for a waiver of the minimum funding standard with respect to any Plan, the failure to make by its due date a required installment under Section 430(j) of the Code with respect to any Plan or the failure by any Group Member or any ERISA Affiliate to make any required contribution to a Multiemployer Plan pursuant to Sections 431 or 432 of the Code; (e) the occurrence of any event or condition which constitutes grounds under ERISA for the termination of, or the appointment of a trustee to administer, any Plan or the incurrence by any Group Member or any ERISA Affiliate of any liability under Title IV of ERISA with respect to the termination of any Plan, including but not limited to the imposition of any Lien in favor of the PBGC or any Plan; (f) a determination that any Plan is, or is expected to be, in “at risk” status (within the meaning of Section 430 of the Code or Section 303 of ERISA); (g) the incurrence by any Group Member or any ERISA Affiliate of any liability under Title IV of ERISA other than a liability to the PBGC for premiums under Section 4007 of ERISA that are not past due; (h) the receipt by any Group Member or any ERISA Affiliate from the PBGC or a plan administrator of any notice relating to an intention to terminate any Plan or to appoint a trustee to administer any Plan under Section 4042 of ERISA; (i) the incurrence by any Group Member or any ERISA Affiliate of any liability with respect to the withdrawal or partial withdrawal (within the meaning of Sections 4203 and 4205 of ERISA) from any Plan or Multiemployer Plan; (j) the receipt by any Group Member or any ERISA Affiliate of any notice, or the receipt by any Multiemployer Plan from a Group Member or any ERISA Affiliate of any notice, concerning the imposition of Withdrawal Liability or a determination that a Multiemployer Plan is, or is expected to be, Insolvent or in “endangered” or “critical” status (within the meaning of Sections 431 or 432 of the Code or Sections 304 or 305 of ERISA) or terminated (within the meaning of Section 4041A of ERISA) or that it intends to terminate or has terminated under Section 4041A or 4042 of ERISA; (k) the failure by any Group Member or any of its ERISA Affiliates to pay when due (after expiration of any applicable grace period) any installment payment with respect to Withdrawal Liability under Section 4201 of ERISA; (l) the withdrawal by any Group Member or any of their respective ERISA Affiliates from any Plan with two or more contributing sponsors or the termination of any such Plan resulting in liability to any Group Member or any of their respective Affiliates pursuant to Section 4063 or 4064 of ERISA; or (m) any failure by any Group Member or any ERISA Affiliate to make any contribution or payment to any Plan or Multiemployer Plan, or any amendment to any Plan that has resulted or could result in the imposition of a Lien or the posting of a bond or other security under ERISA or the Code.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1" w:name="page192"/>
    <w:bookmarkEnd w:id="191"/>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Essential</w:t>
      </w:r>
      <w:r>
        <w:rPr>
          <w:rFonts w:ascii="Times New Roman" w:cs="Times New Roman" w:eastAsia="Times New Roman" w:hAnsi="Times New Roman"/>
          <w:sz w:val="22"/>
          <w:szCs w:val="22"/>
          <w:color w:val="auto"/>
        </w:rPr>
        <w:t>”: Essential Utilities, Inc., a Pennsylvania corporation.</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Essential Group</w:t>
      </w:r>
      <w:r>
        <w:rPr>
          <w:rFonts w:ascii="Times New Roman" w:cs="Times New Roman" w:eastAsia="Times New Roman" w:hAnsi="Times New Roman"/>
          <w:sz w:val="22"/>
          <w:szCs w:val="22"/>
          <w:color w:val="auto"/>
        </w:rPr>
        <w:t>”: the collective reference to Essential and its Subsidiaries.</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(or any successor Person), as in effect from time to time.</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any of the events specified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requirement for the giving of notice, the lapse of time, or both, has been satisfied.</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United States Securities Exchange Act of 1934.</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Affiliate</w:t>
      </w:r>
      <w:r>
        <w:rPr>
          <w:rFonts w:ascii="Times New Roman" w:cs="Times New Roman" w:eastAsia="Times New Roman" w:hAnsi="Times New Roman"/>
          <w:sz w:val="22"/>
          <w:szCs w:val="22"/>
          <w:color w:val="auto"/>
        </w:rPr>
        <w:t>”: as to any Person, any other Person that, directly or indirectly, is under common control with such Person.</w:t>
      </w:r>
    </w:p>
    <w:p>
      <w:pPr>
        <w:spacing w:after="0" w:line="158" w:lineRule="exact"/>
        <w:rPr>
          <w:sz w:val="20"/>
          <w:szCs w:val="20"/>
          <w:color w:val="auto"/>
        </w:rPr>
      </w:pPr>
    </w:p>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on the date (i) such Lender acquires an interest in the Loan or Revolving Commitment (other than pursuant to an assignment request by the Borrower under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paragraph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and (d) any U.S. federal withholding Taxes imposed under FATCA.</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Sections 1471 through 1474 of the Code, as of the date of this Agreement (or any amended or successor provisions that are substantively comparable and not materially more onerous to comply with), any current or future regulations or official interpretations thereof and any agreements entered into pursuant to Section 1471(b)(1) of the Code or any intergovernmental agreements entered into pursuant to the foregoing, and any fiscal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2" w:name="page193"/>
    <w:bookmarkEnd w:id="192"/>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regulatory legislation, rules or official practices, in each case, adopted pursuant to any such intergovernmental agreement.</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 Obligations</w:t>
      </w:r>
      <w:r>
        <w:rPr>
          <w:rFonts w:ascii="Times New Roman" w:cs="Times New Roman" w:eastAsia="Times New Roman" w:hAnsi="Times New Roman"/>
          <w:sz w:val="22"/>
          <w:szCs w:val="22"/>
          <w:color w:val="auto"/>
        </w:rPr>
        <w:t>”: as to any Person, the obligations of such Person and its Subsidiaries to pay rent or other amounts under any lease of (or other arrangement conveying the right to use) real or personal property, or a combination thereof, which obligations are required to be classified and accounted for as finance leases on a consolidated balance sheet of such Person and its Subsidiaries under GAAP and, for the purposes of this Agreement, the amount of such obligations at any time shall be the capitalized amount thereof at such time determined in accordance with GAAP.</w:t>
      </w:r>
    </w:p>
    <w:p>
      <w:pPr>
        <w:spacing w:after="0" w:line="18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the chief financial officer, principal financial officer, principal accounting officer, senior vice president-finance, vice president-finance, vice president-treasury, treasurer, assistant treasurer or controller of the Borrower.</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each Plan, whether or not subject to ERISA, that is not subject to</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U.S. law.</w:t>
      </w:r>
    </w:p>
    <w:p>
      <w:pPr>
        <w:spacing w:after="0" w:line="182"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the Fourth Amendment to Credit Agreement by and among the Borrower, the Lenders party thereto and the Administrative Agent, dated as of the Fourth Amendment Effective Date.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 June 12, 2024.</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Office</w:t>
      </w:r>
      <w:r>
        <w:rPr>
          <w:rFonts w:ascii="Times New Roman" w:cs="Times New Roman" w:eastAsia="Times New Roman" w:hAnsi="Times New Roman"/>
          <w:sz w:val="22"/>
          <w:szCs w:val="22"/>
          <w:color w:val="auto"/>
        </w:rPr>
        <w:t xml:space="preserve">”: the office of the Administrative Agent specified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or such other office as may be specified from time to time by the Administrative Agent as its funding office by written notice to the Borrower and the Lenders.</w:t>
      </w:r>
    </w:p>
    <w:p>
      <w:pPr>
        <w:spacing w:after="0" w:line="173" w:lineRule="exact"/>
        <w:rPr>
          <w:sz w:val="20"/>
          <w:szCs w:val="20"/>
          <w:color w:val="auto"/>
        </w:rPr>
      </w:pPr>
    </w:p>
    <w:p>
      <w:pPr>
        <w:jc w:val="both"/>
        <w:ind w:left="180" w:right="19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GAAP shall be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21"/>
          <w:szCs w:val="21"/>
          <w:u w:val="single" w:color="auto"/>
          <w:color w:val="auto"/>
        </w:rPr>
        <w:t>Accounting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refers to changes in accounting principles required by the promulgation of any rule, regulation, pronouncement or opinion by the Financial Accounting Standards Board of the American Institute of Certified Public Accountants or, if applicable, the SEC. Notwithstanding any other provision contained herein, all terms of an accounting or financial nature used herein shall be construed, and all computations of amounts and ratios referred to herein shall be made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3" w:name="page194"/>
    <w:bookmarkEnd w:id="193"/>
    <w:p>
      <w:pPr>
        <w:jc w:val="both"/>
        <w:ind w:left="180" w:right="199" w:firstLine="4"/>
        <w:spacing w:after="0" w:line="233" w:lineRule="auto"/>
        <w:tabs>
          <w:tab w:leader="none" w:pos="49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to value any such Indebtedness in a reduced or bifurcated manner as described therein, and such Indebtedness shall at all times be valued at the full stated principal amount thereof and (iii) without giving effect to any change in accounting for leases resulting from the implementation of Financial Accounting Standards Board ASU No. 2016-02, Leases (Topic 842), to the extent any lease (or similar arrangement conveying the right to use) would be required to be treated as a finance lease where such lease (or similar arrangement) would not have been required to be so treated under GAAP as in effect on December 31, 2016, and all calculations and deliverables under this Agreement or any other Loan Document shall be made or delivered, as applicable, in accordance therewith.</w:t>
      </w:r>
    </w:p>
    <w:p>
      <w:pPr>
        <w:spacing w:after="0" w:line="180" w:lineRule="exact"/>
        <w:rPr>
          <w:sz w:val="20"/>
          <w:szCs w:val="20"/>
          <w:color w:val="auto"/>
        </w:rPr>
      </w:pPr>
    </w:p>
    <w:p>
      <w:pPr>
        <w:jc w:val="both"/>
        <w:ind w:left="180" w:right="19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any nation or government, any state or other political subdivision thereof, any agency, authority, instrumentality, regulatory body, court, central bank or other entity (including any supra-national bodies such as the European Union or the European Central Bank) exercising executive, legislative, judicial, taxing, regulatory or administrative functions of or pertaining to government, any securities exchange, any self-regulatory organization (including the National Association of Insurance Commissioners), and any group or body charged with setting financial accounting or regulatory capital rules or standards (including, without limitation, the Bank for International Settlements or the Basel Committee on Banking Supervision or any successor or similar authority to any of the foregoing).</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Members</w:t>
      </w:r>
      <w:r>
        <w:rPr>
          <w:rFonts w:ascii="Times New Roman" w:cs="Times New Roman" w:eastAsia="Times New Roman" w:hAnsi="Times New Roman"/>
          <w:sz w:val="22"/>
          <w:szCs w:val="22"/>
          <w:color w:val="auto"/>
        </w:rPr>
        <w:t>”: the collective reference to the Borrower and its Subsidiaries.</w:t>
      </w:r>
    </w:p>
    <w:p>
      <w:pPr>
        <w:spacing w:after="0" w:line="206" w:lineRule="exact"/>
        <w:rPr>
          <w:sz w:val="20"/>
          <w:szCs w:val="20"/>
          <w:color w:val="auto"/>
        </w:rPr>
      </w:pPr>
    </w:p>
    <w:p>
      <w:pPr>
        <w:jc w:val="both"/>
        <w:ind w:left="180" w:right="19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 Obligation</w:t>
      </w:r>
      <w:r>
        <w:rPr>
          <w:rFonts w:ascii="Times New Roman" w:cs="Times New Roman" w:eastAsia="Times New Roman" w:hAnsi="Times New Roman"/>
          <w:sz w:val="21"/>
          <w:szCs w:val="21"/>
          <w:color w:val="auto"/>
        </w:rPr>
        <w:t>”: as to any Person (the “</w:t>
      </w:r>
      <w:r>
        <w:rPr>
          <w:rFonts w:ascii="Times New Roman" w:cs="Times New Roman" w:eastAsia="Times New Roman" w:hAnsi="Times New Roman"/>
          <w:sz w:val="21"/>
          <w:szCs w:val="21"/>
          <w:u w:val="single" w:color="auto"/>
          <w:color w:val="auto"/>
        </w:rPr>
        <w:t>guaranteeing person</w:t>
      </w:r>
      <w:r>
        <w:rPr>
          <w:rFonts w:ascii="Times New Roman" w:cs="Times New Roman" w:eastAsia="Times New Roman" w:hAnsi="Times New Roman"/>
          <w:sz w:val="21"/>
          <w:szCs w:val="21"/>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21"/>
          <w:szCs w:val="21"/>
          <w:u w:val="single" w:color="auto"/>
          <w:color w:val="auto"/>
        </w:rPr>
        <w:t>primary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of any other third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4" w:name="page195"/>
    <w:bookmarkEnd w:id="194"/>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0" w:lineRule="exact"/>
        <w:rPr>
          <w:sz w:val="20"/>
          <w:szCs w:val="20"/>
          <w:color w:val="auto"/>
        </w:rPr>
      </w:pPr>
    </w:p>
    <w:p>
      <w:pPr>
        <w:jc w:val="both"/>
        <w:ind w:left="180" w:right="199"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(f) all obligations of such Person, contingent or otherwise, as an account party or applicant under or in respect of acceptances, letters of credit, surety bonds or similar arrangements, (g) the liquidation value of all redeemable preferred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only, all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 Taxes, other than Excluded Taxes, imposed on or with respect to any payment made by or on account of any obligation of any Loan Party under any Loan Document and (b) to the extent not otherwise described in (a), Other Taxes.</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Insolvent</w:t>
      </w:r>
      <w:r>
        <w:rPr>
          <w:rFonts w:ascii="Times New Roman" w:cs="Times New Roman" w:eastAsia="Times New Roman" w:hAnsi="Times New Roman"/>
          <w:sz w:val="22"/>
          <w:szCs w:val="22"/>
          <w:color w:val="auto"/>
        </w:rPr>
        <w:t>”: with respect to any Multiemployer Plan, the condition that such Plan is insolvent within the meaning of Section 4245 of ERISA.</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the Intercreditor and Collateral Agency Agreement, originally dated as of February 26, 2010, as amended by Amendment No. 1, dated as of August 10, 2011, as further amended by Amendment No. 2, dated as of August 22, 2013, as further amended by Amendment No. 3, dated as of October 20, 2020, and as further supplemented by the Joinder to Intercreditor Agreement, among the Collateral Agent, Administrative Agent, holders of the Senior Notes and other holders of pari passu Indebtedness of the Borrower, which may become party to the agreement from time to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5" w:name="page196"/>
    <w:bookmarkEnd w:id="195"/>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(a) as to any ABR Loan or any Swing Line Loan, the first Business Day following the last day of each March, June, September and December to occur while such Loan is outstanding and the final maturity date of such Loan, (b) as to any Term SOFR Rate Loan having an Interest Period of three months or less, the last day of such Interest Period, (c) as to any Term SOFR Rate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w:t>
      </w:r>
    </w:p>
    <w:p>
      <w:pPr>
        <w:spacing w:after="0" w:line="178" w:lineRule="exact"/>
        <w:rPr>
          <w:sz w:val="20"/>
          <w:szCs w:val="20"/>
          <w:color w:val="auto"/>
        </w:rPr>
      </w:pPr>
    </w:p>
    <w:p>
      <w:pPr>
        <w:jc w:val="both"/>
        <w:ind w:left="180" w:right="19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as to any Term SOFR Rate Loan, (a) initially, the period commencing on the borrowing or conversion date, as the case may be, with respect to such Term SOFR Rate Loan and ending one, three or six months thereafter (or such shorter or longer period as shall have been consented to by each Lender participating in such Term SOFR Rate Loan), as selected by the Borrower in its notice of borrowing or notice of conversion, as the case may be, given with respect thereto; and (b) thereafter, each period commencing on the last day of the next preceding Interest Period applicable to such Term SOFR Rate Loan and ending one, three or six months (or other applicable period) thereafter, as selected by the Borrower by irrevocable notice to the Administrative Agent not later than 11:00 A.M., New York City time, on the date that is three Business Days prior to the last day of the then current Interest Period with respect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of the foregoing provisions relating to Interest Periods are subject to the following:</w:t>
      </w:r>
    </w:p>
    <w:p>
      <w:pPr>
        <w:spacing w:after="0" w:line="177" w:lineRule="exact"/>
        <w:rPr>
          <w:sz w:val="20"/>
          <w:szCs w:val="20"/>
          <w:color w:val="auto"/>
        </w:rPr>
      </w:pPr>
    </w:p>
    <w:p>
      <w:pPr>
        <w:jc w:val="both"/>
        <w:ind w:left="180" w:right="199" w:firstLine="1300"/>
        <w:spacing w:after="0" w:line="239" w:lineRule="auto"/>
        <w:tabs>
          <w:tab w:leader="none" w:pos="232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38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 select an Interest Period that would extend beyond the Revolving Commitment Termination Date; and</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44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73"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all laws relating to economic and financial sanctions, trade embargoes, export controls, customs and anti-boycott measures.</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the United States Internal Revenue Service.</w:t>
      </w:r>
    </w:p>
    <w:p>
      <w:pPr>
        <w:spacing w:after="0" w:line="206"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to Intercreditor Agreement</w:t>
      </w:r>
      <w:r>
        <w:rPr>
          <w:rFonts w:ascii="Times New Roman" w:cs="Times New Roman" w:eastAsia="Times New Roman" w:hAnsi="Times New Roman"/>
          <w:sz w:val="22"/>
          <w:szCs w:val="22"/>
          <w:color w:val="auto"/>
        </w:rPr>
        <w:t>”: that certain Joinder to Intercreditor Agreement (Administrative Agent), dated as of the date hereof, by the Administrative Agent.</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LDC Holdings</w:t>
      </w:r>
      <w:r>
        <w:rPr>
          <w:rFonts w:ascii="Times New Roman" w:cs="Times New Roman" w:eastAsia="Times New Roman" w:hAnsi="Times New Roman"/>
          <w:sz w:val="22"/>
          <w:szCs w:val="22"/>
          <w:color w:val="auto"/>
        </w:rPr>
        <w:t>”: LDC Holdings LLC, a Delaware limited liability company.</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Arranger</w:t>
      </w:r>
      <w:r>
        <w:rPr>
          <w:rFonts w:ascii="Times New Roman" w:cs="Times New Roman" w:eastAsia="Times New Roman" w:hAnsi="Times New Roman"/>
          <w:sz w:val="22"/>
          <w:szCs w:val="22"/>
          <w:color w:val="auto"/>
        </w:rPr>
        <w:t>”: as defined in the preamble hereto.</w:t>
      </w:r>
    </w:p>
    <w:p>
      <w:pPr>
        <w:spacing w:after="0" w:line="206"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as defined in the preamble hereto. Unless the context otherwise requires, the term “Lenders” includes the Swing Line Lender.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6" w:name="page197"/>
    <w:bookmarkEnd w:id="196"/>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finance lease having substantially the same economic effect as any of the foregoing).</w:t>
      </w:r>
    </w:p>
    <w:p>
      <w:pPr>
        <w:spacing w:after="0" w:line="177"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any loan by any Lender pursuant to this Agreement, including Revolving Loans and Swing Line Loans.</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this Agreement, the Security Documents, the Notes and any amendment, waiver, supplement or other modification to any of the foregoing.</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each Group Member that is a party to a Loan Document.</w:t>
      </w:r>
    </w:p>
    <w:p>
      <w:pPr>
        <w:spacing w:after="0" w:line="206"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any event, development or circumstance that has had or could reasonably be expected to have a material adverse effect on (a) the business, property, operations or financial condition of the Group Members, taken as a whole, or any of the Loan Parties, (b) the ability of the Group Members, taken as a whole, or any of the Loan Parties, to perform any of their respective obligations under the Loan Documents or (c) the validity or enforceability of any of the Loan Documents or the rights and remedies of the Administrative Agent or the Lenders thereunder.</w:t>
      </w:r>
    </w:p>
    <w:p>
      <w:pPr>
        <w:spacing w:after="0" w:line="18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Materials of Environmental Concern</w:t>
      </w:r>
      <w:r>
        <w:rPr>
          <w:rFonts w:ascii="Times New Roman" w:cs="Times New Roman" w:eastAsia="Times New Roman" w:hAnsi="Times New Roman"/>
          <w:sz w:val="22"/>
          <w:szCs w:val="22"/>
          <w:color w:val="auto"/>
        </w:rPr>
        <w:t>”: any gasoline or petroleum (including crude oil or any fraction thereof) or petroleum products or any hazardous or toxic substances, materials or wastes, defined or regulated as such in or under any applicable Environmental Law, including asbestos, polychlorinated biphenyls and urea-formaldehyde insulation.</w:t>
      </w:r>
    </w:p>
    <w:p>
      <w:pPr>
        <w:spacing w:after="0" w:line="180"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material information concerning the Borrower,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the Borrower, any Subsidiary or other Affiliate of the Borrower, or any of their securities, that could reasonably be expected to be material for purposes of the United States federal and state securities laws.</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Moody’s Investor Services, Inc., or any successor thereto.</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 multiemployer plan as defined in Section 4001(a)(3) of</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ERISA.</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that certain Note Purchase Agreement, originally dated as of February 26, 2010, as amended by Amendment No. 1, dated as of August 10, 2011, as further amended by Amendment No. 2, dated as of August 22, 2013, and as further amended by Amendment No. 3, dated as of November 9, 2017, between the Borrower and the purchasers of the Senior Notes party thereto.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7" w:name="page198"/>
    <w:bookmarkEnd w:id="197"/>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the collective reference to any promissory note evidencing the Loans, each of which shall be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the Federal Reserve Bank of New York.</w:t>
      </w:r>
    </w:p>
    <w:p>
      <w:pPr>
        <w:spacing w:after="0" w:line="206" w:lineRule="exact"/>
        <w:rPr>
          <w:sz w:val="20"/>
          <w:szCs w:val="20"/>
          <w:color w:val="auto"/>
        </w:rPr>
      </w:pPr>
    </w:p>
    <w:p>
      <w:pPr>
        <w:jc w:val="both"/>
        <w:ind w:left="180" w:right="19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4.21(b)(v)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1"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80" w:right="19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percent (0.00%), such rate shall be deemed to be zero percent (0.00%) for purposes of this Agreement. The rate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8" w:name="page199"/>
    <w:bookmarkEnd w:id="198"/>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interest charged shall be adjusted as of each Business Day based on changes in the Overnight Bank Funding Rate without notice to the Borrower.</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with respect to any Lender, any Person as to which such Lender is, directly or indirectly, a subsidiary.</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10.6(c)(i)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10.6(c)(ii)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 established under Section 4002 of ERISA or any successor entity performing similar functions.</w:t>
      </w:r>
    </w:p>
    <w:p>
      <w:pPr>
        <w:spacing w:after="0" w:line="158"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Peoples</w:t>
      </w:r>
      <w:r>
        <w:rPr>
          <w:rFonts w:ascii="Times New Roman" w:cs="Times New Roman" w:eastAsia="Times New Roman" w:hAnsi="Times New Roman"/>
          <w:sz w:val="22"/>
          <w:szCs w:val="22"/>
          <w:color w:val="auto"/>
        </w:rPr>
        <w:t>”: Peoples Natural Gas Company LLC, a Pennsylvania limited liability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Peoples Gas</w:t>
      </w:r>
      <w:r>
        <w:rPr>
          <w:rFonts w:ascii="Times New Roman" w:cs="Times New Roman" w:eastAsia="Times New Roman" w:hAnsi="Times New Roman"/>
          <w:sz w:val="22"/>
          <w:szCs w:val="22"/>
          <w:color w:val="auto"/>
        </w:rPr>
        <w:t xml:space="preserve"> ”: Peoples Gas Company LLC (f/k/a Peoples TWP LLC), a Pennsylvania limited liability company.</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Peoples KY</w:t>
      </w:r>
      <w:r>
        <w:rPr>
          <w:rFonts w:ascii="Times New Roman" w:cs="Times New Roman" w:eastAsia="Times New Roman" w:hAnsi="Times New Roman"/>
          <w:sz w:val="22"/>
          <w:szCs w:val="22"/>
          <w:color w:val="auto"/>
        </w:rPr>
        <w:t>”: Peoples Gas KY LLC, a Kentucky limited liability company.</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Peoples WV</w:t>
      </w:r>
      <w:r>
        <w:rPr>
          <w:rFonts w:ascii="Times New Roman" w:cs="Times New Roman" w:eastAsia="Times New Roman" w:hAnsi="Times New Roman"/>
          <w:sz w:val="22"/>
          <w:szCs w:val="22"/>
          <w:color w:val="auto"/>
        </w:rPr>
        <w:t>”: Peoples Gas WV LLC, a West Virginia limited liability company.</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 individual, partnership, corporation, limited liability company, business trust, joint stock company, trust, unincorporated association, joint venture, Governmental Authority or other entity of whatever nature.</w:t>
      </w:r>
    </w:p>
    <w:p>
      <w:pPr>
        <w:spacing w:after="0" w:line="173"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other than any Multiemployer Plan, any employee pension benefit plan as defined in Section 3(2) of ERISA, that is subject to the provisions of Title IV of ERISA or Section 412 of the Code or Section 302 of ERISA, and in respect of which any Group Member or any ERISA Affiliate is (or, if such Plan were terminated, would under Section 4069 of ERISA be deemed to be) an “employer” as defined in Section 3(5) of ERISA.</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Stock</w:t>
      </w:r>
      <w:r>
        <w:rPr>
          <w:rFonts w:ascii="Times New Roman" w:cs="Times New Roman" w:eastAsia="Times New Roman" w:hAnsi="Times New Roman"/>
          <w:sz w:val="22"/>
          <w:szCs w:val="22"/>
          <w:color w:val="auto"/>
        </w:rPr>
        <w:t>”: all of the Capital Stock of each of the Borrower’s existing and future direct or indirect subsidiaries (including without limitation, all of the Capital Stock of each Significant Subsidiary and all other Subsidiaries directly or indirectly owned by the Borrower, in each case, except to the extent no longer owned, directly or indirectly, by the Borrower as a result of a transaction expressly permitted by this Agreement).</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PNC Bank, National Association.</w:t>
      </w:r>
    </w:p>
    <w:p>
      <w:pPr>
        <w:spacing w:after="0" w:line="206" w:lineRule="exact"/>
        <w:rPr>
          <w:sz w:val="20"/>
          <w:szCs w:val="20"/>
          <w:color w:val="auto"/>
        </w:rPr>
      </w:pPr>
    </w:p>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the interest rate per annum announced from time to time by the Administrative Agent at its Principal Office as its then prime rate, which rate may not be the lowest or most favorable rate then being charged to commercial borrowers or others by the Administrative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99" w:name="page200"/>
    <w:bookmarkEnd w:id="199"/>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Agent and may not be tied to any external rate of interest or index. Any change in the Prime Rate shall take effect at the opening of business on the day such change is announced.</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main banking office of the Administrative Agent in Pittsburgh, Pennsylvania.</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Side Lender Representatives</w:t>
      </w:r>
      <w:r>
        <w:rPr>
          <w:rFonts w:ascii="Times New Roman" w:cs="Times New Roman" w:eastAsia="Times New Roman" w:hAnsi="Times New Roman"/>
          <w:sz w:val="22"/>
          <w:szCs w:val="22"/>
          <w:color w:val="auto"/>
        </w:rPr>
        <w:t>”: with respect to any Lender, representatives of such Lender that are not Public Side Lender Representatives.</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Transaction</w:t>
      </w:r>
      <w:r>
        <w:rPr>
          <w:rFonts w:ascii="Times New Roman" w:cs="Times New Roman" w:eastAsia="Times New Roman" w:hAnsi="Times New Roman"/>
          <w:sz w:val="22"/>
          <w:szCs w:val="22"/>
          <w:color w:val="auto"/>
        </w:rPr>
        <w:t>”: as defined in Section 406 of ERISA and Section 4975(c)</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of the Code.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a prohibited transaction class exemption issued by the U.S. Department of Labor, as any such exemption may be amended from time to time.</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Side Lender Representatives</w:t>
      </w:r>
      <w:r>
        <w:rPr>
          <w:rFonts w:ascii="Times New Roman" w:cs="Times New Roman" w:eastAsia="Times New Roman" w:hAnsi="Times New Roman"/>
          <w:sz w:val="22"/>
          <w:szCs w:val="22"/>
          <w:color w:val="auto"/>
        </w:rPr>
        <w:t>”: with respect to any Lender, representatives of such Lender that do not wish to receive MNPI.</w:t>
      </w:r>
    </w:p>
    <w:p>
      <w:pPr>
        <w:spacing w:after="0" w:line="15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Fitch Ratings, Ltd., Moody’s and S&amp;P and, in each case, any successors thereto.</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(a) the Administrative Agent or (b) any Lender, as applicable.</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10.6(b)(iv)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Regulation U of the Board as in effect from time to time.</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Regulation X of the Board as in effect from time to time.</w:t>
      </w:r>
    </w:p>
    <w:p>
      <w:pPr>
        <w:spacing w:after="0" w:line="206"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shall mean that any Loan Party or Subsidiary of any Loan Party becomes a Sanctioned Person, or is charged by indictment, criminal complaint or similar charging instrument, arraigned, or custodially detained in connection with any Anti-Terrorism Law or any predicate crime to any Anti-Terrorism Law or Anti-Corruption Law or any Collateral becomes Blocked Property.</w:t>
      </w:r>
    </w:p>
    <w:p>
      <w:pPr>
        <w:spacing w:after="0" w:line="177"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any of the events set forth in Section 4043(c) of ERISA or the regulations issued thereunder, with respect to a Plan, other than those events as to which notice is waived pursuant to DOL Reg. Section 4043 as in effect on the date hereof (no matter how such notice requirement may be changed in the future).</w:t>
      </w:r>
    </w:p>
    <w:p>
      <w:pPr>
        <w:spacing w:after="0" w:line="180"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(a) if there exists two (2) or fewer unaffiliated Lenders, all Lenders, and (b) if there exists three (3) or more unaffiliated Lenders, the holders of more than 50% of the Total Revolving Commitments then in effect or, if the Revolving Commitments have been terminated, the Total Revolving Extensions of Credit then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0" w:name="page201"/>
    <w:bookmarkEnd w:id="200"/>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xml:space="preserve">”: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notwithstanding anything herein to the contrary, (a) the Dodd-Frank Wall Street Reform and Consumer Protection Act and all requests, rules, guidelines, requirements and directives thereunder, issued in connection therewith or in implementation thereof, and (b)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a “Requirement of Law” regardless of the date enacted, adopted, issued or implemented.</w:t>
      </w:r>
    </w:p>
    <w:p>
      <w:pPr>
        <w:spacing w:after="0" w:line="185"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an EEA Resolution Authority or, with respect to any UK Financial Institution, a UK Resolution Authority.</w:t>
      </w:r>
    </w:p>
    <w:p>
      <w:pPr>
        <w:spacing w:after="0" w:line="158"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a Financial Officer or the chief executive officer, president, chief administrative officer, general counsel, secretary, any executive vice president, any senior vice president, any vice president or another executive officer of the Borrower, but in any event, with respect to (a) any certificates delivered pursuant to </w:t>
      </w:r>
      <w:r>
        <w:rPr>
          <w:rFonts w:ascii="Times New Roman" w:cs="Times New Roman" w:eastAsia="Times New Roman" w:hAnsi="Times New Roman"/>
          <w:sz w:val="22"/>
          <w:szCs w:val="22"/>
          <w:u w:val="single" w:color="auto"/>
          <w:color w:val="auto"/>
        </w:rPr>
        <w:t>Sections 6.2(a)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w:t>
      </w:r>
    </w:p>
    <w:p>
      <w:pPr>
        <w:spacing w:after="0" w:line="1" w:lineRule="exact"/>
        <w:rPr>
          <w:sz w:val="20"/>
          <w:szCs w:val="20"/>
          <w:color w:val="auto"/>
        </w:rPr>
      </w:pPr>
    </w:p>
    <w:p>
      <w:pPr>
        <w:ind w:left="180" w:right="199" w:firstLine="4"/>
        <w:spacing w:after="0" w:line="237" w:lineRule="auto"/>
        <w:tabs>
          <w:tab w:leader="none" w:pos="53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(ii) of the definition of Specified Indebtedness, “Responsible Officer” shall mean a Financial Officer.</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w:t>
      </w:r>
      <w:r>
        <w:rPr>
          <w:rFonts w:ascii="Times New Roman" w:cs="Times New Roman" w:eastAsia="Times New Roman" w:hAnsi="Times New Roman"/>
          <w:sz w:val="21"/>
          <w:szCs w:val="21"/>
          <w:color w:val="auto"/>
        </w:rPr>
        <w:t xml:space="preserve">”: (a) as to any Lender, the obligation of such Lender, if any, to make Revolving Loans and participate in Swing Line Loans in an aggregate principal amount not to exceed the amount set forth under the heading “Revolving Commitment” opposite such Lender’s name on </w:t>
      </w:r>
      <w:r>
        <w:rPr>
          <w:rFonts w:ascii="Times New Roman" w:cs="Times New Roman" w:eastAsia="Times New Roman" w:hAnsi="Times New Roman"/>
          <w:sz w:val="21"/>
          <w:szCs w:val="21"/>
          <w:u w:val="single" w:color="auto"/>
          <w:color w:val="auto"/>
        </w:rPr>
        <w:t>Schedule 1.1A</w:t>
      </w:r>
      <w:r>
        <w:rPr>
          <w:rFonts w:ascii="Times New Roman" w:cs="Times New Roman" w:eastAsia="Times New Roman" w:hAnsi="Times New Roman"/>
          <w:sz w:val="21"/>
          <w:szCs w:val="21"/>
          <w:color w:val="auto"/>
        </w:rPr>
        <w:t xml:space="preserve"> or in the Assignment and Assumption pursuant to which such Lender became a party hereto, as the same may be changed from time to time pursuant to the terms hereof and (b) in the case of PNC (in its capacity as the Swing Line Lender), its Swingline Commitment (but not the aggregate of its Revolving Commitment and its Swingline Commitment).</w:t>
      </w:r>
    </w:p>
    <w:p>
      <w:pPr>
        <w:spacing w:after="0" w:line="170"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Period</w:t>
      </w:r>
      <w:r>
        <w:rPr>
          <w:rFonts w:ascii="Times New Roman" w:cs="Times New Roman" w:eastAsia="Times New Roman" w:hAnsi="Times New Roman"/>
          <w:sz w:val="22"/>
          <w:szCs w:val="22"/>
          <w:color w:val="auto"/>
        </w:rPr>
        <w:t>”: the period from and including the Closing Date until the Revolving Commitment Termination Date.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Termination Date</w:t>
      </w:r>
      <w:r>
        <w:rPr>
          <w:rFonts w:ascii="Times New Roman" w:cs="Times New Roman" w:eastAsia="Times New Roman" w:hAnsi="Times New Roman"/>
          <w:sz w:val="22"/>
          <w:szCs w:val="22"/>
          <w:color w:val="auto"/>
        </w:rPr>
        <w:t>”: June 10, 2025.</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Extensions of Credit</w:t>
      </w:r>
      <w:r>
        <w:rPr>
          <w:rFonts w:ascii="Times New Roman" w:cs="Times New Roman" w:eastAsia="Times New Roman" w:hAnsi="Times New Roman"/>
          <w:sz w:val="22"/>
          <w:szCs w:val="22"/>
          <w:color w:val="auto"/>
        </w:rPr>
        <w:t>”: as to any Lender at any time, an amount equal to the sum of (a) the aggregate principal amount of all Revolving Loans held by such Lender then outstanding and (b) such Lender’s Swingline Exposure.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Percentage</w:t>
      </w:r>
      <w:r>
        <w:rPr>
          <w:rFonts w:ascii="Times New Roman" w:cs="Times New Roman" w:eastAsia="Times New Roman" w:hAnsi="Times New Roman"/>
          <w:sz w:val="21"/>
          <w:szCs w:val="21"/>
          <w:color w:val="auto"/>
        </w:rPr>
        <w:t>”: as to any Lender at any time, the percentage which such Lender’s Revolving Commitment then constitutes of the Total Revolving Commitments or, at any time after the Revolving Commitments shall have expired or terminated, the percentage which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1" w:name="page202"/>
    <w:bookmarkEnd w:id="201"/>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aggregate principal amount of such Lender’s Revolving Extensions of Credit then outstanding constitutes of the aggregate principal amount of the Revolving Extensions of Credit then outstanding.</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S&amp;P Global Ratings, a business unit of Standard &amp; Poor’s Financial Services, LLC, or any successor thereto.</w:t>
      </w:r>
    </w:p>
    <w:p>
      <w:pPr>
        <w:spacing w:after="0" w:line="158" w:lineRule="exact"/>
        <w:rPr>
          <w:sz w:val="20"/>
          <w:szCs w:val="20"/>
          <w:color w:val="auto"/>
        </w:rPr>
      </w:pPr>
    </w:p>
    <w:p>
      <w:pPr>
        <w:jc w:val="both"/>
        <w:ind w:left="180" w:right="199"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Jurisdiction</w:t>
      </w:r>
      <w:r>
        <w:rPr>
          <w:rFonts w:ascii="Times New Roman" w:cs="Times New Roman" w:eastAsia="Times New Roman" w:hAnsi="Times New Roman"/>
          <w:sz w:val="21"/>
          <w:szCs w:val="21"/>
          <w:color w:val="auto"/>
        </w:rPr>
        <w:t>”: at any time, any country, territory, area, jurisdiction or region that is the subject or target of sanctions administered by the Office of Foreign Assets Control of the U.S. Department of the Treasury or otherwise the subject or target of comprehensive U.S. Sanctions, which countries, territories, areas, jurisdictions and regions include, as of the Second Amendment Effective Date, the Crimea region of Ukraine, Cuba, Iran, North Korea, Syria, and the separatist-controlled portions of the Donetsk and Luhansk regions of Ukraine.</w:t>
      </w:r>
    </w:p>
    <w:p>
      <w:pPr>
        <w:spacing w:after="0" w:line="171" w:lineRule="exact"/>
        <w:rPr>
          <w:sz w:val="20"/>
          <w:szCs w:val="20"/>
          <w:color w:val="auto"/>
        </w:rPr>
      </w:pPr>
    </w:p>
    <w:p>
      <w:pPr>
        <w:jc w:val="both"/>
        <w:ind w:left="180" w:right="19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at any time, (a) any Person listed in any Sanctions-related list of designated Persons maintained by any Compliance Authority, (b) any Person located, operating, organized or ordinarily resident in a Sanctioned Jurisdiction or (c) any Person owned 50% or more, in the aggregate, directly or indirectly controlled by, or acting for, on behalf of, or at the direction of, one or more Persons described in the foregoing clauses (a) and (b).</w:t>
      </w:r>
    </w:p>
    <w:p>
      <w:pPr>
        <w:spacing w:after="0" w:line="177"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 or other relevant sanctions authority with jurisdiction over any Lender, the Borrower or any of its or their Subsidiaries.</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Securities and Exchange Commission, any successor thereto and any analogous Governmental Authority.</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the Second Amendment to Credit Agreement by and among the Borrower, the Lenders party thereto and the Administrative Agent, dated as of the Second Amendment Effective Date.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means June 30, 2022.</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the Securities Act of 1933, as amended.</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the Security and Pledge Agreement, originally dated as of February 26, 2010, as amended by Amendment No. 1, dated as of August 10, 2011, between the Borrower and the Collateral Agent.</w:t>
      </w:r>
    </w:p>
    <w:p>
      <w:pPr>
        <w:spacing w:after="0" w:line="17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the collective reference to the Security Agreement, the Intercreditor Agreement and all other security documents hereafter delivered to the Administrative Agent or the Collateral Agent granting a Lien on any property of any Person to secure the obligations and liabilities of any Loan Party under any Loan Document.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2" w:name="page203"/>
    <w:bookmarkEnd w:id="202"/>
    <w:p>
      <w:pPr>
        <w:jc w:val="both"/>
        <w:ind w:left="180" w:right="19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w:t>
      </w:r>
      <w:r>
        <w:rPr>
          <w:rFonts w:ascii="Times New Roman" w:cs="Times New Roman" w:eastAsia="Times New Roman" w:hAnsi="Times New Roman"/>
          <w:sz w:val="22"/>
          <w:szCs w:val="22"/>
          <w:color w:val="auto"/>
        </w:rPr>
        <w:t>”: the Borrower’s (a) 4.10% Series 2013-A Senior Secured Notes due December 19, 2023, (b) 4.25% Series 2013-A Senior Secured Notes due December 19, 2025,</w:t>
      </w:r>
    </w:p>
    <w:p>
      <w:pPr>
        <w:spacing w:after="0" w:line="2" w:lineRule="exact"/>
        <w:rPr>
          <w:sz w:val="20"/>
          <w:szCs w:val="20"/>
          <w:color w:val="auto"/>
        </w:rPr>
      </w:pPr>
    </w:p>
    <w:p>
      <w:pPr>
        <w:jc w:val="both"/>
        <w:ind w:left="180" w:right="199" w:firstLine="4"/>
        <w:spacing w:after="0" w:line="230" w:lineRule="auto"/>
        <w:tabs>
          <w:tab w:leader="none" w:pos="4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3.58% Series 2017-A Senior Secured Notes due July 14, 2024, (d) 4.26% Series 2017-B Senior Secured Notes due December 20, 2031, (e) 2.90% Series 2017-C Senior Secured Notes due December 18, 2022, (f) 3.38% Series 2017-C Senior Secured Notes due December 18, 2027,</w:t>
      </w:r>
    </w:p>
    <w:p>
      <w:pPr>
        <w:spacing w:after="0" w:line="1" w:lineRule="exact"/>
        <w:rPr>
          <w:rFonts w:ascii="Times New Roman" w:cs="Times New Roman" w:eastAsia="Times New Roman" w:hAnsi="Times New Roman"/>
          <w:sz w:val="22"/>
          <w:szCs w:val="22"/>
          <w:color w:val="auto"/>
        </w:rPr>
      </w:pPr>
    </w:p>
    <w:p>
      <w:pPr>
        <w:jc w:val="both"/>
        <w:ind w:left="180" w:right="199" w:firstLine="4"/>
        <w:spacing w:after="0" w:line="241" w:lineRule="auto"/>
        <w:tabs>
          <w:tab w:leader="none" w:pos="49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3.63% Series 2017-C Senior Secured Notes due December 18, 2032, (h) 4.50% Series 2017-D Senior Secured Notes due November 17, 2021, (i) 6.42% Series 2017-D Senior Secured Notes due December 28, 2022, (j) 5.99% Series 2017-D Senior Secured Notes due October 31, 2023 and</w:t>
      </w:r>
    </w:p>
    <w:p>
      <w:pPr>
        <w:spacing w:after="0" w:line="1" w:lineRule="exact"/>
        <w:rPr>
          <w:rFonts w:ascii="Times New Roman" w:cs="Times New Roman" w:eastAsia="Times New Roman" w:hAnsi="Times New Roman"/>
          <w:sz w:val="21"/>
          <w:szCs w:val="21"/>
          <w:color w:val="auto"/>
        </w:rPr>
      </w:pPr>
    </w:p>
    <w:p>
      <w:pPr>
        <w:jc w:val="both"/>
        <w:ind w:left="180" w:right="199" w:firstLine="4"/>
        <w:spacing w:after="0" w:line="235" w:lineRule="auto"/>
        <w:tabs>
          <w:tab w:leader="none" w:pos="4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3.53% Series 2017-D Senior Secured Notes due August 23, 2023, each as issued pursuant to the Note Purchase Agreement and any additional senior secured notes of the Borrower issued after the date hereof pursuant to the Note Purchase Agreement.</w:t>
      </w:r>
    </w:p>
    <w:p>
      <w:pPr>
        <w:spacing w:after="0" w:line="178"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 Documentation</w:t>
      </w:r>
      <w:r>
        <w:rPr>
          <w:rFonts w:ascii="Times New Roman" w:cs="Times New Roman" w:eastAsia="Times New Roman" w:hAnsi="Times New Roman"/>
          <w:sz w:val="22"/>
          <w:szCs w:val="22"/>
          <w:color w:val="auto"/>
        </w:rPr>
        <w:t>”: the Note Purchase Agreement, together with all instruments and other agreements entered into by the Borrower in connection therewith.</w:t>
      </w:r>
    </w:p>
    <w:p>
      <w:pPr>
        <w:spacing w:after="0" w:line="158"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xml:space="preserve">”: (a) Peoples, (b) Peoples Gas and (c) any other Subsidiary of the Borrower whose revenues or assets are equal to 10% or more of the consolidated revenues or assets, as applicable, of the Borrower and its Subsidiaries as at the last day of any period of four consecutive fiscal quarters of the Borrower ending with the most recent fiscal quarter for which the Borrower is obligated to provide financial statements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(giving effect to any time periods for delivery of such financial statements as set forth therein).</w:t>
      </w:r>
    </w:p>
    <w:p>
      <w:pPr>
        <w:spacing w:after="0" w:line="181"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for any day, a rate equal to the secured overnight financing rate as administered by the Federal Reserve Bank of New York (or a successor administrator of the secured overnight financing rate).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ten basis points (0.10%).</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a rate of interest per annum equal to zero basis points (0.00%).</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The amount of contingent liabilities (such as litigation, guaranties and pension plan liabilities) at any time shall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3" w:name="page204"/>
    <w:bookmarkEnd w:id="203"/>
    <w:p>
      <w:pPr>
        <w:ind w:left="180" w:right="199"/>
        <w:spacing w:after="0" w:line="282" w:lineRule="auto"/>
        <w:rPr>
          <w:sz w:val="20"/>
          <w:szCs w:val="20"/>
          <w:color w:val="auto"/>
        </w:rPr>
      </w:pPr>
      <w:r>
        <w:rPr>
          <w:rFonts w:ascii="Times New Roman" w:cs="Times New Roman" w:eastAsia="Times New Roman" w:hAnsi="Times New Roman"/>
          <w:sz w:val="21"/>
          <w:szCs w:val="21"/>
          <w:color w:val="auto"/>
        </w:rPr>
        <w:t>be computed as the amount that, in light of all the facts and circumstances existing at the time, represents the amount that can be reasonably be expected to become an actual or matured liability.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Indebtedness</w:t>
      </w:r>
      <w:r>
        <w:rPr>
          <w:rFonts w:ascii="Times New Roman" w:cs="Times New Roman" w:eastAsia="Times New Roman" w:hAnsi="Times New Roman"/>
          <w:sz w:val="22"/>
          <w:szCs w:val="22"/>
          <w:color w:val="auto"/>
        </w:rPr>
        <w:t>”: any of the following types of Indebtedness:</w:t>
      </w:r>
    </w:p>
    <w:p>
      <w:pPr>
        <w:spacing w:after="0" w:line="206" w:lineRule="exact"/>
        <w:rPr>
          <w:sz w:val="20"/>
          <w:szCs w:val="20"/>
          <w:color w:val="auto"/>
        </w:rPr>
      </w:pPr>
    </w:p>
    <w:p>
      <w:pPr>
        <w:jc w:val="both"/>
        <w:ind w:left="180" w:right="199" w:firstLine="1300"/>
        <w:spacing w:after="0" w:line="239" w:lineRule="auto"/>
        <w:tabs>
          <w:tab w:leader="none" w:pos="232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in respect of the Senior Notes (together with any replacement, refinancing or amendment and restatement thereof), so long as after giving effect thereto the holders of such Indebtedness or their agent shall be a party to the Intercreditor Agreement;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1" w:lineRule="auto"/>
        <w:tabs>
          <w:tab w:leader="none" w:pos="238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Indebtedness of the Borrower (other than revolving loans) together with any replacement, refinancing or amendment and restatement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 w:lineRule="exact"/>
        <w:rPr>
          <w:rFonts w:ascii="Times New Roman" w:cs="Times New Roman" w:eastAsia="Times New Roman" w:hAnsi="Times New Roman"/>
          <w:sz w:val="22"/>
          <w:szCs w:val="22"/>
          <w:color w:val="auto"/>
        </w:rPr>
      </w:pPr>
    </w:p>
    <w:p>
      <w:pPr>
        <w:jc w:val="both"/>
        <w:ind w:left="180" w:right="199" w:firstLine="4"/>
        <w:spacing w:after="0" w:line="231" w:lineRule="auto"/>
        <w:tabs>
          <w:tab w:leader="none" w:pos="5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any such Indebtedness, the ratio of Consolidated Debt to Consolidated Capitalization shall not exceed 0.60 to 1.00, (b) at the time of such incurrence, no Default or Event of Default then exists or would arise therefrom, (c) the holders of such Indebtedness or their agent shall have become a party to the Intercreditor Agreement, (d) the Administrative Agent shall have received any documents or information, including resolutions and opinions of counsel, it reasonably requests in connection with the Borrower entering into such Indebtedness, and (e) the Administrative Agent shall have received a certificate of a Responsible Officer of the Borrower at least five Business Days (or such shorter period as the Administrative Agent may agree) prior to the incurrence of such Indebtedness stating that the Borrower has determined in good faith that such terms and conditions satisfy the foregoing requirements set forth in clauses (a) through (d) above;</w:t>
      </w:r>
    </w:p>
    <w:p>
      <w:pPr>
        <w:spacing w:after="0" w:line="186" w:lineRule="exact"/>
        <w:rPr>
          <w:rFonts w:ascii="Times New Roman" w:cs="Times New Roman" w:eastAsia="Times New Roman" w:hAnsi="Times New Roman"/>
          <w:sz w:val="22"/>
          <w:szCs w:val="22"/>
          <w:color w:val="auto"/>
        </w:rPr>
      </w:pPr>
    </w:p>
    <w:p>
      <w:pPr>
        <w:ind w:left="2460" w:hanging="980"/>
        <w:spacing w:after="0"/>
        <w:tabs>
          <w:tab w:leader="none" w:pos="246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440" w:hanging="960"/>
        <w:spacing w:after="0"/>
        <w:tabs>
          <w:tab w:leader="none" w:pos="244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380" w:hanging="900"/>
        <w:spacing w:after="0"/>
        <w:tabs>
          <w:tab w:leader="none" w:pos="23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43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Indebtedness of the Borrower, Peoples, Peoples Gas or any other Significant Subsidiary in an aggregate principal amount not to exceed $25,000,000 at any one time outstanding.</w:t>
      </w:r>
    </w:p>
    <w:p>
      <w:pPr>
        <w:spacing w:after="0" w:line="173" w:lineRule="exact"/>
        <w:rPr>
          <w:sz w:val="20"/>
          <w:szCs w:val="20"/>
          <w:color w:val="auto"/>
        </w:rPr>
      </w:pPr>
    </w:p>
    <w:p>
      <w:pPr>
        <w:jc w:val="both"/>
        <w:ind w:left="180" w:right="19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72" w:lineRule="exact"/>
        <w:rPr>
          <w:sz w:val="20"/>
          <w:szCs w:val="20"/>
          <w:color w:val="auto"/>
        </w:rPr>
      </w:pPr>
    </w:p>
    <w:p>
      <w:pPr>
        <w:jc w:val="both"/>
        <w:ind w:left="180" w:right="19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Debt</w:t>
      </w:r>
      <w:r>
        <w:rPr>
          <w:rFonts w:ascii="Times New Roman" w:cs="Times New Roman" w:eastAsia="Times New Roman" w:hAnsi="Times New Roman"/>
          <w:sz w:val="21"/>
          <w:szCs w:val="21"/>
          <w:color w:val="auto"/>
        </w:rPr>
        <w:t>”: without duplication, as of the date of any determination thereof, the sum of all Indebtedness of Subsidiaries (including all Guarantee Obligations of Indebtedness of the Borrower) but excluding (i) Indebtedness owing to the Borrower or any wholly-owned Subsidiary, (ii) Guarantee Obligations (other than Guarantee Obligations of Indebtedness of the Borrower) incurred in the ordinary course of business by Peoples, Peoples Gas or any other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4" w:name="page205"/>
    <w:bookmarkEnd w:id="204"/>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Significant Subsidiary, and (iii) surety bonds (and similar arrangements) incurred in the ordinary course of business by Peoples, Peoples Gas or any other Significant Subsidiary.</w:t>
      </w:r>
    </w:p>
    <w:p>
      <w:pPr>
        <w:spacing w:after="0" w:line="15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w:t>
      </w:r>
      <w:r>
        <w:rPr>
          <w:rFonts w:ascii="Times New Roman" w:cs="Times New Roman" w:eastAsia="Times New Roman" w:hAnsi="Times New Roman"/>
          <w:sz w:val="22"/>
          <w:szCs w:val="22"/>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7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Borrowing Request</w:t>
      </w:r>
      <w:r>
        <w:rPr>
          <w:rFonts w:ascii="Times New Roman" w:cs="Times New Roman" w:eastAsia="Times New Roman" w:hAnsi="Times New Roman"/>
          <w:sz w:val="22"/>
          <w:szCs w:val="22"/>
          <w:color w:val="auto"/>
        </w:rPr>
        <w:t xml:space="preserve">”: a request by the Borrower for a Swing Line Loan in accordance with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which shall be in any form approved by the Swing Line Lender and the Administrative Agent.</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Commitment</w:t>
      </w:r>
      <w:r>
        <w:rPr>
          <w:rFonts w:ascii="Times New Roman" w:cs="Times New Roman" w:eastAsia="Times New Roman" w:hAnsi="Times New Roman"/>
          <w:sz w:val="22"/>
          <w:szCs w:val="22"/>
          <w:color w:val="auto"/>
        </w:rPr>
        <w:t>”: the commitment of the Swing Line Lender to make Swing Line Loans hereunder.</w:t>
      </w:r>
    </w:p>
    <w:p>
      <w:pPr>
        <w:spacing w:after="0" w:line="15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at any time, the aggregate principal amount of all Swing Line Loans outstanding at such time. The Swingline Exposure of any Lender at any time shall be its Revolving Percentage of the total Swingline Exposure at such time.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PNC, in its capacity as a lender of Swing Line Loans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a Loan made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Sublimit</w:t>
      </w:r>
      <w:r>
        <w:rPr>
          <w:rFonts w:ascii="Times New Roman" w:cs="Times New Roman" w:eastAsia="Times New Roman" w:hAnsi="Times New Roman"/>
          <w:sz w:val="22"/>
          <w:szCs w:val="22"/>
          <w:color w:val="auto"/>
        </w:rPr>
        <w:t>”: $30,000,000.</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CME Group Benchmark Administration Limited (CBA) (or a successor administrator of the Term SOFR Reference Rate selected by the Administrative Agent in its reasonable discretion).</w:t>
      </w:r>
    </w:p>
    <w:p>
      <w:pPr>
        <w:spacing w:after="0" w:line="173" w:lineRule="exact"/>
        <w:rPr>
          <w:sz w:val="20"/>
          <w:szCs w:val="20"/>
          <w:color w:val="auto"/>
        </w:rPr>
      </w:pPr>
    </w:p>
    <w:p>
      <w:pPr>
        <w:jc w:val="both"/>
        <w:ind w:left="180" w:right="19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5" w:name="page206"/>
    <w:bookmarkEnd w:id="205"/>
    <w:p>
      <w:pPr>
        <w:jc w:val="both"/>
        <w:ind w:left="180" w:right="199"/>
        <w:spacing w:after="0" w:line="248" w:lineRule="auto"/>
        <w:rPr>
          <w:sz w:val="20"/>
          <w:szCs w:val="20"/>
          <w:color w:val="auto"/>
        </w:rPr>
      </w:pPr>
      <w:r>
        <w:rPr>
          <w:rFonts w:ascii="Times New Roman" w:cs="Times New Roman" w:eastAsia="Times New Roman" w:hAnsi="Times New Roman"/>
          <w:sz w:val="21"/>
          <w:szCs w:val="21"/>
          <w:color w:val="auto"/>
        </w:rPr>
        <w:t xml:space="preserve">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Administrative Agent shall as soon as practicable notify the Borrower and the relevant Lenders of each determination of a Term SOFR Rate.</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 Loan</w:t>
      </w:r>
      <w:r>
        <w:rPr>
          <w:rFonts w:ascii="Times New Roman" w:cs="Times New Roman" w:eastAsia="Times New Roman" w:hAnsi="Times New Roman"/>
          <w:sz w:val="21"/>
          <w:szCs w:val="21"/>
          <w:color w:val="auto"/>
        </w:rPr>
        <w:t>” means a Loan that bears interest based on the Term SOFR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Rate.</w:t>
      </w:r>
    </w:p>
    <w:p>
      <w:pPr>
        <w:spacing w:after="0" w:line="182"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Option</w:t>
      </w:r>
      <w:r>
        <w:rPr>
          <w:rFonts w:ascii="Times New Roman" w:cs="Times New Roman" w:eastAsia="Times New Roman" w:hAnsi="Times New Roman"/>
          <w:sz w:val="22"/>
          <w:szCs w:val="22"/>
          <w:color w:val="auto"/>
        </w:rPr>
        <w:t xml:space="preserve">” means the option of the Borrower to have Loans bear interest at the rate and under the terms specified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the forward-looking term rate based on SOFR.</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Commitments</w:t>
      </w:r>
      <w:r>
        <w:rPr>
          <w:rFonts w:ascii="Times New Roman" w:cs="Times New Roman" w:eastAsia="Times New Roman" w:hAnsi="Times New Roman"/>
          <w:sz w:val="22"/>
          <w:szCs w:val="22"/>
          <w:color w:val="auto"/>
        </w:rPr>
        <w:t>”: at any time, the aggregate amount of the Revolving Commitments then in effect. The amount of the Total Revolving Commitments as of the Second Amendment Effective Date is $300,000,000.</w:t>
      </w:r>
    </w:p>
    <w:p>
      <w:pPr>
        <w:spacing w:after="0" w:line="173"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Extensions of Credit</w:t>
      </w:r>
      <w:r>
        <w:rPr>
          <w:rFonts w:ascii="Times New Roman" w:cs="Times New Roman" w:eastAsia="Times New Roman" w:hAnsi="Times New Roman"/>
          <w:sz w:val="22"/>
          <w:szCs w:val="22"/>
          <w:color w:val="auto"/>
        </w:rPr>
        <w:t>”: at any time, the aggregate amount of the Revolving Extensions of Credit of the Lenders outstanding at such time.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any Assignee or Participant.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as to any Loan, its nature as an ABR Loan or a Term SOFR Rate Loan.</w:t>
      </w:r>
    </w:p>
    <w:p>
      <w:pPr>
        <w:spacing w:after="0" w:line="206"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the United States of America.</w:t>
      </w:r>
    </w:p>
    <w:p>
      <w:pPr>
        <w:spacing w:after="0" w:line="206"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any liability to a Multiemployer Plan as a result of a complete or partial withdrawal from such Multiemployer Plan, as such terms are used in Sections 4203 and 4205, respectively, of ERISA.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6" w:name="page207"/>
    <w:bookmarkEnd w:id="206"/>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the Borrower and the Administrative Agent.</w:t>
      </w:r>
    </w:p>
    <w:p>
      <w:pPr>
        <w:spacing w:after="0" w:line="206" w:lineRule="exact"/>
        <w:rPr>
          <w:sz w:val="20"/>
          <w:szCs w:val="20"/>
          <w:color w:val="auto"/>
        </w:rPr>
      </w:pPr>
    </w:p>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Other Definitional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4" w:lineRule="auto"/>
        <w:tabs>
          <w:tab w:leader="none" w:pos="212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 the corresponding masculine, feminine and neuter forms. As used herein and in the other Loan Documents, and any certificate or other document made or delivered pursuant hereto or thereto,</w:t>
      </w:r>
    </w:p>
    <w:p>
      <w:pPr>
        <w:jc w:val="both"/>
        <w:ind w:left="180" w:right="199" w:firstLine="4"/>
        <w:spacing w:after="0" w:line="242" w:lineRule="auto"/>
        <w:tabs>
          <w:tab w:leader="none" w:pos="45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accounting terms not defined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and accounting terms partly defined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 “will” shall be construed to have the same meaning and effect as the word “shall”, (v)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(vi) the words “asset” and “property” shall be construed to have the same meaning and effect and to refer to any and all tangible and intangible assets and properties, including cash, Capital Stock, securities, revenues, accounts, leasehold interests and contract rights, (vii) references to agreements or other Contractual Obligations shall, unless otherwise expressly specified, be deemed to refer to such agreements or Contractual Obligations as amended, supplemented, restated, replaced or otherwise modified from time to time (subject to any restrictions on such amendments, restatements, replacements, supplements or modifications set forth herein), (viii) any definition of or reference to any statute, rule or regulation shall be construed as referring thereto as from time to time amended, supplemented or otherwise modified (including by succession of comparable successor laws), (ix)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(x) the words “herein”, “hereof and “hereunder”, and words of similar import, shall be construed to refer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7" w:name="page208"/>
    <w:bookmarkEnd w:id="207"/>
    <w:p>
      <w:pPr>
        <w:jc w:val="both"/>
        <w:ind w:left="180" w:right="199"/>
        <w:spacing w:after="0" w:line="251" w:lineRule="auto"/>
        <w:rPr>
          <w:sz w:val="20"/>
          <w:szCs w:val="20"/>
          <w:color w:val="auto"/>
        </w:rPr>
      </w:pPr>
      <w:r>
        <w:rPr>
          <w:rFonts w:ascii="Times New Roman" w:cs="Times New Roman" w:eastAsia="Times New Roman" w:hAnsi="Times New Roman"/>
          <w:sz w:val="21"/>
          <w:szCs w:val="21"/>
          <w:color w:val="auto"/>
        </w:rPr>
        <w:t>to this Agreement in its entirety and not to any particular provision hereof, (xi) all references herein to Articles, Sections, Exhibits and Schedules shall be construed to refer to Articles and Sections of, and Exhibits and Schedules to, this Agreement and (xii) the words ‘rate’, ‘rated’ or ‘rating’ shall be deemed to refer to a Rating Agency providing a rating (and not a credit assessment, indicative rating or other preliminary rating from a Rating Agency unless specifically indicated).</w:t>
      </w:r>
    </w:p>
    <w:p>
      <w:pPr>
        <w:spacing w:after="0" w:line="168" w:lineRule="exact"/>
        <w:rPr>
          <w:sz w:val="20"/>
          <w:szCs w:val="20"/>
          <w:color w:val="auto"/>
        </w:rPr>
      </w:pPr>
    </w:p>
    <w:p>
      <w:pPr>
        <w:ind w:left="180" w:right="239" w:firstLine="648"/>
        <w:spacing w:after="0" w:line="243"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Benchmark Replacement Notification; Rates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3"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3" w:lineRule="exact"/>
        <w:rPr>
          <w:sz w:val="20"/>
          <w:szCs w:val="20"/>
          <w:color w:val="auto"/>
        </w:rPr>
      </w:pPr>
    </w:p>
    <w:p>
      <w:pPr>
        <w:ind w:left="180" w:right="27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Negative Covenant Compliance</w:t>
      </w:r>
      <w:r>
        <w:rPr>
          <w:rFonts w:ascii="Times New Roman" w:cs="Times New Roman" w:eastAsia="Times New Roman" w:hAnsi="Times New Roman"/>
          <w:sz w:val="22"/>
          <w:szCs w:val="22"/>
          <w:color w:val="auto"/>
        </w:rPr>
        <w:t xml:space="preserve">. For purposes of determining whether the Borrower complies with any exception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(other than the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or the incurrence of any Specified Indebtedness under clause (ii) of the definition thereof, it is understood that (a) compliance shall be measured at the time when the relevant event is undertaken, and, for the avoidance of doubt, any financial ratios and metrics therein are intended to be “incurrence” tests and not “maintenance” tests and (b) correspondingly, no change in any financial ratio or metric occurring after the date such compliance is measured shall result in any previously permitted transaction ceasing to be permitted hereunder. For the avoidance of doubt, with respect to determining whether the Borrower and its Subsidiaries comply with 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8" w:name="page209"/>
    <w:bookmarkEnd w:id="208"/>
    <w:p>
      <w:pPr>
        <w:ind w:left="180" w:right="319"/>
        <w:spacing w:after="0" w:line="236" w:lineRule="auto"/>
        <w:rPr>
          <w:sz w:val="20"/>
          <w:szCs w:val="20"/>
          <w:color w:val="auto"/>
        </w:rPr>
      </w:pPr>
      <w:r>
        <w:rPr>
          <w:rFonts w:ascii="Times New Roman" w:cs="Times New Roman" w:eastAsia="Times New Roman" w:hAnsi="Times New Roman"/>
          <w:sz w:val="22"/>
          <w:szCs w:val="22"/>
          <w:color w:val="auto"/>
        </w:rPr>
        <w:t xml:space="preserve">covenant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(other than the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or the incurrence of any Specified Indebtedness under clause (ii) of the definition thereof, to the extent that any obligation, transaction or action could be attributable to more than one exception to any such covenant, the Borrower may categorize or re-categorize all or any portion of such obligation, transaction or action to any one or more exceptions to such covenant that permit such obligation, transaction or action.</w:t>
      </w:r>
    </w:p>
    <w:p>
      <w:pPr>
        <w:spacing w:after="0" w:line="181" w:lineRule="exact"/>
        <w:rPr>
          <w:sz w:val="20"/>
          <w:szCs w:val="20"/>
          <w:color w:val="auto"/>
        </w:rPr>
      </w:pPr>
    </w:p>
    <w:p>
      <w:pPr>
        <w:ind w:left="180" w:right="23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Timing of Payment or Performance</w:t>
      </w:r>
      <w:r>
        <w:rPr>
          <w:rFonts w:ascii="Times New Roman" w:cs="Times New Roman" w:eastAsia="Times New Roman" w:hAnsi="Times New Roman"/>
          <w:sz w:val="22"/>
          <w:szCs w:val="22"/>
          <w:color w:val="auto"/>
        </w:rPr>
        <w:t>. When the payment of any obligation or the performance of any covenant, duty or obligation is stated to be due or performance required on a day which is not a Business Day, the date of such payment (other than as specifically provided herein, including in the definition of the term “Interest Period”) or performance shall extend to the immediately succeeding Business Day (it being understood that the foregoing shall cause any grace period associated with any such payment obligation or performance of any covenant, duty or obligation to extend to the immediately succeeding Business Day as well) and, in the case of any payment accruing interest, interest thereon shall be payable for the period of such extension.</w:t>
      </w:r>
    </w:p>
    <w:p>
      <w:pPr>
        <w:spacing w:after="0" w:line="178" w:lineRule="exact"/>
        <w:rPr>
          <w:sz w:val="20"/>
          <w:szCs w:val="20"/>
          <w:color w:val="auto"/>
        </w:rPr>
      </w:pPr>
    </w:p>
    <w:p>
      <w:pPr>
        <w:ind w:left="18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77" w:lineRule="exact"/>
        <w:rPr>
          <w:sz w:val="20"/>
          <w:szCs w:val="20"/>
          <w:color w:val="auto"/>
        </w:rPr>
      </w:pPr>
    </w:p>
    <w:p>
      <w:pPr>
        <w:jc w:val="both"/>
        <w:ind w:left="180" w:right="5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Certifications</w:t>
      </w:r>
      <w:r>
        <w:rPr>
          <w:rFonts w:ascii="Times New Roman" w:cs="Times New Roman" w:eastAsia="Times New Roman" w:hAnsi="Times New Roman"/>
          <w:sz w:val="22"/>
          <w:szCs w:val="22"/>
          <w:color w:val="auto"/>
        </w:rPr>
        <w:t>. All certifications to be made hereunder by a Responsible Officer shall be made by such Person in his or her capacity solely as an officer or a representative of the Borrower, on the Borrower’s behalf and not in such Person’s individual capacity.</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2. AMOUNT AND TERMS OF COMMITMENTS</w:t>
      </w:r>
    </w:p>
    <w:p>
      <w:pPr>
        <w:spacing w:after="0" w:line="206"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Revolving Commitments;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7" w:lineRule="auto"/>
        <w:tabs>
          <w:tab w:leader="none" w:pos="212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hereof, and relying upon the representations and warranties herein specified, each Lender severally agrees to make revolving loans (“</w:t>
      </w: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under the Revolving Commitments to the Borrower from time to time during the Revolving Commitment Period in an aggregate principal amount at any one time outstanding which, when added to such Lender’s Swingline Exposure then outstanding, does not exceed the amount of such Lender’s Revolving Commitment. During the Revolving Commitment Period the Borrower may use the Revolving Commitments by borrowing, prepaying the Revolving Loans in whole or in part, and reborrowing, all in accordance with the terms and conditions hereof.</w:t>
      </w:r>
    </w:p>
    <w:p>
      <w:pPr>
        <w:spacing w:after="0" w:line="171"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13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Loans may from time to time be Term SOFR Rate Loans or ABR Loans, as determined by the Borrower and notified to the Administrative Agent in accordance with </w:t>
      </w:r>
      <w:r>
        <w:rPr>
          <w:rFonts w:ascii="Times New Roman" w:cs="Times New Roman" w:eastAsia="Times New Roman" w:hAnsi="Times New Roman"/>
          <w:sz w:val="22"/>
          <w:szCs w:val="22"/>
          <w:u w:val="single" w:color="auto"/>
          <w:color w:val="auto"/>
        </w:rPr>
        <w:t>Sections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2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repay to the applicable Lenders the aggregate principal amount of all Revolving Loans outstanding on the Revolving Commitment Termination Date.</w:t>
      </w:r>
    </w:p>
    <w:p>
      <w:pPr>
        <w:spacing w:after="0" w:line="158" w:lineRule="exact"/>
        <w:rPr>
          <w:sz w:val="20"/>
          <w:szCs w:val="20"/>
          <w:color w:val="auto"/>
        </w:rPr>
      </w:pPr>
    </w:p>
    <w:p>
      <w:pPr>
        <w:ind w:left="180" w:right="4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Procedure for Revolving Loan Borrowing</w:t>
      </w:r>
      <w:r>
        <w:rPr>
          <w:rFonts w:ascii="Times New Roman" w:cs="Times New Roman" w:eastAsia="Times New Roman" w:hAnsi="Times New Roman"/>
          <w:sz w:val="22"/>
          <w:szCs w:val="22"/>
          <w:color w:val="auto"/>
        </w:rPr>
        <w:t>. The Borrower may borrow Revolving Loans under the Revolving Commitments during the Revolving Commitment Period on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09" w:name="page210"/>
    <w:bookmarkEnd w:id="209"/>
    <w:p>
      <w:pPr>
        <w:ind w:left="180" w:right="339"/>
        <w:spacing w:after="0" w:line="244" w:lineRule="auto"/>
        <w:rPr>
          <w:sz w:val="20"/>
          <w:szCs w:val="20"/>
          <w:color w:val="auto"/>
        </w:rPr>
      </w:pPr>
      <w:r>
        <w:rPr>
          <w:rFonts w:ascii="Times New Roman" w:cs="Times New Roman" w:eastAsia="Times New Roman" w:hAnsi="Times New Roman"/>
          <w:sz w:val="21"/>
          <w:szCs w:val="21"/>
          <w:color w:val="auto"/>
        </w:rPr>
        <w:t xml:space="preserve">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deliver to the Administrative Agent an irrevocable Borrowing Request (which notice must be received by the Administrative Agent prior to 11:00 A.M., New York City time, (a) three Business Days prior to the requested Borrowing Date, in the case of Term SOFR Rate Loans, or (b) on the day of the requested Borrowing Date, in the case of ABR Loans), specifying (i) the amount and Type of Revolving Loans to be borrowed, (ii) the requested Borrowing Date and (iii) in the case of Term SOFR Rate Loans, the respective amounts of each such Type of Loan and the respective lengths of the initial Interest Period therefor. Each borrowing of Revolving Loans under the Revolving Commitments shall be in an amount equal to</w:t>
      </w:r>
    </w:p>
    <w:p>
      <w:pPr>
        <w:spacing w:after="0" w:line="4" w:lineRule="exact"/>
        <w:rPr>
          <w:sz w:val="20"/>
          <w:szCs w:val="20"/>
          <w:color w:val="auto"/>
        </w:rPr>
      </w:pPr>
    </w:p>
    <w:p>
      <w:pPr>
        <w:ind w:left="180" w:right="199" w:firstLine="4"/>
        <w:spacing w:after="0" w:line="231" w:lineRule="auto"/>
        <w:tabs>
          <w:tab w:leader="none" w:pos="48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ABR Loans, $250,000 or a whole number multiple of $50,000 in excess thereof (or, if the then aggregate Available Revolving Commitments are less than $250,000, such lesser amount) and (y) in the case of Term SOFR Rate Loans, $1,000,000 or a whole number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Term SOFR Rate Loan that results from a continuation of an outstanding Term SOFR Rate Loan may be in an aggregate amount that is equal to such outstanding Term SOFR Rate Loan. Upon receipt of any such notice from the Borrower, the Administrative Agent shall promptly notify each Lender thereof. Each Lender will make the amount of its Revolving Percentage of each borrowing available to the Administrative Agent for the account of the Borrower at the Funding Office prior to 1:00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such Lenders and in like funds as received by the Administrative Agent.</w:t>
      </w:r>
    </w:p>
    <w:p>
      <w:pPr>
        <w:spacing w:after="0" w:line="185" w:lineRule="exact"/>
        <w:rPr>
          <w:sz w:val="20"/>
          <w:szCs w:val="20"/>
          <w:color w:val="auto"/>
        </w:rPr>
      </w:pPr>
    </w:p>
    <w:p>
      <w:pPr>
        <w:ind w:left="180" w:right="25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Additional Fees</w:t>
      </w:r>
      <w:r>
        <w:rPr>
          <w:rFonts w:ascii="Times New Roman" w:cs="Times New Roman" w:eastAsia="Times New Roman" w:hAnsi="Times New Roman"/>
          <w:sz w:val="22"/>
          <w:szCs w:val="22"/>
          <w:color w:val="auto"/>
        </w:rPr>
        <w:t>. The Borrower agrees to pay to the Administrative Agent and Lead Arranger the fees in the amounts and on the dates as set forth in any fee agreements with the Administrative Agent and Lead Arranger, as applicable, and to perform any other obligations contained therein.</w:t>
      </w:r>
    </w:p>
    <w:p>
      <w:pPr>
        <w:spacing w:after="0" w:line="180" w:lineRule="exact"/>
        <w:rPr>
          <w:sz w:val="20"/>
          <w:szCs w:val="20"/>
          <w:color w:val="auto"/>
        </w:rPr>
      </w:pPr>
    </w:p>
    <w:p>
      <w:pPr>
        <w:ind w:left="180" w:right="2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Termination or Reduction of Total Revolving Commitments</w:t>
      </w:r>
      <w:r>
        <w:rPr>
          <w:rFonts w:ascii="Times New Roman" w:cs="Times New Roman" w:eastAsia="Times New Roman" w:hAnsi="Times New Roman"/>
          <w:sz w:val="22"/>
          <w:szCs w:val="22"/>
          <w:color w:val="auto"/>
        </w:rPr>
        <w:t xml:space="preserve">. The Borrower shall have the right, upon not less than three Business Days’ irrevocable (subject to the second proviso below) notice to the Administrative Agent, to terminate the Revolving Commitments or, from time to time, to reduce the amount of the Revolving Commitments, in each case,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or reduction of the Revolving Commitments shall be permitted if, after giving effect thereto and to any prepayments of the Loans made on the effective date thereof, the Total Revolving Extensions of Credit would exceed the Total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notice of termination or reduction of the Revolving Commitments may state that such notice is conditioned upon the occurrence of one or more events specified therein, in which case such notice may be revoked by the Borrower (by notice to the Administrative Agent on or prior to the specified effective date) if such condition is not, or is not expected to be, satisfied. Any such reduction shall be in minimum amounts of $2,000,000 and in integral multiples of $1,000,000, and shall reduce permanently and ratably among the Lenders the Revolving Commitments then in effect.</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Optional 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0" w:name="page211"/>
    <w:bookmarkEnd w:id="210"/>
    <w:p>
      <w:pPr>
        <w:jc w:val="both"/>
        <w:ind w:left="180" w:right="199" w:firstLine="1300"/>
        <w:spacing w:after="0" w:line="243" w:lineRule="auto"/>
        <w:tabs>
          <w:tab w:leader="none" w:pos="212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at any time and from time to time prepay the Revolving Loans, in whole or in part, without premium or penalty (subject to breakage fees with respect to Term SOFR Rate Loans, if applicable), upon irrevocable (subject to the second proviso below) notice delivered to the Administrative Agent no later than 11:00 A.M., New York City time, one Business Day prior thereto (or such shorter period as may be agreed to by the Administrative Agent in writing), in the case of Term SOFR Rate Loans, and no later than 11:00 A.M., New York City time on the date of such prepayment, in the case of ABR Loans, which notice shall specify the date and amount of prepayment and whether the prepayment is of Term SOFR Rate Loans or ABR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Term SOFR Rate Loan is prepaid on any day other than the last day of the Interest Period applicable thereto, the Borrower shall also pay any amounts owing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such notice may be conditioned upon the occurrence of one or more events specified therein, in which case such notice may be revoked by the Borrower (by notice to the Administrative Agent on or prior to the specified effective date) if such condition is not, or is not expected to be, satisfied.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Revolving Loans shall be in minimum principal amounts of (i) in the case of Term SOFR Rate Loans, $1,000,000 and in integral multiples of $100,000 and (ii) in the case of ABR Loans, $250,000 and in integral multiples of $50,000 (or, if less, the outstanding principal amount of the Revolving Loans).</w:t>
      </w:r>
    </w:p>
    <w:p>
      <w:pPr>
        <w:spacing w:after="0" w:line="185"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13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optional repayment of the Revolving Loans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be deemed to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repay ABR Loans in full,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the balance, if any, shall be used to repay Term SOFR Rate Loans.</w:t>
      </w:r>
    </w:p>
    <w:p>
      <w:pPr>
        <w:spacing w:after="0" w:line="17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Mandatory 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4" w:lineRule="auto"/>
        <w:tabs>
          <w:tab w:leader="none" w:pos="212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Revolving Extensions of Credit exceed the Revolving Commitments, the Borrower shall prepay the Revolving Extensions of Credit in accordance with this Agreement in an amount equal to such excess.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application of any prepayment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be made,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repay ABR Loans in full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the balance, if any, to repay Term SOFR Rate Loans. Each prepayment of the Loans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be accompanied by accrued interest to the date of such prepayment on the amount prepaid.</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Conversion and Continuation Options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6" w:lineRule="auto"/>
        <w:tabs>
          <w:tab w:leader="none" w:pos="212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elect from time to time to convert Term SOFR Rate Loans to ABR Loans by giving the Administrative Agent prior irrevocable notice, substantially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of such election no later than the time that a Borrowing Request would be required under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if the Borrower were requesting a borrowing of the Type resulting from such election to be made on the effective date of such 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conversion of Term SOFR Rate Loans other than on the last day of an Interest Period with respect thereto shall be subject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The Borrower may elect from time to time to convert ABR Loans to Term SOFR Rate Loans by giving the Administrative Agent prior irrevocable notice, substantially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of such election no later than the time that a Borrowing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1" w:name="page212"/>
    <w:bookmarkEnd w:id="211"/>
    <w:p>
      <w:pPr>
        <w:jc w:val="both"/>
        <w:ind w:left="180" w:right="199"/>
        <w:spacing w:after="0" w:line="248" w:lineRule="auto"/>
        <w:rPr>
          <w:sz w:val="20"/>
          <w:szCs w:val="20"/>
          <w:color w:val="auto"/>
        </w:rPr>
      </w:pPr>
      <w:r>
        <w:rPr>
          <w:rFonts w:ascii="Times New Roman" w:cs="Times New Roman" w:eastAsia="Times New Roman" w:hAnsi="Times New Roman"/>
          <w:sz w:val="21"/>
          <w:szCs w:val="21"/>
          <w:color w:val="auto"/>
        </w:rPr>
        <w:t xml:space="preserve">Request would be required under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if the Borrower were requesting a borrowing of the Type resulting from such election to be made on the effective date of such election (which notice shall specify the length of the initial Interest Period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ABR Loan may be converted into a Term SOFR Rate Loan when any Event of Default has occurred and is continuing and the Administrative Agent or the Required Lenders have determined in its or their sole discretion (by prior written notice to the Borrower) not to permit such conversions. Upon receipt of any such notice the Administrative Agent shall promptly notify each relevant Lender thereof.</w:t>
      </w:r>
    </w:p>
    <w:p>
      <w:pPr>
        <w:spacing w:after="0" w:line="170" w:lineRule="exact"/>
        <w:rPr>
          <w:sz w:val="20"/>
          <w:szCs w:val="20"/>
          <w:color w:val="auto"/>
        </w:rPr>
      </w:pPr>
    </w:p>
    <w:p>
      <w:pPr>
        <w:ind w:left="180" w:right="199" w:firstLine="1300"/>
        <w:spacing w:after="0" w:line="233" w:lineRule="auto"/>
        <w:tabs>
          <w:tab w:leader="none" w:pos="213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any Term SOFR Rate Loan may be continued as such upon the expiration of the then current Interest Period with respect thereto by the Borrower giving irrevocable notice, substantially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the Administrative Agent, in accordance with the applicable provisions of the term “Interest Period”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length of the next Interest Period to be applicable to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Term SOFR Rate Loan may be continued as such when any Event of Default has occurred and is continuing and the Administrative Agent has or the Required Lenders have determined in its or their sole discretion (by prior written notice to the Borrower) not to permit such continuations,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provides any loan request related to a Loan at the Term SOFR Rate Option but fails to identify an Interest Period therefor, such loan request shall be deemed to request an Interest Period of one (1) month. Any loan request that fails to specify between the Term SOFR Rate Option and the ABR Option shall be deemed to be a request for the ABR Option.</w:t>
      </w:r>
    </w:p>
    <w:p>
      <w:pPr>
        <w:spacing w:after="0" w:line="177" w:lineRule="exact"/>
        <w:rPr>
          <w:sz w:val="20"/>
          <w:szCs w:val="20"/>
          <w:color w:val="auto"/>
        </w:rPr>
      </w:pPr>
    </w:p>
    <w:p>
      <w:pPr>
        <w:ind w:left="180" w:right="3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Limitations on Tranches of Term SOFR Rate Loans</w:t>
      </w:r>
      <w:r>
        <w:rPr>
          <w:rFonts w:ascii="Times New Roman" w:cs="Times New Roman" w:eastAsia="Times New Roman" w:hAnsi="Times New Roman"/>
          <w:sz w:val="22"/>
          <w:szCs w:val="22"/>
          <w:color w:val="auto"/>
        </w:rPr>
        <w:t>. Notwithstanding anything to the contrary in this Agreement, all borrowings, conversions and continuations of Term SOFR Rate Loans and all selections of Interest Periods shall be in such amounts and be made pursuant to such elections so that, (a) after giving effect thereto, the aggregate principal amount of the Term SOFR Rate Loans comprising each Borrowing Tranche of Term SOFR Rate Loans shall be equal to $1,000,000 or a whole multiple of $100,000 in excess thereof and (b) no more than eight (8) Borrowing Tranches of Term SOFR Rate Loans shall be outstanding at any one time.</w:t>
      </w:r>
    </w:p>
    <w:p>
      <w:pPr>
        <w:spacing w:after="0" w:line="18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Interest Rates and Payment Dates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9" w:lineRule="auto"/>
        <w:tabs>
          <w:tab w:leader="none" w:pos="212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Term SOFR Rate Loan shall bear interest for each day during each Interest Period with respect thereto at a rate per annum equal to the Term SOFR Rate determined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with respect to Term SOFR Rate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ABR Loan shall bear interest at a rate per annum equal to the ABR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with respect to ABR Loans.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2" w:name="page213"/>
    <w:bookmarkEnd w:id="212"/>
    <w:p>
      <w:pPr>
        <w:jc w:val="both"/>
        <w:ind w:left="180" w:right="199" w:firstLine="1300"/>
        <w:spacing w:after="0" w:line="236" w:lineRule="auto"/>
        <w:tabs>
          <w:tab w:leader="none" w:pos="212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Loans, the rate that would otherwise be applicable thereto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or (ii) in the case of any other amount owed hereunder (including interest of any Loan), the rate then applicable to ABR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shall be payable in arrears on each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interest accruing pursuant to paragraph (c) of this Section shall be payable from time to time on demand.</w:t>
      </w:r>
    </w:p>
    <w:p>
      <w:pPr>
        <w:spacing w:after="0" w:line="17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Computation of Interest and Fees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3" w:lineRule="auto"/>
        <w:tabs>
          <w:tab w:leader="none" w:pos="21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and fees payable pursuant hereto shall be calculated on the basis of a 360-day year for the actual days elapsed, except that, with respect to ABR Loans, the interest thereon shall be calculated on the basis of a 365- (or 366-, as the case may be) day year for the actual days elapsed; provided that, unless the Swing Line Lender shall have provided any notice pursuant to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interest on Swing Line Loans shall be computed in accordance with the foregoing or as otherwise provided in the applicable Cash Management Agreement, and in each case shall be payable for the actual number of days elapsed (including the first day but excluding the last day). The Administrative Agent shall as soon as practicable notify the Borrower and the relevant Lenders of each determination of a Term SOFR Rate.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 w:right="7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Inability to Determine Interest Rate</w:t>
      </w:r>
      <w:r>
        <w:rPr>
          <w:rFonts w:ascii="Times New Roman" w:cs="Times New Roman" w:eastAsia="Times New Roman" w:hAnsi="Times New Roman"/>
          <w:sz w:val="22"/>
          <w:szCs w:val="22"/>
          <w:color w:val="auto"/>
        </w:rPr>
        <w:t xml:space="preserve">. Except in connection with a Benchmark Transition Event, which is addressed by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if at any time:</w:t>
      </w:r>
    </w:p>
    <w:p>
      <w:pPr>
        <w:spacing w:after="0" w:line="158" w:lineRule="exact"/>
        <w:rPr>
          <w:sz w:val="20"/>
          <w:szCs w:val="20"/>
          <w:color w:val="auto"/>
        </w:rPr>
      </w:pPr>
    </w:p>
    <w:p>
      <w:pPr>
        <w:jc w:val="both"/>
        <w:ind w:left="180" w:right="199" w:firstLine="1300"/>
        <w:spacing w:after="0" w:line="244" w:lineRule="auto"/>
        <w:tabs>
          <w:tab w:leader="none" w:pos="212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determined (which determination shall be conclusive and binding upon the Borrower) that the Term SOFR Rate cannot be determined pursuant to the definition thereof, or</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48" w:lineRule="auto"/>
        <w:tabs>
          <w:tab w:leader="none" w:pos="213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notice from the Required Lenders that the Term SOFR Rate determined or to be determined for such Interest Period will not adequately and fairly reflect the cost to such Lenders (as conclusively certified by such Lenders) of funding, establishing or maintaining their affected Loans during such Interest Period, the Administrative Agent shall give email or telephonic notice thereof to the Borrower and the relevant Lenders as soon as practicable thereafter. If such notice is given (x) any Term SOFR Rate Loans requested to be made on the first day of such Interest Period shall be made as ABR Loans, (y) any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3" w:name="page214"/>
    <w:bookmarkEnd w:id="213"/>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Loans that were to have been converted on the first day of such Interest Period to Term SOFR Rate Loans shall be continued as ABR Loans and (z) any outstanding Term SOFR Rate Loans shall be converted, on the last day of the then-current Interest Period, to ABR Loans. Until such notice has been withdrawn by the Administrative Agent, no further Term SOFR Rate Loans shall be made or continued as such, nor shall the Borrower have the right to convert Loans to Term SOFR Rate Loans.</w:t>
      </w:r>
    </w:p>
    <w:p>
      <w:pPr>
        <w:spacing w:after="0" w:line="181"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Pro Rata Treatment and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4" w:lineRule="auto"/>
        <w:tabs>
          <w:tab w:leader="none" w:pos="212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of Revolving Loans by the Borrower from the Lenders hereunder and any reduction of the Revolving Commitments of the Lenders shall be made pro rata according to the respective Revolving Percentage of the relevant Lenders.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according to the respective outstanding principal amounts of the Revolving Loans then held by the Lenders.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2" w:lineRule="auto"/>
        <w:tabs>
          <w:tab w:leader="none" w:pos="212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(including prepayments) to be made by the Borrower hereunder, whether on account of principal, interest, fees or otherwise, shall be made without setoff or counterclaim and shall be made prior to the time required hereunder for such payment (or, if no such time is expressly required, prior to 1:00 P.M.,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If any payment hereunder (other than payments on the Term SOFR Rate Loans) becomes due and payable on a day other than a Business Day, such payment shall be extended to the next succeeding Business Day. If any payment on a Term SOFR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1"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3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Overnight Bank Funding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4" w:name="page215"/>
    <w:bookmarkEnd w:id="214"/>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 xml:space="preserve">available to the Administrative Agent by such Lender within three Business Days after such Borrowing Date, the Administrative Agent shall also be entitled to recover such amount with interest thereon at the rate per annum applicable to ABR Loans, on demand, from the Borrower (which payment shall not constitute a prepayment for purposes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nor shall it constitute a waiver of, or otherwise adversely affect, the Borrower’s rights against such Lender).</w:t>
      </w:r>
    </w:p>
    <w:p>
      <w:pPr>
        <w:spacing w:after="0" w:line="177" w:lineRule="exact"/>
        <w:rPr>
          <w:sz w:val="20"/>
          <w:szCs w:val="20"/>
          <w:color w:val="auto"/>
        </w:rPr>
      </w:pPr>
    </w:p>
    <w:p>
      <w:pPr>
        <w:jc w:val="both"/>
        <w:ind w:left="180" w:right="199" w:firstLine="1300"/>
        <w:spacing w:after="0" w:line="245" w:lineRule="auto"/>
        <w:tabs>
          <w:tab w:leader="none" w:pos="212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Overnight Bank Funding Rate. Nothing herein shall be deemed to limit the rights of the Administrative Agent or any Lender against the Borrower.</w:t>
      </w:r>
    </w:p>
    <w:p>
      <w:pPr>
        <w:spacing w:after="0" w:line="177"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Requirements of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9" w:lineRule="auto"/>
        <w:tabs>
          <w:tab w:leader="none" w:pos="212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80" w:lineRule="exact"/>
        <w:rPr>
          <w:rFonts w:ascii="Times New Roman" w:cs="Times New Roman" w:eastAsia="Times New Roman" w:hAnsi="Times New Roman"/>
          <w:sz w:val="22"/>
          <w:szCs w:val="22"/>
          <w:color w:val="auto"/>
        </w:rPr>
      </w:pPr>
    </w:p>
    <w:p>
      <w:pPr>
        <w:ind w:left="840" w:right="299" w:firstLine="1288"/>
        <w:spacing w:after="0" w:line="238" w:lineRule="auto"/>
        <w:tabs>
          <w:tab w:leader="none" w:pos="2799"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rFonts w:ascii="Times New Roman" w:cs="Times New Roman" w:eastAsia="Times New Roman" w:hAnsi="Times New Roman"/>
          <w:sz w:val="22"/>
          <w:szCs w:val="22"/>
          <w:color w:val="auto"/>
        </w:rPr>
      </w:pPr>
    </w:p>
    <w:p>
      <w:pPr>
        <w:jc w:val="both"/>
        <w:ind w:left="840" w:right="199" w:firstLine="1288"/>
        <w:spacing w:after="0" w:line="239" w:lineRule="auto"/>
        <w:tabs>
          <w:tab w:leader="none" w:pos="283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modify or deem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Lender; or</w:t>
      </w:r>
    </w:p>
    <w:p>
      <w:pPr>
        <w:spacing w:after="0" w:line="180" w:lineRule="exact"/>
        <w:rPr>
          <w:rFonts w:ascii="Times New Roman" w:cs="Times New Roman" w:eastAsia="Times New Roman" w:hAnsi="Times New Roman"/>
          <w:sz w:val="22"/>
          <w:szCs w:val="22"/>
          <w:color w:val="auto"/>
        </w:rPr>
      </w:pPr>
    </w:p>
    <w:p>
      <w:pPr>
        <w:ind w:left="840" w:right="399" w:firstLine="1288"/>
        <w:spacing w:after="0" w:line="244" w:lineRule="auto"/>
        <w:tabs>
          <w:tab w:leader="none" w:pos="285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on such Person or the relevant market any other condition, cost or expense (other than any Taxes) affecting this Agreement or Loans made by such Lender or participation therein;</w:t>
      </w:r>
    </w:p>
    <w:p>
      <w:pPr>
        <w:spacing w:after="0" w:line="173" w:lineRule="exact"/>
        <w:rPr>
          <w:sz w:val="20"/>
          <w:szCs w:val="20"/>
          <w:color w:val="auto"/>
        </w:rPr>
      </w:pPr>
    </w:p>
    <w:p>
      <w:pPr>
        <w:ind w:left="180" w:right="199"/>
        <w:spacing w:after="0" w:line="235" w:lineRule="auto"/>
        <w:rPr>
          <w:sz w:val="20"/>
          <w:szCs w:val="20"/>
          <w:color w:val="auto"/>
        </w:rPr>
      </w:pPr>
      <w:r>
        <w:rPr>
          <w:rFonts w:ascii="Times New Roman" w:cs="Times New Roman" w:eastAsia="Times New Roman" w:hAnsi="Times New Roman"/>
          <w:sz w:val="22"/>
          <w:szCs w:val="22"/>
          <w:color w:val="auto"/>
        </w:rPr>
        <w:t xml:space="preserve">and the result of any of the foregoing is to increase the cost to such Person, by an amount that such Person deems to be material, of making, converting into, continuing or maintaining Loans or participating in Swing Line Loans, or to reduce any amount receivable hereunder in respect thereof, then, in any such case, the Borrower shall pay such Person, within thirty (30) days of its request, any additional amounts necessary to compensate such Person for such increased cost or reduced amount receivable;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of any change any Requirement of Law imposing a reserve percentage on any interest rate based on SOFR, the Administrative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5" w:name="page216"/>
    <w:bookmarkEnd w:id="215"/>
    <w:p>
      <w:pPr>
        <w:ind w:left="180" w:right="419"/>
        <w:spacing w:after="0" w:line="238" w:lineRule="auto"/>
        <w:rPr>
          <w:sz w:val="20"/>
          <w:szCs w:val="20"/>
          <w:color w:val="auto"/>
        </w:rPr>
      </w:pPr>
      <w:r>
        <w:rPr>
          <w:rFonts w:ascii="Times New Roman" w:cs="Times New Roman" w:eastAsia="Times New Roman" w:hAnsi="Times New Roman"/>
          <w:sz w:val="22"/>
          <w:szCs w:val="22"/>
          <w:color w:val="auto"/>
        </w:rPr>
        <w:t>Agent, in its reasonable discretion, may modify the calculation of each such SOFR-based interest rate to add (or otherwise account for) such reserve percentage. If such Person becomes entitled to claim any additional amounts pursuant to this paragraph, such Person shall promptly notify the Borrower (with a copy to the Administrative Agent) of the event by reason of which such Person has become so entitled.</w:t>
      </w:r>
    </w:p>
    <w:p>
      <w:pPr>
        <w:spacing w:after="0" w:line="177" w:lineRule="exact"/>
        <w:rPr>
          <w:sz w:val="20"/>
          <w:szCs w:val="20"/>
          <w:color w:val="auto"/>
        </w:rPr>
      </w:pPr>
    </w:p>
    <w:p>
      <w:pPr>
        <w:jc w:val="both"/>
        <w:ind w:left="180" w:right="199" w:firstLine="1300"/>
        <w:spacing w:after="0" w:line="233" w:lineRule="auto"/>
        <w:tabs>
          <w:tab w:leader="none" w:pos="213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have determined that the adoption of or any change in any Requirement of Law regarding capital adequacy or liquidity requirement or in the interpretation or application thereof or compliance by such Lender or any corporation controlling such Lender with any request or directive regarding capital adequacy or liquidity requirement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requirement) by an amount deemed by such Lender to be material, then from time to time, after submission by such Lender to the Borrower (with a copy to the Administrative Agent) of a written request therefor, the Borrower shall pay to such Lender, within thirty (30) days of such request, such additional amount or amounts as will compensate such Lender or such corporation for such reduction.</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45" w:lineRule="auto"/>
        <w:tabs>
          <w:tab w:leader="none" w:pos="212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request by a Person shall be accompanied with a certificate as to any additional amounts payable pursuant to this Section submitted by any Lender to the Borrower (with a copy to the Administrative Agent) setting forth in reasonable detail the basis and calculation of such amount which certificate shall be conclusive in the absence of manifest error. Notwithstanding anything to the contrary in this Section, the Borrower shall not be required to compensate any Person pursuant to this Section for any amounts incurred more than 180 days prior to the date that such Person notifies the Borrower of such Person’s intention to claim compensation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circumstances giving rise to such claim have a retroactive effect, then such 180 day period shall be extended to include the period of such retroactive effect. The obligations of the Borrower pursuant to this Section shall survive the termination of this Agreement and the payment of the Loans and all other amounts payable hereunder.</w:t>
      </w:r>
    </w:p>
    <w:p>
      <w:pPr>
        <w:spacing w:after="0" w:line="177"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133"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if any Lender shall notify the Agent that the introduction of or any change in or in the interpretation of any law or regulation makes it unlawful or impracticable, or any central bank or other governmental authority asserts or any Lender shall have determined that it is unlawful, for any Lender or its lending office to perform its obligations hereunder to make Term SOFR Rate Loans or to fund or maintain Term SOFR Rate Loans hereunder, (i) each Term SOFR Rate Loan will automatically, upon such demand, convert into a ABR Loan and (ii) the obligation of the Lenders to make Term SOFR Rate Loans or to convert Loans into Term SOFR Rate Loans shall be suspended until the Administrative Agent shall notify the Borrower and the Lenders that the circumstances causing such suspension no longer exist;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before making any such demand, each Lender agrees to use reasonable efforts (consistent with its internal policy and legal and regulatory restrictions) to designate a different lending office if the making of such a designation would allow such Lender or its lending office to continue to perform its obligations to continue to fund or maintain Term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6" w:name="page217"/>
    <w:bookmarkEnd w:id="216"/>
    <w:p>
      <w:pPr>
        <w:ind w:left="180" w:right="199"/>
        <w:spacing w:after="0" w:line="258" w:lineRule="auto"/>
        <w:rPr>
          <w:sz w:val="20"/>
          <w:szCs w:val="20"/>
          <w:color w:val="auto"/>
        </w:rPr>
      </w:pPr>
      <w:r>
        <w:rPr>
          <w:rFonts w:ascii="Times New Roman" w:cs="Times New Roman" w:eastAsia="Times New Roman" w:hAnsi="Times New Roman"/>
          <w:sz w:val="22"/>
          <w:szCs w:val="22"/>
          <w:color w:val="auto"/>
        </w:rPr>
        <w:t>SOFR Rate Loans and would not, in the judgment of such Lender, subject such Lender to any unreimbursed cost or expense or otherwise be disadvantageous to such Lender.</w:t>
      </w:r>
    </w:p>
    <w:p>
      <w:pPr>
        <w:spacing w:after="0" w:line="15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3" w:lineRule="auto"/>
        <w:tabs>
          <w:tab w:leader="none" w:pos="212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made by or on account of any obligation of any Loan Party with respect to any obligation under this Agreement or any other Loan Document shall, unless required by applicable law, be made free and clear of, and without deduction or withholding for or on account of, any Taxes.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amounts so payable by the Borrower to the applicable Recipient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shall timely pay any Other Taxes to the relevant Governmental Authority in accordance with applicable law, or, at the option of the Administrative Agent, timely reimburse it for any Other Taxes.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2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any Taxes are payable by the Borrower to a Governmental Authority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as promptly as practicable thereafter the Borrower shall send to the Administrative Agent for its own account or for the account of the relevant Lender, as the case may be, a certified copy of an original official receipt received by the Borrower showing payment thereof or other evidence of such payment reasonably satisfactory to the Administrative Agent.</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7" w:lineRule="exact"/>
        <w:tabs>
          <w:tab w:leader="none" w:pos="213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paragraph (e) of this Section, each Lender (or Transferee) that is not a “United States person” as defined in Section 7701(a)(30) of the Code (a “</w:t>
      </w:r>
      <w:r>
        <w:rPr>
          <w:rFonts w:ascii="Times New Roman" w:cs="Times New Roman" w:eastAsia="Times New Roman" w:hAnsi="Times New Roman"/>
          <w:sz w:val="21"/>
          <w:szCs w:val="21"/>
          <w:u w:val="single" w:color="auto"/>
          <w:color w:val="auto"/>
        </w:rPr>
        <w:t>Non-U.S. Lender</w:t>
      </w:r>
      <w:r>
        <w:rPr>
          <w:rFonts w:ascii="Times New Roman" w:cs="Times New Roman" w:eastAsia="Times New Roman" w:hAnsi="Times New Roman"/>
          <w:sz w:val="21"/>
          <w:szCs w:val="21"/>
          <w:color w:val="auto"/>
        </w:rPr>
        <w:t>”) shall deliver to the Borrower and the Administrative Agent (or, in the case of a Participant, to the Lender from which the related participation shall have been purchased), on or before it becomes a party hereto or a Transferee hereunder, and from time to time thereafter as required by applicable law or as reasonably requested by the Borrower or the Administrative Agent, (i) two properly completed and duly executed copies of whichever of the following forms are relevant,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8IMY or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8ECI (or any successor form), (ii)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21"/>
          <w:szCs w:val="21"/>
          <w:u w:val="single" w:color="auto"/>
          <w:color w:val="auto"/>
        </w:rPr>
        <w:t>Exhibit E-1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E-2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E-3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E-4</w:t>
      </w:r>
      <w:r>
        <w:rPr>
          <w:rFonts w:ascii="Times New Roman" w:cs="Times New Roman" w:eastAsia="Times New Roman" w:hAnsi="Times New Roman"/>
          <w:sz w:val="21"/>
          <w:szCs w:val="21"/>
          <w:color w:val="auto"/>
        </w:rPr>
        <w:t>, as applicable, and the applicable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 or any subsequent versions thereof or successors thereto, properly completed and duly executed by such Non-U.S. Lender claiming complete exemption from, or a reduced rate of, U.S. federal withholding Tax on all payments under this Agreement and the other Loan Documents, or (iii) any other form prescribed by applicable requirements of U.S. federal income Tax law as a basis for claiming exemption from or a reduction in U.S. federal withholding Tax duly completed together with such supplementary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7" w:name="page218"/>
    <w:bookmarkEnd w:id="217"/>
    <w:p>
      <w:pPr>
        <w:jc w:val="both"/>
        <w:ind w:left="180" w:right="199"/>
        <w:spacing w:after="0" w:line="243" w:lineRule="auto"/>
        <w:rPr>
          <w:sz w:val="20"/>
          <w:szCs w:val="20"/>
          <w:color w:val="auto"/>
        </w:rPr>
      </w:pPr>
      <w:r>
        <w:rPr>
          <w:rFonts w:ascii="Times New Roman" w:cs="Times New Roman" w:eastAsia="Times New Roman" w:hAnsi="Times New Roman"/>
          <w:sz w:val="21"/>
          <w:szCs w:val="21"/>
          <w:color w:val="auto"/>
        </w:rPr>
        <w:t>documentation as may be prescribed by applicable requirements of law to permit the Borrower and the Administrative Agent to determine the withholding or deduction required to be made. Such forms shall be delivered by each Non-U.S. Lender on or before the date it becomes a party to this Agreement (or, in the case of any Participant, on or before the date such Participant purchases the related participation). Notwithstanding anything to the contrary in the preceding sentence, the completion, execution and submission of such documentation described in clause (iii) above shall not be required if in the Non-U.S. Lender’s reasonable judgment such completion, execution or submission would subject such Non-U.S. Lender to any material unreimbursed cost or expense or would materially prejudice the legal or commercial position of such Non-U.S. Lender.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 Each Lender that is a “United States person,” as defined in Section 7701(a)(30) of the Code, shall deliver to the Borrower and the Administrative Agent on or before it becomes a party hereto or a Transferee hereunder, and from time to time thereafter as prescribed by applicable law or reasonably requested by the Borrower or the Administrative Agent, two accurate, complete, and signed originals of IRS Form W-9 certifying that such Lender is exempt from U.S. federal backup withholding Tax, and such Lender shall promptly notify the Borrower and the Administrative Agent at any time such Lender determines that it is no longer in a position to provide such form and certification.</w:t>
      </w:r>
    </w:p>
    <w:p>
      <w:pPr>
        <w:spacing w:after="0" w:line="181" w:lineRule="exact"/>
        <w:rPr>
          <w:sz w:val="20"/>
          <w:szCs w:val="20"/>
          <w:color w:val="auto"/>
        </w:rPr>
      </w:pPr>
    </w:p>
    <w:p>
      <w:pPr>
        <w:jc w:val="both"/>
        <w:ind w:left="180" w:right="199" w:firstLine="1300"/>
        <w:spacing w:after="0" w:line="233" w:lineRule="auto"/>
        <w:tabs>
          <w:tab w:leader="none" w:pos="212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under the law of any applicable jurisdiction with respect to payments under any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or reasonably requested by the Borrower or Administrative Agent as will permit such payments to be made without withholding or at a reduced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is legally entitled to complete, execute and deliver such documentation and in such Lender’s reasonable judgment such completion, execution or submission would not materially prejudice the legal or commercial position of such Lender.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13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(including by payment of additional amounts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it shall pay over such refund to the indemnifying party within thirty (30) days of receipt of such refund (but only to the extent of indemnity payments made, or additional amounts paid, under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with respect to such Taxes giving rise to such refund), net of all out-of-pocket expenses (including Taxes) of such indemnified party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indemnifying party, upon the request of such indemnified party, agrees to repay to such indemnified party within thirty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8" w:name="page219"/>
    <w:bookmarkEnd w:id="218"/>
    <w:p>
      <w:pPr>
        <w:jc w:val="both"/>
        <w:ind w:left="180" w:right="199" w:firstLine="4"/>
        <w:spacing w:after="0" w:line="233" w:lineRule="auto"/>
        <w:tabs>
          <w:tab w:leader="none" w:pos="60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request, the amount paid over pursuant to this paragraph (f) (plus any penalties, interest or other charges imposed by the relevant Governmental Authority) in the event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which it deems confidential) to the indemnifying party or any other Person.</w:t>
      </w:r>
    </w:p>
    <w:p>
      <w:pPr>
        <w:spacing w:after="0" w:line="184"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133"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indemnify each Recipient, within thirty (30)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not be obligated to make an indemnity payment under this </w:t>
      </w:r>
      <w:r>
        <w:rPr>
          <w:rFonts w:ascii="Times New Roman" w:cs="Times New Roman" w:eastAsia="Times New Roman" w:hAnsi="Times New Roman"/>
          <w:sz w:val="21"/>
          <w:szCs w:val="21"/>
          <w:u w:val="single" w:color="auto"/>
          <w:color w:val="auto"/>
        </w:rPr>
        <w:t>Section 2.14(g)</w:t>
      </w:r>
      <w:r>
        <w:rPr>
          <w:rFonts w:ascii="Times New Roman" w:cs="Times New Roman" w:eastAsia="Times New Roman" w:hAnsi="Times New Roman"/>
          <w:sz w:val="21"/>
          <w:szCs w:val="21"/>
          <w:color w:val="auto"/>
        </w:rPr>
        <w:t xml:space="preserve"> in respect of penalties, interest, and other additions to tax attributable to any Indemnified Taxes if such penalties, interest, or additions to tax are attributable to the gross negligence or willful misconduct of the Administrative Agent or such Lender, as the case may be. In the case of any Lender making a claim under this </w:t>
      </w:r>
      <w:r>
        <w:rPr>
          <w:rFonts w:ascii="Times New Roman" w:cs="Times New Roman" w:eastAsia="Times New Roman" w:hAnsi="Times New Roman"/>
          <w:sz w:val="21"/>
          <w:szCs w:val="21"/>
          <w:u w:val="single" w:color="auto"/>
          <w:color w:val="auto"/>
        </w:rPr>
        <w:t>Section 2.14(g)</w:t>
      </w:r>
      <w:r>
        <w:rPr>
          <w:rFonts w:ascii="Times New Roman" w:cs="Times New Roman" w:eastAsia="Times New Roman" w:hAnsi="Times New Roman"/>
          <w:sz w:val="21"/>
          <w:szCs w:val="21"/>
          <w:color w:val="auto"/>
        </w:rPr>
        <w:t xml:space="preserve"> on behalf of any Participant who is the beneficial owner of such claim, an indemnity payment under this </w:t>
      </w:r>
      <w:r>
        <w:rPr>
          <w:rFonts w:ascii="Times New Roman" w:cs="Times New Roman" w:eastAsia="Times New Roman" w:hAnsi="Times New Roman"/>
          <w:sz w:val="21"/>
          <w:szCs w:val="21"/>
          <w:u w:val="single" w:color="auto"/>
          <w:color w:val="auto"/>
        </w:rPr>
        <w:t>Section 2.14(g)</w:t>
      </w:r>
      <w:r>
        <w:rPr>
          <w:rFonts w:ascii="Times New Roman" w:cs="Times New Roman" w:eastAsia="Times New Roman" w:hAnsi="Times New Roman"/>
          <w:sz w:val="21"/>
          <w:szCs w:val="21"/>
          <w:color w:val="auto"/>
        </w:rPr>
        <w:t xml:space="preserve"> shall be due only to the extent that such Lender is able to establish that, with respect to the applicable Indemnified Taxes, such beneficial owner supplied to the applicable Persons such properly completed and executed documentation as necessary to claim any applicable exemption from, or reduction of, such Indemnified Taxes.</w:t>
      </w:r>
    </w:p>
    <w:p>
      <w:pPr>
        <w:spacing w:after="0" w:line="188" w:lineRule="exact"/>
        <w:rPr>
          <w:rFonts w:ascii="Times New Roman" w:cs="Times New Roman" w:eastAsia="Times New Roman" w:hAnsi="Times New Roman"/>
          <w:sz w:val="21"/>
          <w:szCs w:val="21"/>
          <w:color w:val="auto"/>
        </w:rPr>
      </w:pPr>
    </w:p>
    <w:p>
      <w:pPr>
        <w:ind w:left="2140" w:hanging="660"/>
        <w:spacing w:after="0"/>
        <w:tabs>
          <w:tab w:leader="none" w:pos="214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ten</w:t>
      </w:r>
    </w:p>
    <w:p>
      <w:pPr>
        <w:spacing w:after="0" w:line="25" w:lineRule="exact"/>
        <w:rPr>
          <w:rFonts w:ascii="Times New Roman" w:cs="Times New Roman" w:eastAsia="Times New Roman" w:hAnsi="Times New Roman"/>
          <w:sz w:val="21"/>
          <w:szCs w:val="21"/>
          <w:color w:val="auto"/>
        </w:rPr>
      </w:pPr>
    </w:p>
    <w:p>
      <w:pPr>
        <w:jc w:val="both"/>
        <w:ind w:left="180" w:right="199" w:firstLine="4"/>
        <w:spacing w:after="0" w:line="231" w:lineRule="auto"/>
        <w:tabs>
          <w:tab w:leader="none" w:pos="59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demand therefor, for (i) any Taxes attributable to such Lender (but only to the extent that the Borrower has not already indemnified the Administrative Agent for such Taxes and without limiting the obligation of the Borrower to do so) and (ii) any Taxes attributable to such Lender’s failure to comply with the provisions of </w:t>
      </w:r>
      <w:r>
        <w:rPr>
          <w:rFonts w:ascii="Times New Roman" w:cs="Times New Roman" w:eastAsia="Times New Roman" w:hAnsi="Times New Roman"/>
          <w:sz w:val="22"/>
          <w:szCs w:val="22"/>
          <w:u w:val="single" w:color="auto"/>
          <w:color w:val="auto"/>
        </w:rPr>
        <w:t>Section 10.6(c)</w:t>
      </w:r>
      <w:r>
        <w:rPr>
          <w:rFonts w:ascii="Times New Roman" w:cs="Times New Roman" w:eastAsia="Times New Roman" w:hAnsi="Times New Roman"/>
          <w:sz w:val="22"/>
          <w:szCs w:val="22"/>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9" w:name="page220"/>
    <w:bookmarkEnd w:id="219"/>
    <w:p>
      <w:pPr>
        <w:jc w:val="both"/>
        <w:ind w:left="180" w:right="199" w:firstLine="1300"/>
        <w:spacing w:after="0" w:line="233" w:lineRule="auto"/>
        <w:tabs>
          <w:tab w:leader="none" w:pos="21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Lender has or has not complied with such Lender’s obligations under FATCA and, as necessary, to determine the amount to deduct and withhold from such payment. Solely for purposes of this paragraph, “FATCA” shall include any amendments made to FATCA after the date of this Agreement.</w:t>
      </w:r>
    </w:p>
    <w:p>
      <w:pPr>
        <w:spacing w:after="0" w:line="182"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agreements in this Section shall survive the termination of this Agreement and the payment of the Loans and all other amounts payable hereunder.</w:t>
      </w:r>
    </w:p>
    <w:p>
      <w:pPr>
        <w:spacing w:after="0" w:line="158"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the term “applicable law” includes</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FATCA.</w:t>
      </w:r>
    </w:p>
    <w:p>
      <w:pPr>
        <w:spacing w:after="0" w:line="182" w:lineRule="exact"/>
        <w:rPr>
          <w:sz w:val="20"/>
          <w:szCs w:val="20"/>
          <w:color w:val="auto"/>
        </w:rPr>
      </w:pPr>
    </w:p>
    <w:p>
      <w:pPr>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The Borrower agrees to indemnify each Lender for, and to hold each Lender harmless from, any loss (other than loss of Applicable Margin) or expense that such Lender may sustain or incur as a consequence of (a) default by the Borrower in making a borrowing of, conversion into or continuation of Term SOFR Rate Loans after the Borrower has given a notice requesting the same in accordance with the provisions of this Agreement, (b) default by the Borrower in making any prepayment of or conversion from Term SOFR Rate Loans after the Borrower has given a notice thereof in accordance with the provisions of this Agreement or (c) the making of a prepayment of Term SOFR Rate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applicable interbank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184" w:lineRule="exact"/>
        <w:rPr>
          <w:sz w:val="20"/>
          <w:szCs w:val="20"/>
          <w:color w:val="auto"/>
        </w:rPr>
      </w:pPr>
    </w:p>
    <w:p>
      <w:pPr>
        <w:jc w:val="both"/>
        <w:ind w:left="180" w:right="4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Change of Lending Office</w:t>
      </w:r>
      <w:r>
        <w:rPr>
          <w:rFonts w:ascii="Times New Roman" w:cs="Times New Roman" w:eastAsia="Times New Roman" w:hAnsi="Times New Roman"/>
          <w:sz w:val="22"/>
          <w:szCs w:val="22"/>
          <w:color w:val="auto"/>
        </w:rPr>
        <w:t xml:space="preserve">. Each Lender agrees that, upon the occurrence of any event giving rise to the operation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2.14(a)</w:t>
      </w:r>
      <w:r>
        <w:rPr>
          <w:rFonts w:ascii="Times New Roman" w:cs="Times New Roman" w:eastAsia="Times New Roman" w:hAnsi="Times New Roman"/>
          <w:sz w:val="22"/>
          <w:szCs w:val="22"/>
          <w:color w:val="auto"/>
        </w:rPr>
        <w:t xml:space="preserve"> with respect to such Lender, it will, if requested by the Borrower, use reasonable efforts (subject to overall policy considerations 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0" w:name="page221"/>
    <w:bookmarkEnd w:id="220"/>
    <w:p>
      <w:pPr>
        <w:ind w:left="180" w:right="499"/>
        <w:spacing w:after="0" w:line="249" w:lineRule="auto"/>
        <w:rPr>
          <w:sz w:val="20"/>
          <w:szCs w:val="20"/>
          <w:color w:val="auto"/>
        </w:rPr>
      </w:pPr>
      <w:r>
        <w:rPr>
          <w:rFonts w:ascii="Times New Roman" w:cs="Times New Roman" w:eastAsia="Times New Roman" w:hAnsi="Times New Roman"/>
          <w:sz w:val="21"/>
          <w:szCs w:val="21"/>
          <w:color w:val="auto"/>
        </w:rPr>
        <w:t xml:space="preserve">such Lender) to designate another lending office for any Loans affected by such event with the object of avoiding the consequences of such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designation (a) would eliminate or reduce the consequences of any event giving rise to the operation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w:t>
      </w:r>
    </w:p>
    <w:p>
      <w:pPr>
        <w:spacing w:after="0" w:line="1" w:lineRule="exact"/>
        <w:rPr>
          <w:sz w:val="20"/>
          <w:szCs w:val="20"/>
          <w:color w:val="auto"/>
        </w:rPr>
      </w:pPr>
    </w:p>
    <w:p>
      <w:pPr>
        <w:ind w:left="180" w:right="279"/>
        <w:spacing w:after="0" w:line="232" w:lineRule="auto"/>
        <w:rPr>
          <w:sz w:val="20"/>
          <w:szCs w:val="20"/>
          <w:color w:val="auto"/>
        </w:rPr>
      </w:pPr>
      <w:r>
        <w:rPr>
          <w:rFonts w:ascii="Times New Roman" w:cs="Times New Roman" w:eastAsia="Times New Roman" w:hAnsi="Times New Roman"/>
          <w:sz w:val="22"/>
          <w:szCs w:val="22"/>
          <w:u w:val="single" w:color="auto"/>
          <w:color w:val="auto"/>
        </w:rPr>
        <w:t>2.14(a)</w:t>
      </w:r>
      <w:r>
        <w:rPr>
          <w:rFonts w:ascii="Times New Roman" w:cs="Times New Roman" w:eastAsia="Times New Roman" w:hAnsi="Times New Roman"/>
          <w:sz w:val="22"/>
          <w:szCs w:val="22"/>
          <w:color w:val="auto"/>
        </w:rPr>
        <w:t xml:space="preserve"> and (b) is made on terms that, in the sole judgment of such Lender, would not cause such Lender or its lending office(s) to suffer any unreimbursed cost or expense and would not otherwise be disadvantageous to such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2.14(a)</w:t>
      </w:r>
      <w:r>
        <w:rPr>
          <w:rFonts w:ascii="Times New Roman" w:cs="Times New Roman" w:eastAsia="Times New Roman" w:hAnsi="Times New Roman"/>
          <w:sz w:val="22"/>
          <w:szCs w:val="22"/>
          <w:color w:val="auto"/>
        </w:rPr>
        <w:t>. The Borrower hereby agrees to pay all reasonable costs and expenses incurred by any Lender in connection with any such designation within ten (10) days following the written request of such Lender (accompanied by reasonable (to the extent practicable) back-up documentation relating thereto).</w:t>
      </w:r>
    </w:p>
    <w:p>
      <w:pPr>
        <w:spacing w:after="0" w:line="180" w:lineRule="exact"/>
        <w:rPr>
          <w:sz w:val="20"/>
          <w:szCs w:val="20"/>
          <w:color w:val="auto"/>
        </w:rPr>
      </w:pPr>
    </w:p>
    <w:p>
      <w:pPr>
        <w:ind w:left="180" w:right="23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2.17 </w:t>
      </w: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The Borrower shall be permitted to replace any Lender that (a) requests, or any Person by or through such Lender requests, reimbursement for amounts owing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2.14(a)</w:t>
      </w:r>
      <w:r>
        <w:rPr>
          <w:rFonts w:ascii="Times New Roman" w:cs="Times New Roman" w:eastAsia="Times New Roman" w:hAnsi="Times New Roman"/>
          <w:sz w:val="21"/>
          <w:szCs w:val="21"/>
          <w:color w:val="auto"/>
        </w:rPr>
        <w:t>, (b) is a Defaulting Lender or (c) fails to give consent to any amendment, waiver or modification requiring the consent of all Lenders or all affected Lenders and as to which Lenders constituting the Required Lenders have so consented; provided that</w:t>
      </w:r>
    </w:p>
    <w:p>
      <w:pPr>
        <w:spacing w:after="0" w:line="1" w:lineRule="exact"/>
        <w:rPr>
          <w:sz w:val="20"/>
          <w:szCs w:val="20"/>
          <w:color w:val="auto"/>
        </w:rPr>
      </w:pPr>
    </w:p>
    <w:p>
      <w:pPr>
        <w:ind w:left="180" w:right="219" w:firstLine="4"/>
        <w:spacing w:after="0" w:line="241" w:lineRule="auto"/>
        <w:tabs>
          <w:tab w:leader="none" w:pos="438"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replacement does not conflict with any Requirement of Law, (ii) no Event of Default shall have occurred and be continuing at the time of such replacement, (iii) prior to any such replacement, such Lender shall have taken no action under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so as to eliminate the continued need for payment of amounts owing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2.14(a)</w:t>
      </w:r>
      <w:r>
        <w:rPr>
          <w:rFonts w:ascii="Times New Roman" w:cs="Times New Roman" w:eastAsia="Times New Roman" w:hAnsi="Times New Roman"/>
          <w:sz w:val="21"/>
          <w:szCs w:val="21"/>
          <w:color w:val="auto"/>
        </w:rPr>
        <w:t xml:space="preserve">, (iv) the replacement financial institution shall purchase, at par, all Loans and, if applicable, participations in Swing Line Loans and other amounts owing to such replaced Lender on or prior to the date of replacement, (v) the Borrower shall be liable to such replaced Lender under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if any Term SOFR Rate Loan owing to such replaced Lender shall be purchased other than on the last day of the Interest Period relating thereto, (vi) the replacement financial institution shall be reasonably satisfactory to the Administrative Agent and the Swing Line Lender, (vii) the replaced Lender shall be obligated to make such replacement in accordance with the provisions of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(provided that the Borrower shall be obligated to pay the registration and processing fee referred to therein),</w:t>
      </w:r>
    </w:p>
    <w:p>
      <w:pPr>
        <w:spacing w:after="0" w:line="6" w:lineRule="exact"/>
        <w:rPr>
          <w:rFonts w:ascii="Times New Roman" w:cs="Times New Roman" w:eastAsia="Times New Roman" w:hAnsi="Times New Roman"/>
          <w:sz w:val="21"/>
          <w:szCs w:val="21"/>
          <w:color w:val="auto"/>
        </w:rPr>
      </w:pPr>
    </w:p>
    <w:p>
      <w:pPr>
        <w:ind w:left="180" w:right="519" w:firstLine="4"/>
        <w:spacing w:after="0" w:line="241" w:lineRule="auto"/>
        <w:tabs>
          <w:tab w:leader="none" w:pos="66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such time as such replacement shall be consummated, the Borrower shall pay all additional amounts (if any) required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2.14(a)</w:t>
      </w:r>
      <w:r>
        <w:rPr>
          <w:rFonts w:ascii="Times New Roman" w:cs="Times New Roman" w:eastAsia="Times New Roman" w:hAnsi="Times New Roman"/>
          <w:sz w:val="21"/>
          <w:szCs w:val="21"/>
          <w:color w:val="auto"/>
        </w:rPr>
        <w:t>, as the case may be, and</w:t>
      </w:r>
    </w:p>
    <w:p>
      <w:pPr>
        <w:spacing w:after="0" w:line="1" w:lineRule="exact"/>
        <w:rPr>
          <w:rFonts w:ascii="Times New Roman" w:cs="Times New Roman" w:eastAsia="Times New Roman" w:hAnsi="Times New Roman"/>
          <w:sz w:val="21"/>
          <w:szCs w:val="21"/>
          <w:color w:val="auto"/>
        </w:rPr>
      </w:pPr>
    </w:p>
    <w:p>
      <w:pPr>
        <w:ind w:left="180" w:right="459" w:firstLine="4"/>
        <w:spacing w:after="0" w:line="237" w:lineRule="auto"/>
        <w:tabs>
          <w:tab w:leader="none" w:pos="54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replacement shall not be deemed to be a waiver of any rights that the Borrower, the Administrative Agent or any Lender shall have against the replaced Lender.</w:t>
      </w:r>
    </w:p>
    <w:p>
      <w:pPr>
        <w:spacing w:after="0" w:line="17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right="239" w:firstLine="1288"/>
        <w:spacing w:after="0" w:line="234" w:lineRule="auto"/>
        <w:tabs>
          <w:tab w:leader="none" w:pos="279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(and any agreement executed in connection with an interest rate hedge agreement or contract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1" w:name="page222"/>
    <w:bookmarkEnd w:id="221"/>
    <w:p>
      <w:pPr>
        <w:ind w:left="840" w:right="239"/>
        <w:spacing w:after="0" w:line="246" w:lineRule="auto"/>
        <w:rPr>
          <w:sz w:val="20"/>
          <w:szCs w:val="20"/>
          <w:color w:val="auto"/>
        </w:rPr>
      </w:pPr>
      <w:r>
        <w:rPr>
          <w:rFonts w:ascii="Times New Roman" w:cs="Times New Roman" w:eastAsia="Times New Roman" w:hAnsi="Times New Roman"/>
          <w:sz w:val="21"/>
          <w:szCs w:val="21"/>
          <w:color w:val="auto"/>
        </w:rPr>
        <w:t>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sz w:val="20"/>
          <w:szCs w:val="20"/>
          <w:color w:val="auto"/>
        </w:rPr>
      </w:pPr>
    </w:p>
    <w:p>
      <w:pPr>
        <w:ind w:left="840" w:right="259" w:firstLine="1288"/>
        <w:spacing w:after="0" w:line="249" w:lineRule="auto"/>
        <w:tabs>
          <w:tab w:leader="none" w:pos="283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0" w:lineRule="exact"/>
        <w:rPr>
          <w:rFonts w:ascii="Times New Roman" w:cs="Times New Roman" w:eastAsia="Times New Roman" w:hAnsi="Times New Roman"/>
          <w:sz w:val="21"/>
          <w:szCs w:val="21"/>
          <w:color w:val="auto"/>
        </w:rPr>
      </w:pPr>
    </w:p>
    <w:p>
      <w:pPr>
        <w:ind w:left="840" w:right="259" w:firstLine="1288"/>
        <w:spacing w:after="0" w:line="233" w:lineRule="auto"/>
        <w:tabs>
          <w:tab w:leader="none" w:pos="285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77" w:lineRule="exact"/>
        <w:rPr>
          <w:rFonts w:ascii="Times New Roman" w:cs="Times New Roman" w:eastAsia="Times New Roman" w:hAnsi="Times New Roman"/>
          <w:sz w:val="22"/>
          <w:szCs w:val="22"/>
          <w:color w:val="auto"/>
        </w:rPr>
      </w:pPr>
    </w:p>
    <w:p>
      <w:pPr>
        <w:ind w:left="840" w:right="219" w:firstLine="1288"/>
        <w:spacing w:after="0" w:line="233" w:lineRule="auto"/>
        <w:tabs>
          <w:tab w:leader="none" w:pos="28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2" w:name="page223"/>
    <w:bookmarkEnd w:id="222"/>
    <w:p>
      <w:pPr>
        <w:ind w:left="840"/>
        <w:spacing w:after="0"/>
        <w:rPr>
          <w:sz w:val="20"/>
          <w:szCs w:val="20"/>
          <w:color w:val="auto"/>
        </w:rPr>
      </w:pPr>
      <w:r>
        <w:rPr>
          <w:rFonts w:ascii="Times New Roman" w:cs="Times New Roman" w:eastAsia="Times New Roman" w:hAnsi="Times New Roman"/>
          <w:sz w:val="21"/>
          <w:szCs w:val="21"/>
          <w:color w:val="auto"/>
        </w:rPr>
        <w:t>representative tenor; and (B) if a tenor that was removed pursuant to clause (A) above either</w:t>
      </w:r>
    </w:p>
    <w:p>
      <w:pPr>
        <w:spacing w:after="0" w:line="26" w:lineRule="exact"/>
        <w:rPr>
          <w:sz w:val="20"/>
          <w:szCs w:val="20"/>
          <w:color w:val="auto"/>
        </w:rPr>
      </w:pPr>
    </w:p>
    <w:p>
      <w:pPr>
        <w:ind w:left="840" w:right="259" w:hanging="8"/>
        <w:spacing w:after="0" w:line="232" w:lineRule="auto"/>
        <w:tabs>
          <w:tab w:leader="none" w:pos="111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2" w:lineRule="exact"/>
        <w:rPr>
          <w:rFonts w:ascii="Times New Roman" w:cs="Times New Roman" w:eastAsia="Times New Roman" w:hAnsi="Times New Roman"/>
          <w:sz w:val="22"/>
          <w:szCs w:val="22"/>
          <w:color w:val="auto"/>
        </w:rPr>
      </w:pPr>
    </w:p>
    <w:p>
      <w:pPr>
        <w:ind w:left="840" w:right="319" w:firstLine="1288"/>
        <w:spacing w:after="0" w:line="233" w:lineRule="auto"/>
        <w:tabs>
          <w:tab w:leader="none" w:pos="2793"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an ABR Loan or conversion to an ABR Loan. During a Benchmark Unavailability Period or at any time that a tenor for the then-current Benchmark is not an Available Tenor, the component of the ABR based upon the then-current Benchmark or such tenor for such Benchmark, as applicable, will not be used in any determination of the ABR.</w:t>
      </w:r>
    </w:p>
    <w:p>
      <w:pPr>
        <w:spacing w:after="0" w:line="187" w:lineRule="exact"/>
        <w:rPr>
          <w:rFonts w:ascii="Times New Roman" w:cs="Times New Roman" w:eastAsia="Times New Roman" w:hAnsi="Times New Roman"/>
          <w:sz w:val="22"/>
          <w:szCs w:val="22"/>
          <w:color w:val="auto"/>
        </w:rPr>
      </w:pPr>
    </w:p>
    <w:p>
      <w:pPr>
        <w:ind w:left="2840" w:hanging="712"/>
        <w:spacing w:after="0"/>
        <w:tabs>
          <w:tab w:leader="none" w:pos="284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Section:</w:t>
      </w:r>
    </w:p>
    <w:p>
      <w:pPr>
        <w:spacing w:after="0" w:line="206" w:lineRule="exact"/>
        <w:rPr>
          <w:sz w:val="20"/>
          <w:szCs w:val="20"/>
          <w:color w:val="auto"/>
        </w:rPr>
      </w:pPr>
    </w:p>
    <w:p>
      <w:pPr>
        <w:ind w:left="1480" w:right="25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83" w:lineRule="exact"/>
        <w:rPr>
          <w:sz w:val="20"/>
          <w:szCs w:val="20"/>
          <w:color w:val="auto"/>
        </w:rPr>
      </w:pPr>
    </w:p>
    <w:p>
      <w:pPr>
        <w:ind w:left="148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SOFR and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77" w:lineRule="exact"/>
        <w:rPr>
          <w:sz w:val="20"/>
          <w:szCs w:val="20"/>
          <w:color w:val="auto"/>
        </w:rPr>
      </w:pPr>
    </w:p>
    <w:p>
      <w:pPr>
        <w:ind w:left="1480" w:right="25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first alternative set forth in the order below that can be determined by the Administrative Agent for the applicable Benchmark Replacement Date:</w:t>
      </w:r>
    </w:p>
    <w:p>
      <w:pPr>
        <w:spacing w:after="0" w:line="180" w:lineRule="exact"/>
        <w:rPr>
          <w:sz w:val="20"/>
          <w:szCs w:val="20"/>
          <w:color w:val="auto"/>
        </w:rPr>
      </w:pPr>
    </w:p>
    <w:p>
      <w:pPr>
        <w:ind w:left="3440" w:hanging="664"/>
        <w:spacing w:after="0"/>
        <w:tabs>
          <w:tab w:leader="none" w:pos="34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SOFR</w:t>
      </w:r>
    </w:p>
    <w:p>
      <w:pPr>
        <w:spacing w:after="0" w:line="14" w:lineRule="exact"/>
        <w:rPr>
          <w:rFonts w:ascii="Times New Roman" w:cs="Times New Roman" w:eastAsia="Times New Roman" w:hAnsi="Times New Roman"/>
          <w:sz w:val="22"/>
          <w:szCs w:val="22"/>
          <w:color w:val="auto"/>
        </w:rPr>
      </w:pPr>
    </w:p>
    <w:p>
      <w:pPr>
        <w:ind w:left="2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Adjustment; or</w:t>
      </w:r>
    </w:p>
    <w:p>
      <w:pPr>
        <w:spacing w:after="0" w:line="182" w:lineRule="exact"/>
        <w:rPr>
          <w:rFonts w:ascii="Times New Roman" w:cs="Times New Roman" w:eastAsia="Times New Roman" w:hAnsi="Times New Roman"/>
          <w:sz w:val="22"/>
          <w:szCs w:val="22"/>
          <w:color w:val="auto"/>
        </w:rPr>
      </w:pPr>
    </w:p>
    <w:p>
      <w:pPr>
        <w:ind w:left="2120" w:right="639" w:firstLine="656"/>
        <w:spacing w:after="0" w:line="261" w:lineRule="auto"/>
        <w:tabs>
          <w:tab w:leader="none" w:pos="342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giving due consideration to (x) any selection or recommendation of a replacement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3" w:name="page224"/>
    <w:bookmarkEnd w:id="223"/>
    <w:p>
      <w:pPr>
        <w:ind w:left="2120" w:right="219"/>
        <w:spacing w:after="0" w:line="238" w:lineRule="auto"/>
        <w:rPr>
          <w:sz w:val="20"/>
          <w:szCs w:val="20"/>
          <w:color w:val="auto"/>
        </w:rPr>
      </w:pPr>
      <w:r>
        <w:rPr>
          <w:rFonts w:ascii="Times New Roman" w:cs="Times New Roman" w:eastAsia="Times New Roman" w:hAnsi="Times New Roman"/>
          <w:sz w:val="22"/>
          <w:szCs w:val="22"/>
          <w:color w:val="auto"/>
        </w:rPr>
        <w:t>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77" w:lineRule="exact"/>
        <w:rPr>
          <w:sz w:val="20"/>
          <w:szCs w:val="20"/>
          <w:color w:val="auto"/>
        </w:rPr>
      </w:pPr>
    </w:p>
    <w:p>
      <w:pPr>
        <w:ind w:left="2120" w:right="25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Benchmark Replacement shall be administratively feasible as determined by the Administrative Agent in its sole discretion.</w:t>
      </w:r>
    </w:p>
    <w:p>
      <w:pPr>
        <w:spacing w:after="0" w:line="181" w:lineRule="exact"/>
        <w:rPr>
          <w:sz w:val="20"/>
          <w:szCs w:val="20"/>
          <w:color w:val="auto"/>
        </w:rPr>
      </w:pPr>
    </w:p>
    <w:p>
      <w:pPr>
        <w:ind w:left="1480" w:right="23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w:t>
      </w:r>
    </w:p>
    <w:p>
      <w:pPr>
        <w:spacing w:after="0" w:line="1" w:lineRule="exact"/>
        <w:rPr>
          <w:sz w:val="20"/>
          <w:szCs w:val="20"/>
          <w:color w:val="auto"/>
        </w:rPr>
      </w:pPr>
    </w:p>
    <w:p>
      <w:pPr>
        <w:ind w:left="1480" w:right="459"/>
        <w:spacing w:after="0" w:line="232" w:lineRule="auto"/>
        <w:tabs>
          <w:tab w:leader="none" w:pos="183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0" w:lineRule="exact"/>
        <w:rPr>
          <w:sz w:val="20"/>
          <w:szCs w:val="20"/>
          <w:color w:val="auto"/>
        </w:rPr>
      </w:pPr>
    </w:p>
    <w:p>
      <w:pPr>
        <w:jc w:val="both"/>
        <w:ind w:left="1480" w:right="4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a date and time determined by the Administrative Agent, which date shall be no later than the earliest to occur of the following events with respect to the then-current Benchmark:</w:t>
      </w:r>
    </w:p>
    <w:p>
      <w:pPr>
        <w:spacing w:after="0" w:line="157" w:lineRule="exact"/>
        <w:rPr>
          <w:sz w:val="20"/>
          <w:szCs w:val="20"/>
          <w:color w:val="auto"/>
        </w:rPr>
      </w:pPr>
    </w:p>
    <w:p>
      <w:pPr>
        <w:ind w:left="2120" w:right="259" w:firstLine="656"/>
        <w:spacing w:after="0" w:line="235" w:lineRule="auto"/>
        <w:tabs>
          <w:tab w:leader="none" w:pos="342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78" w:lineRule="exact"/>
        <w:rPr>
          <w:rFonts w:ascii="Times New Roman" w:cs="Times New Roman" w:eastAsia="Times New Roman" w:hAnsi="Times New Roman"/>
          <w:sz w:val="22"/>
          <w:szCs w:val="22"/>
          <w:color w:val="auto"/>
        </w:rPr>
      </w:pPr>
    </w:p>
    <w:p>
      <w:pPr>
        <w:ind w:left="2120" w:right="359" w:firstLine="656"/>
        <w:spacing w:after="0" w:line="239" w:lineRule="auto"/>
        <w:tabs>
          <w:tab w:leader="none" w:pos="342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4" w:name="page225"/>
    <w:bookmarkEnd w:id="224"/>
    <w:p>
      <w:pPr>
        <w:ind w:left="1480" w:right="279"/>
        <w:spacing w:after="0" w:line="23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left="1480" w:right="25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ind w:left="2120" w:right="219" w:firstLine="656"/>
        <w:spacing w:after="0" w:line="246" w:lineRule="auto"/>
        <w:tabs>
          <w:tab w:leader="none" w:pos="342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5" w:lineRule="exact"/>
        <w:rPr>
          <w:rFonts w:ascii="Times New Roman" w:cs="Times New Roman" w:eastAsia="Times New Roman" w:hAnsi="Times New Roman"/>
          <w:sz w:val="21"/>
          <w:szCs w:val="21"/>
          <w:color w:val="auto"/>
        </w:rPr>
      </w:pPr>
    </w:p>
    <w:p>
      <w:pPr>
        <w:ind w:left="2120" w:right="199" w:firstLine="656"/>
        <w:spacing w:after="0" w:line="243" w:lineRule="auto"/>
        <w:tabs>
          <w:tab w:leader="none" w:pos="342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188" w:lineRule="exact"/>
        <w:rPr>
          <w:rFonts w:ascii="Times New Roman" w:cs="Times New Roman" w:eastAsia="Times New Roman" w:hAnsi="Times New Roman"/>
          <w:sz w:val="21"/>
          <w:szCs w:val="21"/>
          <w:color w:val="auto"/>
        </w:rPr>
      </w:pPr>
    </w:p>
    <w:p>
      <w:pPr>
        <w:ind w:left="2120" w:right="239" w:firstLine="656"/>
        <w:spacing w:after="0" w:line="236" w:lineRule="auto"/>
        <w:tabs>
          <w:tab w:leader="none" w:pos="342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Governmental Authority having jurisdiction over the Administrative Agent announcing that such Benchmark (or such component thereof) or, if such Benchmark is a term rate or is based on a term rate, all Available Tenors of such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5" w:name="page226"/>
    <w:bookmarkEnd w:id="225"/>
    <w:p>
      <w:pPr>
        <w:ind w:left="2120" w:right="439"/>
        <w:spacing w:after="0" w:line="258" w:lineRule="auto"/>
        <w:rPr>
          <w:sz w:val="20"/>
          <w:szCs w:val="20"/>
          <w:color w:val="auto"/>
        </w:rPr>
      </w:pPr>
      <w:r>
        <w:rPr>
          <w:rFonts w:ascii="Times New Roman" w:cs="Times New Roman" w:eastAsia="Times New Roman" w:hAnsi="Times New Roman"/>
          <w:sz w:val="22"/>
          <w:szCs w:val="22"/>
          <w:color w:val="auto"/>
        </w:rPr>
        <w:t>Benchmark (or such component thereof) are not, or as of a specified future date will not be, representative.</w:t>
      </w:r>
    </w:p>
    <w:p>
      <w:pPr>
        <w:spacing w:after="0" w:line="158" w:lineRule="exact"/>
        <w:rPr>
          <w:sz w:val="20"/>
          <w:szCs w:val="20"/>
          <w:color w:val="auto"/>
        </w:rPr>
      </w:pPr>
    </w:p>
    <w:p>
      <w:pPr>
        <w:ind w:left="1400" w:right="339" w:firstLine="1377"/>
        <w:spacing w:after="0" w:line="23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w:t>
      </w:r>
    </w:p>
    <w:p>
      <w:pPr>
        <w:spacing w:after="0" w:line="14" w:lineRule="exact"/>
        <w:rPr>
          <w:sz w:val="20"/>
          <w:szCs w:val="20"/>
          <w:color w:val="auto"/>
        </w:rPr>
      </w:pPr>
    </w:p>
    <w:p>
      <w:pPr>
        <w:ind w:left="1400" w:right="219" w:hanging="1"/>
        <w:spacing w:after="0" w:line="241" w:lineRule="auto"/>
        <w:tabs>
          <w:tab w:leader="none" w:pos="170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at the time that a Benchmark Replacement Date has occurred if, at such time, no Benchmark Replacement has replaced the then-current Benchmark for all purposes hereunder and under any Loan Document in accordance with this Section 2.18 titled “Benchmark Replacement Setting” and (y) ending at the time that</w:t>
      </w:r>
    </w:p>
    <w:p>
      <w:pPr>
        <w:spacing w:after="0" w:line="2" w:lineRule="exact"/>
        <w:rPr>
          <w:rFonts w:ascii="Times New Roman" w:cs="Times New Roman" w:eastAsia="Times New Roman" w:hAnsi="Times New Roman"/>
          <w:sz w:val="21"/>
          <w:szCs w:val="21"/>
          <w:color w:val="auto"/>
        </w:rPr>
      </w:pPr>
    </w:p>
    <w:p>
      <w:pPr>
        <w:jc w:val="both"/>
        <w:ind w:left="1400" w:right="29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Benchmark Replacement has replaced the then-current Benchmark for all purposes hereunder and under any Loan Document in accordance with this Section 2.18 titled “Benchmark Replacement Setting.”</w:t>
      </w:r>
    </w:p>
    <w:p>
      <w:pPr>
        <w:spacing w:after="0" w:line="178" w:lineRule="exact"/>
        <w:rPr>
          <w:sz w:val="20"/>
          <w:szCs w:val="20"/>
          <w:color w:val="auto"/>
        </w:rPr>
      </w:pPr>
    </w:p>
    <w:p>
      <w:pPr>
        <w:ind w:left="1400" w:right="679" w:firstLine="137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80" w:lineRule="exact"/>
        <w:rPr>
          <w:sz w:val="20"/>
          <w:szCs w:val="20"/>
          <w:color w:val="auto"/>
        </w:rPr>
      </w:pPr>
    </w:p>
    <w:p>
      <w:pPr>
        <w:ind w:left="1400" w:right="219" w:firstLine="13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7" w:lineRule="exact"/>
        <w:rPr>
          <w:sz w:val="20"/>
          <w:szCs w:val="20"/>
          <w:color w:val="auto"/>
        </w:rPr>
      </w:pPr>
    </w:p>
    <w:p>
      <w:pPr>
        <w:ind w:left="1400" w:right="979" w:firstLine="137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3" w:lineRule="exact"/>
        <w:rPr>
          <w:sz w:val="20"/>
          <w:szCs w:val="20"/>
          <w:color w:val="auto"/>
        </w:rPr>
      </w:pPr>
    </w:p>
    <w:p>
      <w:pPr>
        <w:ind w:left="18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73" w:lineRule="exact"/>
        <w:rPr>
          <w:sz w:val="20"/>
          <w:szCs w:val="20"/>
          <w:color w:val="auto"/>
        </w:rPr>
      </w:pPr>
    </w:p>
    <w:p>
      <w:pPr>
        <w:ind w:left="180" w:right="199" w:firstLine="1300"/>
        <w:spacing w:after="0" w:line="258" w:lineRule="auto"/>
        <w:tabs>
          <w:tab w:leader="none" w:pos="212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shall cease to accrue on the unfunded portion of the Revolving Commitment of such Defaulting Lender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Commitment and Revolving Extensions of Credit of such Defaulting Lender shall not be included in determining whether all Lenders or the Required Lenders have taken or may take any action hereunder (including any consent to any amendment, modification, waiver or supplement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clause (b) shall not apply to the vote of a Defaulting Lender in the case of an amendment, modification, waiver or supplement requiring the consent of such Lender or each Lender affected thereby;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6" w:name="page227"/>
    <w:bookmarkEnd w:id="226"/>
    <w:p>
      <w:pPr>
        <w:ind w:left="180" w:right="199" w:firstLine="1300"/>
        <w:spacing w:after="0" w:line="258" w:lineRule="auto"/>
        <w:tabs>
          <w:tab w:leader="none" w:pos="212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Swingline Exposure exists at the time such Lender becomes a Defaulting Lender, then:</w:t>
      </w:r>
    </w:p>
    <w:p>
      <w:pPr>
        <w:spacing w:after="0" w:line="158" w:lineRule="exact"/>
        <w:rPr>
          <w:rFonts w:ascii="Times New Roman" w:cs="Times New Roman" w:eastAsia="Times New Roman" w:hAnsi="Times New Roman"/>
          <w:sz w:val="22"/>
          <w:szCs w:val="22"/>
          <w:color w:val="auto"/>
        </w:rPr>
      </w:pPr>
    </w:p>
    <w:p>
      <w:pPr>
        <w:ind w:left="840" w:right="359" w:firstLine="1288"/>
        <w:spacing w:after="0" w:line="249" w:lineRule="auto"/>
        <w:tabs>
          <w:tab w:leader="none" w:pos="279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Swingline Exposure (other than any portion thereof with respect to which such Defaulting Lender shall have funded its participation as contemplated by </w:t>
      </w:r>
      <w:r>
        <w:rPr>
          <w:rFonts w:ascii="Times New Roman" w:cs="Times New Roman" w:eastAsia="Times New Roman" w:hAnsi="Times New Roman"/>
          <w:sz w:val="21"/>
          <w:szCs w:val="21"/>
          <w:u w:val="single" w:color="auto"/>
          <w:color w:val="auto"/>
        </w:rPr>
        <w:t>Section 2.20(c)</w:t>
      </w:r>
      <w:r>
        <w:rPr>
          <w:rFonts w:ascii="Times New Roman" w:cs="Times New Roman" w:eastAsia="Times New Roman" w:hAnsi="Times New Roman"/>
          <w:sz w:val="21"/>
          <w:szCs w:val="21"/>
          <w:color w:val="auto"/>
        </w:rPr>
        <w:t>) of such Defaulting Lender shall be reallocated among the non-Defaulting Lenders in accordance with their respective Revolving Percentages but only to the extent the sum of all non-Defaulting Lenders’ Revolving Extensions of Credit do not exceed the total of all non-Defaulting Lenders’ Revolving Commitments; and</w:t>
      </w:r>
    </w:p>
    <w:p>
      <w:pPr>
        <w:spacing w:after="0" w:line="170" w:lineRule="exact"/>
        <w:rPr>
          <w:rFonts w:ascii="Times New Roman" w:cs="Times New Roman" w:eastAsia="Times New Roman" w:hAnsi="Times New Roman"/>
          <w:sz w:val="21"/>
          <w:szCs w:val="21"/>
          <w:color w:val="auto"/>
        </w:rPr>
      </w:pPr>
    </w:p>
    <w:p>
      <w:pPr>
        <w:ind w:left="840" w:right="399" w:firstLine="1288"/>
        <w:spacing w:after="0" w:line="238" w:lineRule="auto"/>
        <w:tabs>
          <w:tab w:leader="none" w:pos="283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 above cannot, or can only partially, be effected, the Borrower shall within one (1) Business Day following written notice by the Administrative Agent prepay the portion of such Defaulting Lender’s Swingline Exposure (other than any portion thereof referred to in the parenthetical in such clause (i)) that has not been reallocated as set forth in such clause;</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such Lender is a Defaulting Lender, the Swing Line Lender shall not be required to fund any Swing Line Loan unless it is satisfied that the related exposure and such Defaulting Lender’s then outstanding Swingline Exposure will be fully covered by the Revolving Commitments of the non-Defaulting Lenders, and participating interests in any such funded Swing Line Loan will be allocated among the non-Defaulting Lenders in a manner consistent with clause (c)(i) above (and such Defaulting Lender shall not participate therein); and</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7" w:lineRule="auto"/>
        <w:tabs>
          <w:tab w:leader="none" w:pos="212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Administrative Agent, the Borrower and the Swing Line Lender agree in writing that a Defaulting Lender has adequately remedied all matters that caused such Lender to be a Defaulting Lender, then the Swingline Exposure of the Lenders shall be readjusted to reflect the inclusion of such Lender’s Revolving Commitment and on such date such Lender shall purchase at par such of the Revolving Loans and participations in Swing Line Loans of the other Lenders as the Administrative Agent shall determine may be necessary in order for such Lender to hold such Revolving Loans and participations in Swing Line Loans in accordance with its Revolving Percentage, whereupon such Lender shall cease to be a Defaulting Lender.</w:t>
      </w:r>
    </w:p>
    <w:p>
      <w:pPr>
        <w:spacing w:after="0" w:line="172"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3" w:lineRule="auto"/>
        <w:tabs>
          <w:tab w:leader="none" w:pos="212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the Swing Line Lender may, in its sole discretion, make Swing Line Loans to the Borrower from time to time during the Revolving Commitment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thereto, (i) the aggregate principal amount of the Swing Line Loans of the Swing Line Lender will not exceed its Swingline Commitment, (ii) the Swingline Exposure will not exceed the Swingline Sublimit, (iii) no Lender’s Revolving Extensions of Credit will exceed its Revolving Commitment and (iv) the Total Revolving Extensions of Credit will not exceed the Total Revolving Commitments. Within the foregoing limits and subject to the terms and conditions set forth herein, the Borrower may borrow, prepay and reborrow Swing Line Loans. For the avoidance of doubt, any reference in this Agreement to the Swing Line Lender’s “Swingline Commitment”, the obligation of the Swing Line Lender to make a Swing Line Loan being subject to the satisfaction of certain conditions or to the Swing Line Lender not being required to fund any Swing Line Loan absent the occurrence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7" w:name="page228"/>
    <w:bookmarkEnd w:id="227"/>
    <w:p>
      <w:pPr>
        <w:ind w:left="180" w:right="199"/>
        <w:spacing w:after="0" w:line="258" w:lineRule="auto"/>
        <w:rPr>
          <w:sz w:val="20"/>
          <w:szCs w:val="20"/>
          <w:color w:val="auto"/>
        </w:rPr>
      </w:pPr>
      <w:r>
        <w:rPr>
          <w:rFonts w:ascii="Times New Roman" w:cs="Times New Roman" w:eastAsia="Times New Roman" w:hAnsi="Times New Roman"/>
          <w:sz w:val="22"/>
          <w:szCs w:val="22"/>
          <w:color w:val="auto"/>
        </w:rPr>
        <w:t>of certain events (or words of similar import) shall not be deemed to create any obligation of the Swing Line Lender to make or fund any Swing Line Loan other than in its sole discretion.</w:t>
      </w:r>
    </w:p>
    <w:p>
      <w:pPr>
        <w:spacing w:after="0" w:line="158" w:lineRule="exact"/>
        <w:rPr>
          <w:sz w:val="20"/>
          <w:szCs w:val="20"/>
          <w:color w:val="auto"/>
        </w:rPr>
      </w:pPr>
    </w:p>
    <w:p>
      <w:pPr>
        <w:jc w:val="both"/>
        <w:ind w:left="180" w:right="199" w:firstLine="1300"/>
        <w:spacing w:after="0" w:line="232" w:lineRule="auto"/>
        <w:tabs>
          <w:tab w:leader="none" w:pos="213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request a Swing Line Loan from the Swing Line Lender, the Borrower shall notify the Administrative Agent and the Swing Line Lender of such request by telephone or in writing not later than 1:00 P.M., New York City time, on the day of the proposed Swing Line Loan. Each such telephonic and written Swingline Borrowing Request shall be irrevocable and shall be made (or, if telephonic, confirmed promptly) by hand delivery or fax to the Administrative Agent and the Swing Line Lender of an executed written Swingline Borrowing Request. Each such telephonic and written Swingline Borrowing Request shall specify the requested date (which shall be a Business Day) and the amount of the requested Swing Line Loan and the location and number of the account of the Borrower to which funds are to be disbursed. Promptly following the receipt of a Swingline Borrowing Request in accordance with this Section, the Administrative Agent shall advise the Swing Line Lender of the details thereof. If the Swing Line Lender shall have determined, in its sole discretion, to make the Swing Line Loan so requested of it, then the Swing Line Lender shall make such Swing Line Loan available to the Borrower by means of a wire transfer to the account specified in such Swingline Borrowing Request by 4:00 P.M., New York City time, on the requested date of such Swing Line Loan. Each Swing Line Loan shall be in an aggregate amount that is an integral multiple of $50,000 and not less than $100,000. The Borrower shall repay to the Swing Line Lender the aggregate principal amount of all Swing Line Loans outstanding on the Revolving Commitment Termination Date or, if any Cash Management Agreement is in effect, on such other date (but in no event later than the Revolving Commitment Termination Date) as provided in </w:t>
      </w:r>
      <w:r>
        <w:rPr>
          <w:rFonts w:ascii="Times New Roman" w:cs="Times New Roman" w:eastAsia="Times New Roman" w:hAnsi="Times New Roman"/>
          <w:sz w:val="22"/>
          <w:szCs w:val="22"/>
          <w:u w:val="single" w:color="auto"/>
          <w:color w:val="auto"/>
        </w:rPr>
        <w:t>Section 2.20(d)</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12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Swing Line Lender may by written notice given to the Administrative Agent not later than 11:00 A.M., New York City time, on any Business Day require the Lenders to acquire participations on such Business Day in all or a portion of the outstanding Swing Line Loans. Such notice shall specify the aggregate amount of the Swing Line Loans in which the Lenders will be required to participate. Promptly upon receipt of such notice, the Administrative Agent will give notice thereof to each Lender, specifying in such notice such Lender’s Revolving Percentage of such Swing Line Loan or Loans. Each Lender hereby absolutely and unconditionally agrees to pay, promptly upon receipt of notice as provided above, to the Administrative Agent, for the account of the Swing Line Lender, such Lender’s Revolving Percentage of such Swing Line Loan or Loans. Each Lender acknowledges and agrees that, in making any Swing Line Loan, the Swing Line Lender shall be entitled to rely, and shall not incur any liability for relying, upon the representation and warranty of the Borrower deemed made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unless, at least two (2) Business Days prior to the time such Swing Line Loan is made, the Required Lenders shall have notified the Swing 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Each Lender further acknowledges and agrees that its obligation to acquire participations in Swing Line Loans pursuant to this paragraph is absolute and unconditional and shall not be affected by any circumstance whatsoever, including the occurrence and continuance of a Default or any reduction or termination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8" w:name="page229"/>
    <w:bookmarkEnd w:id="228"/>
    <w:p>
      <w:pPr>
        <w:jc w:val="both"/>
        <w:ind w:left="180" w:right="199"/>
        <w:spacing w:after="0" w:line="243" w:lineRule="auto"/>
        <w:rPr>
          <w:sz w:val="20"/>
          <w:szCs w:val="20"/>
          <w:color w:val="auto"/>
        </w:rPr>
      </w:pPr>
      <w:r>
        <w:rPr>
          <w:rFonts w:ascii="Times New Roman" w:cs="Times New Roman" w:eastAsia="Times New Roman" w:hAnsi="Times New Roman"/>
          <w:sz w:val="21"/>
          <w:szCs w:val="21"/>
          <w:color w:val="auto"/>
        </w:rPr>
        <w:t xml:space="preserve">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shall apply, mutatis mutandis, to the payment obligations of the Lenders pursuant to this paragraph), and the Administrative Agent shall promptly remit to the Swing Line Lender the amounts so received by it from the Lenders. The Administrative Agent shall notify the Borrower of any participations in any Swing Line Loan acquired pursuant to this paragraph, and thereafter payments in respect of such Swing Line Loan shall be made to the Administrative Agent and not to the Swing Line Lender. Any amounts received by the Swing Line Lender from the Borrower (or other Persons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constitute a Loan and shall not relieve the Borrower of its obligations to repay such Swing Line Loan.</w:t>
      </w:r>
    </w:p>
    <w:p>
      <w:pPr>
        <w:spacing w:after="0" w:line="187" w:lineRule="exact"/>
        <w:rPr>
          <w:sz w:val="20"/>
          <w:szCs w:val="20"/>
          <w:color w:val="auto"/>
        </w:rPr>
      </w:pPr>
    </w:p>
    <w:p>
      <w:pPr>
        <w:jc w:val="both"/>
        <w:ind w:left="180" w:right="199" w:firstLine="1300"/>
        <w:spacing w:after="0" w:line="243" w:lineRule="auto"/>
        <w:tabs>
          <w:tab w:leader="none" w:pos="2133"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making Swing Line Loans pursuant to the foregoing provisions of this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without the requirement for a specific request from the Borrower pursuant to </w:t>
      </w:r>
      <w:r>
        <w:rPr>
          <w:rFonts w:ascii="Times New Roman" w:cs="Times New Roman" w:eastAsia="Times New Roman" w:hAnsi="Times New Roman"/>
          <w:sz w:val="21"/>
          <w:szCs w:val="21"/>
          <w:u w:val="single" w:color="auto"/>
          <w:color w:val="auto"/>
        </w:rPr>
        <w:t>Section 2.20(b)</w:t>
      </w:r>
      <w:r>
        <w:rPr>
          <w:rFonts w:ascii="Times New Roman" w:cs="Times New Roman" w:eastAsia="Times New Roman" w:hAnsi="Times New Roman"/>
          <w:sz w:val="21"/>
          <w:szCs w:val="21"/>
          <w:color w:val="auto"/>
        </w:rPr>
        <w:t>, the Swing Line Lender may make Swing Line Loans to the Borrower in accordance with the provisions of any agreements between the Borrower and the Swing Line Lender relating to the Borrower’s deposit, sweep and other accounts at the Swing Line Lender and related arrangements and agreements regarding the management and investment of the Borrower’s cash assets as in effect from time to time (the “</w:t>
      </w:r>
      <w:r>
        <w:rPr>
          <w:rFonts w:ascii="Times New Roman" w:cs="Times New Roman" w:eastAsia="Times New Roman" w:hAnsi="Times New Roman"/>
          <w:sz w:val="21"/>
          <w:szCs w:val="21"/>
          <w:u w:val="single" w:color="auto"/>
          <w:color w:val="auto"/>
        </w:rPr>
        <w:t>Cash Management Agreements</w:t>
      </w:r>
      <w:r>
        <w:rPr>
          <w:rFonts w:ascii="Times New Roman" w:cs="Times New Roman" w:eastAsia="Times New Roman" w:hAnsi="Times New Roman"/>
          <w:sz w:val="21"/>
          <w:szCs w:val="21"/>
          <w:color w:val="auto"/>
        </w:rPr>
        <w:t xml:space="preserve">”) to the extent of the daily aggregate net negative balance in the Borrower’s accounts which are subject to the provisions of the applicable Cash Management Agreements. Swing Line Loans made pursuant to this </w:t>
      </w:r>
      <w:r>
        <w:rPr>
          <w:rFonts w:ascii="Times New Roman" w:cs="Times New Roman" w:eastAsia="Times New Roman" w:hAnsi="Times New Roman"/>
          <w:sz w:val="21"/>
          <w:szCs w:val="21"/>
          <w:u w:val="single" w:color="auto"/>
          <w:color w:val="auto"/>
        </w:rPr>
        <w:t>Section 2.20(d)</w:t>
      </w:r>
      <w:r>
        <w:rPr>
          <w:rFonts w:ascii="Times New Roman" w:cs="Times New Roman" w:eastAsia="Times New Roman" w:hAnsi="Times New Roman"/>
          <w:sz w:val="21"/>
          <w:szCs w:val="21"/>
          <w:color w:val="auto"/>
        </w:rPr>
        <w:t xml:space="preserve"> in accordance with the provisions of the applicable Cash Management Agreements shall (i) be subject to the limitations as to maximum amount set forth in </w:t>
      </w:r>
      <w:r>
        <w:rPr>
          <w:rFonts w:ascii="Times New Roman" w:cs="Times New Roman" w:eastAsia="Times New Roman" w:hAnsi="Times New Roman"/>
          <w:sz w:val="21"/>
          <w:szCs w:val="21"/>
          <w:u w:val="single" w:color="auto"/>
          <w:color w:val="auto"/>
        </w:rPr>
        <w:t>Section 2.20(a)</w:t>
      </w:r>
      <w:r>
        <w:rPr>
          <w:rFonts w:ascii="Times New Roman" w:cs="Times New Roman" w:eastAsia="Times New Roman" w:hAnsi="Times New Roman"/>
          <w:sz w:val="21"/>
          <w:szCs w:val="21"/>
          <w:color w:val="auto"/>
        </w:rPr>
        <w:t xml:space="preserve">, (ii) not be subject to the limitations as to minimum amount and integral multiples set forth in </w:t>
      </w:r>
      <w:r>
        <w:rPr>
          <w:rFonts w:ascii="Times New Roman" w:cs="Times New Roman" w:eastAsia="Times New Roman" w:hAnsi="Times New Roman"/>
          <w:sz w:val="21"/>
          <w:szCs w:val="21"/>
          <w:u w:val="single" w:color="auto"/>
          <w:color w:val="auto"/>
        </w:rPr>
        <w:t>Section 2.20(a)</w:t>
      </w:r>
      <w:r>
        <w:rPr>
          <w:rFonts w:ascii="Times New Roman" w:cs="Times New Roman" w:eastAsia="Times New Roman" w:hAnsi="Times New Roman"/>
          <w:sz w:val="21"/>
          <w:szCs w:val="21"/>
          <w:color w:val="auto"/>
        </w:rPr>
        <w:t>,</w:t>
      </w:r>
    </w:p>
    <w:p>
      <w:pPr>
        <w:spacing w:after="0" w:line="5" w:lineRule="exact"/>
        <w:rPr>
          <w:rFonts w:ascii="Times New Roman" w:cs="Times New Roman" w:eastAsia="Times New Roman" w:hAnsi="Times New Roman"/>
          <w:sz w:val="21"/>
          <w:szCs w:val="21"/>
          <w:color w:val="auto"/>
        </w:rPr>
      </w:pPr>
    </w:p>
    <w:p>
      <w:pPr>
        <w:jc w:val="both"/>
        <w:ind w:left="180" w:right="199" w:firstLine="4"/>
        <w:spacing w:after="0" w:line="231" w:lineRule="auto"/>
        <w:tabs>
          <w:tab w:leader="none" w:pos="5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payable by the Borrower, both as to principal and interest, at the times set forth in the applicable Cash Management Agreements (but in no event later than the Revolving Commitment Termination Date), (iv) not be made at any time if the Required Lenders shall have notified the Swing Line Lender (with a copy to the Administrative Agent) in writing that, as a result of one or more events or circumstances described in such notice, one or more of the conditions precedent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would not be satisfied if such Swing Line Loan were then made (it being understood and agreed that, in the event the Swing Line Lender shall have received any such notice, the Swing Line Lender shall not have any obligation to make any Swing Line Loan until and unless it shall be satisfied that the events and circumstances described in such notice shall have been cured or otherwise shall have ceased to exist), (v) if not repaid by the Borrower in accordance with the provisions of the applicable Cash Management Agreements, be subject to each Lender’s obligation to purchase participating interests therein pursuant to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xml:space="preserve">, and (vi) except as provided in the foregoing clauses (i) through (v), be subject to all of the terms and conditions of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The Swing Line Lender shall report in writing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9" w:name="page230"/>
    <w:bookmarkEnd w:id="229"/>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 xml:space="preserve">to the Administrative Agent on the Business Day following the date any Swing Line Loan is made pursuant to this </w:t>
      </w:r>
      <w:r>
        <w:rPr>
          <w:rFonts w:ascii="Times New Roman" w:cs="Times New Roman" w:eastAsia="Times New Roman" w:hAnsi="Times New Roman"/>
          <w:sz w:val="22"/>
          <w:szCs w:val="22"/>
          <w:u w:val="single" w:color="auto"/>
          <w:color w:val="auto"/>
        </w:rPr>
        <w:t>Section 2.20(d)</w:t>
      </w:r>
      <w:r>
        <w:rPr>
          <w:rFonts w:ascii="Times New Roman" w:cs="Times New Roman" w:eastAsia="Times New Roman" w:hAnsi="Times New Roman"/>
          <w:sz w:val="22"/>
          <w:szCs w:val="22"/>
          <w:color w:val="auto"/>
        </w:rPr>
        <w:t>, the date and principal amount of such Swing Line Loan, the interest rate applicable thereto and such other information as the Administrative Agent shall reasonably request as to such Swing Line Loan.</w:t>
      </w:r>
    </w:p>
    <w:p>
      <w:pPr>
        <w:spacing w:after="0" w:line="180" w:lineRule="exact"/>
        <w:rPr>
          <w:sz w:val="20"/>
          <w:szCs w:val="20"/>
          <w:color w:val="auto"/>
        </w:rPr>
      </w:pPr>
    </w:p>
    <w:p>
      <w:pPr>
        <w:jc w:val="both"/>
        <w:ind w:left="180" w:right="199" w:firstLine="1300"/>
        <w:spacing w:after="0" w:line="233" w:lineRule="auto"/>
        <w:tabs>
          <w:tab w:leader="none" w:pos="212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Swing Line Loan shall bear interest, for any day, (i) at the rate per annum that is mutually agreed to by the Borrower and the Swing Line Lender at the time such Swing Line Loan is made or (ii) if there are Cash Management Agreements in place, at the rate or rates specified in such Cash Management Agreements (or as otherwise agreed by the Borrower and such Swing Line Lender in writing) plus the applicable margin (determined in accordance with such Cash Management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Swing Line Lender shall have provided any notice pursuant to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xml:space="preserve">, then from and after the date of such notice (and until the Lenders shall hold no participations in the applicable Swing Line Loans) each Swing Line Loan subject to such notice shall bear interest at a rate per annum equal to the ABR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with respect to ABR Loans. Interest shall be payable in arrears on each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Cash Management Agreement is in effect, accrued interest on each applicable Swing Line Loan shall be payable as provided in </w:t>
      </w:r>
      <w:r>
        <w:rPr>
          <w:rFonts w:ascii="Times New Roman" w:cs="Times New Roman" w:eastAsia="Times New Roman" w:hAnsi="Times New Roman"/>
          <w:sz w:val="22"/>
          <w:szCs w:val="22"/>
          <w:u w:val="single" w:color="auto"/>
          <w:color w:val="auto"/>
        </w:rPr>
        <w:t>Section 2.20(d)</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7"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and the Swing Line Lender by telephone (confirmed by hand delivery or fax) or in writing of any prepayment of Swing Line Loans hereunder not later than 12:00 P.M., New York City time, on the date of prepayment (or such later time as may be agreed to by the Swing Line Lender and the Administrative Agent in writing). Each such notice shall be irrevocable and shall specify the prepayment date, the Swing Line Loans to be prepaid, and the principal amount of each such Swing Line Loan or portion thereof to be prepaid;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notice may be conditioned upon the occurrence of one or more events specified therein, in which case such notice may be revoked by the Borrower (by notice to the Administrative Agent and the Swing Line Lender on or prior to the specified effective date) if such condition is not, or is not expected to be, satisfied. Each partial prepayment of any Swing Line Loan shall be in an amount that would be permitted in the case of an advance of a Swing Line Loan as provided in </w:t>
      </w:r>
      <w:r>
        <w:rPr>
          <w:rFonts w:ascii="Times New Roman" w:cs="Times New Roman" w:eastAsia="Times New Roman" w:hAnsi="Times New Roman"/>
          <w:sz w:val="21"/>
          <w:szCs w:val="21"/>
          <w:u w:val="single" w:color="auto"/>
          <w:color w:val="auto"/>
        </w:rPr>
        <w:t>Section 2.20(a)</w:t>
      </w:r>
      <w:r>
        <w:rPr>
          <w:rFonts w:ascii="Times New Roman" w:cs="Times New Roman" w:eastAsia="Times New Roman" w:hAnsi="Times New Roman"/>
          <w:sz w:val="21"/>
          <w:szCs w:val="21"/>
          <w:color w:val="auto"/>
        </w:rPr>
        <w:t xml:space="preserve"> (or, if less, the outstanding principal amount of the Swing Line Loans). Prepayments shall be accompanied by accrued interest. For the avoidance of doubt, Swing Line Loans may not be continued or converted.</w:t>
      </w:r>
    </w:p>
    <w:p>
      <w:pPr>
        <w:spacing w:after="0" w:line="181" w:lineRule="exact"/>
        <w:rPr>
          <w:sz w:val="20"/>
          <w:szCs w:val="20"/>
          <w:color w:val="auto"/>
        </w:rPr>
      </w:pPr>
    </w:p>
    <w:p>
      <w:pPr>
        <w:ind w:left="180" w:right="2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Conforming Changes Relating to the Term SOFR Rate</w:t>
      </w:r>
      <w:r>
        <w:rPr>
          <w:rFonts w:ascii="Times New Roman" w:cs="Times New Roman" w:eastAsia="Times New Roman" w:hAnsi="Times New Roman"/>
          <w:sz w:val="22"/>
          <w:szCs w:val="22"/>
          <w:color w:val="auto"/>
        </w:rPr>
        <w:t>(a) . 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written notice to the Borrower and the Lenders of each such amendment implementing such Conforming Changes promptly after such amendment becomes effective.</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3. [Reserved]</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4. REPRESENTATIONS AND WARRANTIES</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0" w:name="page231"/>
    <w:bookmarkEnd w:id="230"/>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To induce the Administrative Agent and the Lenders to enter into this Agreement and to make the Loans, the Borrower hereby represents and warrants to the Administrative Agent and each Lender on each Borrowing Date that:</w:t>
      </w:r>
    </w:p>
    <w:p>
      <w:pPr>
        <w:spacing w:after="0" w:line="173" w:lineRule="exact"/>
        <w:rPr>
          <w:sz w:val="20"/>
          <w:szCs w:val="20"/>
          <w:color w:val="auto"/>
        </w:rPr>
      </w:pPr>
    </w:p>
    <w:p>
      <w:pPr>
        <w:ind w:left="180" w:right="3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Financial Condition</w:t>
      </w:r>
      <w:r>
        <w:rPr>
          <w:rFonts w:ascii="Times New Roman" w:cs="Times New Roman" w:eastAsia="Times New Roman" w:hAnsi="Times New Roman"/>
          <w:sz w:val="22"/>
          <w:szCs w:val="22"/>
          <w:color w:val="auto"/>
        </w:rPr>
        <w:t>. The audited balance sheet and statements of income and cash flows, on a consolidated basis, of the Borrower as at the end of the 2018 and 2019 fiscal years (the “</w:t>
      </w:r>
      <w:r>
        <w:rPr>
          <w:rFonts w:ascii="Times New Roman" w:cs="Times New Roman" w:eastAsia="Times New Roman" w:hAnsi="Times New Roman"/>
          <w:sz w:val="22"/>
          <w:szCs w:val="22"/>
          <w:u w:val="single" w:color="auto"/>
          <w:color w:val="auto"/>
        </w:rPr>
        <w:t>Financials</w:t>
      </w:r>
      <w:r>
        <w:rPr>
          <w:rFonts w:ascii="Times New Roman" w:cs="Times New Roman" w:eastAsia="Times New Roman" w:hAnsi="Times New Roman"/>
          <w:sz w:val="22"/>
          <w:szCs w:val="22"/>
          <w:color w:val="auto"/>
        </w:rPr>
        <w:t>”), reported on by, and accompanied by, an unqualified report from Deloitte &amp; Touche LLP or other independent certified public accountants reasonably acceptable to the Administrative Agent, present fairly in all material respects the financial condition of the Borrower and the results of its operations and cash flows for each fiscal year then ended. All such Financials, including the related schedules and notes thereto, have been prepared in accordance with GAAP applied consistently throughout the periods involved (except as approved by the aforementioned firm of accountants and disclosed therein).</w:t>
      </w:r>
    </w:p>
    <w:p>
      <w:pPr>
        <w:spacing w:after="0" w:line="183" w:lineRule="exact"/>
        <w:rPr>
          <w:sz w:val="20"/>
          <w:szCs w:val="20"/>
          <w:color w:val="auto"/>
        </w:rPr>
      </w:pPr>
    </w:p>
    <w:p>
      <w:pPr>
        <w:ind w:left="18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No Change</w:t>
      </w:r>
      <w:r>
        <w:rPr>
          <w:rFonts w:ascii="Times New Roman" w:cs="Times New Roman" w:eastAsia="Times New Roman" w:hAnsi="Times New Roman"/>
          <w:sz w:val="22"/>
          <w:szCs w:val="22"/>
          <w:color w:val="auto"/>
        </w:rPr>
        <w:t>. Since December 31, 2019, there has been no development or event that has had or could reasonably be expected to have a Material Adverse Effect.</w:t>
      </w:r>
    </w:p>
    <w:p>
      <w:pPr>
        <w:spacing w:after="0" w:line="158" w:lineRule="exact"/>
        <w:rPr>
          <w:sz w:val="20"/>
          <w:szCs w:val="20"/>
          <w:color w:val="auto"/>
        </w:rPr>
      </w:pPr>
    </w:p>
    <w:p>
      <w:pPr>
        <w:ind w:left="180" w:right="279" w:firstLine="648"/>
        <w:spacing w:after="0" w:line="23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Existence; Compliance with Law</w:t>
      </w:r>
      <w:r>
        <w:rPr>
          <w:rFonts w:ascii="Times New Roman" w:cs="Times New Roman" w:eastAsia="Times New Roman" w:hAnsi="Times New Roman"/>
          <w:sz w:val="22"/>
          <w:szCs w:val="22"/>
          <w:color w:val="auto"/>
        </w:rPr>
        <w:t>.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and (d) is in compliance with all Requirements of Law, except in the case of clauses (b), (c) and (d) to the extent failure to comply therewith could not, in the aggregate, reasonably be expected to have a Material Adverse Effect.</w:t>
      </w:r>
    </w:p>
    <w:p>
      <w:pPr>
        <w:spacing w:after="0" w:line="183" w:lineRule="exact"/>
        <w:rPr>
          <w:sz w:val="20"/>
          <w:szCs w:val="20"/>
          <w:color w:val="auto"/>
        </w:rPr>
      </w:pPr>
    </w:p>
    <w:p>
      <w:pPr>
        <w:ind w:left="18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Power; Authorization; Enforceable Obligations</w:t>
      </w:r>
      <w:r>
        <w:rPr>
          <w:rFonts w:ascii="Times New Roman" w:cs="Times New Roman" w:eastAsia="Times New Roman" w:hAnsi="Times New Roman"/>
          <w:sz w:val="21"/>
          <w:szCs w:val="21"/>
          <w:color w:val="auto"/>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to be obtained by any Loan Party in connection with the extensions of credit hereunder or with the execution, delivery or performance by such Loan Party or the validity or enforceability against such Loan Party of this Agreement or any of the Loan Documents, except consents, authorizations, filings and notices (i) described in </w:t>
      </w:r>
      <w:r>
        <w:rPr>
          <w:rFonts w:ascii="Times New Roman" w:cs="Times New Roman" w:eastAsia="Times New Roman" w:hAnsi="Times New Roman"/>
          <w:sz w:val="21"/>
          <w:szCs w:val="21"/>
          <w:u w:val="single" w:color="auto"/>
          <w:color w:val="auto"/>
        </w:rPr>
        <w:t>Schedule 4.4</w:t>
      </w:r>
      <w:r>
        <w:rPr>
          <w:rFonts w:ascii="Times New Roman" w:cs="Times New Roman" w:eastAsia="Times New Roman" w:hAnsi="Times New Roman"/>
          <w:sz w:val="21"/>
          <w:szCs w:val="21"/>
          <w:color w:val="auto"/>
        </w:rPr>
        <w:t>, which consents, authorizations, filings and notices have been obtained or made and are in full force and effect,</w:t>
      </w:r>
    </w:p>
    <w:p>
      <w:pPr>
        <w:spacing w:after="0" w:line="6" w:lineRule="exact"/>
        <w:rPr>
          <w:sz w:val="20"/>
          <w:szCs w:val="20"/>
          <w:color w:val="auto"/>
        </w:rPr>
      </w:pPr>
    </w:p>
    <w:p>
      <w:pPr>
        <w:ind w:left="180" w:right="259" w:firstLine="4"/>
        <w:spacing w:after="0" w:line="232" w:lineRule="auto"/>
        <w:tabs>
          <w:tab w:leader="none" w:pos="49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referred to in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 and (iii) as may be necessary in connection with the exercise of foreclosure remedies including the sale of Collateral.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1" w:name="page232"/>
    <w:bookmarkEnd w:id="231"/>
    <w:p>
      <w:pPr>
        <w:ind w:left="180" w:right="479"/>
        <w:spacing w:after="0" w:line="258" w:lineRule="auto"/>
        <w:rPr>
          <w:sz w:val="20"/>
          <w:szCs w:val="20"/>
          <w:color w:val="auto"/>
        </w:rPr>
      </w:pPr>
      <w:r>
        <w:rPr>
          <w:rFonts w:ascii="Times New Roman" w:cs="Times New Roman" w:eastAsia="Times New Roman" w:hAnsi="Times New Roman"/>
          <w:sz w:val="22"/>
          <w:szCs w:val="22"/>
          <w:color w:val="auto"/>
        </w:rPr>
        <w:t>creditors’ rights generally and by general equitable principles (whether enforcement is sought by proceedings in equity or at law).</w:t>
      </w:r>
    </w:p>
    <w:p>
      <w:pPr>
        <w:spacing w:after="0" w:line="158"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No Legal Bar</w:t>
      </w:r>
      <w:r>
        <w:rPr>
          <w:rFonts w:ascii="Times New Roman" w:cs="Times New Roman" w:eastAsia="Times New Roman" w:hAnsi="Times New Roman"/>
          <w:sz w:val="22"/>
          <w:szCs w:val="22"/>
          <w:color w:val="auto"/>
        </w:rPr>
        <w:t>. The execution, delivery and performance by the Loan Parties of this Agreement and the other Loan Documents, the borrowings hereunder and the use of the proceeds thereof by the Loan Parties will not violate any Requirement of Law applicable to any Loan Party or any Contractual Obligation of any Loan Party and will not result in, or require, the creation or imposition of any Lien on any of their respective properties or revenues pursuant to any Requirement of Law or any such Contractual Obligation (other than the Liens created by the Security Documents). No Requirement of Law or Contractual Obligation applicable to any Loan Party could reasonably be expected to have a Material Adverse Effect.</w:t>
      </w:r>
    </w:p>
    <w:p>
      <w:pPr>
        <w:spacing w:after="0" w:line="178" w:lineRule="exact"/>
        <w:rPr>
          <w:sz w:val="20"/>
          <w:szCs w:val="20"/>
          <w:color w:val="auto"/>
        </w:rPr>
      </w:pPr>
    </w:p>
    <w:p>
      <w:pPr>
        <w:jc w:val="both"/>
        <w:ind w:left="180" w:right="3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No litigation, investigation or proceeding of or before any arbitrator or Governmental Authority is pending or, to the knowledge of the Borrower, threatened by or against any Group Member or against any of their respective properties or revenues that could reasonably be expected to have a Material Adverse Effect.</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No Default or Event of Default has occurred and is continuing.</w:t>
      </w:r>
    </w:p>
    <w:p>
      <w:pPr>
        <w:spacing w:after="0" w:line="206" w:lineRule="exact"/>
        <w:rPr>
          <w:sz w:val="20"/>
          <w:szCs w:val="20"/>
          <w:color w:val="auto"/>
        </w:rPr>
      </w:pPr>
    </w:p>
    <w:p>
      <w:pPr>
        <w:ind w:left="180" w:right="3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Ownership of Property; Liens</w:t>
      </w:r>
      <w:r>
        <w:rPr>
          <w:rFonts w:ascii="Times New Roman" w:cs="Times New Roman" w:eastAsia="Times New Roman" w:hAnsi="Times New Roman"/>
          <w:sz w:val="22"/>
          <w:szCs w:val="22"/>
          <w:color w:val="auto"/>
        </w:rPr>
        <w:t xml:space="preserve">. Each Group Member has title in fee simple to, or a valid leasehold interest in, or a valid easement or right of way with respect to, all its material real property, and good title to, or a valid leasehold interest in, all its other material property except as could not, individually or in the aggregate, reasonably be expected to have a Material Adverse Effect, and none of such property of the Borrower is subject to any Lien except as permitted by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359" w:firstLine="648"/>
        <w:spacing w:after="0" w:line="245"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 any such Taxes, fees or other charges the amount or validity of which are currently being contested in good faith by appropriate proceedings and with respect to which reserves in conformity with GAAP have been provided on the books of the relevant Group Member or (b) to the extent that the failure to do so could not, individually or in the aggregate, reasonably be expected to have a Material Adverse Effect); no Tax Lien has been filed, and, to the knowledge of the Borrower, no claim is being asserted, with respect to any such Tax, fee or other charge which could, individually or in the aggregate, reasonably be expected to have a Material Adverse Effect.</w:t>
      </w:r>
    </w:p>
    <w:p>
      <w:pPr>
        <w:spacing w:after="0" w:line="177" w:lineRule="exact"/>
        <w:rPr>
          <w:sz w:val="20"/>
          <w:szCs w:val="20"/>
          <w:color w:val="auto"/>
        </w:rPr>
      </w:pPr>
    </w:p>
    <w:p>
      <w:pPr>
        <w:ind w:left="180" w:right="3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Federal Regulations</w:t>
      </w:r>
      <w:r>
        <w:rPr>
          <w:rFonts w:ascii="Times New Roman" w:cs="Times New Roman" w:eastAsia="Times New Roman" w:hAnsi="Times New Roman"/>
          <w:sz w:val="22"/>
          <w:szCs w:val="22"/>
          <w:color w:val="auto"/>
        </w:rPr>
        <w:t>. Neither the Borrower nor any Subsidiary is engaged or will engage, principally or as one of its important activities, in the business of purchasing or carrying margin stock (within the meaning of Regulation U of the Board), or extending credit for the purpose of purchasing or carrying margin stock. No part of the proceeds of the Loans will be used, directly or indirectly, to purchase or carry margin stock, to extend credit for others to purchase or carry margin stock or for any purpose that entails, and no other action will be taken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2" w:name="page233"/>
    <w:bookmarkEnd w:id="232"/>
    <w:p>
      <w:pPr>
        <w:ind w:left="180" w:right="299"/>
        <w:spacing w:after="0" w:line="258" w:lineRule="auto"/>
        <w:rPr>
          <w:sz w:val="20"/>
          <w:szCs w:val="20"/>
          <w:color w:val="auto"/>
        </w:rPr>
      </w:pPr>
      <w:r>
        <w:rPr>
          <w:rFonts w:ascii="Times New Roman" w:cs="Times New Roman" w:eastAsia="Times New Roman" w:hAnsi="Times New Roman"/>
          <w:sz w:val="22"/>
          <w:szCs w:val="22"/>
          <w:color w:val="auto"/>
        </w:rPr>
        <w:t>by the Borrower and the Subsidiaries that would result in, a violation of Regulations T, U and X of the Board.</w:t>
      </w:r>
    </w:p>
    <w:p>
      <w:pPr>
        <w:spacing w:after="0" w:line="15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259" w:firstLine="648"/>
        <w:spacing w:after="0" w:line="244"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Except as could not reasonably be expected, individually or in the aggregate, to have a Material Adverse Effect: (i) each Group Member and each of their respective ERISA Affiliates is in compliance with the applicable provisions and requirements of ERISA and the Code with respect to each Plan; (ii) no ERISA Event has occurred and neither the Borrower nor any ERISA Affiliate is aware of any fact, event or circumstance that could reasonably be expected to constitute or result in an ERISA Event; and (iii) the present value of all accumulated benefit obligations under all Plans and the benefit obligations of retiree welfare benefit arrangements (in each case based on the assumptions used for purposes of Accounting Standards Codification Topic</w:t>
      </w:r>
    </w:p>
    <w:p>
      <w:pPr>
        <w:spacing w:after="0" w:line="4" w:lineRule="exact"/>
        <w:rPr>
          <w:sz w:val="20"/>
          <w:szCs w:val="20"/>
          <w:color w:val="auto"/>
        </w:rPr>
      </w:pPr>
    </w:p>
    <w:p>
      <w:pPr>
        <w:jc w:val="both"/>
        <w:ind w:left="180" w:right="199" w:firstLine="4"/>
        <w:spacing w:after="0" w:line="234" w:lineRule="auto"/>
        <w:tabs>
          <w:tab w:leader="none" w:pos="63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did not, as of the date of the most recent financial statements reflecting such amounts, exceed by more than an immaterial amount the fair market value of the assets of such Plan or arrangement. The Borrower is not holding and will not hold “plan assets” as such term is defined in Section 3(42) of ERISA.</w:t>
      </w:r>
    </w:p>
    <w:p>
      <w:pPr>
        <w:spacing w:after="0" w:line="177" w:lineRule="exact"/>
        <w:rPr>
          <w:sz w:val="20"/>
          <w:szCs w:val="20"/>
          <w:color w:val="auto"/>
        </w:rPr>
      </w:pPr>
    </w:p>
    <w:p>
      <w:pPr>
        <w:ind w:left="180" w:right="8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 Loan Party is an “investment company”, or a company “controlled” by an “investment company”, within the meaning of the Investment Company Act of 1940, as amended.</w:t>
      </w:r>
    </w:p>
    <w:p>
      <w:pPr>
        <w:spacing w:after="0" w:line="173" w:lineRule="exact"/>
        <w:rPr>
          <w:sz w:val="20"/>
          <w:szCs w:val="20"/>
          <w:color w:val="auto"/>
        </w:rPr>
      </w:pPr>
    </w:p>
    <w:p>
      <w:pPr>
        <w:ind w:left="180" w:right="2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As of the Closing Date, </w:t>
      </w:r>
      <w:r>
        <w:rPr>
          <w:rFonts w:ascii="Times New Roman" w:cs="Times New Roman" w:eastAsia="Times New Roman" w:hAnsi="Times New Roman"/>
          <w:sz w:val="22"/>
          <w:szCs w:val="22"/>
          <w:u w:val="single" w:color="auto"/>
          <w:color w:val="auto"/>
        </w:rPr>
        <w:t>Schedule 4.15</w:t>
      </w:r>
      <w:r>
        <w:rPr>
          <w:rFonts w:ascii="Times New Roman" w:cs="Times New Roman" w:eastAsia="Times New Roman" w:hAnsi="Times New Roman"/>
          <w:sz w:val="22"/>
          <w:szCs w:val="22"/>
          <w:color w:val="auto"/>
        </w:rPr>
        <w:t xml:space="preserve"> sets forth (a) each Subsidiary’s legal name and jurisdiction of organization and (b) for each Subsidiary, whether such Subsidiary is a Significant Subsidiary. There are no outstanding subscriptions, options, warrants, calls, rights or other agreements or commitments of any nature relating to any Capital Stock of the Borrower.</w:t>
      </w:r>
    </w:p>
    <w:p>
      <w:pPr>
        <w:spacing w:after="0" w:line="180" w:lineRule="exact"/>
        <w:rPr>
          <w:sz w:val="20"/>
          <w:szCs w:val="20"/>
          <w:color w:val="auto"/>
        </w:rPr>
      </w:pPr>
    </w:p>
    <w:p>
      <w:pPr>
        <w:ind w:left="180" w:right="8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Except as, in the aggregate, could not reasonably be expected to have a Material Adverse Effect:</w:t>
      </w:r>
    </w:p>
    <w:p>
      <w:pPr>
        <w:spacing w:after="0" w:line="158" w:lineRule="exact"/>
        <w:rPr>
          <w:sz w:val="20"/>
          <w:szCs w:val="20"/>
          <w:color w:val="auto"/>
        </w:rPr>
      </w:pPr>
    </w:p>
    <w:p>
      <w:pPr>
        <w:jc w:val="both"/>
        <w:ind w:left="180" w:right="199" w:firstLine="1300"/>
        <w:spacing w:after="0" w:line="239" w:lineRule="auto"/>
        <w:tabs>
          <w:tab w:leader="none" w:pos="212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facilities and properties owned, leased or operated by any Group Member (the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do not contain, and have not previously contained, any Materials of Environmental Concern in amounts or concentrations or under circumstances that constitute or constituted a violation of any Environmental Law;</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Member has received any written notice of violation, alleged violation, non-compliance, liability or potential liability with respect to Environmental Laws with regard to any of the Properties or the business operated by any Group Member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and to the knowledge of the Borrower no notice is threatened;</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2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Materials of Environmental Concern have not been transported or disposed of from the Properties in violation of any Environmental Law, nor have any Materials of Environmental Concern been generated, treated, stored or disposed of at, on or under any of the Properties in violation of any applicable Environmental Law;</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judicial proceeding or governmental or administrative action is pending or, to the knowledge of the Borrower, threatened, under any Environmental Law to which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3" w:name="page234"/>
    <w:bookmarkEnd w:id="233"/>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Group Member is, or to the knowledge of the Borrower, will be named as a party with respect to the Properties or the Business, nor are there any consent decrees or other decrees, consent orders or other judgments or agreements in any administrative or judicial forum outstanding under any Environmental Law with respect to the Properties or the Business;</w:t>
      </w:r>
    </w:p>
    <w:p>
      <w:pPr>
        <w:spacing w:after="0" w:line="180" w:lineRule="exact"/>
        <w:rPr>
          <w:sz w:val="20"/>
          <w:szCs w:val="20"/>
          <w:color w:val="auto"/>
        </w:rPr>
      </w:pPr>
    </w:p>
    <w:p>
      <w:pPr>
        <w:jc w:val="both"/>
        <w:ind w:left="180" w:right="199" w:firstLine="1300"/>
        <w:spacing w:after="0" w:line="238" w:lineRule="auto"/>
        <w:tabs>
          <w:tab w:leader="none" w:pos="21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or threat of release or arranging of disposal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under Environmental Laws;</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Properties and all operations at the Properties are in compliance, and have in the last five (5) years been in compliance, with all applicable Environmental Laws; and</w:t>
      </w:r>
    </w:p>
    <w:p>
      <w:pPr>
        <w:spacing w:after="0" w:line="173"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Member has assumed any liability of any other Person under</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Laws.</w:t>
      </w:r>
    </w:p>
    <w:p>
      <w:pPr>
        <w:spacing w:after="0" w:line="182" w:lineRule="exact"/>
        <w:rPr>
          <w:sz w:val="20"/>
          <w:szCs w:val="20"/>
          <w:color w:val="auto"/>
        </w:rPr>
      </w:pPr>
    </w:p>
    <w:p>
      <w:pPr>
        <w:ind w:left="180" w:right="279" w:firstLine="648"/>
        <w:spacing w:after="0" w:line="232"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Accuracy of Information, etc.</w:t>
      </w:r>
      <w:r>
        <w:rPr>
          <w:rFonts w:ascii="Times New Roman" w:cs="Times New Roman" w:eastAsia="Times New Roman" w:hAnsi="Times New Roman"/>
          <w:sz w:val="22"/>
          <w:szCs w:val="22"/>
          <w:color w:val="auto"/>
        </w:rPr>
        <w:t xml:space="preserve"> The written reports, financial statements, certificates and other written information (other than financial projections and other forward-looking information and information of a general economic or industry-specific nature) furnished by or on behalf of the Borrower or any Subsidiary to the Administrative Agent or any Lender in connection with this Agreement or any other Loan Document is and will be, when furnished and taken as a whole, complete and correct in all material respects and does not and will not, when furnished and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The financial projections and other forward-looking information that have been furnished by or on behalf of the Borrower or any Subsidiary to the Administrative Agent or any Lender in connection with this Agreement or any other Loan Document have been prepared in good faith based upon assumptions that are believed by the Borrower to be reasonable at the time such financial projections or other forward-looking information are furnished to the Administrative Agent or any Lender, it being understood and agreed that financial projections and other forward-looking information are as to future events and are not to be viewed as facts, are subject to significant uncertainties and contingencies, many of which are out of the Borrower’s or the Subsidiaries’ control, that no assurance can be given that any particular projections will be realized, that the financial projections or other forward-looking information is not a guarantee of financial performance and that actual results during the period or periods covered by such projections may differ significantly from the projected results and such differences may be material.</w:t>
      </w:r>
    </w:p>
    <w:p>
      <w:pPr>
        <w:spacing w:after="0" w:line="182" w:lineRule="exact"/>
        <w:rPr>
          <w:sz w:val="20"/>
          <w:szCs w:val="20"/>
          <w:color w:val="auto"/>
        </w:rPr>
      </w:pPr>
    </w:p>
    <w:p>
      <w:pPr>
        <w:ind w:left="180" w:right="239"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xml:space="preserve">. The Security Agreement is effective to create in favor of the Collateral Agent, for the benefit of the Lenders, a legal, valid and enforceable security interest in the Collateral described therein and proceeds thereof. In the case of the Pledged Stock described in the Security Agreement, in addition to filing the financing statements specified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in the appropriate form in the offices specified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when the stock certificates representing such Pledged Stock are delivered to the Collateral Agent, in each case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4" w:name="page235"/>
    <w:bookmarkEnd w:id="234"/>
    <w:p>
      <w:pPr>
        <w:ind w:left="180" w:right="219"/>
        <w:spacing w:after="0" w:line="233" w:lineRule="auto"/>
        <w:rPr>
          <w:sz w:val="20"/>
          <w:szCs w:val="20"/>
          <w:color w:val="auto"/>
        </w:rPr>
      </w:pPr>
      <w:r>
        <w:rPr>
          <w:rFonts w:ascii="Times New Roman" w:cs="Times New Roman" w:eastAsia="Times New Roman" w:hAnsi="Times New Roman"/>
          <w:sz w:val="22"/>
          <w:szCs w:val="22"/>
          <w:color w:val="auto"/>
        </w:rPr>
        <w:t xml:space="preserve">duly endorsed or accompanied by duly executed instruments of assignment or transfer in blank, the Security Agreement shall constitute a fully perfected Lien on, and security interest in, all right, title and interest of the Borrower in such Collateral and the proceeds thereof, as security for the Obligations (as defined in the Security Agreement), in each case prior and superior in right to any other Person (except non-consensual Liens arising by operation of any Requirement of Law) to the extent the creation, perfection and priority thereof is governed by the Uniform Commercial Code as from time to time in effect in the State of New York. In the case of the other Collateral described in the Security Agreement, when financing statements and other filings specified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in appropriate form are filed in the offices specified 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the Security Agreement shall constitute a fully perfected Lien on, and security interest in, all right, title and interest of the Borrower in such Collateral and the proceeds thereof, as security for the Obligations (as defined in the Security Agreement), in each case prior and superior in right to any other Person (except Liens permitted by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to the extent any such security interest may be perfected by the filing of a financing statement.</w:t>
      </w:r>
    </w:p>
    <w:p>
      <w:pPr>
        <w:spacing w:after="0" w:line="180" w:lineRule="exact"/>
        <w:rPr>
          <w:sz w:val="20"/>
          <w:szCs w:val="20"/>
          <w:color w:val="auto"/>
        </w:rPr>
      </w:pPr>
    </w:p>
    <w:p>
      <w:pPr>
        <w:ind w:left="180" w:right="4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Each Loan Party is, and after giving effect to the Loans and the incurrence of all Indebtedness and obligations being incurred in connection herewith will be and will continue to be, Solvent.</w:t>
      </w:r>
    </w:p>
    <w:p>
      <w:pPr>
        <w:spacing w:after="0" w:line="17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4.20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u w:val="single" w:color="auto"/>
          <w:color w:val="auto"/>
        </w:rPr>
        <w:t>Patriot Act; Anti-Corruption Laws; Sanctions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2" w:lineRule="auto"/>
        <w:tabs>
          <w:tab w:leader="none" w:pos="212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and none of its Affiliates (other than Excluded Affiliates) and, to the knowledge of the Loan Parties, none of its Excluded Affiliates is in violation in any material respect of any Requirements of Law relating to terrorism or money laundering, trade sanctions programs and embargoes, import/export licensing, bribery, and any regulation, order, or directive promulgated, issued or enforced pursuant to such Requirements of Law, all as amended, supplemented or replaced from time to time (“</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including Anti-Corruption Laws, International Trade Laws, Executive Order No. 13224 on Terrorist Financing, effective September 24, 2001 (the “</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 xml:space="preserve">”), the Bank Secrecy Act, 31 U.S.C.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Uniting and Strengthening America by Providing Appropriate Tools Required to Intercept and Obstruct Terrorism Act of 2001, Public Law 107-56, the International Emergency Economic Powers Act, 50 U.S.C.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Trading with the Enemy Act, 50 U.S.C. App.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18 U.S.C. § 2332d, and 18 U.S.C. § 2339B and the laws administered by the United States Treasury Department’s Office of Foreign Asset Control, the U.K. Proceeds of Crime Act 2002, the Money Laundering Regulations 2017, as amended and the Terrorist Asset-Freezing etc. Act 2010 and any regulation, order or directive promulgated, issued or enforced pursuant to any such law (as any of the foregoing may from time to time be amended, renewed, extended, or replaced).</w:t>
      </w:r>
    </w:p>
    <w:p>
      <w:pPr>
        <w:spacing w:after="0" w:line="191"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and no Affiliate (other than an Excluded Affiliate) or broker or other agent of any Loan Party acting or benefiting in any capacity in connection with the Revolving Extensions of Credit and, to the knowledge of the Loan Parties, no Excluded Affiliate is any of the following:</w:t>
      </w:r>
    </w:p>
    <w:p>
      <w:pPr>
        <w:spacing w:after="0" w:line="180" w:lineRule="exact"/>
        <w:rPr>
          <w:sz w:val="20"/>
          <w:szCs w:val="20"/>
          <w:color w:val="auto"/>
        </w:rPr>
      </w:pPr>
    </w:p>
    <w:p>
      <w:pPr>
        <w:ind w:left="840" w:right="539" w:firstLine="1288"/>
        <w:spacing w:after="0" w:line="258" w:lineRule="auto"/>
        <w:tabs>
          <w:tab w:leader="none" w:pos="279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Sanctioned Person or a person that is listed in the annex to, or is otherwise subject to the provisions of, the Executive Order;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5" w:name="page236"/>
    <w:bookmarkEnd w:id="235"/>
    <w:p>
      <w:pPr>
        <w:ind w:left="840" w:right="499" w:firstLine="1288"/>
        <w:spacing w:after="0" w:line="244" w:lineRule="auto"/>
        <w:tabs>
          <w:tab w:leader="none" w:pos="2832"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owned or controlled by, or acting for or on behalf of, any person that is listed in the annex to, or is otherwise subject to the provisions of, the Executive Order;</w:t>
      </w:r>
    </w:p>
    <w:p>
      <w:pPr>
        <w:spacing w:after="0" w:line="173" w:lineRule="exact"/>
        <w:rPr>
          <w:rFonts w:ascii="Times New Roman" w:cs="Times New Roman" w:eastAsia="Times New Roman" w:hAnsi="Times New Roman"/>
          <w:sz w:val="22"/>
          <w:szCs w:val="22"/>
          <w:color w:val="auto"/>
        </w:rPr>
      </w:pPr>
    </w:p>
    <w:p>
      <w:pPr>
        <w:ind w:left="840" w:right="859" w:firstLine="1288"/>
        <w:spacing w:after="0" w:line="258" w:lineRule="auto"/>
        <w:tabs>
          <w:tab w:leader="none" w:pos="285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with which any Lender is prohibited from dealing or otherwise engaging in any transaction by any Anti-Terrorism Law;</w:t>
      </w:r>
    </w:p>
    <w:p>
      <w:pPr>
        <w:spacing w:after="0" w:line="158" w:lineRule="exact"/>
        <w:rPr>
          <w:rFonts w:ascii="Times New Roman" w:cs="Times New Roman" w:eastAsia="Times New Roman" w:hAnsi="Times New Roman"/>
          <w:sz w:val="22"/>
          <w:szCs w:val="22"/>
          <w:color w:val="auto"/>
        </w:rPr>
      </w:pPr>
    </w:p>
    <w:p>
      <w:pPr>
        <w:ind w:left="840" w:right="299" w:firstLine="1288"/>
        <w:spacing w:after="0" w:line="244" w:lineRule="auto"/>
        <w:tabs>
          <w:tab w:leader="none" w:pos="283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Loan Parties, a person that commits, threatens or conspires to commit or supports “terrorism” as defined in the Executive Order; or</w:t>
      </w:r>
    </w:p>
    <w:p>
      <w:pPr>
        <w:spacing w:after="0" w:line="173" w:lineRule="exact"/>
        <w:rPr>
          <w:rFonts w:ascii="Times New Roman" w:cs="Times New Roman" w:eastAsia="Times New Roman" w:hAnsi="Times New Roman"/>
          <w:sz w:val="22"/>
          <w:szCs w:val="22"/>
          <w:color w:val="auto"/>
        </w:rPr>
      </w:pPr>
    </w:p>
    <w:p>
      <w:pPr>
        <w:ind w:left="840" w:right="319" w:firstLine="1288"/>
        <w:spacing w:after="0" w:line="239" w:lineRule="auto"/>
        <w:tabs>
          <w:tab w:leader="none" w:pos="2793"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at its official website or any replacement website or other replacement official publication of such list.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2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and, to the knowledge of the Loan Parties, no broker or other agent of any Loan Party acting in any capacity in connection with the Loans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3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implemented and maintains in effect policies and procedures reasonably designed to ensure compliance by the Borrower, its Subsidiaries and their respective directors, officers, employees and agents with Anti-Corruption Laws and applicable Sanctions, and the Borrower and its Subsidiaries, and to the knowledge of the Borrower, their respective officers, employees,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82"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Collateral is Blocked Property.</w:t>
      </w:r>
    </w:p>
    <w:p>
      <w:pPr>
        <w:spacing w:after="0" w:line="206" w:lineRule="exact"/>
        <w:rPr>
          <w:sz w:val="20"/>
          <w:szCs w:val="20"/>
          <w:color w:val="auto"/>
        </w:rPr>
      </w:pPr>
    </w:p>
    <w:p>
      <w:pPr>
        <w:ind w:left="180" w:right="6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Pari Passu Obligations</w:t>
      </w:r>
      <w:r>
        <w:rPr>
          <w:rFonts w:ascii="Times New Roman" w:cs="Times New Roman" w:eastAsia="Times New Roman" w:hAnsi="Times New Roman"/>
          <w:sz w:val="22"/>
          <w:szCs w:val="22"/>
          <w:color w:val="auto"/>
        </w:rPr>
        <w:t xml:space="preserve">. The Loans rank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in right of payment with all other senior Indebtedness of the Borrower and at least pari passu as against the assets of the Borrower with all other secured Indebtedness of the Borrower.</w:t>
      </w:r>
    </w:p>
    <w:p>
      <w:pPr>
        <w:spacing w:after="0" w:line="173" w:lineRule="exact"/>
        <w:rPr>
          <w:sz w:val="20"/>
          <w:szCs w:val="20"/>
          <w:color w:val="auto"/>
        </w:rPr>
      </w:pPr>
    </w:p>
    <w:p>
      <w:pPr>
        <w:ind w:left="18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Regulation</w:t>
      </w:r>
      <w:r>
        <w:rPr>
          <w:rFonts w:ascii="Times New Roman" w:cs="Times New Roman" w:eastAsia="Times New Roman" w:hAnsi="Times New Roman"/>
          <w:sz w:val="22"/>
          <w:szCs w:val="22"/>
          <w:color w:val="auto"/>
        </w:rPr>
        <w:t>. No Group Member is subject to regulation under federal or state law as a public utility except that (a) each of Peoples and Peoples Gas is subject to regulation under Pennsylvania law and by the Pennsylvania Public Utility Commission, (b) Peoples KY and Delta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6" w:name="page237"/>
    <w:bookmarkEnd w:id="236"/>
    <w:p>
      <w:pPr>
        <w:ind w:left="180" w:right="239"/>
        <w:spacing w:after="0" w:line="234" w:lineRule="auto"/>
        <w:rPr>
          <w:sz w:val="20"/>
          <w:szCs w:val="20"/>
          <w:color w:val="auto"/>
        </w:rPr>
      </w:pPr>
      <w:r>
        <w:rPr>
          <w:rFonts w:ascii="Times New Roman" w:cs="Times New Roman" w:eastAsia="Times New Roman" w:hAnsi="Times New Roman"/>
          <w:sz w:val="22"/>
          <w:szCs w:val="22"/>
          <w:color w:val="auto"/>
        </w:rPr>
        <w:t xml:space="preserve">are subject to regulation by the Kentucky Public Service Commission, (c) Peoples WV is subject to regulation by the Public Service Commission of West Virginia and (d) other Subsidiaries may be subject to regulation as public utilities under other federal or state laws disclosed by the Borrower to the Administrative Agent in writing from time to time pursuant to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 The Borrower and its Subsidiaries have complied and are in compliance with (i) all applicable state utility laws, regulations and orders, and (ii) any other federal or state laws, regulations and orders applicable to them as public utilities or gas utilities, except in each case for instances of noncompliance that, individually and in the aggregate, have not had, and are not reasonably likely to have, a Material Adverse Effect.</w:t>
      </w:r>
    </w:p>
    <w:p>
      <w:pPr>
        <w:spacing w:after="0" w:line="18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4.24</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No Loan Party is an Affected Financial Institution.</w:t>
      </w:r>
    </w:p>
    <w:p>
      <w:pPr>
        <w:spacing w:after="0" w:line="206" w:lineRule="exact"/>
        <w:rPr>
          <w:sz w:val="20"/>
          <w:szCs w:val="20"/>
          <w:color w:val="auto"/>
        </w:rPr>
      </w:pPr>
    </w:p>
    <w:p>
      <w:pPr>
        <w:ind w:left="18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xml:space="preserve">. If a Beneficial Ownership Certification is required to be delivered pursuant to </w:t>
      </w:r>
      <w:r>
        <w:rPr>
          <w:rFonts w:ascii="Times New Roman" w:cs="Times New Roman" w:eastAsia="Times New Roman" w:hAnsi="Times New Roman"/>
          <w:sz w:val="22"/>
          <w:szCs w:val="22"/>
          <w:u w:val="single" w:color="auto"/>
          <w:color w:val="auto"/>
        </w:rPr>
        <w:t>Section 5.1(g)</w:t>
      </w:r>
      <w:r>
        <w:rPr>
          <w:rFonts w:ascii="Times New Roman" w:cs="Times New Roman" w:eastAsia="Times New Roman" w:hAnsi="Times New Roman"/>
          <w:sz w:val="22"/>
          <w:szCs w:val="22"/>
          <w:color w:val="auto"/>
        </w:rPr>
        <w:t xml:space="preserve">, then, as of the Closing Date, to the best of the Borrower’s knowledge, the information set forth in such Beneficial Ownership Certification is true and correct in all respects. If a Beneficial Ownership Certification is required to be delivered pursuant to </w:t>
      </w:r>
      <w:r>
        <w:rPr>
          <w:rFonts w:ascii="Times New Roman" w:cs="Times New Roman" w:eastAsia="Times New Roman" w:hAnsi="Times New Roman"/>
          <w:sz w:val="22"/>
          <w:szCs w:val="22"/>
          <w:u w:val="single" w:color="auto"/>
          <w:color w:val="auto"/>
        </w:rPr>
        <w:t>Section 6.2(h)</w:t>
      </w:r>
      <w:r>
        <w:rPr>
          <w:rFonts w:ascii="Times New Roman" w:cs="Times New Roman" w:eastAsia="Times New Roman" w:hAnsi="Times New Roman"/>
          <w:sz w:val="22"/>
          <w:szCs w:val="22"/>
          <w:color w:val="auto"/>
        </w:rPr>
        <w:t>, then, as of the date of the delivery thereof, to the best of the Borrower’s knowledge, the information set forth in such Beneficial Ownership Certification is true and correct in all respects.</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5. CONDITIONS PRECEDENT</w:t>
      </w:r>
    </w:p>
    <w:p>
      <w:pPr>
        <w:spacing w:after="0" w:line="206" w:lineRule="exact"/>
        <w:rPr>
          <w:sz w:val="20"/>
          <w:szCs w:val="20"/>
          <w:color w:val="auto"/>
        </w:rPr>
      </w:pPr>
    </w:p>
    <w:p>
      <w:pPr>
        <w:ind w:left="180" w:right="3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Conditions to Initial Extension of Credit</w:t>
      </w:r>
      <w:r>
        <w:rPr>
          <w:rFonts w:ascii="Times New Roman" w:cs="Times New Roman" w:eastAsia="Times New Roman" w:hAnsi="Times New Roman"/>
          <w:sz w:val="22"/>
          <w:szCs w:val="22"/>
          <w:color w:val="auto"/>
        </w:rPr>
        <w:t>. The effectiveness of this Agreement and the agreement of each Lender to make extensions of credit on the Closing Date is subject to the satisfaction or waiver, prior to or on the Closing Date, of the following conditions precedent:</w:t>
      </w:r>
    </w:p>
    <w:p>
      <w:pPr>
        <w:spacing w:after="0" w:line="173" w:lineRule="exact"/>
        <w:rPr>
          <w:sz w:val="20"/>
          <w:szCs w:val="20"/>
          <w:color w:val="auto"/>
        </w:rPr>
      </w:pPr>
    </w:p>
    <w:p>
      <w:pPr>
        <w:jc w:val="both"/>
        <w:ind w:left="180" w:right="199" w:firstLine="1300"/>
        <w:spacing w:after="0" w:line="239" w:lineRule="auto"/>
        <w:tabs>
          <w:tab w:leader="none" w:pos="212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Executed Agreements</w:t>
      </w:r>
      <w:r>
        <w:rPr>
          <w:rFonts w:ascii="Times New Roman" w:cs="Times New Roman" w:eastAsia="Times New Roman" w:hAnsi="Times New Roman"/>
          <w:sz w:val="22"/>
          <w:szCs w:val="22"/>
          <w:color w:val="auto"/>
        </w:rPr>
        <w:t>. The Administrative Agent shall have received executed copies of (i) the Security Agreement, (ii) the Intercreditor Agreement, (iii) the Joinder to Intercreditor Agreement and (iv) Notes, if any, requested by the Lenders two days prior to the Closing Date.</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The Lenders, Administrative Agent and Lead Arranger shall have received from the Borrower all fees required to be paid, and all expenses for which invoices have been received at least two Business Days prior to the Closing Date (including the reasonable fees and expenses of legal counsel), on or before the Closing Date. All such amounts will be paid on or prior to the Closing Date.</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2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and Third Party Approvals</w:t>
      </w:r>
      <w:r>
        <w:rPr>
          <w:rFonts w:ascii="Times New Roman" w:cs="Times New Roman" w:eastAsia="Times New Roman" w:hAnsi="Times New Roman"/>
          <w:sz w:val="22"/>
          <w:szCs w:val="22"/>
          <w:color w:val="auto"/>
        </w:rPr>
        <w:t>. All governmental and third party approvals necessary in connection with the financing contemplated hereby and the continuing operations of the Borrower and its Subsidiaries shall have been obtained and be in full force and effect.</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Lenders and the Administrative Agent shall have received the Financials referenced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2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 Certified Certificate of Incorporation; Good Standing Certificates</w:t>
      </w:r>
      <w:r>
        <w:rPr>
          <w:rFonts w:ascii="Times New Roman" w:cs="Times New Roman" w:eastAsia="Times New Roman" w:hAnsi="Times New Roman"/>
          <w:sz w:val="22"/>
          <w:szCs w:val="22"/>
          <w:color w:val="auto"/>
        </w:rPr>
        <w:t>. The Administrative Agent shall have received (i) a certificate of the Borrower, dated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7" w:name="page238"/>
    <w:bookmarkEnd w:id="237"/>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 xml:space="preserve">the Closing Date,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with appropriate insertions and attachments, including the certificate of formation of the Borrower certified by the relevant authority of the jurisdiction of organization of the Borrower and (ii) a long form good standing certificate for each of the Borrower and each Significant Subsidiary from its jurisdiction of organization.</w:t>
      </w:r>
    </w:p>
    <w:p>
      <w:pPr>
        <w:spacing w:after="0" w:line="177" w:lineRule="exact"/>
        <w:rPr>
          <w:sz w:val="20"/>
          <w:szCs w:val="20"/>
          <w:color w:val="auto"/>
        </w:rPr>
      </w:pPr>
    </w:p>
    <w:p>
      <w:pPr>
        <w:jc w:val="both"/>
        <w:ind w:left="180" w:right="199" w:firstLine="1300"/>
        <w:spacing w:after="0" w:line="244" w:lineRule="auto"/>
        <w:tabs>
          <w:tab w:leader="none" w:pos="213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The Administrative Agent shall have received the following executed legal opinions, each in form and substance reasonably satisfactory to the Administrative Agent:</w:t>
      </w:r>
    </w:p>
    <w:p>
      <w:pPr>
        <w:spacing w:after="0" w:line="173" w:lineRule="exact"/>
        <w:rPr>
          <w:rFonts w:ascii="Times New Roman" w:cs="Times New Roman" w:eastAsia="Times New Roman" w:hAnsi="Times New Roman"/>
          <w:sz w:val="22"/>
          <w:szCs w:val="22"/>
          <w:color w:val="auto"/>
        </w:rPr>
      </w:pPr>
    </w:p>
    <w:p>
      <w:pPr>
        <w:ind w:left="840" w:right="759" w:firstLine="1288"/>
        <w:spacing w:after="0" w:line="285" w:lineRule="exact"/>
        <w:tabs>
          <w:tab w:leader="none" w:pos="279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executed legal opinion of Simpson Thacher &amp; Bartlett LLP, counsel to the Borrower, substantially in the form of </w:t>
      </w:r>
      <w:r>
        <w:rPr>
          <w:rFonts w:ascii="Times New Roman" w:cs="Times New Roman" w:eastAsia="Times New Roman" w:hAnsi="Times New Roman"/>
          <w:sz w:val="22"/>
          <w:szCs w:val="22"/>
          <w:u w:val="single" w:color="auto"/>
          <w:color w:val="auto"/>
        </w:rPr>
        <w:t>Exhibit D</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and</w:t>
      </w:r>
    </w:p>
    <w:p>
      <w:pPr>
        <w:spacing w:after="0" w:line="146" w:lineRule="exact"/>
        <w:rPr>
          <w:rFonts w:ascii="Times New Roman" w:cs="Times New Roman" w:eastAsia="Times New Roman" w:hAnsi="Times New Roman"/>
          <w:sz w:val="22"/>
          <w:szCs w:val="22"/>
          <w:color w:val="auto"/>
        </w:rPr>
      </w:pPr>
    </w:p>
    <w:p>
      <w:pPr>
        <w:ind w:left="840" w:right="519" w:firstLine="1288"/>
        <w:spacing w:after="0" w:line="285" w:lineRule="exact"/>
        <w:tabs>
          <w:tab w:leader="none" w:pos="2832"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executed legal opinion of Post &amp; Schell, P.C., local counsel in Pennsylvania, substantially in the form of </w:t>
      </w:r>
      <w:r>
        <w:rPr>
          <w:rFonts w:ascii="Times New Roman" w:cs="Times New Roman" w:eastAsia="Times New Roman" w:hAnsi="Times New Roman"/>
          <w:sz w:val="22"/>
          <w:szCs w:val="22"/>
          <w:u w:val="single" w:color="auto"/>
          <w:color w:val="auto"/>
        </w:rPr>
        <w:t>Exhibit D</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Documentation</w:t>
      </w:r>
      <w:r>
        <w:rPr>
          <w:rFonts w:ascii="Times New Roman" w:cs="Times New Roman" w:eastAsia="Times New Roman" w:hAnsi="Times New Roman"/>
          <w:sz w:val="22"/>
          <w:szCs w:val="22"/>
          <w:color w:val="auto"/>
        </w:rPr>
        <w:t>. The Administrative Agent and each Lender shall have received, to the extent the Borrower qualifies as a “legal entity customer” under the Beneficial Ownership Regulation, an executed Beneficial Ownership Certification, and such other documentation and other information reasonably requested to comply with Anti-Terrorism and Anti-Corruption Laws (including any “know your customer” and anti-money laundering documentation).</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The Administrative Agent shall have received a Compliance Certificate, dated as of the Closing Date, demonstrating compliance, on a pro forma basis, with each of the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Searches</w:t>
      </w:r>
      <w:r>
        <w:rPr>
          <w:rFonts w:ascii="Times New Roman" w:cs="Times New Roman" w:eastAsia="Times New Roman" w:hAnsi="Times New Roman"/>
          <w:sz w:val="22"/>
          <w:szCs w:val="22"/>
          <w:color w:val="auto"/>
        </w:rPr>
        <w:t>. The Administrative Agent shall have received state-level lien searches with respect to the Borrower in its jurisdiction of organization and with results reasonably acceptable to the Administrative Agent.</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2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Priority Security Interest</w:t>
      </w:r>
      <w:r>
        <w:rPr>
          <w:rFonts w:ascii="Times New Roman" w:cs="Times New Roman" w:eastAsia="Times New Roman" w:hAnsi="Times New Roman"/>
          <w:sz w:val="22"/>
          <w:szCs w:val="22"/>
          <w:color w:val="auto"/>
        </w:rPr>
        <w:t>. All documents and instruments, including Uniform Commercial Code financing statements, required by law or reasonably requested by the Collateral Agent to be filed, registered or recorded to create the Liens intended to be created by the Security Documents and to perfect such Liens to the extent required by, and with the priority required by, the Security Documents, shall have been executed or authorized, as applicable, and be in proper form for filing.</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3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Pledged Items</w:t>
      </w:r>
      <w:r>
        <w:rPr>
          <w:rFonts w:ascii="Times New Roman" w:cs="Times New Roman" w:eastAsia="Times New Roman" w:hAnsi="Times New Roman"/>
          <w:sz w:val="22"/>
          <w:szCs w:val="22"/>
          <w:color w:val="auto"/>
        </w:rPr>
        <w:t>. To the extent not previously delivered, the Collateral Agent shall have received (i) the certificates or other instruments representing the issued and outstanding Capital Stock of each Subsidiary directly owned by the Borrower or any other Loan Party pledged pursuant to the Security Agreement, together with stock powers or other instruments of transfer with respect thereto endorsed in blank and (ii) each promissory note pledged and required to be delivered to the Collateral Agent pursuant to the Security Agreement, together with note powers or other instruments of transfer with respect thereto endorsed in blank, in each case, subject to the terms of the Intercreditor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8" w:name="page239"/>
    <w:bookmarkEnd w:id="238"/>
    <w:p>
      <w:pPr>
        <w:jc w:val="both"/>
        <w:ind w:left="180" w:right="199" w:firstLine="1300"/>
        <w:spacing w:after="0" w:line="238" w:lineRule="auto"/>
        <w:tabs>
          <w:tab w:leader="none" w:pos="213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Administrative Agent shall have received insurance certificates satisfying the requirements of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Security Agreement and evidencing that all necessary insurance is in place or will be in effect by the Closing Date, so long as such insurance is reasonably available in the commercial insurance market and typically maintained by similarly situated companies in the same industry.</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6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78"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have occurred and be</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182" w:lineRule="exact"/>
        <w:rPr>
          <w:sz w:val="20"/>
          <w:szCs w:val="20"/>
          <w:color w:val="auto"/>
        </w:rPr>
      </w:pPr>
    </w:p>
    <w:p>
      <w:pPr>
        <w:ind w:left="180" w:right="339"/>
        <w:spacing w:after="0" w:line="238" w:lineRule="auto"/>
        <w:rPr>
          <w:sz w:val="20"/>
          <w:szCs w:val="20"/>
          <w:color w:val="auto"/>
        </w:rPr>
      </w:pPr>
      <w:r>
        <w:rPr>
          <w:rFonts w:ascii="Times New Roman" w:cs="Times New Roman" w:eastAsia="Times New Roman" w:hAnsi="Times New Roman"/>
          <w:sz w:val="22"/>
          <w:szCs w:val="22"/>
          <w:color w:val="auto"/>
        </w:rPr>
        <w:t xml:space="preserve">For the purpose of determining compliance with the conditions specified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each Lender that has signed this Agreement shall be deemed to have accepted, and to be satisfied with, each document or other matter required under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unless the Administrative Agent shall have received written notice from such Lender prior to the proposed Closing Date specifying its objection thereto.</w:t>
      </w:r>
    </w:p>
    <w:p>
      <w:pPr>
        <w:spacing w:after="0" w:line="177" w:lineRule="exact"/>
        <w:rPr>
          <w:sz w:val="20"/>
          <w:szCs w:val="20"/>
          <w:color w:val="auto"/>
        </w:rPr>
      </w:pPr>
    </w:p>
    <w:p>
      <w:pPr>
        <w:ind w:left="18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Conditions to Each Extension of Credit</w:t>
      </w:r>
      <w:r>
        <w:rPr>
          <w:rFonts w:ascii="Times New Roman" w:cs="Times New Roman" w:eastAsia="Times New Roman" w:hAnsi="Times New Roman"/>
          <w:sz w:val="22"/>
          <w:szCs w:val="22"/>
          <w:color w:val="auto"/>
        </w:rPr>
        <w:t>. The agreement of each Lender to make any extension of credit in respect of Loans, other than conversions and continuations of Loans, requested to be made by it on any date (including its initial extension of credit) is subject to the satisfaction of the following conditions precedent:</w:t>
      </w:r>
    </w:p>
    <w:p>
      <w:pPr>
        <w:spacing w:after="0" w:line="180" w:lineRule="exact"/>
        <w:rPr>
          <w:sz w:val="20"/>
          <w:szCs w:val="20"/>
          <w:color w:val="auto"/>
        </w:rPr>
      </w:pPr>
    </w:p>
    <w:p>
      <w:pPr>
        <w:jc w:val="both"/>
        <w:ind w:left="180" w:right="199" w:firstLine="1300"/>
        <w:spacing w:after="0" w:line="235" w:lineRule="auto"/>
        <w:tabs>
          <w:tab w:leader="none" w:pos="212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representations and warranties made by any Loan Party in or pursuant to the Loan Documents shall be true and correct in all material respects (it being understood that the materiality qualifier shall not be applicable with respect to any clause of any representation or warranty which itself contains a materiality qualification) on and as of such date as if made on and as of such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have occurred and be continuing on such date or immediately after giving effect to the extensions of credit requested to be made on such date.</w:t>
      </w:r>
    </w:p>
    <w:p>
      <w:pPr>
        <w:spacing w:after="0" w:line="173" w:lineRule="exact"/>
        <w:rPr>
          <w:sz w:val="20"/>
          <w:szCs w:val="20"/>
          <w:color w:val="auto"/>
        </w:rPr>
      </w:pPr>
    </w:p>
    <w:p>
      <w:pPr>
        <w:ind w:left="180" w:right="299"/>
        <w:spacing w:after="0" w:line="244" w:lineRule="auto"/>
        <w:rPr>
          <w:sz w:val="20"/>
          <w:szCs w:val="20"/>
          <w:color w:val="auto"/>
        </w:rPr>
      </w:pPr>
      <w:r>
        <w:rPr>
          <w:rFonts w:ascii="Times New Roman" w:cs="Times New Roman" w:eastAsia="Times New Roman" w:hAnsi="Times New Roman"/>
          <w:sz w:val="22"/>
          <w:szCs w:val="22"/>
          <w:color w:val="auto"/>
        </w:rPr>
        <w:t xml:space="preserve">Each borrowing by the Borrower hereunder shall constitute a representation and warranty by the Borrower as of the date of such extension of credit that the conditions contained in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have been satisfied.</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6. AFFIRMATIVE COVENANTS</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9" w:name="page240"/>
    <w:bookmarkEnd w:id="239"/>
    <w:p>
      <w:pPr>
        <w:jc w:val="both"/>
        <w:ind w:left="180" w:right="199" w:firstLine="1296"/>
        <w:spacing w:after="0" w:line="261" w:lineRule="auto"/>
        <w:rPr>
          <w:sz w:val="20"/>
          <w:szCs w:val="20"/>
          <w:color w:val="auto"/>
        </w:rPr>
      </w:pPr>
      <w:r>
        <w:rPr>
          <w:rFonts w:ascii="Times New Roman" w:cs="Times New Roman" w:eastAsia="Times New Roman" w:hAnsi="Times New Roman"/>
          <w:sz w:val="21"/>
          <w:szCs w:val="21"/>
          <w:color w:val="auto"/>
        </w:rPr>
        <w:t>The Borrower hereby agrees that, until all Obligations have been paid in full (other than contingent indemnification obligations that are not yet due and payable) and the Revolving Commitments have been terminated, the Borrower shall and shall cause each of its Subsidiaries to:</w:t>
      </w:r>
    </w:p>
    <w:p>
      <w:pPr>
        <w:spacing w:after="0" w:line="15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Furnish to the Administrative Agent and each Lender:</w:t>
      </w:r>
    </w:p>
    <w:p>
      <w:pPr>
        <w:spacing w:after="0" w:line="206" w:lineRule="exact"/>
        <w:rPr>
          <w:sz w:val="20"/>
          <w:szCs w:val="20"/>
          <w:color w:val="auto"/>
        </w:rPr>
      </w:pPr>
    </w:p>
    <w:p>
      <w:pPr>
        <w:jc w:val="both"/>
        <w:ind w:left="180" w:right="199" w:firstLine="1300"/>
        <w:spacing w:after="0" w:line="233" w:lineRule="auto"/>
        <w:tabs>
          <w:tab w:leader="none" w:pos="212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120 days after the end of each fiscal year of the Borrower, its audited consolidated balance sheet and related consolidated statements of net income, comprehensive income, equity and cash flows as of the end of and for such fiscal year, setting forth in each case in comparative form the figures for the prior fiscal year, all audited by and accompanied by the opinion of PricewaterhouseCoopers LLP or another independent registered public accounting firm of recognized national standing (without a “going concern” or like qualification, exception or emphasis (other than any qualification, exception or emphasis with respect to or resulting from an upcoming scheduled final maturity of any Indebtedness or associated with a financial covenant) and without any qualification, exception or emphasis as to the scope of such audit) to the effect that such financial statements present fairly, in all material respects, the financial position, results of operations and cash flows of the Borrower and its consolidated Subsidiaries on a consolidated basis as of the end of and for such year in accordance with GAAP; and</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45" w:lineRule="auto"/>
        <w:tabs>
          <w:tab w:leader="none" w:pos="213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not later than 60 days after the end of each of the first three quarterly periods of each fiscal year of the Borrower (commencing with the fiscal quarter ending September 30, 2020), its unaudited consolidated balance sheet as of the end of such fiscal quarter, the related unaudited consolidated statements of net income, comprehensive income and equity for such fiscal quarter and the then elapsed portion of the fiscal year and the related statements of cash flows for the then elapsed portion of the fiscal year, in each case setting forth in comparative form the figures for (or, in the case of the balance sheet, as of the end of) the corresponding period or periods of the prior fiscal year, all certified by a Responsible Officer of the Borrower as presenting fairly, in all material respects, the financial position, results of operations and cash flows of the Borrower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174" w:lineRule="exact"/>
        <w:rPr>
          <w:sz w:val="20"/>
          <w:szCs w:val="20"/>
          <w:color w:val="auto"/>
        </w:rPr>
      </w:pPr>
    </w:p>
    <w:p>
      <w:pPr>
        <w:ind w:left="180" w:right="259" w:firstLine="648"/>
        <w:spacing w:after="0" w:line="251" w:lineRule="auto"/>
        <w:rPr>
          <w:sz w:val="20"/>
          <w:szCs w:val="20"/>
          <w:color w:val="auto"/>
        </w:rPr>
      </w:pPr>
      <w:r>
        <w:rPr>
          <w:rFonts w:ascii="Times New Roman" w:cs="Times New Roman" w:eastAsia="Times New Roman" w:hAnsi="Times New Roman"/>
          <w:sz w:val="21"/>
          <w:szCs w:val="21"/>
          <w:color w:val="auto"/>
        </w:rPr>
        <w:t>All such financial statements shall be complete and correct in all material respects and shall be prepared in reasonable detail and in accordance with GAAP (in the case of quarterly financial statements, subject to normal year-end audit adjustments and the absence of footnotes) applied (except as approved by such accountants or officer, as the case may be, and disclosed in reasonable detail therein) consistently throughout the periods reflected therein and with prior periods.</w:t>
      </w:r>
    </w:p>
    <w:p>
      <w:pPr>
        <w:spacing w:after="0" w:line="168" w:lineRule="exact"/>
        <w:rPr>
          <w:sz w:val="20"/>
          <w:szCs w:val="20"/>
          <w:color w:val="auto"/>
        </w:rPr>
      </w:pPr>
    </w:p>
    <w:p>
      <w:pPr>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0" w:name="page241"/>
    <w:bookmarkEnd w:id="240"/>
    <w:p>
      <w:pPr>
        <w:ind w:left="180" w:right="239"/>
        <w:spacing w:after="0" w:line="239" w:lineRule="auto"/>
        <w:rPr>
          <w:sz w:val="20"/>
          <w:szCs w:val="20"/>
          <w:color w:val="auto"/>
        </w:rPr>
      </w:pPr>
      <w:r>
        <w:rPr>
          <w:rFonts w:ascii="Times New Roman" w:cs="Times New Roman" w:eastAsia="Times New Roman" w:hAnsi="Times New Roman"/>
          <w:sz w:val="22"/>
          <w:szCs w:val="22"/>
          <w:color w:val="auto"/>
        </w:rPr>
        <w:t>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spacing w:after="0" w:line="180" w:lineRule="exact"/>
        <w:rPr>
          <w:sz w:val="20"/>
          <w:szCs w:val="20"/>
          <w:color w:val="auto"/>
        </w:rPr>
      </w:pPr>
    </w:p>
    <w:p>
      <w:pPr>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The Borrower and each Lender acknowledge that, if information furnished by or on behalf of the Borrower pursuant to or in connection with this Agreement is being distributed by the Administrative Agent through Debt Domain, IntraLinks, SyndTrak or a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(i) the Administrative Agent may post any information that the Borrower has indicated as containing MNPI solely on that portion of the Platform designated for Private Side Lender Representatives and (ii) if the Borrower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 The Administrative Agent shall be entitled to rely on any designation by the Borrower that information is suitable to be made available to Public Side Lender Representatives without liability or responsibility for the independent verification thereof.</w:t>
      </w:r>
    </w:p>
    <w:p>
      <w:pPr>
        <w:spacing w:after="0" w:line="185" w:lineRule="exact"/>
        <w:rPr>
          <w:sz w:val="20"/>
          <w:szCs w:val="20"/>
          <w:color w:val="auto"/>
        </w:rPr>
      </w:pPr>
    </w:p>
    <w:p>
      <w:pPr>
        <w:ind w:left="180" w:right="299" w:firstLine="648"/>
        <w:spacing w:after="0" w:line="236" w:lineRule="auto"/>
        <w:rPr>
          <w:sz w:val="20"/>
          <w:szCs w:val="20"/>
          <w:color w:val="auto"/>
        </w:rPr>
      </w:pPr>
      <w:r>
        <w:rPr>
          <w:rFonts w:ascii="Times New Roman" w:cs="Times New Roman" w:eastAsia="Times New Roman" w:hAnsi="Times New Roman"/>
          <w:sz w:val="22"/>
          <w:szCs w:val="22"/>
          <w:color w:val="auto"/>
        </w:rPr>
        <w:t>The Borrower hereby authorizes the Administrative Agent to distribute this Agreement and the Loan Documents to all Lenders, including their Public Side Lender Representatives, and represents and warrants that none of the information contained in the Loan Documents constitutes or contains MNPI. The Borrower acknowledges its understanding that Lenders, including their Public Side Lender Representatives, may be trading in securities of the Borrower or its Affiliates while in possession of the Loan Documents.</w:t>
      </w:r>
    </w:p>
    <w:p>
      <w:pPr>
        <w:spacing w:after="0" w:line="181"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Certificates; Other Information</w:t>
      </w:r>
      <w:r>
        <w:rPr>
          <w:rFonts w:ascii="Times New Roman" w:cs="Times New Roman" w:eastAsia="Times New Roman" w:hAnsi="Times New Roman"/>
          <w:sz w:val="21"/>
          <w:szCs w:val="21"/>
          <w:color w:val="auto"/>
        </w:rPr>
        <w:t>. Furnish to the Administrative Agent and each</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Lender (or, in the case of clause (i) below, to the relevant Lender):</w:t>
      </w:r>
    </w:p>
    <w:p>
      <w:pPr>
        <w:spacing w:after="0" w:line="182" w:lineRule="exact"/>
        <w:rPr>
          <w:sz w:val="20"/>
          <w:szCs w:val="20"/>
          <w:color w:val="auto"/>
        </w:rPr>
      </w:pPr>
    </w:p>
    <w:p>
      <w:pPr>
        <w:jc w:val="both"/>
        <w:ind w:left="180" w:right="199" w:firstLine="1300"/>
        <w:spacing w:after="0" w:line="234" w:lineRule="auto"/>
        <w:tabs>
          <w:tab w:leader="none" w:pos="212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statements referred to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annual financial statements, a Compliance Certificate containing reasonably detailed information and calculations necessary for determining compliance with each of the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as of the last day of the fiscal year of the Borrower;</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3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statements referred to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(commencing with the fiscal quarter ending September 30, 2020),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financial statements, a Compliance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1" w:name="page242"/>
    <w:bookmarkEnd w:id="241"/>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 xml:space="preserve">Certificate containing reasonably detailed information and calculations necessary for determining compliance with each of the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as of the last day of such fiscal period of the Borrower;</w:t>
      </w:r>
    </w:p>
    <w:p>
      <w:pPr>
        <w:spacing w:after="0" w:line="173" w:lineRule="exact"/>
        <w:rPr>
          <w:sz w:val="20"/>
          <w:szCs w:val="20"/>
          <w:color w:val="auto"/>
        </w:rPr>
      </w:pPr>
    </w:p>
    <w:p>
      <w:pPr>
        <w:jc w:val="both"/>
        <w:ind w:left="180" w:right="199" w:firstLine="1300"/>
        <w:spacing w:after="0" w:line="244" w:lineRule="auto"/>
        <w:tabs>
          <w:tab w:leader="none" w:pos="212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February 15 of each fiscal year, a budgeted balance sheet, income statement and statement of cash flow of the Borrower and its Subsidiaries for the current fiscal year;</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days after the same are sent, copies of all financial statements and reports that any Group Member sends to the holders of any class of its debt securities or, to the extent applicable, its public equity securities and, to the extent applicable, within five (5) days after the same are filed, copies of all financial statements and reports that any Group Member may make to, or file with, the SEC;</w:t>
      </w:r>
    </w:p>
    <w:p>
      <w:pPr>
        <w:spacing w:after="0" w:line="176"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any writing from a Rating Agency that such Rating Agency (i) will take public action with respect to the rating of the Senior Notes or (ii) will no longer, or intends to no longer, rate the Senior Notes;</w:t>
      </w:r>
    </w:p>
    <w:p>
      <w:pPr>
        <w:spacing w:after="0" w:line="173"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five (5) Business Days after the effectiveness thereof, copies of any amendment, supplement, waiver or other modification to the Senior Notes Documentation;</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any request therefor, such information and documentation reasonably requested by the Administrative Agent or any Lender for purposes of compliance with applicable “know your customer” requirements under the Patriot Act, the Beneficial Ownership Regulation or other applicable Anti-Money Laundering Laws; and</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3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such additional financial and other information which is reasonably available to the Borrower or its Subsidiaries as any Lender may from time to time reasonably request.</w:t>
      </w:r>
    </w:p>
    <w:p>
      <w:pPr>
        <w:spacing w:after="0" w:line="173" w:lineRule="exact"/>
        <w:rPr>
          <w:sz w:val="20"/>
          <w:szCs w:val="20"/>
          <w:color w:val="auto"/>
        </w:rPr>
      </w:pPr>
    </w:p>
    <w:p>
      <w:pPr>
        <w:ind w:left="18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Pay, discharge or otherwise satisfy before they become delinquent or in default, as the case may be, all Taxes, except where (a) the amount or validity thereof is currently being contested in good faith by appropriate proceedings and reserves in conformity with GAAP with respect thereto have been provided on the books of the relevant Group Member or (b) the failure to make payment could not, individually or in the aggregate, reasonably be expected to result in a Material Adverse Effect.</w:t>
      </w:r>
    </w:p>
    <w:p>
      <w:pPr>
        <w:spacing w:after="0" w:line="181" w:lineRule="exact"/>
        <w:rPr>
          <w:sz w:val="20"/>
          <w:szCs w:val="20"/>
          <w:color w:val="auto"/>
        </w:rPr>
      </w:pPr>
    </w:p>
    <w:p>
      <w:pPr>
        <w:ind w:left="180" w:right="2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Maintenance of Existence; Compliance</w:t>
      </w:r>
      <w:r>
        <w:rPr>
          <w:rFonts w:ascii="Times New Roman" w:cs="Times New Roman" w:eastAsia="Times New Roman" w:hAnsi="Times New Roman"/>
          <w:sz w:val="22"/>
          <w:szCs w:val="22"/>
          <w:color w:val="auto"/>
        </w:rPr>
        <w:t xml:space="preserve">. (a)(i)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and except, other than in the case of clause</w:t>
      </w:r>
    </w:p>
    <w:p>
      <w:pPr>
        <w:spacing w:after="0" w:line="1" w:lineRule="exact"/>
        <w:rPr>
          <w:sz w:val="20"/>
          <w:szCs w:val="20"/>
          <w:color w:val="auto"/>
        </w:rPr>
      </w:pPr>
    </w:p>
    <w:p>
      <w:pPr>
        <w:ind w:left="180" w:right="299" w:firstLine="4"/>
        <w:spacing w:after="0" w:line="233" w:lineRule="auto"/>
        <w:tabs>
          <w:tab w:leader="none" w:pos="43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with respect to the Borrower or any Significant Subsidiary, to the extent that failure to do so could not, individually or in the aggregate, reasonably be expected to have a Material Adverse Effect and (b) comply with all Requirements of Law except to the extent that failure to comply therewith could not, individually or in the aggregate, reasonably be expected to have a Material Adverse Effect.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2" w:name="page243"/>
    <w:bookmarkEnd w:id="242"/>
    <w:p>
      <w:pPr>
        <w:ind w:left="180" w:right="239" w:firstLine="648"/>
        <w:spacing w:after="0" w:line="247"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Maintenance of Property; Insurance</w:t>
      </w:r>
      <w:r>
        <w:rPr>
          <w:rFonts w:ascii="Times New Roman" w:cs="Times New Roman" w:eastAsia="Times New Roman" w:hAnsi="Times New Roman"/>
          <w:sz w:val="21"/>
          <w:szCs w:val="21"/>
          <w:color w:val="auto"/>
        </w:rPr>
        <w:t>. (a) Keep all property useful and necessary in its business in good working order and condition, ordinary wear and tear and casualty and condemnation excepted, except in each case where the failure to take any such actions, individually or in the aggregate, could not reasonably be expected to result in a Material Adverse Effect and</w:t>
      </w:r>
    </w:p>
    <w:p>
      <w:pPr>
        <w:spacing w:after="0" w:line="2" w:lineRule="exact"/>
        <w:rPr>
          <w:sz w:val="20"/>
          <w:szCs w:val="20"/>
          <w:color w:val="auto"/>
        </w:rPr>
      </w:pPr>
    </w:p>
    <w:p>
      <w:pPr>
        <w:jc w:val="both"/>
        <w:ind w:left="180" w:right="239" w:firstLine="4"/>
        <w:spacing w:after="0" w:line="249" w:lineRule="auto"/>
        <w:tabs>
          <w:tab w:leader="none" w:pos="48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with financially sound and reputable insurance companies insurance on all its property in at least such amounts, with such deductibles and against at least such risks as are usually insured against in the same general area by companies engaged in the same or a similar business.</w:t>
      </w:r>
    </w:p>
    <w:p>
      <w:pPr>
        <w:spacing w:after="0" w:line="169" w:lineRule="exact"/>
        <w:rPr>
          <w:sz w:val="20"/>
          <w:szCs w:val="20"/>
          <w:color w:val="auto"/>
        </w:rPr>
      </w:pPr>
    </w:p>
    <w:p>
      <w:pPr>
        <w:ind w:left="18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Inspection of Property; Books and Records; Discussions</w:t>
      </w:r>
      <w:r>
        <w:rPr>
          <w:rFonts w:ascii="Times New Roman" w:cs="Times New Roman" w:eastAsia="Times New Roman" w:hAnsi="Times New Roman"/>
          <w:sz w:val="21"/>
          <w:szCs w:val="21"/>
          <w:color w:val="auto"/>
        </w:rPr>
        <w:t xml:space="preserve">. (a) Keep proper books of records and account in which full, true and correct entries in conformity with GAAP and all Requirements of Law shall be made of all material dealings and transactions in relation to its business and activities and (b) permit representatives of the Administrative Agent, and any agent designated by the Administrative Agent,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may not exercise such rights more often than once during any calendar year (it being understood that any expenses incurred by the Administrative Agent in connection therewith shall be subject to reimbursement by the Borrower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when an Event of Default exists, the Administrative Agent (or any of its agents) may do any of the foregoing (at the expense of the Borrower) at any time during normal business hours and upon reasonable advance notice. Notwithstanding anything to the contrary in this Section, neither the Borrower nor any Subsidiary shall be required to disclose, permit the inspection, examination of, or discussion of, any document, information or other matter that (i) constitutes non-financial trade secrets or non-financial proprietary information, (ii) in respect of which disclosure to the Administrative Agent (or its agents) is prohibited by applicable law or any binding confidentiality agreement between the Borrower or any Subsidiary and a Person that is not the Borrower or any Subsidiary not entered into in contemplation of preventing such disclosure, inspection, examination or discussion or (iii) is subject to attorney-client or similar privilege or constitutes attorney work-product.</w:t>
      </w:r>
    </w:p>
    <w:p>
      <w:pPr>
        <w:spacing w:after="0" w:line="18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Promptly after obtaining actual knowledge thereof give notice to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Administrative Agent and each Lender of:</w:t>
      </w:r>
    </w:p>
    <w:p>
      <w:pPr>
        <w:spacing w:after="0" w:line="182" w:lineRule="exact"/>
        <w:rPr>
          <w:sz w:val="20"/>
          <w:szCs w:val="20"/>
          <w:color w:val="auto"/>
        </w:rPr>
      </w:pPr>
    </w:p>
    <w:p>
      <w:pPr>
        <w:ind w:left="2120" w:hanging="640"/>
        <w:spacing w:after="0"/>
        <w:tabs>
          <w:tab w:leader="none" w:pos="21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continuing Default;</w:t>
      </w:r>
    </w:p>
    <w:p>
      <w:pPr>
        <w:spacing w:after="0" w:line="206"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investigations or proceedings that may, if adversely decided, reasonably be expected to have a Material Adverse Effect;</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Group Member becoming subject to regulation under federal or state law</w:t>
      </w:r>
    </w:p>
    <w:p>
      <w:pPr>
        <w:spacing w:after="0" w:line="2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a public utility;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3" w:name="page244"/>
    <w:bookmarkEnd w:id="243"/>
    <w:p>
      <w:pPr>
        <w:ind w:left="180" w:right="199" w:firstLine="1300"/>
        <w:spacing w:after="0" w:line="258" w:lineRule="auto"/>
        <w:tabs>
          <w:tab w:leader="none" w:pos="212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development or event that has had or could reasonably be expected to have a Material Adverse Effect.</w:t>
      </w:r>
    </w:p>
    <w:p>
      <w:pPr>
        <w:spacing w:after="0" w:line="158" w:lineRule="exact"/>
        <w:rPr>
          <w:sz w:val="20"/>
          <w:szCs w:val="20"/>
          <w:color w:val="auto"/>
        </w:rPr>
      </w:pPr>
    </w:p>
    <w:p>
      <w:pPr>
        <w:ind w:left="180" w:right="579"/>
        <w:spacing w:after="0" w:line="244"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 shall be accompanied by a statement of a Responsible Officer setting forth details of the occurrence referred to therein and stating what action the relevant Group Member proposes to take with respect thereto.</w:t>
      </w:r>
    </w:p>
    <w:p>
      <w:pPr>
        <w:spacing w:after="0" w:line="173" w:lineRule="exact"/>
        <w:rPr>
          <w:sz w:val="20"/>
          <w:szCs w:val="20"/>
          <w:color w:val="auto"/>
        </w:rPr>
      </w:pPr>
    </w:p>
    <w:p>
      <w:pPr>
        <w:ind w:left="180" w:right="2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Except as could not, in the aggregate, reasonably be expected to have a Material Adverse Effect:</w:t>
      </w:r>
    </w:p>
    <w:p>
      <w:pPr>
        <w:spacing w:after="0" w:line="158" w:lineRule="exact"/>
        <w:rPr>
          <w:sz w:val="20"/>
          <w:szCs w:val="20"/>
          <w:color w:val="auto"/>
        </w:rPr>
      </w:pPr>
    </w:p>
    <w:p>
      <w:pPr>
        <w:jc w:val="both"/>
        <w:ind w:left="180" w:right="199" w:firstLine="1300"/>
        <w:spacing w:after="0" w:line="238" w:lineRule="auto"/>
        <w:tabs>
          <w:tab w:leader="none" w:pos="212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and complete all investigations, studies, sampling and testing, and all remedial, removal and other actions required under Environmental Laws and, except to the extent being reasonably contested in good faith by appropriate proceedings, reasonably promptly comply in all material respects with all lawful orders and directives of all Governmental Authorities regarding Environmental Laws.</w:t>
      </w:r>
    </w:p>
    <w:p>
      <w:pPr>
        <w:spacing w:after="0" w:line="177" w:lineRule="exact"/>
        <w:rPr>
          <w:sz w:val="20"/>
          <w:szCs w:val="20"/>
          <w:color w:val="auto"/>
        </w:rPr>
      </w:pPr>
    </w:p>
    <w:p>
      <w:pPr>
        <w:ind w:left="180" w:right="4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Ensure that proceeds of Loans shall be used for (i) the purchase of natural gas inventory and/or (ii) other working capital needs and other general corporate purposes of the Borrower and its Subsidiaries.</w:t>
      </w:r>
    </w:p>
    <w:p>
      <w:pPr>
        <w:spacing w:after="0" w:line="173" w:lineRule="exact"/>
        <w:rPr>
          <w:sz w:val="20"/>
          <w:szCs w:val="20"/>
          <w:color w:val="auto"/>
        </w:rPr>
      </w:pPr>
    </w:p>
    <w:p>
      <w:pPr>
        <w:ind w:left="180" w:right="2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Make, execute and deliver all such additional and further acts, things, deeds and instruments as the Administrative Agent or the Lenders (through the Administrative Agent) may reasonably require to document and consummate the transactions contemplated hereby and to vest completely in and insure the Administrative Agent and the Lenders their respective rights under this Agreement and the other Loan Documents.</w:t>
      </w:r>
    </w:p>
    <w:p>
      <w:pPr>
        <w:spacing w:after="0" w:line="177"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239" w:firstLine="648"/>
        <w:spacing w:after="0" w:line="248"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21"/>
          <w:szCs w:val="21"/>
          <w:u w:val="single" w:color="auto"/>
          <w:color w:val="auto"/>
        </w:rPr>
        <w:t>Intercompany Loans</w:t>
      </w:r>
      <w:r>
        <w:rPr>
          <w:rFonts w:ascii="Times New Roman" w:cs="Times New Roman" w:eastAsia="Times New Roman" w:hAnsi="Times New Roman"/>
          <w:sz w:val="21"/>
          <w:szCs w:val="21"/>
          <w:color w:val="auto"/>
        </w:rPr>
        <w:t>. Make funds available to Peoples, Peoples Gas or any Subsidiary that is a regulated local gas distribution company in the form of intercompany loans from the Borrower and not capital contributions from the Borrower to the extent (a) not in violation of any Requirement of Law (including any Pennsylvania Public Utility Commission order or condition applicable to Peoples and Peoples Gas or other public utilities commission order or condition applicable to such other Subsidiary) and (b) deemed in good faith by the Borrower as constituting an appropriate capital structure given regulatory requirements and conditions.</w:t>
      </w:r>
    </w:p>
    <w:p>
      <w:pPr>
        <w:spacing w:after="0" w:line="170" w:lineRule="exact"/>
        <w:rPr>
          <w:sz w:val="20"/>
          <w:szCs w:val="20"/>
          <w:color w:val="auto"/>
        </w:rPr>
      </w:pPr>
    </w:p>
    <w:p>
      <w:pPr>
        <w:ind w:left="180" w:right="2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First Priority Security Interest</w:t>
      </w:r>
      <w:r>
        <w:rPr>
          <w:rFonts w:ascii="Times New Roman" w:cs="Times New Roman" w:eastAsia="Times New Roman" w:hAnsi="Times New Roman"/>
          <w:sz w:val="22"/>
          <w:szCs w:val="22"/>
          <w:color w:val="auto"/>
        </w:rPr>
        <w:t xml:space="preserve">. Take all reasonable steps necessary or reasonably requested of it by the Administrative Agent to maintain a first priority (except with respect to Liens permitted by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security interest in the Collateral evidenced by the Lien in favor of the Collateral Agent on behalf of the Lenders and the other Senior Lenders (as such term is defined in the Security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4" w:name="page245"/>
    <w:bookmarkEnd w:id="244"/>
    <w:p>
      <w:pPr>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Direct Ownership</w:t>
      </w:r>
      <w:r>
        <w:rPr>
          <w:rFonts w:ascii="Times New Roman" w:cs="Times New Roman" w:eastAsia="Times New Roman" w:hAnsi="Times New Roman"/>
          <w:sz w:val="22"/>
          <w:szCs w:val="22"/>
          <w:color w:val="auto"/>
        </w:rPr>
        <w:t>. Maintain sole direct ownership by the Borrower of Peoples, Peoples Gas and any other Significant Subsidiary, and promptly deliver or cause to be delivered any certificates representing the Capital Stock of each Significant Subsidiary to the Collateral Agent, duly endorsed or accompanied by duly executed instruments of assignment or transfer in blank, and take such other action as may be necessary or desirable to cause all of the Capital Stock of each Significant Subsidiary to constitute Pledged Stock subject to a first priority security interest in favor of the Collateral Agent on behalf of the Lenders and the other Senior Lenders (as such term is defined in the Security Agreement).</w:t>
      </w:r>
    </w:p>
    <w:p>
      <w:pPr>
        <w:spacing w:after="0" w:line="178" w:lineRule="exact"/>
        <w:rPr>
          <w:sz w:val="20"/>
          <w:szCs w:val="20"/>
          <w:color w:val="auto"/>
        </w:rPr>
      </w:pPr>
    </w:p>
    <w:p>
      <w:pPr>
        <w:ind w:left="180" w:right="239" w:firstLine="648"/>
        <w:spacing w:after="0" w:line="236"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Sanctions; Anti-Terrorism Laws; Anti-Corruption Laws</w:t>
      </w:r>
      <w:r>
        <w:rPr>
          <w:rFonts w:ascii="Times New Roman" w:cs="Times New Roman" w:eastAsia="Times New Roman" w:hAnsi="Times New Roman"/>
          <w:sz w:val="22"/>
          <w:szCs w:val="22"/>
          <w:color w:val="auto"/>
        </w:rPr>
        <w:t>. Ensure that (i) none of the Borrower, any Subsidiary nor any Affiliate (other than an Excluded Affiliate) of the Borrower or any Subsidiary or any of its or their respective directors, officers, employees, agents or affiliates acting on its or their behalf in connection with this Agreement will become a Sanctioned Person,</w:t>
      </w:r>
    </w:p>
    <w:p>
      <w:pPr>
        <w:spacing w:after="0" w:line="1" w:lineRule="exact"/>
        <w:rPr>
          <w:sz w:val="20"/>
          <w:szCs w:val="20"/>
          <w:color w:val="auto"/>
        </w:rPr>
      </w:pPr>
    </w:p>
    <w:p>
      <w:pPr>
        <w:ind w:left="180" w:right="259" w:firstLine="4"/>
        <w:spacing w:after="0" w:line="241" w:lineRule="auto"/>
        <w:tabs>
          <w:tab w:leader="none" w:pos="498"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 any Subsidiary nor any Affiliate (other than an Excluded Affiliate) of the Borrower or any Subsidiary, either in its own right or through any third party, or any of its or their respective directors, officers, employees, agents or affiliates acting on its or their behalf in connection with this Agreement will (A) have any of its assets in a country subject to a sanctions program maintained under any Anti-Terrorism Law or in the possession, custody or control of a Sanctioned Person in violation of any Anti-Terrorism Law; (B) do business in or with, or derive any of its income from investments in or transactions with, any country subject to a sanctions program maintained under any Anti-Terrorism Law or Sanctioned Person in violation of any Anti-Terrorism Law; (C) engage in any dealings or transactions prohibited by any Anti-Terrorism Law or (D) directly or indirectly use, provide or make available the Revolving Extensions of Credit</w:t>
      </w:r>
    </w:p>
    <w:p>
      <w:pPr>
        <w:spacing w:after="0" w:line="5" w:lineRule="exact"/>
        <w:rPr>
          <w:rFonts w:ascii="Times New Roman" w:cs="Times New Roman" w:eastAsia="Times New Roman" w:hAnsi="Times New Roman"/>
          <w:sz w:val="21"/>
          <w:szCs w:val="21"/>
          <w:color w:val="auto"/>
        </w:rPr>
      </w:pPr>
    </w:p>
    <w:p>
      <w:pPr>
        <w:ind w:left="180" w:right="219" w:firstLine="4"/>
        <w:spacing w:after="0" w:line="231" w:lineRule="auto"/>
        <w:tabs>
          <w:tab w:leader="none" w:pos="48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any operations in, finance any investments or activities in, or, make any payments to, a country subject to a sanctions program maintained under any Anti-Terrorism Law or to or for the benefit of a Sanctioned Person in violation of any Anti-Terrorism Law, Anti-Money Laundering Law or International Trade Law, (ii) to fund or facilitate any activities or business of, or in any Sanctioned Jurisdiction, (iii) in any manner that could result in a violation by any Person (including the Administrative Agent, any lead arranger, any Lender, underwriter, advisor, investor or otherwise) of any Anti-Terrorism Law, Anti-Money Laundering Law or International Trade Law or (iv) in violation of any applicable law, including any applicable Anti-Corruption Law, Anti-Money Laundering Law or International Trade Law, (iii) the funds used to repay the Obligations will not be Blocked Property or be derived from any unlawful activity, (iv) the Borrower, each Subsidiary and each Affiliate (other than an Excluded Affiliate) of the Borrower or any Subsidiary shall comply in all material respects with all Anti-Terrorism Laws, (v) the Borrower shall promptly notify the Administrative Agent in writing upon the occurrence of a Reportable Compliance Event and (vi) the Borrower shall and shall cause each of its Subsidiaries to maintain in effect and enforce policies and procedures reasonably designed to ensure compliance by the Borrower, its Subsidiaries and their respective directors, officers, employees and agents with Anti-Corruption Laws and applicable Sanctions.</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7. NEGATIVE COVENANTS</w:t>
      </w:r>
    </w:p>
    <w:p>
      <w:pPr>
        <w:spacing w:after="0" w:line="206" w:lineRule="exact"/>
        <w:rPr>
          <w:sz w:val="20"/>
          <w:szCs w:val="20"/>
          <w:color w:val="auto"/>
        </w:rPr>
      </w:pPr>
    </w:p>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The Borrower hereby agrees that, until all Obligations have been paid in full (other than contingent indemnification obligations that are not yet due and payable) and the Revolving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5" w:name="page246"/>
    <w:bookmarkEnd w:id="245"/>
    <w:p>
      <w:pPr>
        <w:ind w:left="180" w:right="199"/>
        <w:spacing w:after="0" w:line="258" w:lineRule="auto"/>
        <w:rPr>
          <w:sz w:val="20"/>
          <w:szCs w:val="20"/>
          <w:color w:val="auto"/>
        </w:rPr>
      </w:pPr>
      <w:r>
        <w:rPr>
          <w:rFonts w:ascii="Times New Roman" w:cs="Times New Roman" w:eastAsia="Times New Roman" w:hAnsi="Times New Roman"/>
          <w:sz w:val="22"/>
          <w:szCs w:val="22"/>
          <w:color w:val="auto"/>
        </w:rPr>
        <w:t>Commitments have been terminated, the Borrower shall not or permit its Subsidiaries to, directly or indirectly:</w:t>
      </w:r>
    </w:p>
    <w:p>
      <w:pPr>
        <w:spacing w:after="0" w:line="15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199" w:firstLine="1300"/>
        <w:spacing w:after="0" w:line="258" w:lineRule="auto"/>
        <w:tabs>
          <w:tab w:leader="none" w:pos="212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at any time, the ratio of (i) Consolidated Debt to (ii) Consolidated Capitalization to exceed 0.60 to 1.00.</w:t>
      </w:r>
    </w:p>
    <w:p>
      <w:pPr>
        <w:spacing w:after="0" w:line="158"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at any time, the ratio of (i) Consolidated EBITDA for the four</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consecutive  fiscal  quarters  ending  on,  or  most  recently  ended  prior  to,  such  time,  to</w:t>
      </w:r>
    </w:p>
    <w:p>
      <w:pPr>
        <w:ind w:left="500" w:hanging="316"/>
        <w:spacing w:after="0"/>
        <w:tabs>
          <w:tab w:leader="none" w:pos="5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for such period to be less than 2.00 to 1.00.</w:t>
      </w:r>
    </w:p>
    <w:p>
      <w:pPr>
        <w:spacing w:after="0" w:line="182"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21"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at any time, the then outstanding aggregate principal amount of Subsidiary Debt to exceed an amount equal to $100,000,000.</w:t>
      </w:r>
    </w:p>
    <w:p>
      <w:pPr>
        <w:spacing w:after="0" w:line="158" w:lineRule="exact"/>
        <w:rPr>
          <w:sz w:val="20"/>
          <w:szCs w:val="20"/>
          <w:color w:val="auto"/>
        </w:rPr>
      </w:pPr>
    </w:p>
    <w:p>
      <w:pPr>
        <w:jc w:val="both"/>
        <w:ind w:left="180" w:right="4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Create, incur, assume or suffer to exist any Lien upon any property of the Borrower (other than property of Subsidiaries of the Borrower), whether now owned or hereafter acquired, except:</w:t>
      </w:r>
    </w:p>
    <w:p>
      <w:pPr>
        <w:spacing w:after="0" w:line="173" w:lineRule="exact"/>
        <w:rPr>
          <w:sz w:val="20"/>
          <w:szCs w:val="20"/>
          <w:color w:val="auto"/>
        </w:rPr>
      </w:pPr>
    </w:p>
    <w:p>
      <w:pPr>
        <w:jc w:val="both"/>
        <w:ind w:left="180" w:right="199" w:firstLine="1300"/>
        <w:spacing w:after="0" w:line="239" w:lineRule="auto"/>
        <w:tabs>
          <w:tab w:leader="none" w:pos="212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not yet due or that are being contested in good faith by appropriate proceedings,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adequate reserves with respect thereto are maintained on the books of the Borrower or its Subsidiaries, as the case may be, in conformity with GAAP;</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61" w:lineRule="auto"/>
        <w:tabs>
          <w:tab w:leader="none" w:pos="2133"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157" w:lineRule="exact"/>
        <w:rPr>
          <w:rFonts w:ascii="Times New Roman" w:cs="Times New Roman" w:eastAsia="Times New Roman" w:hAnsi="Times New Roman"/>
          <w:sz w:val="21"/>
          <w:szCs w:val="21"/>
          <w:color w:val="auto"/>
        </w:rPr>
      </w:pPr>
    </w:p>
    <w:p>
      <w:pPr>
        <w:ind w:left="180" w:right="199" w:firstLine="1300"/>
        <w:spacing w:after="0" w:line="258" w:lineRule="auto"/>
        <w:tabs>
          <w:tab w:leader="none" w:pos="212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connection with workers’ compensation, unemployment insurance and other social security legislation;</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(other than for borrowed money), leases (other than Finance Lease Obligations), insurance, statutory obligations (other than any such obligation imposed pursuant to Section 430(k) of the Code or Sections 303(k) or 4068 of ERISA), surety and appeal bonds, performance bonds and other obligations of a like nature incurred in the ordinary course of business;</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2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zoning and building restrictions and other restrictions and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Borrower;</w:t>
      </w:r>
    </w:p>
    <w:p>
      <w:pPr>
        <w:spacing w:after="0" w:line="176"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of the Borrower incurred pursuant to clauses</w:t>
      </w:r>
    </w:p>
    <w:p>
      <w:pPr>
        <w:spacing w:after="0" w:line="14" w:lineRule="exact"/>
        <w:rPr>
          <w:rFonts w:ascii="Times New Roman" w:cs="Times New Roman" w:eastAsia="Times New Roman" w:hAnsi="Times New Roman"/>
          <w:sz w:val="22"/>
          <w:szCs w:val="22"/>
          <w:color w:val="auto"/>
        </w:rPr>
      </w:pPr>
    </w:p>
    <w:p>
      <w:pPr>
        <w:ind w:left="440" w:hanging="256"/>
        <w:spacing w:after="0"/>
        <w:tabs>
          <w:tab w:leader="none" w:pos="4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of the definition of Specified Indebtedness;</w:t>
      </w:r>
    </w:p>
    <w:p>
      <w:pPr>
        <w:spacing w:after="0" w:line="182"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6" w:name="page247"/>
    <w:bookmarkEnd w:id="246"/>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Liens  created  pursuant  to  the  Security  Documents  and  securing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Obligations;</w:t>
      </w:r>
    </w:p>
    <w:p>
      <w:pPr>
        <w:spacing w:after="0" w:line="182" w:lineRule="exact"/>
        <w:rPr>
          <w:sz w:val="20"/>
          <w:szCs w:val="20"/>
          <w:color w:val="auto"/>
        </w:rPr>
      </w:pPr>
    </w:p>
    <w:p>
      <w:pPr>
        <w:ind w:left="180" w:right="199" w:firstLine="1300"/>
        <w:spacing w:after="0" w:line="258" w:lineRule="auto"/>
        <w:tabs>
          <w:tab w:leader="none" w:pos="213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operating lease entered into by the Borrower in the ordinary course of its business and covering only the assets so leased;</w:t>
      </w:r>
    </w:p>
    <w:p>
      <w:pPr>
        <w:spacing w:after="0" w:line="158"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2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overdraft protection arrangements and other related cash management programs (including any Cash Management Agreements);</w:t>
      </w:r>
    </w:p>
    <w:p>
      <w:pPr>
        <w:spacing w:after="0" w:line="158"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date of this Agreement and set forth on </w:t>
      </w:r>
      <w:r>
        <w:rPr>
          <w:rFonts w:ascii="Times New Roman" w:cs="Times New Roman" w:eastAsia="Times New Roman" w:hAnsi="Times New Roman"/>
          <w:sz w:val="22"/>
          <w:szCs w:val="22"/>
          <w:u w:val="single" w:color="auto"/>
          <w:color w:val="auto"/>
        </w:rPr>
        <w:t>Schedule 7.2</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the collection or disposition of delinquent accounts receivable in the ordinary course of business.</w:t>
      </w:r>
    </w:p>
    <w:p>
      <w:pPr>
        <w:spacing w:after="0" w:line="158" w:lineRule="exact"/>
        <w:rPr>
          <w:sz w:val="20"/>
          <w:szCs w:val="20"/>
          <w:color w:val="auto"/>
        </w:rPr>
      </w:pPr>
    </w:p>
    <w:p>
      <w:pPr>
        <w:ind w:left="18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Enter into any merger, consolidation or amalgamation, or liquidate, wind up or dissolve itself (or suffer any liquidation or dissolution), or Dispose of all or substantially all of its property or business; except that, if at the time thereof and immediately after giving effect thereto no Event of Default shall have occurred and be continuing:</w:t>
      </w:r>
    </w:p>
    <w:p>
      <w:pPr>
        <w:spacing w:after="0" w:line="180" w:lineRule="exact"/>
        <w:rPr>
          <w:sz w:val="20"/>
          <w:szCs w:val="20"/>
          <w:color w:val="auto"/>
        </w:rPr>
      </w:pPr>
    </w:p>
    <w:p>
      <w:pPr>
        <w:ind w:left="180" w:right="199" w:firstLine="1300"/>
        <w:spacing w:after="0" w:line="258" w:lineRule="auto"/>
        <w:tabs>
          <w:tab w:leader="none" w:pos="212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may merge, consolidate or amalgamate into the Borrower in a transaction in which the Borrower is the surviving entity;</w:t>
      </w:r>
    </w:p>
    <w:p>
      <w:pPr>
        <w:spacing w:after="0" w:line="158"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may merge, consolidate or amalgamate into any other Subsidiary in a transaction in which the surviving entity is a wholly-owned Subsidiary;</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55" w:lineRule="auto"/>
        <w:tabs>
          <w:tab w:leader="none" w:pos="212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may merge, consolidate or amalgamate with any other Person so long as the surviving or continuing entity is the Subsidiary with respect to which the Borrower shall, immediately following such transaction or series of transactions, have at least the same degree of ownership and control with respect to such Subsidiary as it did prior to such transaction;</w:t>
      </w:r>
    </w:p>
    <w:p>
      <w:pPr>
        <w:spacing w:after="0" w:line="161"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13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may Dispose of all or substantially all of its property or business to (i) the Borrower, (ii) any wholly-owned Subsidiary or (iii) any other person to the extent permitted by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may liquidate, wind up or dissolve, so long as all assets and other property, if any, of such Subsidiary are distributed to (i) the Borrower, (ii) any wholly-owned Subsidiary or (iii) any other person to the extent permitted by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80" w:right="5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Disposition of Property</w:t>
      </w:r>
      <w:r>
        <w:rPr>
          <w:rFonts w:ascii="Times New Roman" w:cs="Times New Roman" w:eastAsia="Times New Roman" w:hAnsi="Times New Roman"/>
          <w:sz w:val="22"/>
          <w:szCs w:val="22"/>
          <w:color w:val="auto"/>
        </w:rPr>
        <w:t>. Dispose of any of its property, whether now owned or hereafter acquired, or, in the case of any Subsidiary, issue or sell any shares of such Subsidiary’s Capital Stock to any Person, except:</w:t>
      </w:r>
    </w:p>
    <w:p>
      <w:pPr>
        <w:spacing w:after="0" w:line="173" w:lineRule="exact"/>
        <w:rPr>
          <w:sz w:val="20"/>
          <w:szCs w:val="20"/>
          <w:color w:val="auto"/>
        </w:rPr>
      </w:pPr>
    </w:p>
    <w:p>
      <w:pPr>
        <w:ind w:left="2120" w:hanging="640"/>
        <w:spacing w:after="0"/>
        <w:tabs>
          <w:tab w:leader="none" w:pos="21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obsolete, surplus or worn out property in the ordinary</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82"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inventory in the ordinary course of business;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7" w:name="page248"/>
    <w:bookmarkEnd w:id="247"/>
    <w:p>
      <w:pPr>
        <w:ind w:left="2120" w:hanging="640"/>
        <w:spacing w:after="0"/>
        <w:tabs>
          <w:tab w:leader="none" w:pos="212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Cash Equivalents;</w:t>
      </w:r>
    </w:p>
    <w:p>
      <w:pPr>
        <w:spacing w:after="0" w:line="206"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Disposition of other property having a fair market value not to exceed five percent (5%) of the Consolidated Total Assets in the aggregate for any fiscal year of the Borrower, calculated as of the commencement of such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thereto, no Default or Event of Default exists; and</w:t>
      </w:r>
    </w:p>
    <w:p>
      <w:pPr>
        <w:spacing w:after="0" w:line="180"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of property of any Subsidiary to the Borrower or any wholly-</w:t>
      </w:r>
    </w:p>
    <w:p>
      <w:pPr>
        <w:spacing w:after="0" w:line="2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owned Subsidiary.</w:t>
      </w:r>
    </w:p>
    <w:p>
      <w:pPr>
        <w:spacing w:after="0" w:line="182" w:lineRule="exact"/>
        <w:rPr>
          <w:sz w:val="20"/>
          <w:szCs w:val="20"/>
          <w:color w:val="auto"/>
        </w:rPr>
      </w:pPr>
    </w:p>
    <w:p>
      <w:pPr>
        <w:ind w:left="180" w:right="3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except that:</w:t>
      </w:r>
    </w:p>
    <w:p>
      <w:pPr>
        <w:spacing w:after="0" w:line="183" w:lineRule="exact"/>
        <w:rPr>
          <w:sz w:val="20"/>
          <w:szCs w:val="20"/>
          <w:color w:val="auto"/>
        </w:rPr>
      </w:pPr>
    </w:p>
    <w:p>
      <w:pPr>
        <w:ind w:left="180" w:right="199" w:firstLine="1300"/>
        <w:spacing w:after="0" w:line="258" w:lineRule="auto"/>
        <w:tabs>
          <w:tab w:leader="none" w:pos="212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Subsidiaries may make Restricted Payments to the Borrower or any wholly-owned Subsidiary;</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3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to LDC Holdings or any direct or indirect owner of the Borrower for any taxable period (or portion thereof) in which the Borrower and/or any of its Subsidiaries is a member of a consolidated, combined, unitary or similar U.S. federal, state, local and/or foreign income or similar tax group whose common parent is a direct or indirect parent of the Borrower (a “</w:t>
      </w:r>
      <w:r>
        <w:rPr>
          <w:rFonts w:ascii="Times New Roman" w:cs="Times New Roman" w:eastAsia="Times New Roman" w:hAnsi="Times New Roman"/>
          <w:sz w:val="22"/>
          <w:szCs w:val="22"/>
          <w:u w:val="single" w:color="auto"/>
          <w:color w:val="auto"/>
        </w:rPr>
        <w:t>Tax Group</w:t>
      </w:r>
      <w:r>
        <w:rPr>
          <w:rFonts w:ascii="Times New Roman" w:cs="Times New Roman" w:eastAsia="Times New Roman" w:hAnsi="Times New Roman"/>
          <w:sz w:val="22"/>
          <w:szCs w:val="22"/>
          <w:color w:val="auto"/>
        </w:rPr>
        <w:t>”), or in which the Borrower is disregarded from an indirect parent entity that is a C corporation for U.S. federal income tax purposes, to pay such U.S. federal, state, local and/or foreign Taxes of such Tax Group that are attributable to the taxable income, revenue, receipts, gross receipts, gross profits, capital or margin of the Borrower and/or its applicable Subsidiaries; and</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2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make Restricted Payments to the Essential Group so long as no Default or Event of Default shall have occurred and be continuing, and both immediately before and immediately after giving effect thereto, the Borrower shall be in compliance with the financial covenant set forth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and in pro forma compliance with the financial covenants set forth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 w:right="279" w:firstLine="648"/>
        <w:spacing w:after="0" w:line="234"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Enter into any transaction, including any purchase, sale, lease or exchange of property, the rendering of any service or the payment of any management, advisory or similar fees, with any Affiliate (other than transactions among the Borrower and its Subsidiaries not involving any other Affiliate of the Borrower), other than (a) any such transaction that is (i) not prohibited by this Agreement, (ii) in the ordinary course of business of the relevant Group Member, and (iii) upon fair and reasonable terms no less favorable to the relevant Group Member than it would obtain in a comparable arm’s length transaction with a Person that is not an Affiliate and (b) any other transaction (if part of a series of related transactions, together with such related transactions) involving consideration or value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8" w:name="page249"/>
    <w:bookmarkEnd w:id="248"/>
    <w:p>
      <w:pPr>
        <w:ind w:left="180" w:right="539"/>
        <w:spacing w:after="0" w:line="258" w:lineRule="auto"/>
        <w:rPr>
          <w:sz w:val="20"/>
          <w:szCs w:val="20"/>
          <w:color w:val="auto"/>
        </w:rPr>
      </w:pPr>
      <w:r>
        <w:rPr>
          <w:rFonts w:ascii="Times New Roman" w:cs="Times New Roman" w:eastAsia="Times New Roman" w:hAnsi="Times New Roman"/>
          <w:sz w:val="22"/>
          <w:szCs w:val="22"/>
          <w:color w:val="auto"/>
        </w:rPr>
        <w:t>of less than $3,000,000. Notwithstanding the foregoing, any Group Member may reimburse any other Group Member on a cost of services basis for the cost of services provided.</w:t>
      </w:r>
    </w:p>
    <w:p>
      <w:pPr>
        <w:spacing w:after="0" w:line="158" w:lineRule="exact"/>
        <w:rPr>
          <w:sz w:val="20"/>
          <w:szCs w:val="20"/>
          <w:color w:val="auto"/>
        </w:rPr>
      </w:pPr>
    </w:p>
    <w:p>
      <w:pPr>
        <w:ind w:left="180" w:right="4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Permit the incurrence of any Indebtedness unless (a) immediately after giving effect to any such Indebtedness, the ratio of Consolidated Debt to Consolidated Capitalization shall not exceed 0.60 to 1.00, and (b) at the time of such incurrence, no Default or Event of Default then exists or would arise therefrom.</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u w:val="single" w:color="auto"/>
          <w:color w:val="auto"/>
        </w:rPr>
        <w:t>Swap Agreements</w:t>
      </w:r>
      <w:r>
        <w:rPr>
          <w:rFonts w:ascii="Times New Roman" w:cs="Times New Roman" w:eastAsia="Times New Roman" w:hAnsi="Times New Roman"/>
          <w:sz w:val="21"/>
          <w:szCs w:val="21"/>
          <w:color w:val="auto"/>
        </w:rPr>
        <w:t>. Enter into any Swap Agreement, except non-speculative</w:t>
      </w:r>
    </w:p>
    <w:p>
      <w:pPr>
        <w:spacing w:after="0" w:line="14" w:lineRule="exact"/>
        <w:rPr>
          <w:sz w:val="20"/>
          <w:szCs w:val="20"/>
          <w:color w:val="auto"/>
        </w:rPr>
      </w:pPr>
    </w:p>
    <w:p>
      <w:pPr>
        <w:ind w:left="180" w:right="239" w:firstLine="4"/>
        <w:spacing w:after="0" w:line="232" w:lineRule="auto"/>
        <w:tabs>
          <w:tab w:leader="none" w:pos="47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Swap Agreements entered into to hedge or mitigate risks to which the Borrower or any of its Subsidiaries has actual exposure (other than those in respect of Capital Stock) and (b) Swap Agreements entered into in order to effectively cap, collar or exchange interest rates (from fixed to floating rates, from one floating rate to another floating rate or otherwise) to which the Borrower or any of its Subsidiaries has actual exposure with respect to any interest-bearing liability or investment of the Borrower or any such Subsidiary.</w:t>
      </w:r>
    </w:p>
    <w:p>
      <w:pPr>
        <w:spacing w:after="0" w:line="183" w:lineRule="exact"/>
        <w:rPr>
          <w:sz w:val="20"/>
          <w:szCs w:val="20"/>
          <w:color w:val="auto"/>
        </w:rPr>
      </w:pPr>
    </w:p>
    <w:p>
      <w:pPr>
        <w:jc w:val="both"/>
        <w:ind w:left="180" w:right="219" w:firstLine="648"/>
        <w:spacing w:after="0" w:line="282"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u w:val="single" w:color="auto"/>
          <w:color w:val="auto"/>
        </w:rPr>
        <w:t>Changes in Fiscal Periods</w:t>
      </w:r>
      <w:r>
        <w:rPr>
          <w:rFonts w:ascii="Times New Roman" w:cs="Times New Roman" w:eastAsia="Times New Roman" w:hAnsi="Times New Roman"/>
          <w:sz w:val="21"/>
          <w:szCs w:val="21"/>
          <w:color w:val="auto"/>
        </w:rPr>
        <w:t>. Permit the fiscal year of any Group Member to end on a day other than December 31 or change any Group Member’s method of determining fiscal quarters.</w:t>
      </w:r>
    </w:p>
    <w:p>
      <w:pPr>
        <w:spacing w:after="0" w:line="135" w:lineRule="exact"/>
        <w:rPr>
          <w:sz w:val="20"/>
          <w:szCs w:val="20"/>
          <w:color w:val="auto"/>
        </w:rPr>
      </w:pPr>
    </w:p>
    <w:p>
      <w:pPr>
        <w:ind w:left="180" w:right="259" w:firstLine="648"/>
        <w:spacing w:after="0" w:line="247" w:lineRule="auto"/>
        <w:rPr>
          <w:sz w:val="20"/>
          <w:szCs w:val="20"/>
          <w:color w:val="auto"/>
        </w:rPr>
      </w:pPr>
      <w:r>
        <w:rPr>
          <w:rFonts w:ascii="Times New Roman" w:cs="Times New Roman" w:eastAsia="Times New Roman" w:hAnsi="Times New Roman"/>
          <w:sz w:val="21"/>
          <w:szCs w:val="21"/>
          <w:color w:val="auto"/>
        </w:rPr>
        <w:t xml:space="preserve">7.10 </w:t>
      </w:r>
      <w:r>
        <w:rPr>
          <w:rFonts w:ascii="Times New Roman" w:cs="Times New Roman" w:eastAsia="Times New Roman" w:hAnsi="Times New Roman"/>
          <w:sz w:val="21"/>
          <w:szCs w:val="21"/>
          <w:u w:val="single" w:color="auto"/>
          <w:color w:val="auto"/>
        </w:rPr>
        <w:t>Clauses Restricting Distributions</w:t>
      </w:r>
      <w:r>
        <w:rPr>
          <w:rFonts w:ascii="Times New Roman" w:cs="Times New Roman" w:eastAsia="Times New Roman" w:hAnsi="Times New Roman"/>
          <w:sz w:val="21"/>
          <w:szCs w:val="21"/>
          <w:color w:val="auto"/>
        </w:rPr>
        <w:t>. Enter into or suffer to exist or become effective any consensual encumbrance or restriction on the ability of Peoples, Peoples Gas or any other Significant Subsidiary to make Restricted Payments in respect of any of its Capital Stock to the Borrower, except for such encumbrances or restrictions (a) as may be required by the Pennsylvania Public Utility Commission or other Governmental Authority, (b) existing under or by reason of any restrictions existing under the Loan Documents or the Note Purchase Agreement or (c) existing under or by reason of customary restrictions existing under loan documentation for Indebtedness permitted under clauses (i), (ii) or (vi) of the definition of Specified Indebtedness.</w:t>
      </w:r>
    </w:p>
    <w:p>
      <w:pPr>
        <w:spacing w:after="0" w:line="172" w:lineRule="exact"/>
        <w:rPr>
          <w:sz w:val="20"/>
          <w:szCs w:val="20"/>
          <w:color w:val="auto"/>
        </w:rPr>
      </w:pPr>
    </w:p>
    <w:p>
      <w:pPr>
        <w:ind w:left="180" w:right="2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Amendments to Indebtedness Documents</w:t>
      </w:r>
      <w:r>
        <w:rPr>
          <w:rFonts w:ascii="Times New Roman" w:cs="Times New Roman" w:eastAsia="Times New Roman" w:hAnsi="Times New Roman"/>
          <w:sz w:val="22"/>
          <w:szCs w:val="22"/>
          <w:color w:val="auto"/>
        </w:rPr>
        <w:t>. Amend, supplement or otherwise modify (pursuant to a waiver or otherwise) the terms and conditions of any Indebtedness permitted under clauses (i), (ii) or (vi) of the definition of Specified Indebtedness in any respect, when taken as a whole, materially adverse to the Lenders without the prior written consent of the Required Lenders.</w:t>
      </w:r>
    </w:p>
    <w:p>
      <w:pPr>
        <w:spacing w:after="0" w:line="177" w:lineRule="exact"/>
        <w:rPr>
          <w:sz w:val="20"/>
          <w:szCs w:val="20"/>
          <w:color w:val="auto"/>
        </w:rPr>
      </w:pPr>
    </w:p>
    <w:p>
      <w:pPr>
        <w:ind w:left="180" w:right="5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New Subsidiaries</w:t>
      </w:r>
      <w:r>
        <w:rPr>
          <w:rFonts w:ascii="Times New Roman" w:cs="Times New Roman" w:eastAsia="Times New Roman" w:hAnsi="Times New Roman"/>
          <w:sz w:val="22"/>
          <w:szCs w:val="22"/>
          <w:color w:val="auto"/>
        </w:rPr>
        <w:t>. Form, acquire or otherwise own any Subsidiaries, other than Subsidiaries that engage in the regulated utility business or other activity or ancillary business related thereto.</w:t>
      </w:r>
    </w:p>
    <w:p>
      <w:pPr>
        <w:spacing w:after="0" w:line="173" w:lineRule="exact"/>
        <w:rPr>
          <w:sz w:val="20"/>
          <w:szCs w:val="20"/>
          <w:color w:val="auto"/>
        </w:rPr>
      </w:pPr>
    </w:p>
    <w:p>
      <w:pPr>
        <w:ind w:left="180" w:right="3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Lines of Business</w:t>
      </w:r>
      <w:r>
        <w:rPr>
          <w:rFonts w:ascii="Times New Roman" w:cs="Times New Roman" w:eastAsia="Times New Roman" w:hAnsi="Times New Roman"/>
          <w:sz w:val="22"/>
          <w:szCs w:val="22"/>
          <w:color w:val="auto"/>
        </w:rPr>
        <w:t xml:space="preserve">. Engage in any business if, as a result, the general nature of the business in which the Borrower and its Subsidiaries, taken as a whole, would then be engaged would be substantially changed from the regulated utility business and any other activity or ancillary business related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ancillary business shall not include gas processing, exploration and development.</w:t>
      </w:r>
    </w:p>
    <w:p>
      <w:pPr>
        <w:spacing w:after="0" w:line="177"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7.14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9" w:name="page250"/>
    <w:bookmarkEnd w:id="249"/>
    <w:p>
      <w:pPr>
        <w:ind w:left="180" w:right="2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Request any Loan, and the Borrower shall not use, and shall not procure that its Subsidiaries and its 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Jurisdiction, to the extent such activities, business or transaction would be prohibited by Sanctions if conducted by a corporation incorporated in the United States, or (c) in any manner that would result in the violation of any Sanctions applicable to any party hereto.</w:t>
      </w:r>
    </w:p>
    <w:p>
      <w:pPr>
        <w:spacing w:after="0" w:line="183" w:lineRule="exact"/>
        <w:rPr>
          <w:sz w:val="20"/>
          <w:szCs w:val="20"/>
          <w:color w:val="auto"/>
        </w:rPr>
      </w:pPr>
    </w:p>
    <w:p>
      <w:pPr>
        <w:jc w:val="both"/>
        <w:ind w:left="180" w:right="7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Sanctions and other Anti-Terrorism Laws</w:t>
      </w:r>
      <w:r>
        <w:rPr>
          <w:rFonts w:ascii="Times New Roman" w:cs="Times New Roman" w:eastAsia="Times New Roman" w:hAnsi="Times New Roman"/>
          <w:sz w:val="22"/>
          <w:szCs w:val="22"/>
          <w:color w:val="auto"/>
        </w:rPr>
        <w:t>. Not (a) repay the Obligations with Blocked Property or funds derived from any unlawful activity; or (b) permit any Collateral to become Blocked Property.</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8. EVENTS OF DEFAULT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If any of the following events shall occur and be continuing:</w:t>
      </w:r>
    </w:p>
    <w:p>
      <w:pPr>
        <w:spacing w:after="0" w:line="206" w:lineRule="exact"/>
        <w:rPr>
          <w:sz w:val="20"/>
          <w:szCs w:val="20"/>
          <w:color w:val="auto"/>
        </w:rPr>
      </w:pPr>
    </w:p>
    <w:p>
      <w:pPr>
        <w:jc w:val="both"/>
        <w:ind w:left="180" w:right="199" w:firstLine="1300"/>
        <w:spacing w:after="0" w:line="239" w:lineRule="auto"/>
        <w:tabs>
          <w:tab w:leader="none" w:pos="212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when due in accordance with the terms hereof; or the Borrower shall fail to pay any interest on any Loan, fees or any other amounts payable hereunder or under any other Loan Document, within five (5) days after any such interest, fees or other amounts become due in accordance with the terms hereof; or</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(and in the case of the representations made in </w:t>
      </w:r>
      <w:r>
        <w:rPr>
          <w:rFonts w:ascii="Times New Roman" w:cs="Times New Roman" w:eastAsia="Times New Roman" w:hAnsi="Times New Roman"/>
          <w:sz w:val="22"/>
          <w:szCs w:val="22"/>
          <w:u w:val="single" w:color="auto"/>
          <w:color w:val="auto"/>
        </w:rPr>
        <w:t>Section 4.21</w:t>
      </w:r>
      <w:r>
        <w:rPr>
          <w:rFonts w:ascii="Times New Roman" w:cs="Times New Roman" w:eastAsia="Times New Roman" w:hAnsi="Times New Roman"/>
          <w:sz w:val="22"/>
          <w:szCs w:val="22"/>
          <w:color w:val="auto"/>
        </w:rPr>
        <w:t>, in any respect) on or as of the date made or deemed made; or</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shall default in the observance or performance of any agreement contained in clause (i) or (ii) of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 or </w:t>
      </w:r>
      <w:r>
        <w:rPr>
          <w:rFonts w:ascii="Times New Roman" w:cs="Times New Roman" w:eastAsia="Times New Roman" w:hAnsi="Times New Roman"/>
          <w:sz w:val="22"/>
          <w:szCs w:val="22"/>
          <w:u w:val="single" w:color="auto"/>
          <w:color w:val="auto"/>
        </w:rPr>
        <w:t>Sections 4.4 and 4.6(b)</w:t>
      </w:r>
      <w:r>
        <w:rPr>
          <w:rFonts w:ascii="Times New Roman" w:cs="Times New Roman" w:eastAsia="Times New Roman" w:hAnsi="Times New Roman"/>
          <w:sz w:val="22"/>
          <w:szCs w:val="22"/>
          <w:color w:val="auto"/>
        </w:rPr>
        <w:t xml:space="preserve"> of the Security Agreement; or</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thirty (30) days after notice to the Borrower from the Administrative Agent or the Required Lenders; or</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2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its Subsidiaries shall (i) default in making any payment (in respect of principal or interest) of any material Indebtedness (including the Senior Notes and any Guarantee Obligation, but excluding the Loans) when and as the same shall become due and payable after giving effect to any notice requirements and grace periods applicable thereto; or</w:t>
      </w:r>
    </w:p>
    <w:p>
      <w:pPr>
        <w:jc w:val="both"/>
        <w:ind w:left="180" w:right="199" w:firstLine="4"/>
        <w:spacing w:after="0" w:line="247" w:lineRule="auto"/>
        <w:tabs>
          <w:tab w:leader="none" w:pos="519"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0" w:name="page251"/>
    <w:bookmarkEnd w:id="250"/>
    <w:p>
      <w:pPr>
        <w:jc w:val="both"/>
        <w:ind w:left="180" w:right="199"/>
        <w:spacing w:after="0" w:line="248" w:lineRule="auto"/>
        <w:rPr>
          <w:sz w:val="20"/>
          <w:szCs w:val="20"/>
          <w:color w:val="auto"/>
        </w:rPr>
      </w:pPr>
      <w:r>
        <w:rPr>
          <w:rFonts w:ascii="Times New Roman" w:cs="Times New Roman" w:eastAsia="Times New Roman" w:hAnsi="Times New Roman"/>
          <w:sz w:val="21"/>
          <w:szCs w:val="21"/>
          <w:color w:val="auto"/>
        </w:rPr>
        <w:t xml:space="preserve">agent on behalf of such holder or beneficiary) to cause, with the giving of notice if required, such Indebtedness to become due prior to its stated maturity or (in the case of any such Indebtedness constituting a Guarantee Obligation) to become payable;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$50,000,000; or</w:t>
      </w:r>
    </w:p>
    <w:p>
      <w:pPr>
        <w:spacing w:after="0" w:line="170" w:lineRule="exact"/>
        <w:rPr>
          <w:sz w:val="20"/>
          <w:szCs w:val="20"/>
          <w:color w:val="auto"/>
        </w:rPr>
      </w:pPr>
    </w:p>
    <w:p>
      <w:pPr>
        <w:ind w:left="2140" w:hanging="660"/>
        <w:spacing w:after="0"/>
        <w:tabs>
          <w:tab w:leader="none" w:pos="2140"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Group Member shall commence any case, proceeding or other action</w:t>
      </w:r>
    </w:p>
    <w:p>
      <w:pPr>
        <w:spacing w:after="0" w:line="25" w:lineRule="exact"/>
        <w:rPr>
          <w:rFonts w:ascii="Times New Roman" w:cs="Times New Roman" w:eastAsia="Times New Roman" w:hAnsi="Times New Roman"/>
          <w:sz w:val="21"/>
          <w:szCs w:val="21"/>
          <w:color w:val="auto"/>
        </w:rPr>
      </w:pPr>
    </w:p>
    <w:p>
      <w:pPr>
        <w:jc w:val="both"/>
        <w:ind w:left="180" w:right="199" w:firstLine="4"/>
        <w:spacing w:after="0" w:line="231" w:lineRule="auto"/>
        <w:tabs>
          <w:tab w:leader="none" w:pos="5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(ii) there shall be commenced against any Group Member any case, proceeding or other action of a nature referred to in clause (i) above that (A) results in the entry of an order for relief or any such adjudication or appointment or (B) remains undismissed or undischarged for a period of sixty (60)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Group Member shall take any action in furtherance of, or indicating its consent to, approval of, or acquiescence in, any of the acts set forth in clause (i), (ii), or (iii) above; or (v) or any Group Member shall generally not, or shall be unable to, or shall admit in writing its inability to, pay its debts as they become due; or (vi) any Group Member shall make a general assignment for the benefit of its creditors; or</w:t>
      </w:r>
    </w:p>
    <w:p>
      <w:pPr>
        <w:spacing w:after="0" w:line="183"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ERISA Events shall have occurred that, individually or in the aggregate, could reasonably be expected to result in a Material Adverse Effect; or</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3"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or decrees (excluding regulatory orders payable through adjustments to rates or through periodic payments or refunds to customers) shall be entered against any Group Member involving in the aggregate a liability (not paid or fully covered by insurance as to which the relevant insurance company has acknowledged coverage) of $50,000,000 or more, and all such judgments or decrees shall not have been vacated, discharged, stayed or bonded pending appeal within sixty (60) days from the entry thereof; or</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9"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Loan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or</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2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or series of events by which (i) Essential shall cease to directly or indirectly own and control at least 51% of the economic and voting interests in the Borrower,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1" w:name="page252"/>
    <w:bookmarkEnd w:id="251"/>
    <w:p>
      <w:pPr>
        <w:ind w:left="180" w:right="199" w:firstLine="4"/>
        <w:spacing w:after="0" w:line="258" w:lineRule="auto"/>
        <w:tabs>
          <w:tab w:leader="none" w:pos="5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cease to directly own and control 100% of the economic and voting interests in Peoples, Peoples Gas, and any other Significant Subsidiary; or</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33"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LDC Holdings shall (i) conduct, transact or otherwise engage in, or commit to conduct, transact or otherwise engage in, any business or operations other than those incidental to its ownership of the Capital Stock of the Borrower, (ii) incur, create, assume or suffer to exist any Indebtedness or other liabilities or financial obligations, except (x) nonconsensual obligations imposed by operation of law and (y) obligations with respect to its Capital Stock, or (iii) own, lease, manage or otherwise operate any properties or assets (including cash (other than cash received in connection with dividends or distributions made by the Borrower in accordance with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pending application in the manner contemplated by said Section) and cash equivalents) other than the ownership of shares of Capital Stock of the Borrower;</w:t>
      </w:r>
    </w:p>
    <w:p>
      <w:pPr>
        <w:spacing w:after="0" w:line="183" w:lineRule="exact"/>
        <w:rPr>
          <w:sz w:val="20"/>
          <w:szCs w:val="20"/>
          <w:color w:val="auto"/>
        </w:rPr>
      </w:pPr>
    </w:p>
    <w:p>
      <w:pPr>
        <w:ind w:left="180" w:right="279"/>
        <w:spacing w:after="0" w:line="233" w:lineRule="auto"/>
        <w:rPr>
          <w:sz w:val="20"/>
          <w:szCs w:val="20"/>
          <w:color w:val="auto"/>
        </w:rPr>
      </w:pPr>
      <w:r>
        <w:rPr>
          <w:rFonts w:ascii="Times New Roman" w:cs="Times New Roman" w:eastAsia="Times New Roman" w:hAnsi="Times New Roman"/>
          <w:sz w:val="22"/>
          <w:szCs w:val="22"/>
          <w:color w:val="auto"/>
        </w:rPr>
        <w:t>then, and in any such event, (A) if such event is an Event of Default specified in clause (i) or (ii) of paragraph (f) above with respect to the Borrower, automatically the Revolving Commitments shall immediately terminate and the Loans (with accrued interest thereon) and all other amounts owing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Except as expressly provided above in this Section, presentment, demand, protest and all other notices of any kind are hereby expressly waived by the Borrower.</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9. THE AGENTS</w:t>
      </w:r>
    </w:p>
    <w:p>
      <w:pPr>
        <w:spacing w:after="0" w:line="206" w:lineRule="exact"/>
        <w:rPr>
          <w:sz w:val="20"/>
          <w:szCs w:val="20"/>
          <w:color w:val="auto"/>
        </w:rPr>
      </w:pPr>
    </w:p>
    <w:p>
      <w:pPr>
        <w:ind w:left="180" w:right="299" w:firstLine="648"/>
        <w:spacing w:after="0" w:line="244"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Appointment</w:t>
      </w:r>
      <w:r>
        <w:rPr>
          <w:rFonts w:ascii="Times New Roman" w:cs="Times New Roman" w:eastAsia="Times New Roman" w:hAnsi="Times New Roman"/>
          <w:sz w:val="21"/>
          <w:szCs w:val="21"/>
          <w:color w:val="auto"/>
        </w:rPr>
        <w:t>. Each Lender hereby irrevocably designates and appoints PNC Bank, National Association, as the administrative agent of such Lender under this Agreement and the other Loan Documents (including the Intercreditor Agreement),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(which includes executing and delivering the Joinder to Intercreditor Agreement and carrying out its obligations under the Intercreditor Agreement on behalf of the Lenders)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2" w:name="page253"/>
    <w:bookmarkEnd w:id="252"/>
    <w:p>
      <w:pPr>
        <w:ind w:left="180" w:right="339"/>
        <w:spacing w:after="0" w:line="244" w:lineRule="auto"/>
        <w:rPr>
          <w:sz w:val="20"/>
          <w:szCs w:val="20"/>
          <w:color w:val="auto"/>
        </w:rPr>
      </w:pPr>
      <w:r>
        <w:rPr>
          <w:rFonts w:ascii="Times New Roman" w:cs="Times New Roman" w:eastAsia="Times New Roman" w:hAnsi="Times New Roman"/>
          <w:sz w:val="22"/>
          <w:szCs w:val="22"/>
          <w:color w:val="auto"/>
        </w:rPr>
        <w:t>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3" w:lineRule="exact"/>
        <w:rPr>
          <w:sz w:val="20"/>
          <w:szCs w:val="20"/>
          <w:color w:val="auto"/>
        </w:rPr>
      </w:pPr>
    </w:p>
    <w:p>
      <w:pPr>
        <w:ind w:left="180" w:right="3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Exculpatory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9" w:lineRule="auto"/>
        <w:tabs>
          <w:tab w:leader="none" w:pos="212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spacing w:after="0" w:line="180" w:lineRule="exact"/>
        <w:rPr>
          <w:rFonts w:ascii="Times New Roman" w:cs="Times New Roman" w:eastAsia="Times New Roman" w:hAnsi="Times New Roman"/>
          <w:sz w:val="22"/>
          <w:szCs w:val="22"/>
          <w:color w:val="auto"/>
        </w:rPr>
      </w:pPr>
    </w:p>
    <w:p>
      <w:pPr>
        <w:ind w:left="840" w:right="999" w:firstLine="1288"/>
        <w:spacing w:after="0" w:line="282" w:lineRule="auto"/>
        <w:tabs>
          <w:tab w:leader="none" w:pos="2799"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subject to any fiduciary or other implied duties, regardless of whether a Default or Event of Default has occurred and is continuing;</w:t>
      </w:r>
    </w:p>
    <w:p>
      <w:pPr>
        <w:spacing w:after="0" w:line="134" w:lineRule="exact"/>
        <w:rPr>
          <w:rFonts w:ascii="Times New Roman" w:cs="Times New Roman" w:eastAsia="Times New Roman" w:hAnsi="Times New Roman"/>
          <w:sz w:val="21"/>
          <w:szCs w:val="21"/>
          <w:color w:val="auto"/>
        </w:rPr>
      </w:pPr>
    </w:p>
    <w:p>
      <w:pPr>
        <w:ind w:left="840" w:right="199" w:firstLine="1288"/>
        <w:spacing w:after="0" w:line="233" w:lineRule="auto"/>
        <w:tabs>
          <w:tab w:leader="none" w:pos="2832"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7" w:lineRule="exact"/>
        <w:rPr>
          <w:rFonts w:ascii="Times New Roman" w:cs="Times New Roman" w:eastAsia="Times New Roman" w:hAnsi="Times New Roman"/>
          <w:sz w:val="22"/>
          <w:szCs w:val="22"/>
          <w:color w:val="auto"/>
        </w:rPr>
      </w:pPr>
    </w:p>
    <w:p>
      <w:pPr>
        <w:ind w:left="840" w:right="279" w:firstLine="1288"/>
        <w:spacing w:after="0" w:line="238" w:lineRule="auto"/>
        <w:tabs>
          <w:tab w:leader="none" w:pos="285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3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3" w:name="page254"/>
    <w:bookmarkEnd w:id="253"/>
    <w:p>
      <w:pPr>
        <w:jc w:val="both"/>
        <w:ind w:left="180" w:right="199" w:firstLine="1300"/>
        <w:spacing w:after="0" w:line="234" w:lineRule="auto"/>
        <w:tabs>
          <w:tab w:leader="none" w:pos="212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Default or Event of Default, (iv) the validity, enforceability, effectiveness or genuineness of this Agreement, any other Loan Document or any other agreement, instrument or document, or (v) the satisfaction of any condition specified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79" w:lineRule="exact"/>
        <w:rPr>
          <w:sz w:val="20"/>
          <w:szCs w:val="20"/>
          <w:color w:val="auto"/>
        </w:rPr>
      </w:pPr>
    </w:p>
    <w:p>
      <w:pPr>
        <w:ind w:left="18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Reliance by Administrative Agent; Delegation of Duties</w:t>
      </w:r>
      <w:r>
        <w:rPr>
          <w:rFonts w:ascii="Times New Roman" w:cs="Times New Roman" w:eastAsia="Times New Roman" w:hAnsi="Times New Roman"/>
          <w:sz w:val="22"/>
          <w:szCs w:val="22"/>
          <w:color w:val="auto"/>
        </w:rPr>
        <w:t>. (a) The Administrative Agent shall be entitled to rely, and shall be fully protected in relying, upon any instrument, writing, resolution, notice, consent, certificate, affidavit, letter,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Lender prior to the making of such Loan.</w:t>
      </w:r>
    </w:p>
    <w:p>
      <w:pPr>
        <w:spacing w:after="0" w:line="182" w:lineRule="exact"/>
        <w:rPr>
          <w:sz w:val="20"/>
          <w:szCs w:val="20"/>
          <w:color w:val="auto"/>
        </w:rPr>
      </w:pPr>
    </w:p>
    <w:p>
      <w:pPr>
        <w:jc w:val="both"/>
        <w:ind w:left="180" w:right="199" w:firstLine="1300"/>
        <w:spacing w:after="0" w:line="250" w:lineRule="exact"/>
        <w:tabs>
          <w:tab w:leader="none" w:pos="212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and all of its duties and exercise its rights and powers hereunder or 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the Administrative Agent.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related parties of the Administrative Agent and any such sub-agent, and shall apply to their respective activities in connection with the syndication of the facilities hereunder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4" w:name="page255"/>
    <w:bookmarkEnd w:id="254"/>
    <w:p>
      <w:pPr>
        <w:ind w:left="18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and the other Agents.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7" w:lineRule="exact"/>
        <w:rPr>
          <w:sz w:val="20"/>
          <w:szCs w:val="20"/>
          <w:color w:val="auto"/>
        </w:rPr>
      </w:pPr>
    </w:p>
    <w:p>
      <w:pPr>
        <w:ind w:left="18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Non-Reliance on Agents and Other Lenders</w:t>
      </w:r>
      <w:r>
        <w:rPr>
          <w:rFonts w:ascii="Times New Roman" w:cs="Times New Roman" w:eastAsia="Times New Roman" w:hAnsi="Times New Roman"/>
          <w:sz w:val="22"/>
          <w:szCs w:val="22"/>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Lender, and based on such documents and information as it has deemed appropriate, made its own appraisal of an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182" w:lineRule="exact"/>
        <w:rPr>
          <w:sz w:val="20"/>
          <w:szCs w:val="20"/>
          <w:color w:val="auto"/>
        </w:rPr>
      </w:pPr>
    </w:p>
    <w:p>
      <w:pPr>
        <w:ind w:left="180" w:right="3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Lenders agree to indemnify each Agent, the Swing Line Lender and their respective officers, directors, employees, affiliates, agents, advisors and controlling persons (each, an “</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(to the extent not reimbursed by the Borrower and without limiting the obligation of the Borrower to do so), ratably according to their respective Revolving Percentages in effect on the date on which indemnification is sought under this Section (or, if indemnification is sought after the date upon which the Revolving Commitments shall have terminated and the Loans shall have been paid in full, ratably in accordance with such Revolving Percentages immediately prior to such date), from and against any and all liabilities, obligations, losses, damages, penalties, actions, judgments, suits, costs, expenses or disbursements of any kind whatsoever that may at any time (whether before or after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5" w:name="page256"/>
    <w:bookmarkEnd w:id="255"/>
    <w:p>
      <w:pPr>
        <w:ind w:left="180" w:right="219"/>
        <w:spacing w:after="0" w:line="234" w:lineRule="auto"/>
        <w:rPr>
          <w:sz w:val="20"/>
          <w:szCs w:val="20"/>
          <w:color w:val="auto"/>
        </w:rPr>
      </w:pPr>
      <w:r>
        <w:rPr>
          <w:rFonts w:ascii="Times New Roman" w:cs="Times New Roman" w:eastAsia="Times New Roman" w:hAnsi="Times New Roman"/>
          <w:sz w:val="22"/>
          <w:szCs w:val="22"/>
          <w:color w:val="auto"/>
        </w:rPr>
        <w:t xml:space="preserve">the payment of the Loans) be imposed on, incurred by or asserted against such Agent Indemnitee in any way relating to or arising out of, the Revolving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payment of the Loans and all other amounts payable hereunder.</w:t>
      </w:r>
    </w:p>
    <w:p>
      <w:pPr>
        <w:spacing w:after="0" w:line="179" w:lineRule="exact"/>
        <w:rPr>
          <w:sz w:val="20"/>
          <w:szCs w:val="20"/>
          <w:color w:val="auto"/>
        </w:rPr>
      </w:pPr>
    </w:p>
    <w:p>
      <w:pPr>
        <w:ind w:left="180" w:right="3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Agent in Its Individual Capacity</w:t>
      </w:r>
      <w:r>
        <w:rPr>
          <w:rFonts w:ascii="Times New Roman" w:cs="Times New Roman" w:eastAsia="Times New Roman" w:hAnsi="Times New Roman"/>
          <w:sz w:val="22"/>
          <w:szCs w:val="22"/>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1" w:lineRule="exact"/>
        <w:rPr>
          <w:sz w:val="20"/>
          <w:szCs w:val="20"/>
          <w:color w:val="auto"/>
        </w:rPr>
      </w:pPr>
    </w:p>
    <w:p>
      <w:pPr>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of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continue to inure to its benefit. Any such successor Administrative Agent shall promptly execute and deliver to the Collateral Agent an Administrative Agent Joinder (as such term is defined in the Intercreditor Agreement).</w:t>
      </w:r>
    </w:p>
    <w:p>
      <w:pPr>
        <w:spacing w:after="0" w:line="184" w:lineRule="exact"/>
        <w:rPr>
          <w:sz w:val="20"/>
          <w:szCs w:val="20"/>
          <w:color w:val="auto"/>
        </w:rPr>
      </w:pPr>
    </w:p>
    <w:p>
      <w:pPr>
        <w:ind w:left="180" w:right="6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Lead Arranger</w:t>
      </w:r>
      <w:r>
        <w:rPr>
          <w:rFonts w:ascii="Times New Roman" w:cs="Times New Roman" w:eastAsia="Times New Roman" w:hAnsi="Times New Roman"/>
          <w:sz w:val="22"/>
          <w:szCs w:val="22"/>
          <w:color w:val="auto"/>
        </w:rPr>
        <w:t>. The Lead Arranger shall not have any duties or responsibilities hereunder in its capacity as such.</w:t>
      </w:r>
    </w:p>
    <w:p>
      <w:pPr>
        <w:spacing w:after="0" w:line="15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 w:right="199" w:firstLine="1300"/>
        <w:spacing w:after="0" w:line="258" w:lineRule="auto"/>
        <w:tabs>
          <w:tab w:leader="none" w:pos="212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6" w:name="page257"/>
    <w:bookmarkEnd w:id="256"/>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hereto to the date such Person ceases being a Lender party hereto, for the benefit of, the Administrative Agent, the Lead Arranger and their respective Affiliates and not, for the avoidance of doubt, to or for the benefit of the Borrower or any other Loan Party, that at least one of the following is and will be true:</w:t>
      </w:r>
    </w:p>
    <w:p>
      <w:pPr>
        <w:spacing w:after="0" w:line="180" w:lineRule="exact"/>
        <w:rPr>
          <w:sz w:val="20"/>
          <w:szCs w:val="20"/>
          <w:color w:val="auto"/>
        </w:rPr>
      </w:pPr>
    </w:p>
    <w:p>
      <w:pPr>
        <w:ind w:left="840" w:right="219" w:firstLine="1288"/>
        <w:spacing w:after="0" w:line="239" w:lineRule="auto"/>
        <w:tabs>
          <w:tab w:leader="none" w:pos="2799"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Revolving Commitments or this Agreement,</w:t>
      </w:r>
    </w:p>
    <w:p>
      <w:pPr>
        <w:spacing w:after="0" w:line="180" w:lineRule="exact"/>
        <w:rPr>
          <w:rFonts w:ascii="Times New Roman" w:cs="Times New Roman" w:eastAsia="Times New Roman" w:hAnsi="Times New Roman"/>
          <w:sz w:val="22"/>
          <w:szCs w:val="22"/>
          <w:color w:val="auto"/>
        </w:rPr>
      </w:pPr>
    </w:p>
    <w:p>
      <w:pPr>
        <w:ind w:left="840" w:right="319" w:firstLine="1288"/>
        <w:spacing w:after="0" w:line="246" w:lineRule="auto"/>
        <w:tabs>
          <w:tab w:leader="none" w:pos="2832"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Revolving Commitments and this Agreement,</w:t>
      </w:r>
    </w:p>
    <w:p>
      <w:pPr>
        <w:spacing w:after="0" w:line="175" w:lineRule="exact"/>
        <w:rPr>
          <w:rFonts w:ascii="Times New Roman" w:cs="Times New Roman" w:eastAsia="Times New Roman" w:hAnsi="Times New Roman"/>
          <w:sz w:val="21"/>
          <w:szCs w:val="21"/>
          <w:color w:val="auto"/>
        </w:rPr>
      </w:pPr>
    </w:p>
    <w:p>
      <w:pPr>
        <w:ind w:left="840" w:right="319" w:firstLine="1288"/>
        <w:spacing w:after="0" w:line="246" w:lineRule="auto"/>
        <w:tabs>
          <w:tab w:leader="none" w:pos="2851"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Revolving Commitments and this Agreement, (C) the entrance into, participation in, administration of and performance of the Loans, the Revolving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Revolving Commitments and this Agreement, or</w:t>
      </w:r>
    </w:p>
    <w:p>
      <w:pPr>
        <w:spacing w:after="0" w:line="170" w:lineRule="exact"/>
        <w:rPr>
          <w:rFonts w:ascii="Times New Roman" w:cs="Times New Roman" w:eastAsia="Times New Roman" w:hAnsi="Times New Roman"/>
          <w:sz w:val="21"/>
          <w:szCs w:val="21"/>
          <w:color w:val="auto"/>
        </w:rPr>
      </w:pPr>
    </w:p>
    <w:p>
      <w:pPr>
        <w:ind w:left="840" w:right="399" w:firstLine="1288"/>
        <w:spacing w:after="0" w:line="282" w:lineRule="auto"/>
        <w:tabs>
          <w:tab w:leader="none" w:pos="2839"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34" w:lineRule="exact"/>
        <w:rPr>
          <w:rFonts w:ascii="Times New Roman" w:cs="Times New Roman" w:eastAsia="Times New Roman" w:hAnsi="Times New Roman"/>
          <w:sz w:val="21"/>
          <w:szCs w:val="21"/>
          <w:color w:val="auto"/>
        </w:rPr>
      </w:pPr>
    </w:p>
    <w:p>
      <w:pPr>
        <w:jc w:val="both"/>
        <w:ind w:left="180" w:right="199" w:firstLine="1300"/>
        <w:spacing w:after="0" w:line="233" w:lineRule="auto"/>
        <w:tabs>
          <w:tab w:leader="none" w:pos="213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none of the Administrative Agent, the Lead Arranger nor any of their respective Affiliates is a fiduciary with respect to the assets of such Lender involved in such Lender’s entrance into, participation in, administration of and performance of the Loans, the Revolving Commitments and this Agreement (including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7" w:name="page258"/>
    <w:bookmarkEnd w:id="257"/>
    <w:p>
      <w:pPr>
        <w:ind w:left="180" w:right="199"/>
        <w:spacing w:after="0" w:line="258" w:lineRule="auto"/>
        <w:rPr>
          <w:sz w:val="20"/>
          <w:szCs w:val="20"/>
          <w:color w:val="auto"/>
        </w:rPr>
      </w:pPr>
      <w:r>
        <w:rPr>
          <w:rFonts w:ascii="Times New Roman" w:cs="Times New Roman" w:eastAsia="Times New Roman" w:hAnsi="Times New Roman"/>
          <w:sz w:val="22"/>
          <w:szCs w:val="22"/>
          <w:color w:val="auto"/>
        </w:rPr>
        <w:t>connection with the reservation or exercise of any rights by the Administrative Agent under this Agreement, any Loan Document or any documents related hereto or thereto).</w:t>
      </w:r>
    </w:p>
    <w:p>
      <w:pPr>
        <w:spacing w:after="0" w:line="158"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u w:val="single" w:color="auto"/>
          <w:color w:val="auto"/>
        </w:rPr>
        <w:t>Erroneous Payments.</w:t>
      </w:r>
    </w:p>
    <w:p>
      <w:pPr>
        <w:spacing w:after="0" w:line="206" w:lineRule="exact"/>
        <w:rPr>
          <w:sz w:val="20"/>
          <w:szCs w:val="20"/>
          <w:color w:val="auto"/>
        </w:rPr>
      </w:pPr>
    </w:p>
    <w:p>
      <w:pPr>
        <w:jc w:val="both"/>
        <w:ind w:left="180" w:right="199" w:firstLine="1300"/>
        <w:spacing w:after="0" w:line="232" w:lineRule="auto"/>
        <w:tabs>
          <w:tab w:leader="none" w:pos="212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3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w:t>
      </w:r>
    </w:p>
    <w:p>
      <w:pPr>
        <w:spacing w:after="0" w:line="179" w:lineRule="exact"/>
        <w:rPr>
          <w:rFonts w:ascii="Times New Roman" w:cs="Times New Roman" w:eastAsia="Times New Roman" w:hAnsi="Times New Roman"/>
          <w:sz w:val="22"/>
          <w:szCs w:val="22"/>
          <w:color w:val="auto"/>
        </w:rPr>
      </w:pPr>
    </w:p>
    <w:p>
      <w:pPr>
        <w:ind w:left="840" w:right="299" w:firstLine="1288"/>
        <w:spacing w:after="0" w:line="255" w:lineRule="auto"/>
        <w:tabs>
          <w:tab w:leader="none" w:pos="2799"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immediately preceding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in each case, with respect to such payment, prepayment or repayment; and</w:t>
      </w:r>
    </w:p>
    <w:p>
      <w:pPr>
        <w:spacing w:after="0" w:line="161" w:lineRule="exact"/>
        <w:rPr>
          <w:rFonts w:ascii="Times New Roman" w:cs="Times New Roman" w:eastAsia="Times New Roman" w:hAnsi="Times New Roman"/>
          <w:sz w:val="21"/>
          <w:szCs w:val="21"/>
          <w:color w:val="auto"/>
        </w:rPr>
      </w:pPr>
    </w:p>
    <w:p>
      <w:pPr>
        <w:jc w:val="both"/>
        <w:ind w:left="840" w:right="419" w:firstLine="1288"/>
        <w:spacing w:after="0" w:line="282" w:lineRule="auto"/>
        <w:tabs>
          <w:tab w:leader="none" w:pos="2832"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shall (and shall cause any other recipient that receives funds on its respective behalf to) promptly (and, in all events, within one Business Day of</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8" w:name="page259"/>
    <w:bookmarkEnd w:id="258"/>
    <w:p>
      <w:pPr>
        <w:jc w:val="both"/>
        <w:ind w:left="840" w:right="219"/>
        <w:spacing w:after="0" w:line="244" w:lineRule="auto"/>
        <w:rPr>
          <w:sz w:val="20"/>
          <w:szCs w:val="20"/>
          <w:color w:val="auto"/>
        </w:rPr>
      </w:pPr>
      <w:r>
        <w:rPr>
          <w:rFonts w:ascii="Times New Roman" w:cs="Times New Roman" w:eastAsia="Times New Roman" w:hAnsi="Times New Roman"/>
          <w:sz w:val="22"/>
          <w:szCs w:val="22"/>
          <w:color w:val="auto"/>
        </w:rPr>
        <w:t xml:space="preserve">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9.12(b)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80" w:right="199" w:firstLine="1300"/>
        <w:spacing w:after="0" w:line="238" w:lineRule="auto"/>
        <w:tabs>
          <w:tab w:leader="none" w:pos="212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under the indemnification provisions of this Agreement.</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1" w:lineRule="auto"/>
        <w:tabs>
          <w:tab w:leader="none" w:pos="213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upon the Administrative Agent’s notice to such Lender at any time, (i) such Lender shall be deemed to have assigned its Loans (but not its Revolving Commitments) with respect to which such Erroneous Payment was made (the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Impacted Class</w:t>
      </w:r>
      <w:r>
        <w:rPr>
          <w:rFonts w:ascii="Times New Roman" w:cs="Times New Roman" w:eastAsia="Times New Roman" w:hAnsi="Times New Roman"/>
          <w:sz w:val="22"/>
          <w:szCs w:val="22"/>
          <w:color w:val="auto"/>
        </w:rPr>
        <w:t>”) in an amount equal to the Erroneous Payment Return Deficiency (or such lesser amount as the Administrative Agent may specify) (such assignment of the Loans (but not Revolving Commitments), the “</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Revolving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Revolving Commitments of any Lender and such Revolving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9" w:name="page260"/>
    <w:bookmarkEnd w:id="259"/>
    <w:p>
      <w:pPr>
        <w:jc w:val="both"/>
        <w:ind w:left="180" w:right="199" w:firstLine="1300"/>
        <w:spacing w:after="0" w:line="236" w:lineRule="auto"/>
        <w:tabs>
          <w:tab w:leader="none" w:pos="212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3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shall survive the resignation or replacement of the Administrative Agent, the termination of the Revolving Commitments and/or the repayment, satisfaction or discharge of all Obligations (or any portion thereof) under any Loan Document.</w:t>
      </w:r>
    </w:p>
    <w:p>
      <w:pPr>
        <w:spacing w:after="0" w:line="180" w:lineRule="exact"/>
        <w:rPr>
          <w:sz w:val="20"/>
          <w:szCs w:val="20"/>
          <w:color w:val="auto"/>
        </w:rPr>
      </w:pPr>
    </w:p>
    <w:p>
      <w:pPr>
        <w:ind w:left="180" w:right="259" w:firstLine="648"/>
        <w:spacing w:after="0" w:line="243"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u w:val="single" w:color="auto"/>
          <w:color w:val="auto"/>
        </w:rPr>
        <w:t>No Advisory or Fiduciary Relationship</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Administrative Agent or any Lender is intended to be or has been created in respect of the transactions contemplated hereby or by the other Loan Documents, irrespective of whether any Arranger, any Bookrunner, the Administrative Agent, or any Lender has advised or is advising the Borrower or any Subsidiary on other matters, (ii) the arranging and other services regarding this Agreement provided by any Arranger, any Bookrunner, the Administrative Agent, and the Lenders are arm’s-length commercial transactions between the Borrower and its Affiliates, on the one hand, and the Arrangers, the Bookrunners, the Administrative Agent, and the Lenders, on the other hand,</w:t>
      </w:r>
    </w:p>
    <w:p>
      <w:pPr>
        <w:spacing w:after="0" w:line="6" w:lineRule="exact"/>
        <w:rPr>
          <w:sz w:val="20"/>
          <w:szCs w:val="20"/>
          <w:color w:val="auto"/>
        </w:rPr>
      </w:pPr>
    </w:p>
    <w:p>
      <w:pPr>
        <w:ind w:left="180" w:right="259" w:firstLine="4"/>
        <w:spacing w:after="0" w:line="231" w:lineRule="auto"/>
        <w:tabs>
          <w:tab w:leader="none" w:pos="55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each of the Arrangers, the Bookrunners, the Agent, and the Lenders is and has been acting solely as a principal and, except as expressly agreed in writing by the relevant parties, has not been, is not, and will not be acting as an advisor, agent or fiduciary for the Borrower or any of its Affiliates, or any other Person; (ii) none of the Arrangers, the Bookrunners, the Administrative Agent, and the Lenders has any obligation to the Borrower or any of the Borrower’s Affiliates with respect to the transactions contemplated hereby except those obligations expressly set forth herein and in the other Loan Documents; and (iii) the Arrangers, the Bookrunners, the Administrative Agent, and the Lenders and their respective Affiliates may be engaged, for their own accounts or the accounts of customers, in a broad range of transactions that involve interests that differ from those of the Borrower and its Affiliates, and none of the Arrangers, the Bookrunners, the Administrative Agent, and the Lenders has any obligation to disclose any of such interests to the Borrower or its Affiliates. To the fullest extent permitted by law, the Borrower hereby waives and releases 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0" w:name="page261"/>
    <w:bookmarkEnd w:id="260"/>
    <w:p>
      <w:pPr>
        <w:ind w:left="180" w:right="439"/>
        <w:spacing w:after="0" w:line="244" w:lineRule="auto"/>
        <w:rPr>
          <w:sz w:val="20"/>
          <w:szCs w:val="20"/>
          <w:color w:val="auto"/>
        </w:rPr>
      </w:pPr>
      <w:r>
        <w:rPr>
          <w:rFonts w:ascii="Times New Roman" w:cs="Times New Roman" w:eastAsia="Times New Roman" w:hAnsi="Times New Roman"/>
          <w:sz w:val="22"/>
          <w:szCs w:val="22"/>
          <w:color w:val="auto"/>
        </w:rPr>
        <w:t>claims that it may have against any of the Arrangers, the Bookrunners, the Administrative Agent, and the Lenders with respect to any breach or alleged breach of agency or fiduciary duty in connection with any aspect of any transaction contemplated hereby.</w:t>
      </w:r>
    </w:p>
    <w:p>
      <w:pPr>
        <w:spacing w:after="0" w:line="173" w:lineRule="exact"/>
        <w:rPr>
          <w:sz w:val="20"/>
          <w:szCs w:val="20"/>
          <w:color w:val="auto"/>
        </w:rPr>
      </w:pPr>
    </w:p>
    <w:p>
      <w:pPr>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In case of the pendency of any proceeding under any Debtor Relief Law,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1" w:lineRule="exact"/>
        <w:rPr>
          <w:sz w:val="20"/>
          <w:szCs w:val="20"/>
          <w:color w:val="auto"/>
        </w:rPr>
      </w:pPr>
    </w:p>
    <w:p>
      <w:pPr>
        <w:jc w:val="both"/>
        <w:ind w:left="180" w:right="199" w:firstLine="1300"/>
        <w:spacing w:after="0" w:line="235" w:lineRule="auto"/>
        <w:tabs>
          <w:tab w:leader="none" w:pos="212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allowed in such judicial proceeding; and</w:t>
      </w:r>
    </w:p>
    <w:p>
      <w:pPr>
        <w:spacing w:after="0" w:line="183"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58" w:lineRule="exact"/>
        <w:rPr>
          <w:sz w:val="20"/>
          <w:szCs w:val="20"/>
          <w:color w:val="auto"/>
        </w:rPr>
      </w:pPr>
    </w:p>
    <w:p>
      <w:pPr>
        <w:ind w:left="180" w:right="199"/>
        <w:spacing w:after="0" w:line="249"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80" w:right="199" w:firstLine="648"/>
        <w:spacing w:after="0" w:line="243" w:lineRule="auto"/>
        <w:rPr>
          <w:sz w:val="20"/>
          <w:szCs w:val="20"/>
          <w:color w:val="auto"/>
        </w:rPr>
      </w:pPr>
      <w:r>
        <w:rPr>
          <w:rFonts w:ascii="Times New Roman" w:cs="Times New Roman" w:eastAsia="Times New Roman" w:hAnsi="Times New Roman"/>
          <w:sz w:val="21"/>
          <w:szCs w:val="21"/>
          <w:color w:val="auto"/>
        </w:rPr>
        <w:t xml:space="preserve">9.15 </w:t>
      </w:r>
      <w:r>
        <w:rPr>
          <w:rFonts w:ascii="Times New Roman" w:cs="Times New Roman" w:eastAsia="Times New Roman" w:hAnsi="Times New Roman"/>
          <w:sz w:val="21"/>
          <w:szCs w:val="21"/>
          <w:u w:val="single" w:color="auto"/>
          <w:color w:val="auto"/>
        </w:rPr>
        <w:t>No Reliance on Administrative Agent’s Customer Identification Program</w:t>
      </w:r>
      <w:r>
        <w:rPr>
          <w:rFonts w:ascii="Times New Roman" w:cs="Times New Roman" w:eastAsia="Times New Roman" w:hAnsi="Times New Roman"/>
          <w:sz w:val="21"/>
          <w:szCs w:val="21"/>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Patriot Act or the regulations thereunder, including the regulations contained in 31 CFR 103.121 (as hereafter amended or replaced, the “</w:t>
      </w:r>
      <w:r>
        <w:rPr>
          <w:rFonts w:ascii="Times New Roman" w:cs="Times New Roman" w:eastAsia="Times New Roman" w:hAnsi="Times New Roman"/>
          <w:sz w:val="21"/>
          <w:szCs w:val="21"/>
          <w:u w:val="single" w:color="auto"/>
          <w:color w:val="auto"/>
        </w:rPr>
        <w:t>CIP Regulations</w:t>
      </w:r>
      <w:r>
        <w:rPr>
          <w:rFonts w:ascii="Times New Roman" w:cs="Times New Roman" w:eastAsia="Times New Roman" w:hAnsi="Times New Roman"/>
          <w:sz w:val="21"/>
          <w:szCs w:val="21"/>
          <w:color w:val="auto"/>
        </w:rPr>
        <w:t>”), or any other Anti-Money Laundering Law, any Anti-Corruption Law, or any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w:t>
      </w:r>
    </w:p>
    <w:p>
      <w:pPr>
        <w:spacing w:after="0" w:line="9" w:lineRule="exact"/>
        <w:rPr>
          <w:sz w:val="20"/>
          <w:szCs w:val="20"/>
          <w:color w:val="auto"/>
        </w:rPr>
      </w:pPr>
    </w:p>
    <w:p>
      <w:pPr>
        <w:ind w:left="180" w:right="699" w:firstLine="4"/>
        <w:spacing w:after="0" w:line="237" w:lineRule="auto"/>
        <w:tabs>
          <w:tab w:leader="none" w:pos="55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comparisons with government lists, (iv) customer notices or (v) other procedures required under the CIP Regulations or such other laws.</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SECTION 10. MISCELLANEOUS</w:t>
      </w:r>
    </w:p>
    <w:p>
      <w:pPr>
        <w:spacing w:after="0" w:line="206" w:lineRule="exact"/>
        <w:rPr>
          <w:sz w:val="20"/>
          <w:szCs w:val="20"/>
          <w:color w:val="auto"/>
        </w:rPr>
      </w:pPr>
    </w:p>
    <w:p>
      <w:pPr>
        <w:ind w:left="180" w:right="9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neither this Agreement, any other Loan Document, nor any terms hereof or thereof may be amended,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1" w:name="page262"/>
    <w:bookmarkEnd w:id="261"/>
    <w:p>
      <w:pPr>
        <w:ind w:left="180"/>
        <w:spacing w:after="0"/>
        <w:rPr>
          <w:sz w:val="20"/>
          <w:szCs w:val="20"/>
          <w:color w:val="auto"/>
        </w:rPr>
      </w:pPr>
      <w:r>
        <w:rPr>
          <w:rFonts w:ascii="Times New Roman" w:cs="Times New Roman" w:eastAsia="Times New Roman" w:hAnsi="Times New Roman"/>
          <w:sz w:val="22"/>
          <w:szCs w:val="22"/>
          <w:color w:val="auto"/>
        </w:rPr>
        <w:t>waived, supplemented or modified except in accordance with the provisions of this</w:t>
      </w:r>
    </w:p>
    <w:p>
      <w:pPr>
        <w:spacing w:after="0" w:line="14" w:lineRule="exact"/>
        <w:rPr>
          <w:sz w:val="20"/>
          <w:szCs w:val="20"/>
          <w:color w:val="auto"/>
        </w:rPr>
      </w:pPr>
    </w:p>
    <w:p>
      <w:pPr>
        <w:ind w:left="180" w:right="199"/>
        <w:spacing w:after="0" w:line="241" w:lineRule="auto"/>
        <w:rPr>
          <w:sz w:val="20"/>
          <w:szCs w:val="20"/>
          <w:color w:val="auto"/>
        </w:rPr>
      </w:pP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waiver and no such amendment, supplement or modification shall, (i) increase any Lender’s Revolving Commitment,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Commitment, in each case without the written consent of each Lender directly affected thereby;</w:t>
      </w:r>
    </w:p>
    <w:p>
      <w:pPr>
        <w:spacing w:after="0" w:line="9" w:lineRule="exact"/>
        <w:rPr>
          <w:sz w:val="20"/>
          <w:szCs w:val="20"/>
          <w:color w:val="auto"/>
        </w:rPr>
      </w:pPr>
    </w:p>
    <w:p>
      <w:pPr>
        <w:ind w:left="180" w:right="239" w:firstLine="4"/>
        <w:spacing w:after="0" w:line="241" w:lineRule="auto"/>
        <w:tabs>
          <w:tab w:leader="none" w:pos="49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eliminate or reduce the voting rights of any Lender under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without the written consent of such Lender; (iii) reduce any percentage specified in, or otherwise change, the definition of Required Lenders, consent to the assignment or transfer by the Borrower of any of its rights and obligations under this Agreement and the other Loan Documents, release all or substantially all of the Collateral, release the Borrower from its obligations under the Security Agreement, subordinate, or have the effect of subordinating, the Obligations hereunder to any other Indebtedness for borrowed money or subordinate, or have the effect of subordinating, the Liens securing the Obligations to Liens securing any other Indebtedness for borrowed money (provided that this clause (iii) shall not prohibit the Administrative Agent, in its sole discretion, from subordinating its Lien on a specific piece of property to a purchase money security interest or capital lease in such property that is permitted hereunder), in each case without the written consent of all directly and adversely affected Lenders; (iv) amend, modify or waive any provision of</w:t>
      </w:r>
    </w:p>
    <w:p>
      <w:pPr>
        <w:spacing w:after="0" w:line="6" w:lineRule="exact"/>
        <w:rPr>
          <w:rFonts w:ascii="Times New Roman" w:cs="Times New Roman" w:eastAsia="Times New Roman" w:hAnsi="Times New Roman"/>
          <w:sz w:val="21"/>
          <w:szCs w:val="21"/>
          <w:color w:val="auto"/>
        </w:rPr>
      </w:pPr>
    </w:p>
    <w:p>
      <w:pPr>
        <w:ind w:left="180" w:right="23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Sections 2.12(a)-(c)</w:t>
      </w:r>
      <w:r>
        <w:rPr>
          <w:rFonts w:ascii="Times New Roman" w:cs="Times New Roman" w:eastAsia="Times New Roman" w:hAnsi="Times New Roman"/>
          <w:sz w:val="22"/>
          <w:szCs w:val="22"/>
          <w:color w:val="auto"/>
        </w:rPr>
        <w:t xml:space="preserve"> (or any other section relating to the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treatment of Lenders) without the written consent of each directly and adversely affected Lender or (B) the other portions of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without the written consent of the Required Lenders; (v) amend, modify or waive any provision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or any other provision of any Loan Document that affects the Administrative Agent without the written consent of the Administrative Agent or (vi) amend, modify or waive any provision of any Loan Document that directly and adversely affects the Swing Line Lender without the written consent of the Swing Line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2" w:name="page263"/>
    <w:bookmarkEnd w:id="262"/>
    <w:p>
      <w:pPr>
        <w:jc w:val="both"/>
        <w:ind w:left="180" w:right="19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Furthermore, notwithstanding the foregoing: (a)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 (b) no consent with respect to any amendment, modification, waiver or supplement of this Agreement or any other Loan Document shall be required of any Defaulting Lender, except as provided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and (c) in the case of any amendment, modification, waiver or supplement referred to in the proviso of the first paragraph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no consent with respect to any amendment, modification, waiver or supplement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modification, waiver or supplement becomes effective and whose Revolving Commitments terminate by the terms and upon the effectiveness of such amendment, modification, waiver or supplement.</w:t>
      </w:r>
    </w:p>
    <w:p>
      <w:pPr>
        <w:spacing w:after="0" w:line="177" w:lineRule="exact"/>
        <w:rPr>
          <w:sz w:val="20"/>
          <w:szCs w:val="20"/>
          <w:color w:val="auto"/>
        </w:rPr>
      </w:pPr>
    </w:p>
    <w:p>
      <w:pPr>
        <w:ind w:left="18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 All notices, requests and demands to or upon the respective parties hereto to be effective shall be in writing (including by electronic transmission), and, unless otherwise expressly provided herein, shall be deemed to have been duly given or made when delivered, or three Business Days after being deposited in the mail, postage prepaid, or, in the case of electronic transmission notice, upon the receiver’s acknowledgment such notice has been received, addressed as follows in the case of the Borrower, the Administrative Agent and the Swing Line Lender, and as set forth in an administrative questionnaire delivered to the Administrative Agent in the case of the Lenders, or to such other address as may be hereafter notified by the respective parties hereto:</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26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Borrower:</w:t>
            </w:r>
          </w:p>
        </w:tc>
        <w:tc>
          <w:tcPr>
            <w:tcW w:w="602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PNG Companies LLC</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375 North Shore Drive, Suite 600</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Pittsburgh, PA 15212</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Attention: Kim Edvardsson, Vice President, Finance</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Email: kim.edvardsson@peoples-gas.com</w:t>
            </w:r>
          </w:p>
        </w:tc>
      </w:tr>
      <w:tr>
        <w:trPr>
          <w:trHeight w:val="282"/>
        </w:trPr>
        <w:tc>
          <w:tcPr>
            <w:tcW w:w="2660" w:type="dxa"/>
            <w:vAlign w:val="bottom"/>
          </w:tcPr>
          <w:p>
            <w:pPr>
              <w:spacing w:after="0"/>
              <w:rPr>
                <w:sz w:val="24"/>
                <w:szCs w:val="24"/>
                <w:color w:val="auto"/>
              </w:rPr>
            </w:pPr>
          </w:p>
        </w:tc>
        <w:tc>
          <w:tcPr>
            <w:tcW w:w="602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420"/>
        </w:trPr>
        <w:tc>
          <w:tcPr>
            <w:tcW w:w="2660" w:type="dxa"/>
            <w:vAlign w:val="bottom"/>
          </w:tcPr>
          <w:p>
            <w:pPr>
              <w:spacing w:after="0"/>
              <w:rPr>
                <w:sz w:val="24"/>
                <w:szCs w:val="24"/>
                <w:color w:val="auto"/>
              </w:rPr>
            </w:pPr>
          </w:p>
        </w:tc>
        <w:tc>
          <w:tcPr>
            <w:tcW w:w="602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Essential Utilities, Inc.</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762 W. Lancaster Avenue</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Bryn Mawr, PA 19010-3489</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Attention: Christopher P. Luning, Executive Vice</w:t>
            </w:r>
          </w:p>
        </w:tc>
      </w:tr>
      <w:tr>
        <w:trPr>
          <w:trHeight w:val="243"/>
        </w:trPr>
        <w:tc>
          <w:tcPr>
            <w:tcW w:w="2660" w:type="dxa"/>
            <w:vAlign w:val="bottom"/>
          </w:tcPr>
          <w:p>
            <w:pPr>
              <w:spacing w:after="0"/>
              <w:rPr>
                <w:sz w:val="21"/>
                <w:szCs w:val="21"/>
                <w:color w:val="auto"/>
              </w:rPr>
            </w:pPr>
          </w:p>
        </w:tc>
        <w:tc>
          <w:tcPr>
            <w:tcW w:w="602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President and General Counsel</w:t>
            </w:r>
          </w:p>
        </w:tc>
      </w:tr>
      <w:tr>
        <w:trPr>
          <w:trHeight w:val="282"/>
        </w:trPr>
        <w:tc>
          <w:tcPr>
            <w:tcW w:w="2660" w:type="dxa"/>
            <w:vAlign w:val="bottom"/>
          </w:tcPr>
          <w:p>
            <w:pPr>
              <w:spacing w:after="0"/>
              <w:rPr>
                <w:sz w:val="24"/>
                <w:szCs w:val="24"/>
                <w:color w:val="auto"/>
              </w:rPr>
            </w:pPr>
          </w:p>
        </w:tc>
        <w:tc>
          <w:tcPr>
            <w:tcW w:w="602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Email: cpluning@essential.com</w:t>
            </w:r>
          </w:p>
        </w:tc>
      </w:tr>
      <w:tr>
        <w:trPr>
          <w:trHeight w:val="702"/>
        </w:trPr>
        <w:tc>
          <w:tcPr>
            <w:tcW w:w="2660" w:type="dxa"/>
            <w:vAlign w:val="bottom"/>
          </w:tcPr>
          <w:p>
            <w:pPr>
              <w:spacing w:after="0"/>
              <w:rPr>
                <w:sz w:val="24"/>
                <w:szCs w:val="24"/>
                <w:color w:val="auto"/>
              </w:rPr>
            </w:pPr>
          </w:p>
        </w:tc>
        <w:tc>
          <w:tcPr>
            <w:tcW w:w="60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81</w:t>
            </w:r>
          </w:p>
        </w:tc>
      </w:tr>
      <w:tr>
        <w:trPr>
          <w:trHeight w:val="96"/>
        </w:trPr>
        <w:tc>
          <w:tcPr>
            <w:tcW w:w="2660" w:type="dxa"/>
            <w:vAlign w:val="bottom"/>
            <w:tcBorders>
              <w:bottom w:val="single" w:sz="8" w:color="9A9A9A"/>
            </w:tcBorders>
          </w:tcPr>
          <w:p>
            <w:pPr>
              <w:spacing w:after="0"/>
              <w:rPr>
                <w:sz w:val="8"/>
                <w:szCs w:val="8"/>
                <w:color w:val="auto"/>
              </w:rPr>
            </w:pPr>
          </w:p>
        </w:tc>
        <w:tc>
          <w:tcPr>
            <w:tcW w:w="6020" w:type="dxa"/>
            <w:vAlign w:val="bottom"/>
            <w:tcBorders>
              <w:bottom w:val="single" w:sz="8" w:color="9A9A9A"/>
            </w:tcBorders>
          </w:tcPr>
          <w:p>
            <w:pPr>
              <w:spacing w:after="0"/>
              <w:rPr>
                <w:sz w:val="8"/>
                <w:szCs w:val="8"/>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6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3" w:name="page264"/>
    <w:bookmarkEnd w:id="263"/>
    <w:tbl>
      <w:tblPr>
        <w:tblLayout w:type="fixed"/>
        <w:tblInd w:w="960" w:type="dxa"/>
        <w:tblCellMar>
          <w:top w:w="0" w:type="dxa"/>
          <w:left w:w="0" w:type="dxa"/>
          <w:bottom w:w="0" w:type="dxa"/>
          <w:right w:w="0" w:type="dxa"/>
        </w:tblCellMar>
      </w:tblPr>
      <w:tr>
        <w:trPr>
          <w:trHeight w:val="282"/>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With a copy to (which shall not constitute notice):</w:t>
            </w:r>
          </w:p>
        </w:tc>
      </w:tr>
      <w:tr>
        <w:trPr>
          <w:trHeight w:val="420"/>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O’Melveny &amp; Myers LLP</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Times Square Tower</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Attention: Maria von Schack</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Telephone: (212) 236-2183</w:t>
            </w:r>
          </w:p>
        </w:tc>
      </w:tr>
      <w:tr>
        <w:trPr>
          <w:trHeight w:val="282"/>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Email: mvonschack@omm.com</w:t>
            </w:r>
          </w:p>
        </w:tc>
      </w:tr>
      <w:tr>
        <w:trPr>
          <w:trHeight w:val="447"/>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Administrative Agent</w:t>
            </w: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PNC Bank, National Association</w:t>
            </w: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and Swing Line Lender:</w:t>
            </w: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Mail Stop: F4-F074-03-1</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1000 Westlakes Drive</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Berwyn, PA 19312</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Attention: Meredith Jermann</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Telephone: (215) 585-5622</w:t>
            </w:r>
          </w:p>
        </w:tc>
      </w:tr>
      <w:tr>
        <w:trPr>
          <w:trHeight w:val="282"/>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Email: meredith.jermann@pnc.com</w:t>
            </w:r>
          </w:p>
        </w:tc>
      </w:tr>
      <w:tr>
        <w:trPr>
          <w:trHeight w:val="486"/>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420"/>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Agency Services</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PNC Bank, National Association</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Mail Stop: P7-PFSC-05-W</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500 First Avenue</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Pittsburgh, PA 15219</w:t>
            </w:r>
          </w:p>
        </w:tc>
      </w:tr>
      <w:tr>
        <w:trPr>
          <w:trHeight w:val="243"/>
        </w:trPr>
        <w:tc>
          <w:tcPr>
            <w:tcW w:w="2480" w:type="dxa"/>
            <w:vAlign w:val="bottom"/>
          </w:tcPr>
          <w:p>
            <w:pPr>
              <w:spacing w:after="0"/>
              <w:rPr>
                <w:sz w:val="21"/>
                <w:szCs w:val="21"/>
                <w:color w:val="auto"/>
              </w:rPr>
            </w:pPr>
          </w:p>
        </w:tc>
        <w:tc>
          <w:tcPr>
            <w:tcW w:w="474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Attention: Agency Services</w:t>
            </w:r>
          </w:p>
        </w:tc>
      </w:tr>
      <w:tr>
        <w:trPr>
          <w:trHeight w:val="243"/>
        </w:trPr>
        <w:tc>
          <w:tcPr>
            <w:tcW w:w="2480" w:type="dxa"/>
            <w:vAlign w:val="bottom"/>
          </w:tcPr>
          <w:p>
            <w:pPr>
              <w:spacing w:after="0"/>
              <w:rPr>
                <w:sz w:val="21"/>
                <w:szCs w:val="21"/>
                <w:color w:val="auto"/>
              </w:rPr>
            </w:pPr>
          </w:p>
        </w:tc>
        <w:tc>
          <w:tcPr>
            <w:tcW w:w="13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Telecopy:</w:t>
            </w:r>
          </w:p>
        </w:tc>
        <w:tc>
          <w:tcPr>
            <w:tcW w:w="3360" w:type="dxa"/>
            <w:vAlign w:val="bottom"/>
          </w:tcPr>
          <w:p>
            <w:pPr>
              <w:jc w:val="right"/>
              <w:ind w:right="1912"/>
              <w:spacing w:after="0" w:line="243" w:lineRule="exact"/>
              <w:rPr>
                <w:sz w:val="20"/>
                <w:szCs w:val="20"/>
                <w:color w:val="auto"/>
              </w:rPr>
            </w:pPr>
            <w:r>
              <w:rPr>
                <w:rFonts w:ascii="Times New Roman" w:cs="Times New Roman" w:eastAsia="Times New Roman" w:hAnsi="Times New Roman"/>
                <w:sz w:val="22"/>
                <w:szCs w:val="22"/>
                <w:color w:val="auto"/>
                <w:w w:val="95"/>
              </w:rPr>
              <w:t>(412) 768-0423</w:t>
            </w:r>
          </w:p>
        </w:tc>
      </w:tr>
      <w:tr>
        <w:trPr>
          <w:trHeight w:val="282"/>
        </w:trPr>
        <w:tc>
          <w:tcPr>
            <w:tcW w:w="248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4"/>
              </w:rPr>
              <w:t>Telephone:</w:t>
            </w:r>
          </w:p>
        </w:tc>
        <w:tc>
          <w:tcPr>
            <w:tcW w:w="3360" w:type="dxa"/>
            <w:vAlign w:val="bottom"/>
          </w:tcPr>
          <w:p>
            <w:pPr>
              <w:jc w:val="right"/>
              <w:ind w:right="1812"/>
              <w:spacing w:after="0"/>
              <w:rPr>
                <w:sz w:val="20"/>
                <w:szCs w:val="20"/>
                <w:color w:val="auto"/>
              </w:rPr>
            </w:pPr>
            <w:r>
              <w:rPr>
                <w:rFonts w:ascii="Times New Roman" w:cs="Times New Roman" w:eastAsia="Times New Roman" w:hAnsi="Times New Roman"/>
                <w:sz w:val="22"/>
                <w:szCs w:val="22"/>
                <w:color w:val="auto"/>
              </w:rPr>
              <w:t>(412) 715-2006</w:t>
            </w:r>
          </w:p>
        </w:tc>
      </w:tr>
      <w:tr>
        <w:trPr>
          <w:trHeight w:val="486"/>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With a copy to (which shall not constitute notice):</w:t>
            </w:r>
          </w:p>
        </w:tc>
      </w:tr>
      <w:tr>
        <w:trPr>
          <w:trHeight w:val="444"/>
        </w:trPr>
        <w:tc>
          <w:tcPr>
            <w:tcW w:w="248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Ballard Spahr LLP</w:t>
            </w:r>
          </w:p>
        </w:tc>
      </w:tr>
    </w:tbl>
    <w:p>
      <w:pPr>
        <w:ind w:left="3860"/>
        <w:spacing w:after="0" w:line="230" w:lineRule="auto"/>
        <w:rPr>
          <w:sz w:val="20"/>
          <w:szCs w:val="20"/>
          <w:color w:val="auto"/>
        </w:rPr>
      </w:pPr>
      <w:r>
        <w:rPr>
          <w:rFonts w:ascii="Times New Roman" w:cs="Times New Roman" w:eastAsia="Times New Roman" w:hAnsi="Times New Roman"/>
          <w:sz w:val="22"/>
          <w:szCs w:val="22"/>
          <w:color w:val="auto"/>
        </w:rPr>
        <w:t>1735 Market Street, 51</w:t>
      </w:r>
      <w:r>
        <w:rPr>
          <w:rFonts w:ascii="Times New Roman" w:cs="Times New Roman" w:eastAsia="Times New Roman" w:hAnsi="Times New Roman"/>
          <w:sz w:val="10"/>
          <w:szCs w:val="10"/>
          <w:color w:val="auto"/>
        </w:rPr>
        <w:t>st</w:t>
      </w:r>
      <w:r>
        <w:rPr>
          <w:rFonts w:ascii="Times New Roman" w:cs="Times New Roman" w:eastAsia="Times New Roman" w:hAnsi="Times New Roman"/>
          <w:sz w:val="22"/>
          <w:szCs w:val="22"/>
          <w:color w:val="auto"/>
        </w:rPr>
        <w:t xml:space="preserve"> Floor</w:t>
      </w:r>
    </w:p>
    <w:p>
      <w:pPr>
        <w:ind w:left="3860"/>
        <w:spacing w:after="0" w:line="231" w:lineRule="auto"/>
        <w:rPr>
          <w:sz w:val="20"/>
          <w:szCs w:val="20"/>
          <w:color w:val="auto"/>
        </w:rPr>
      </w:pPr>
      <w:r>
        <w:rPr>
          <w:rFonts w:ascii="Times New Roman" w:cs="Times New Roman" w:eastAsia="Times New Roman" w:hAnsi="Times New Roman"/>
          <w:sz w:val="22"/>
          <w:szCs w:val="22"/>
          <w:color w:val="auto"/>
        </w:rPr>
        <w:t>Philadelphia, PA 19103</w:t>
      </w:r>
    </w:p>
    <w:p>
      <w:pPr>
        <w:ind w:left="3860"/>
        <w:spacing w:after="0" w:line="230" w:lineRule="auto"/>
        <w:rPr>
          <w:sz w:val="20"/>
          <w:szCs w:val="20"/>
          <w:color w:val="auto"/>
        </w:rPr>
      </w:pPr>
      <w:r>
        <w:rPr>
          <w:rFonts w:ascii="Times New Roman" w:cs="Times New Roman" w:eastAsia="Times New Roman" w:hAnsi="Times New Roman"/>
          <w:sz w:val="22"/>
          <w:szCs w:val="22"/>
          <w:color w:val="auto"/>
        </w:rPr>
        <w:t>Attention: Richard S. Perelman</w:t>
      </w:r>
    </w:p>
    <w:p>
      <w:pPr>
        <w:ind w:left="3860"/>
        <w:spacing w:after="0" w:line="231" w:lineRule="auto"/>
        <w:rPr>
          <w:sz w:val="20"/>
          <w:szCs w:val="20"/>
          <w:color w:val="auto"/>
        </w:rPr>
      </w:pPr>
      <w:r>
        <w:rPr>
          <w:rFonts w:ascii="Times New Roman" w:cs="Times New Roman" w:eastAsia="Times New Roman" w:hAnsi="Times New Roman"/>
          <w:sz w:val="22"/>
          <w:szCs w:val="22"/>
          <w:color w:val="auto"/>
        </w:rPr>
        <w:t>Telecopy: (215) 864-8999</w:t>
      </w:r>
    </w:p>
    <w:p>
      <w:pPr>
        <w:ind w:left="3860"/>
        <w:spacing w:after="0" w:line="230" w:lineRule="auto"/>
        <w:rPr>
          <w:sz w:val="20"/>
          <w:szCs w:val="20"/>
          <w:color w:val="auto"/>
        </w:rPr>
      </w:pPr>
      <w:r>
        <w:rPr>
          <w:rFonts w:ascii="Times New Roman" w:cs="Times New Roman" w:eastAsia="Times New Roman" w:hAnsi="Times New Roman"/>
          <w:sz w:val="22"/>
          <w:szCs w:val="22"/>
          <w:color w:val="auto"/>
        </w:rPr>
        <w:t>Telephone: (215) 864-8118</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Email: perelman@ballardspahr.com</w:t>
      </w:r>
    </w:p>
    <w:p>
      <w:pPr>
        <w:spacing w:after="0" w:line="200" w:lineRule="exact"/>
        <w:rPr>
          <w:sz w:val="20"/>
          <w:szCs w:val="20"/>
          <w:color w:val="auto"/>
        </w:rPr>
      </w:pPr>
    </w:p>
    <w:p>
      <w:pPr>
        <w:spacing w:after="0" w:line="252" w:lineRule="exact"/>
        <w:rPr>
          <w:sz w:val="20"/>
          <w:szCs w:val="20"/>
          <w:color w:val="auto"/>
        </w:rPr>
      </w:pPr>
    </w:p>
    <w:p>
      <w:pPr>
        <w:ind w:left="180" w:right="73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notice, request or demand to or upon the Administrative Agent, Swing Line Lender or the other Lenders shall not be effective until received.</w:t>
      </w:r>
    </w:p>
    <w:p>
      <w:pPr>
        <w:spacing w:after="0" w:line="158" w:lineRule="exact"/>
        <w:rPr>
          <w:sz w:val="20"/>
          <w:szCs w:val="20"/>
          <w:color w:val="auto"/>
        </w:rPr>
      </w:pPr>
    </w:p>
    <w:p>
      <w:pPr>
        <w:jc w:val="both"/>
        <w:ind w:left="180" w:right="199" w:firstLine="1300"/>
        <w:spacing w:after="0" w:line="251" w:lineRule="auto"/>
        <w:tabs>
          <w:tab w:leader="none" w:pos="237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to any Lender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if such Lender has notified the Administrative Agent that it is incapable of receiving notices under such Section by electronic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4" w:name="page265"/>
    <w:bookmarkEnd w:id="264"/>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 xml:space="preserve">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0" w:lineRule="exact"/>
        <w:rPr>
          <w:sz w:val="20"/>
          <w:szCs w:val="20"/>
          <w:color w:val="auto"/>
        </w:rPr>
      </w:pPr>
    </w:p>
    <w:p>
      <w:pPr>
        <w:jc w:val="both"/>
        <w:ind w:left="180" w:right="199" w:firstLine="1296"/>
        <w:spacing w:after="0" w:line="246"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1" w:lineRule="exact"/>
        <w:rPr>
          <w:sz w:val="20"/>
          <w:szCs w:val="20"/>
          <w:color w:val="auto"/>
        </w:rPr>
      </w:pPr>
    </w:p>
    <w:p>
      <w:pPr>
        <w:jc w:val="both"/>
        <w:ind w:left="180" w:right="199" w:firstLine="1300"/>
        <w:spacing w:after="0" w:line="244" w:lineRule="auto"/>
        <w:tabs>
          <w:tab w:leader="none" w:pos="236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Any party hereto may change its address or facsimile number for notices and other communications hereunder by notice to the other parties hereto.</w:t>
      </w:r>
    </w:p>
    <w:p>
      <w:pPr>
        <w:spacing w:after="0" w:line="173" w:lineRule="exact"/>
        <w:rPr>
          <w:rFonts w:ascii="Times New Roman" w:cs="Times New Roman" w:eastAsia="Times New Roman" w:hAnsi="Times New Roman"/>
          <w:sz w:val="22"/>
          <w:szCs w:val="22"/>
          <w:color w:val="auto"/>
        </w:rPr>
      </w:pPr>
    </w:p>
    <w:p>
      <w:pPr>
        <w:ind w:left="2380" w:hanging="900"/>
        <w:spacing w:after="0"/>
        <w:tabs>
          <w:tab w:leader="none" w:pos="23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40" w:right="519" w:firstLine="1288"/>
        <w:spacing w:after="0" w:line="244" w:lineRule="auto"/>
        <w:tabs>
          <w:tab w:leader="none" w:pos="2799"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Administrative Agent may, but shall not be obligated to, make the Communications (as defined below) available to the other Lenders by posting the Communications on the Platform.</w:t>
      </w:r>
    </w:p>
    <w:p>
      <w:pPr>
        <w:spacing w:after="0" w:line="173" w:lineRule="exact"/>
        <w:rPr>
          <w:rFonts w:ascii="Times New Roman" w:cs="Times New Roman" w:eastAsia="Times New Roman" w:hAnsi="Times New Roman"/>
          <w:sz w:val="22"/>
          <w:szCs w:val="22"/>
          <w:color w:val="auto"/>
        </w:rPr>
      </w:pPr>
    </w:p>
    <w:p>
      <w:pPr>
        <w:ind w:left="840" w:right="239" w:firstLine="1288"/>
        <w:spacing w:after="0" w:line="232" w:lineRule="auto"/>
        <w:tabs>
          <w:tab w:leader="none" w:pos="283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Platform.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this Section, including through the Platform.</w:t>
      </w:r>
    </w:p>
    <w:p>
      <w:pPr>
        <w:spacing w:after="0" w:line="190" w:lineRule="exact"/>
        <w:rPr>
          <w:sz w:val="20"/>
          <w:szCs w:val="20"/>
          <w:color w:val="auto"/>
        </w:rPr>
      </w:pPr>
    </w:p>
    <w:p>
      <w:pPr>
        <w:ind w:left="180" w:right="679" w:firstLine="648"/>
        <w:spacing w:after="0" w:line="282"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No Waiver; Cumulative Remedies</w:t>
      </w:r>
      <w:r>
        <w:rPr>
          <w:rFonts w:ascii="Times New Roman" w:cs="Times New Roman" w:eastAsia="Times New Roman" w:hAnsi="Times New Roman"/>
          <w:sz w:val="21"/>
          <w:szCs w:val="21"/>
          <w:color w:val="auto"/>
        </w:rPr>
        <w:t>. No failure to exercise and no delay in exercising, on the part of the Administrative Agent or any Lender, any right, remedy, power or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5" w:name="page266"/>
    <w:bookmarkEnd w:id="265"/>
    <w:p>
      <w:pPr>
        <w:ind w:left="180" w:right="219"/>
        <w:spacing w:after="0" w:line="238" w:lineRule="auto"/>
        <w:rPr>
          <w:sz w:val="20"/>
          <w:szCs w:val="20"/>
          <w:color w:val="auto"/>
        </w:rPr>
      </w:pPr>
      <w:r>
        <w:rPr>
          <w:rFonts w:ascii="Times New Roman" w:cs="Times New Roman" w:eastAsia="Times New Roman" w:hAnsi="Times New Roman"/>
          <w:sz w:val="22"/>
          <w:szCs w:val="22"/>
          <w:color w:val="auto"/>
        </w:rPr>
        <w:t>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7" w:lineRule="exact"/>
        <w:rPr>
          <w:sz w:val="20"/>
          <w:szCs w:val="20"/>
          <w:color w:val="auto"/>
        </w:rPr>
      </w:pPr>
    </w:p>
    <w:p>
      <w:pPr>
        <w:ind w:left="180" w:right="27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0"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u w:val="single" w:color="auto"/>
          <w:color w:val="auto"/>
        </w:rPr>
        <w:t>Payment of 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2" w:lineRule="auto"/>
        <w:tabs>
          <w:tab w:leader="none" w:pos="2121"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(i) to pay or reimburse the Administrative Agent, the Collateral Agent, the Lead Arranger and their Affiliates for all their reasonable and documented out-of-pocket costs and expenses incurred in connection with, the syndication of the facilities evidenced pursuant to the Loan Documents, the negotiation, preparation, delivery, execution, administration and closing of, and any amendment, waiver,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disbursements and other charges of counsel for any of the foregoing (but limited to a single primary counsel and, if necessary, a single local counsel in each relevant material jurisdiction (which may be a single local counsel acting in multiple jurisdictions), in each case, for the Administrative Agent, the Lead Arranger and their respective Affiliates, taken as a whole),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(ii) to pay or reimburse each of the Lead Arranger, the Lenders and Agents for all its costs and expenses incurred in connection with the enforcement (including pursuant to the administration of any bankruptcy proceeding relating to the Borrower) or preservation of any rights under this Agreement, the other Loan Documents and any such other documents, including the reasonable fees, disbursements and other charges of counsel, (iii) to pay, indemnify, and hold the Lead Arranger, each Lender and Agent and their respective affiliates and the officers, directors, employees, agents and controlling persons of each of the foregoing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and hold the Lead Arranger, each Lender and Agent and their respective affiliates and the officers, directors, employees, agents, and controlling persons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harmless from and against any and all other liabilities, costs or expenses of any kind or nature whatsoever (regardless of whether such Indemnitee is a party thereto and regardless of the party initiating such matter) that relates to the execution, delivery, enforcement, performance and administration of this Agreement and any of the other Loan Documents, including those relating to the use of proceeds of the Loans or the violation of, noncompliance with or liability under, any Environmental Law applicable to the operations of any Group Member or any of the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6" w:name="page267"/>
    <w:bookmarkEnd w:id="266"/>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Properties and the reasonable fees disbursements and other charges of legal counsel in connection with claims, actions or proceedings by any Indemnitee against any Loan Party under any Loan Document (all the foregoing in this clause (iv),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indemnity will not, as to any Indemnitee, apply to Indemnified Liabilities to the extent (A) they are found by a final and nonappealable decision of a court of competent jurisdiction to have resulted primarily from (1) the gross negligence or willful misconduct of such Indemnitee or (2) a material breach by such Indemnitee or its Affiliates of their obligations under this Agreement or (B) arising out of or in connection with any proceeding that does not involve an act or omission of the Borrower or any of its Affiliates and that is brought by an Indemnitee against any other Indemnitee (other than against any Agent, the Lead Arranger or another named agent, in each case, acting in its capacity or fulfilling its role as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(x) such legal expenses shall be limited to the fees, disbursements and other charges of a single primary counsel to the Indemnitees, taken as a whole, and, if necessary, a single local counsel to the Indemnitees, taken as a whole, in each relevant material jurisdiction (which may be a single local counsel acting in multiple jurisdictions) (and, in the case of an actual or perceived conflict of interest where the Indemnitee affected by such conflict informs the Borrower of such conflict and thereafter retains its own single counsel (or, if necessary, its own single local counsel in each relevant material jurisdiction (which may be a single local counsel acting in multiple jurisdictions)), of such conflict counsel for such affected Indemnitee and all similarly situated Indemnitees, taken as a whole) and (y) each Indemnitee shall promptly repay to the Borrower all amounts previously paid by the Borrower pursuant to the foregoing provisions to the extent that such Indemnitee is found by a final and nonappealable decision of a court of competent jurisdiction not to be entitled to indemnification hereunder as contemplated by the immediately preceding proviso. For the avoidance of doubt,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not apply to Taxes, except any Taxes that represent Indemnified Liabilities arising from any non-Tax claims.</w:t>
      </w:r>
    </w:p>
    <w:p>
      <w:pPr>
        <w:spacing w:after="0" w:line="177" w:lineRule="exact"/>
        <w:rPr>
          <w:sz w:val="20"/>
          <w:szCs w:val="20"/>
          <w:color w:val="auto"/>
        </w:rPr>
      </w:pPr>
    </w:p>
    <w:p>
      <w:pPr>
        <w:jc w:val="both"/>
        <w:ind w:left="180" w:right="199" w:firstLine="1300"/>
        <w:spacing w:after="0" w:line="234" w:lineRule="auto"/>
        <w:tabs>
          <w:tab w:leader="none" w:pos="213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by applicable law, none of the parties hereto shall assert, or permit any of its controlled Affiliates to assert, and each party hereto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paragraph (b) shall limit the Borrower’s indemnity and reimbursement obligations set forth in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due under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be payable promptly after written demand therefor. The agreements in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survive repayment of the Loans and all other amounts payable hereunder.</w:t>
      </w:r>
    </w:p>
    <w:p>
      <w:pPr>
        <w:spacing w:after="0" w:line="17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u w:val="single" w:color="auto"/>
          <w:color w:val="auto"/>
        </w:rPr>
        <w:t>Successors and Assigns; Participations and Assignments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55" w:lineRule="auto"/>
        <w:tabs>
          <w:tab w:leader="none" w:pos="2121"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7" w:name="page268"/>
    <w:bookmarkEnd w:id="267"/>
    <w:p>
      <w:pPr>
        <w:ind w:left="180" w:right="199"/>
        <w:spacing w:after="0" w:line="258" w:lineRule="auto"/>
        <w:rPr>
          <w:sz w:val="20"/>
          <w:szCs w:val="20"/>
          <w:color w:val="auto"/>
        </w:rPr>
      </w:pPr>
      <w:r>
        <w:rPr>
          <w:rFonts w:ascii="Times New Roman" w:cs="Times New Roman" w:eastAsia="Times New Roman" w:hAnsi="Times New Roman"/>
          <w:sz w:val="22"/>
          <w:szCs w:val="22"/>
          <w:color w:val="auto"/>
        </w:rPr>
        <w:t>Borrower without such consent shall be null and void) and (ii) no Lender may assign or otherwise transfer its rights or obligations hereunder except in accordance with this Section.</w:t>
      </w:r>
    </w:p>
    <w:p>
      <w:pPr>
        <w:spacing w:after="0" w:line="158" w:lineRule="exact"/>
        <w:rPr>
          <w:sz w:val="20"/>
          <w:szCs w:val="20"/>
          <w:color w:val="auto"/>
        </w:rPr>
      </w:pPr>
    </w:p>
    <w:p>
      <w:pPr>
        <w:jc w:val="both"/>
        <w:ind w:left="180" w:right="199" w:firstLine="1300"/>
        <w:spacing w:after="0" w:line="238" w:lineRule="auto"/>
        <w:tabs>
          <w:tab w:leader="none" w:pos="213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may assign to one or more assignees (provided that any assignee shall not be the Borrower or its Affiliates, a natural person or a Defaulting Lender) (each,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all or a portion of its rights and obligations under this Agreement (including all or a portion of its Revolving Commitment and the Loans at the time owing to it) with the prior written consent of:</w:t>
      </w:r>
    </w:p>
    <w:p>
      <w:pPr>
        <w:spacing w:after="0" w:line="176" w:lineRule="exact"/>
        <w:rPr>
          <w:rFonts w:ascii="Times New Roman" w:cs="Times New Roman" w:eastAsia="Times New Roman" w:hAnsi="Times New Roman"/>
          <w:sz w:val="22"/>
          <w:szCs w:val="22"/>
          <w:color w:val="auto"/>
        </w:rPr>
      </w:pPr>
    </w:p>
    <w:p>
      <w:pPr>
        <w:ind w:left="2120" w:right="359" w:firstLine="656"/>
        <w:spacing w:after="0" w:line="247" w:lineRule="auto"/>
        <w:tabs>
          <w:tab w:leader="none" w:pos="3446"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for an assignment to a Lender, an affiliate of a Lender, an Approved Fund (as defined below) or, if an Event of Default under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or</w:t>
      </w:r>
    </w:p>
    <w:p>
      <w:pPr>
        <w:spacing w:after="0" w:line="1" w:lineRule="exact"/>
        <w:rPr>
          <w:rFonts w:ascii="Times New Roman" w:cs="Times New Roman" w:eastAsia="Times New Roman" w:hAnsi="Times New Roman"/>
          <w:sz w:val="21"/>
          <w:szCs w:val="21"/>
          <w:color w:val="auto"/>
        </w:rPr>
      </w:pPr>
    </w:p>
    <w:p>
      <w:pPr>
        <w:ind w:left="2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has occurred and is continuing, any other Person;</w:t>
      </w:r>
    </w:p>
    <w:p>
      <w:pPr>
        <w:spacing w:after="0" w:line="182" w:lineRule="exact"/>
        <w:rPr>
          <w:rFonts w:ascii="Times New Roman" w:cs="Times New Roman" w:eastAsia="Times New Roman" w:hAnsi="Times New Roman"/>
          <w:sz w:val="21"/>
          <w:szCs w:val="21"/>
          <w:color w:val="auto"/>
        </w:rPr>
      </w:pPr>
    </w:p>
    <w:p>
      <w:pPr>
        <w:ind w:left="2120" w:right="599" w:firstLine="656"/>
        <w:spacing w:after="0" w:line="239" w:lineRule="auto"/>
        <w:tabs>
          <w:tab w:leader="none" w:pos="3447"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an affiliate of a Lender or an Approved Fund; and</w:t>
      </w:r>
    </w:p>
    <w:p>
      <w:pPr>
        <w:spacing w:after="0" w:line="180" w:lineRule="exact"/>
        <w:rPr>
          <w:rFonts w:ascii="Times New Roman" w:cs="Times New Roman" w:eastAsia="Times New Roman" w:hAnsi="Times New Roman"/>
          <w:sz w:val="22"/>
          <w:szCs w:val="22"/>
          <w:color w:val="auto"/>
        </w:rPr>
      </w:pPr>
    </w:p>
    <w:p>
      <w:pPr>
        <w:ind w:left="2120" w:right="259" w:firstLine="656"/>
        <w:spacing w:after="0" w:line="239" w:lineRule="auto"/>
        <w:tabs>
          <w:tab w:leader="none" w:pos="3434"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 Line Lender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Swing Line Lender shall be required for an assignment to a Lender, an affiliate of a Lender or an Approved Fund.</w:t>
      </w:r>
    </w:p>
    <w:p>
      <w:pPr>
        <w:spacing w:after="0" w:line="180" w:lineRule="exact"/>
        <w:rPr>
          <w:rFonts w:ascii="Times New Roman" w:cs="Times New Roman" w:eastAsia="Times New Roman" w:hAnsi="Times New Roman"/>
          <w:sz w:val="22"/>
          <w:szCs w:val="22"/>
          <w:color w:val="auto"/>
        </w:rPr>
      </w:pPr>
    </w:p>
    <w:p>
      <w:pPr>
        <w:ind w:left="2820" w:hanging="692"/>
        <w:spacing w:after="0"/>
        <w:tabs>
          <w:tab w:leader="none" w:pos="282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ind w:left="2120" w:right="219" w:firstLine="656"/>
        <w:spacing w:after="0" w:line="233" w:lineRule="auto"/>
        <w:tabs>
          <w:tab w:leader="none" w:pos="3446"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3" w:lineRule="exact"/>
        <w:rPr>
          <w:rFonts w:ascii="Times New Roman" w:cs="Times New Roman" w:eastAsia="Times New Roman" w:hAnsi="Times New Roman"/>
          <w:sz w:val="22"/>
          <w:szCs w:val="22"/>
          <w:color w:val="auto"/>
        </w:rPr>
      </w:pPr>
    </w:p>
    <w:p>
      <w:pPr>
        <w:ind w:left="2120" w:right="33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(1) no such consent of the Borrower shall be required if an Event of Default under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8(f)</w:t>
      </w:r>
      <w:r>
        <w:rPr>
          <w:rFonts w:ascii="Times New Roman" w:cs="Times New Roman" w:eastAsia="Times New Roman" w:hAnsi="Times New Roman"/>
          <w:sz w:val="21"/>
          <w:szCs w:val="21"/>
          <w:color w:val="auto"/>
        </w:rPr>
        <w:t xml:space="preserve"> has occurred and is continuing and</w:t>
      </w:r>
    </w:p>
    <w:p>
      <w:pPr>
        <w:spacing w:after="0" w:line="1" w:lineRule="exact"/>
        <w:rPr>
          <w:rFonts w:ascii="Times New Roman" w:cs="Times New Roman" w:eastAsia="Times New Roman" w:hAnsi="Times New Roman"/>
          <w:sz w:val="22"/>
          <w:szCs w:val="22"/>
          <w:color w:val="auto"/>
        </w:rPr>
      </w:pPr>
    </w:p>
    <w:p>
      <w:pPr>
        <w:ind w:left="2120" w:right="81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such amounts shall be aggregated in respect of each Lender and its affiliates or Approved Funds, if any;</w:t>
      </w:r>
    </w:p>
    <w:p>
      <w:pPr>
        <w:spacing w:after="0" w:line="178" w:lineRule="exact"/>
        <w:rPr>
          <w:rFonts w:ascii="Times New Roman" w:cs="Times New Roman" w:eastAsia="Times New Roman" w:hAnsi="Times New Roman"/>
          <w:sz w:val="22"/>
          <w:szCs w:val="22"/>
          <w:color w:val="auto"/>
        </w:rPr>
      </w:pPr>
    </w:p>
    <w:p>
      <w:pPr>
        <w:ind w:left="2120" w:right="239" w:firstLine="656"/>
        <w:spacing w:after="0" w:line="255" w:lineRule="auto"/>
        <w:tabs>
          <w:tab w:leader="none" w:pos="3447"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parties to each assignment shall execute and deliver to the Administrative Agent an Assignment and Assumption, together with a processing and recordation fee of $3,500 and (2) the assigning Lender shall have paid in full any amounts owing by it to the Administrative Agent;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8" w:name="page269"/>
    <w:bookmarkEnd w:id="268"/>
    <w:p>
      <w:pPr>
        <w:ind w:left="2120" w:right="219" w:firstLine="656"/>
        <w:spacing w:after="0" w:line="249" w:lineRule="auto"/>
        <w:tabs>
          <w:tab w:leader="none" w:pos="3434"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laws, including federal and state securities laws.</w:t>
      </w:r>
    </w:p>
    <w:p>
      <w:pPr>
        <w:spacing w:after="0" w:line="157" w:lineRule="exact"/>
        <w:rPr>
          <w:sz w:val="20"/>
          <w:szCs w:val="20"/>
          <w:color w:val="auto"/>
        </w:rPr>
      </w:pPr>
    </w:p>
    <w:p>
      <w:pPr>
        <w:jc w:val="both"/>
        <w:ind w:left="840" w:right="319" w:firstLine="1296"/>
        <w:spacing w:after="0" w:line="217"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6" w:lineRule="exact"/>
        <w:rPr>
          <w:sz w:val="20"/>
          <w:szCs w:val="20"/>
          <w:color w:val="auto"/>
        </w:rPr>
      </w:pPr>
    </w:p>
    <w:p>
      <w:pPr>
        <w:ind w:left="2840" w:hanging="712"/>
        <w:spacing w:after="0"/>
        <w:tabs>
          <w:tab w:leader="none" w:pos="28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w:t>
      </w:r>
    </w:p>
    <w:p>
      <w:pPr>
        <w:spacing w:after="0" w:line="14" w:lineRule="exact"/>
        <w:rPr>
          <w:sz w:val="20"/>
          <w:szCs w:val="20"/>
          <w:color w:val="auto"/>
        </w:rPr>
      </w:pPr>
    </w:p>
    <w:p>
      <w:pPr>
        <w:ind w:left="840" w:right="239"/>
        <w:spacing w:after="0" w:line="241" w:lineRule="auto"/>
        <w:rPr>
          <w:sz w:val="20"/>
          <w:szCs w:val="20"/>
          <w:color w:val="auto"/>
        </w:rPr>
      </w:pPr>
      <w:r>
        <w:rPr>
          <w:rFonts w:ascii="Times New Roman" w:cs="Times New Roman" w:eastAsia="Times New Roman" w:hAnsi="Times New Roman"/>
          <w:sz w:val="21"/>
          <w:szCs w:val="21"/>
          <w:color w:val="auto"/>
        </w:rPr>
        <w:t xml:space="preserve">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2.13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840" w:right="339" w:firstLine="54"/>
        <w:spacing w:after="0" w:line="234" w:lineRule="auto"/>
        <w:rPr>
          <w:sz w:val="20"/>
          <w:szCs w:val="20"/>
          <w:color w:val="auto"/>
        </w:rPr>
      </w:pP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paragraph (c) of this Section.</w:t>
      </w:r>
    </w:p>
    <w:p>
      <w:pPr>
        <w:spacing w:after="0" w:line="177" w:lineRule="exact"/>
        <w:rPr>
          <w:sz w:val="20"/>
          <w:szCs w:val="20"/>
          <w:color w:val="auto"/>
        </w:rPr>
      </w:pPr>
    </w:p>
    <w:p>
      <w:pPr>
        <w:ind w:left="840" w:right="219" w:firstLine="1288"/>
        <w:spacing w:after="0" w:line="245" w:lineRule="auto"/>
        <w:tabs>
          <w:tab w:leader="none" w:pos="2839"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for this purpose as an agent of the Borrower, shall maintain at one of its offices a copy of each Assignment and Assumption delivered to it and a register (reflecting each Assignment and Assumption) for the recordation of the names and addresses of the Lenders, and the Revolving Commitment of, and principal amount (and stated interest) of the Loans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at the Funding Office (or such other office designated by the Administrative Agent) by the Borrower or any Lender at any reasonable time and from time to time upon reasonable prior notice.</w:t>
      </w:r>
    </w:p>
    <w:p>
      <w:pPr>
        <w:spacing w:after="0" w:line="173" w:lineRule="exact"/>
        <w:rPr>
          <w:rFonts w:ascii="Times New Roman" w:cs="Times New Roman" w:eastAsia="Times New Roman" w:hAnsi="Times New Roman"/>
          <w:sz w:val="21"/>
          <w:szCs w:val="21"/>
          <w:color w:val="auto"/>
        </w:rPr>
      </w:pPr>
    </w:p>
    <w:p>
      <w:pPr>
        <w:ind w:left="840" w:right="259" w:firstLine="1288"/>
        <w:spacing w:after="0" w:line="238" w:lineRule="auto"/>
        <w:tabs>
          <w:tab w:leader="none" w:pos="2793"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69" w:name="page270"/>
    <w:bookmarkEnd w:id="269"/>
    <w:p>
      <w:pPr>
        <w:ind w:left="840" w:right="259"/>
        <w:spacing w:after="0" w:line="261" w:lineRule="auto"/>
        <w:rPr>
          <w:sz w:val="20"/>
          <w:szCs w:val="20"/>
          <w:color w:val="auto"/>
        </w:rPr>
      </w:pPr>
      <w:r>
        <w:rPr>
          <w:rFonts w:ascii="Times New Roman" w:cs="Times New Roman" w:eastAsia="Times New Roman" w:hAnsi="Times New Roman"/>
          <w:sz w:val="21"/>
          <w:szCs w:val="21"/>
          <w:color w:val="auto"/>
        </w:rPr>
        <w:t>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7" w:lineRule="exact"/>
        <w:rPr>
          <w:sz w:val="20"/>
          <w:szCs w:val="20"/>
          <w:color w:val="auto"/>
        </w:rPr>
      </w:pPr>
    </w:p>
    <w:p>
      <w:pPr>
        <w:jc w:val="both"/>
        <w:ind w:left="840" w:right="199" w:firstLine="640"/>
        <w:spacing w:after="0" w:line="243" w:lineRule="auto"/>
        <w:tabs>
          <w:tab w:leader="none" w:pos="2133"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may, without the consent of the Borrower, the Administrative Agent or the Swing Line Lender,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may provide that such Lender will not, without the consent of the Participant, agree to any amendment, modification or waiver that (I) requires the consent of each Lender directly affected thereby pursuant to clauses (i), (ii) and (iii) of the proviso to the second sentence of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and (II) directly affects such Participant. Subject to paragraph (c)(ii) of this Section, the Borrower agrees that each Participant shall be entitled to the benefits of </w:t>
      </w:r>
      <w:r>
        <w:rPr>
          <w:rFonts w:ascii="Times New Roman" w:cs="Times New Roman" w:eastAsia="Times New Roman" w:hAnsi="Times New Roman"/>
          <w:sz w:val="21"/>
          <w:szCs w:val="21"/>
          <w:u w:val="single" w:color="auto"/>
          <w:color w:val="auto"/>
        </w:rPr>
        <w:t>Sections 2.13,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(subject to the requirements and limitations therein, including the requirements under </w:t>
      </w:r>
      <w:r>
        <w:rPr>
          <w:rFonts w:ascii="Times New Roman" w:cs="Times New Roman" w:eastAsia="Times New Roman" w:hAnsi="Times New Roman"/>
          <w:sz w:val="21"/>
          <w:szCs w:val="21"/>
          <w:u w:val="single" w:color="auto"/>
          <w:color w:val="auto"/>
        </w:rPr>
        <w:t>Sections 2.14(d)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Sections 2.14(d)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shall be delivered to the participating Lender))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10.7(b)</w:t>
      </w:r>
      <w:r>
        <w:rPr>
          <w:rFonts w:ascii="Times New Roman" w:cs="Times New Roman" w:eastAsia="Times New Roman" w:hAnsi="Times New Roman"/>
          <w:sz w:val="21"/>
          <w:szCs w:val="21"/>
          <w:color w:val="auto"/>
        </w:rPr>
        <w:t xml:space="preserve"> as though it were a Lender, provided such Participant shall be subject to </w:t>
      </w:r>
      <w:r>
        <w:rPr>
          <w:rFonts w:ascii="Times New Roman" w:cs="Times New Roman" w:eastAsia="Times New Roman" w:hAnsi="Times New Roman"/>
          <w:sz w:val="21"/>
          <w:szCs w:val="21"/>
          <w:u w:val="single" w:color="auto"/>
          <w:color w:val="auto"/>
        </w:rPr>
        <w:t>Section 10.7(a)</w:t>
      </w:r>
      <w:r>
        <w:rPr>
          <w:rFonts w:ascii="Times New Roman" w:cs="Times New Roman" w:eastAsia="Times New Roman" w:hAnsi="Times New Roman"/>
          <w:sz w:val="21"/>
          <w:szCs w:val="21"/>
          <w:color w:val="auto"/>
        </w:rPr>
        <w:t xml:space="preserve"> as though it were a Lender.</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840" w:right="259" w:firstLine="1288"/>
        <w:spacing w:after="0" w:line="232" w:lineRule="auto"/>
        <w:tabs>
          <w:tab w:leader="none" w:pos="2913"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not be entitled to receive any greater payment under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except to the extent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 that occurs after the Participant acquired the applicable participation. Any Participant that is a Non-U.S. Lender shall not be entitled to the benefits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unless such Participant complies with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Each Lender that sells a participation shall, acting solely for this purpose as an agent of the Borrower, maintain a register on which it enters the name and address of each Participant and the principal amounts (and stated interest) of each Participant’s interest in the obligations under this Agreement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 information relating to a Participant’s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0" w:name="page271"/>
    <w:bookmarkEnd w:id="270"/>
    <w:p>
      <w:pPr>
        <w:ind w:left="840" w:right="299"/>
        <w:spacing w:after="0" w:line="236" w:lineRule="auto"/>
        <w:rPr>
          <w:sz w:val="20"/>
          <w:szCs w:val="20"/>
          <w:color w:val="auto"/>
        </w:rPr>
      </w:pPr>
      <w:r>
        <w:rPr>
          <w:rFonts w:ascii="Times New Roman" w:cs="Times New Roman" w:eastAsia="Times New Roman" w:hAnsi="Times New Roman"/>
          <w:sz w:val="22"/>
          <w:szCs w:val="22"/>
          <w:color w:val="auto"/>
        </w:rPr>
        <w:t>interest in the obligations under this Agreement) except to the extent that such disclosure is necessary to establish that such interest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1" w:lineRule="exact"/>
        <w:rPr>
          <w:sz w:val="20"/>
          <w:szCs w:val="20"/>
          <w:color w:val="auto"/>
        </w:rPr>
      </w:pPr>
    </w:p>
    <w:p>
      <w:pPr>
        <w:jc w:val="both"/>
        <w:ind w:left="180" w:right="199" w:firstLine="1300"/>
        <w:spacing w:after="0" w:line="236" w:lineRule="auto"/>
        <w:tabs>
          <w:tab w:leader="none" w:pos="213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upon receipt of written notice from the relevant Lender, agrees to issue Notes to any Lender requiring Notes to facilitate transactions of the type described in paragraph (d) above.</w:t>
      </w:r>
    </w:p>
    <w:p>
      <w:pPr>
        <w:spacing w:after="0" w:line="173" w:lineRule="exact"/>
        <w:rPr>
          <w:sz w:val="20"/>
          <w:szCs w:val="20"/>
          <w:color w:val="auto"/>
        </w:rPr>
      </w:pPr>
    </w:p>
    <w:p>
      <w:pPr>
        <w:ind w:left="840"/>
        <w:spacing w:after="0"/>
        <w:tabs>
          <w:tab w:leader="none" w:pos="156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Adjustments; Set-off</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44" w:lineRule="auto"/>
        <w:tabs>
          <w:tab w:leader="none" w:pos="2121"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that this Agreement, any other Loan Document or a court order expressly provides for payments to be allocated to a particular Lender or to the Lenders, if any Lender (a “</w:t>
      </w:r>
      <w:r>
        <w:rPr>
          <w:rFonts w:ascii="Times New Roman" w:cs="Times New Roman" w:eastAsia="Times New Roman" w:hAnsi="Times New Roman"/>
          <w:sz w:val="21"/>
          <w:szCs w:val="21"/>
          <w:u w:val="single" w:color="auto"/>
          <w:color w:val="auto"/>
        </w:rPr>
        <w:t>Benefitted Lender</w:t>
      </w:r>
      <w:r>
        <w:rPr>
          <w:rFonts w:ascii="Times New Roman" w:cs="Times New Roman" w:eastAsia="Times New Roman" w:hAnsi="Times New Roman"/>
          <w:sz w:val="21"/>
          <w:szCs w:val="21"/>
          <w:color w:val="auto"/>
        </w:rPr>
        <w:t xml:space="preserve">”) shall receive any payment of all or part of the Obligations owing to it (other than in connection with an assignment made pursuant to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or receive any collateral in respect thereof (whether voluntarily or involuntarily, by set-off, pursuant to events or proceedings of the nature referred to in </w:t>
      </w:r>
      <w:r>
        <w:rPr>
          <w:rFonts w:ascii="Times New Roman" w:cs="Times New Roman" w:eastAsia="Times New Roman" w:hAnsi="Times New Roman"/>
          <w:sz w:val="21"/>
          <w:szCs w:val="21"/>
          <w:u w:val="single" w:color="auto"/>
          <w:color w:val="auto"/>
        </w:rPr>
        <w:t>Section 8(f),</w:t>
      </w:r>
      <w:r>
        <w:rPr>
          <w:rFonts w:ascii="Times New Roman" w:cs="Times New Roman" w:eastAsia="Times New Roman" w:hAnsi="Times New Roman"/>
          <w:sz w:val="21"/>
          <w:szCs w:val="21"/>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0" w:lineRule="exact"/>
        <w:rPr>
          <w:rFonts w:ascii="Times New Roman" w:cs="Times New Roman" w:eastAsia="Times New Roman" w:hAnsi="Times New Roman"/>
          <w:sz w:val="21"/>
          <w:szCs w:val="21"/>
          <w:color w:val="auto"/>
        </w:rPr>
      </w:pPr>
    </w:p>
    <w:p>
      <w:pPr>
        <w:jc w:val="both"/>
        <w:ind w:left="180" w:right="199" w:firstLine="1300"/>
        <w:spacing w:after="0" w:line="245" w:lineRule="auto"/>
        <w:tabs>
          <w:tab w:leader="none" w:pos="2133"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Intercreditor Agreement,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1" w:name="page272"/>
    <w:bookmarkEnd w:id="271"/>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 xml:space="preserve">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application made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application.</w:t>
      </w:r>
    </w:p>
    <w:p>
      <w:pPr>
        <w:spacing w:after="0" w:line="183" w:lineRule="exact"/>
        <w:rPr>
          <w:sz w:val="20"/>
          <w:szCs w:val="20"/>
          <w:color w:val="auto"/>
        </w:rPr>
      </w:pPr>
    </w:p>
    <w:p>
      <w:pPr>
        <w:ind w:left="180" w:right="2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A set of the copies of this Agreement signed by all the parties shall be lodged with the Borrower and the Administrative Agent.</w:t>
      </w:r>
    </w:p>
    <w:p>
      <w:pPr>
        <w:spacing w:after="0" w:line="181" w:lineRule="exact"/>
        <w:rPr>
          <w:sz w:val="20"/>
          <w:szCs w:val="20"/>
          <w:color w:val="auto"/>
        </w:rPr>
      </w:pPr>
    </w:p>
    <w:p>
      <w:pPr>
        <w:ind w:left="180" w:right="3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7" w:lineRule="exact"/>
        <w:rPr>
          <w:sz w:val="20"/>
          <w:szCs w:val="20"/>
          <w:color w:val="auto"/>
        </w:rPr>
      </w:pPr>
    </w:p>
    <w:p>
      <w:pPr>
        <w:ind w:left="18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7" w:lineRule="exact"/>
        <w:rPr>
          <w:sz w:val="20"/>
          <w:szCs w:val="20"/>
          <w:color w:val="auto"/>
        </w:rPr>
      </w:pPr>
    </w:p>
    <w:p>
      <w:pPr>
        <w:ind w:left="180" w:right="27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RIGHTS AND OBLIGATIONS OF THE PARTIES UNDER THIS AGREEMENT SHALL BE GOVERNED BY, AND CONSTRUED AND INTERPRETED IN ACCORDANCE WITH, THE LAW OF THE STATE OF NEW YORK.</w:t>
      </w:r>
    </w:p>
    <w:p>
      <w:pPr>
        <w:spacing w:after="0" w:line="180" w:lineRule="exact"/>
        <w:rPr>
          <w:sz w:val="20"/>
          <w:szCs w:val="20"/>
          <w:color w:val="auto"/>
        </w:rPr>
      </w:pPr>
    </w:p>
    <w:p>
      <w:pPr>
        <w:ind w:left="180" w:right="5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Submission To Jurisdiction; Waivers</w:t>
      </w:r>
      <w:r>
        <w:rPr>
          <w:rFonts w:ascii="Times New Roman" w:cs="Times New Roman" w:eastAsia="Times New Roman" w:hAnsi="Times New Roman"/>
          <w:sz w:val="22"/>
          <w:szCs w:val="22"/>
          <w:color w:val="auto"/>
        </w:rPr>
        <w:t>. Each party hereto hereby irrevocably and unconditionally:</w:t>
      </w:r>
    </w:p>
    <w:p>
      <w:pPr>
        <w:spacing w:after="0" w:line="158" w:lineRule="exact"/>
        <w:rPr>
          <w:sz w:val="20"/>
          <w:szCs w:val="20"/>
          <w:color w:val="auto"/>
        </w:rPr>
      </w:pPr>
    </w:p>
    <w:p>
      <w:pPr>
        <w:jc w:val="both"/>
        <w:ind w:left="180" w:right="199" w:firstLine="1300"/>
        <w:spacing w:after="0" w:line="234" w:lineRule="auto"/>
        <w:tabs>
          <w:tab w:leader="none" w:pos="212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the courts of the United States for the Southern District of New York, and appellate courts from any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w:t>
      </w:r>
    </w:p>
    <w:p>
      <w:pPr>
        <w:spacing w:after="0" w:line="183"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that any such action or proceeding may be brought in such courts and waives any objection that it may now or hereafter have to the venue of any such action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2" w:name="page273"/>
    <w:bookmarkEnd w:id="272"/>
    <w:p>
      <w:pPr>
        <w:ind w:left="180" w:right="199"/>
        <w:spacing w:after="0" w:line="258" w:lineRule="auto"/>
        <w:rPr>
          <w:sz w:val="20"/>
          <w:szCs w:val="20"/>
          <w:color w:val="auto"/>
        </w:rPr>
      </w:pPr>
      <w:r>
        <w:rPr>
          <w:rFonts w:ascii="Times New Roman" w:cs="Times New Roman" w:eastAsia="Times New Roman" w:hAnsi="Times New Roman"/>
          <w:sz w:val="22"/>
          <w:szCs w:val="22"/>
          <w:color w:val="auto"/>
        </w:rPr>
        <w:t>proceeding in any such court or that such action or proceeding was brought in an inconvenient court and agrees not to plead or claim the same;</w:t>
      </w:r>
    </w:p>
    <w:p>
      <w:pPr>
        <w:spacing w:after="0" w:line="158" w:lineRule="exact"/>
        <w:rPr>
          <w:sz w:val="20"/>
          <w:szCs w:val="20"/>
          <w:color w:val="auto"/>
        </w:rPr>
      </w:pPr>
    </w:p>
    <w:p>
      <w:pPr>
        <w:jc w:val="both"/>
        <w:ind w:left="180" w:right="199" w:firstLine="1300"/>
        <w:spacing w:after="0" w:line="239" w:lineRule="auto"/>
        <w:tabs>
          <w:tab w:leader="none" w:pos="212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or at such other address of which the Administrative Agent shall have been notified pursuant thereto; and</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nothing herein shall affect the right to effect service of process in any other manner permitted by law or shall limit the right to sue in any other jurisdiction.</w:t>
      </w:r>
    </w:p>
    <w:p>
      <w:pPr>
        <w:spacing w:after="0" w:line="158"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Borrower hereby acknowledges that:</w:t>
      </w:r>
    </w:p>
    <w:p>
      <w:pPr>
        <w:spacing w:after="0" w:line="206" w:lineRule="exact"/>
        <w:rPr>
          <w:sz w:val="20"/>
          <w:szCs w:val="20"/>
          <w:color w:val="auto"/>
        </w:rPr>
      </w:pPr>
    </w:p>
    <w:p>
      <w:pPr>
        <w:ind w:left="180" w:right="199" w:firstLine="1300"/>
        <w:spacing w:after="0" w:line="258" w:lineRule="auto"/>
        <w:tabs>
          <w:tab w:leader="none" w:pos="212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advised by legal, accounting, regulatory and tax advisors in the negotiation, execution and delivery of this Agreement and the other Loan Documents;</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3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Lender has any fiduciary relationship with or duty to the Borrower and its Subsidiaries arising out of or in connection with this Agreement or any of the other Loan Documents, and the relationship between Administrative Agent and Lenders, on one hand, and the Borrower and its Subsidiaries, on the other hand, in connection herewith or therewith is solely that of debtor and creditor;</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joint venture is created hereby or by the other Loan Documents or otherwise exists by virtue of the transactions contemplated hereby among the Lenders or among the Borrower and its Subsidiaries and the Lenders;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on the one hand, and the Loan Parties, on the other hand, have an arm’s length business relationship that does not directly or indirectly give rise to, nor do the Loan Parties rely on, any fiduciary duty to the Loan Parties or their affiliates on the part of the Credit Parties;</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2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are capable of evaluating and understanding, and the Loan Parties understand and accept, the terms, risks and conditions of the transactions contemplated by this Agreement and the other Loan Documents;</w:t>
      </w:r>
    </w:p>
    <w:p>
      <w:pPr>
        <w:spacing w:after="0" w:line="173"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13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13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Credit Parties has any obligation to the Loan Parties or their affiliates with respect to the transactions contemplated by this Agreement or the other Loan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3" w:name="page274"/>
    <w:bookmarkEnd w:id="273"/>
    <w:p>
      <w:pPr>
        <w:ind w:left="180" w:right="199"/>
        <w:spacing w:after="0" w:line="258" w:lineRule="auto"/>
        <w:rPr>
          <w:sz w:val="20"/>
          <w:szCs w:val="20"/>
          <w:color w:val="auto"/>
        </w:rPr>
      </w:pPr>
      <w:r>
        <w:rPr>
          <w:rFonts w:ascii="Times New Roman" w:cs="Times New Roman" w:eastAsia="Times New Roman" w:hAnsi="Times New Roman"/>
          <w:sz w:val="22"/>
          <w:szCs w:val="22"/>
          <w:color w:val="auto"/>
        </w:rPr>
        <w:t>Documents except those obligations expressly set forth herein or therein or in any other express writing executed and delivered by such Credit Party and the Loan Parties or any such affiliate.</w:t>
      </w:r>
    </w:p>
    <w:p>
      <w:pPr>
        <w:spacing w:after="0" w:line="158"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22"/>
          <w:szCs w:val="22"/>
          <w:color w:val="auto"/>
        </w:rPr>
        <w:t>10.14</w:t>
      </w:r>
      <w:r>
        <w:rPr>
          <w:sz w:val="20"/>
          <w:szCs w:val="20"/>
          <w:color w:val="auto"/>
        </w:rPr>
        <w:tab/>
      </w:r>
      <w:r>
        <w:rPr>
          <w:rFonts w:ascii="Times New Roman" w:cs="Times New Roman" w:eastAsia="Times New Roman" w:hAnsi="Times New Roman"/>
          <w:sz w:val="21"/>
          <w:szCs w:val="21"/>
          <w:u w:val="single" w:color="auto"/>
          <w:color w:val="auto"/>
        </w:rPr>
        <w:t>Releases of Liens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80" w:right="199" w:firstLine="1300"/>
        <w:spacing w:after="0" w:line="235" w:lineRule="auto"/>
        <w:tabs>
          <w:tab w:leader="none" w:pos="212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to take any action requested by the Borrower having the effect of releasing any Collateral (i) to the extent necessary to permit consummation of any transaction not prohibited by any Loan Document or that has been consented to in 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(ii) under the circumstances described in paragraphs (b) and (c) below.</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3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all Obligations have been paid in full (other than contingent indemnification obligations that are not yet due and payable) and the Revolving Commitments have been terminated, the Collateral shall automatically be released from the Liens created by the Security Documents to the extent securing the Obligations, and the Security Documents and all obligations (other than those expressly stated to survive such termination) of the Administrative Agent and each Loan Party under the Security Documents shall terminate as to the Obligations, all without delivery of any instrument or performance of any act by any Person. At the request and sole expense of the Borrower following any such termination, the Administrative Agent shall deliver to the Borrower any Collateral held by the Administrative Agent under the Security Documents, and execute and deliver to the Borrower such documents as the Borrower shall reasonably request to evidence such termination.</w:t>
      </w:r>
    </w:p>
    <w:p>
      <w:pPr>
        <w:spacing w:after="0" w:line="187"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12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Collateral shall be sold, transferred or otherwise disposed of by the Borrower in a transaction permitted by the Loan Documents, then the Administrative Agent, at the request and sole expense of the Borrower, shall execute and deliver to the Borrower all releases or other documents reasonably necessary for the release of the Liens created by the Security Documents on such Collateral to the extent securing the Obligations.</w:t>
      </w:r>
    </w:p>
    <w:p>
      <w:pPr>
        <w:spacing w:after="0" w:line="177" w:lineRule="exact"/>
        <w:rPr>
          <w:sz w:val="20"/>
          <w:szCs w:val="20"/>
          <w:color w:val="auto"/>
        </w:rPr>
      </w:pPr>
    </w:p>
    <w:p>
      <w:pPr>
        <w:ind w:left="18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10.15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of the Administrative Agent and each Lender agrees to keep confidential all Information (as defined below); provided that nothing herein shall prevent the Administrative Agent or any Lender from disclosing any such information (a) to the Administrative Agent, any Lender or any affiliate thereof,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or (j) if agreed by the Borrower in its sole discretion, to any other Person.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4" w:name="page275"/>
    <w:bookmarkEnd w:id="274"/>
    <w:p>
      <w:pPr>
        <w:ind w:left="180" w:right="279"/>
        <w:spacing w:after="0" w:line="234" w:lineRule="auto"/>
        <w:rPr>
          <w:sz w:val="20"/>
          <w:szCs w:val="20"/>
          <w:color w:val="auto"/>
        </w:rPr>
      </w:pPr>
      <w:r>
        <w:rPr>
          <w:rFonts w:ascii="Times New Roman" w:cs="Times New Roman" w:eastAsia="Times New Roman" w:hAnsi="Times New Roman"/>
          <w:sz w:val="22"/>
          <w:szCs w:val="22"/>
          <w:color w:val="auto"/>
        </w:rPr>
        <w:t xml:space="preserve">information received from the Borrower relating to the Loan Parties or their businesses,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shall be considered to have complied with its obligation to do so if such Person has exercised the same degree of care to maintain the confidentiality of such Information as such Person would accord its own confidential information.</w:t>
      </w:r>
    </w:p>
    <w:p>
      <w:pPr>
        <w:spacing w:after="0" w:line="179"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1"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4" w:lineRule="exact"/>
        <w:rPr>
          <w:sz w:val="20"/>
          <w:szCs w:val="20"/>
          <w:color w:val="auto"/>
        </w:rPr>
      </w:pPr>
    </w:p>
    <w:p>
      <w:pPr>
        <w:ind w:left="180" w:right="83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10.16 </w:t>
      </w:r>
      <w:r>
        <w:rPr>
          <w:rFonts w:ascii="Times New Roman" w:cs="Times New Roman" w:eastAsia="Times New Roman" w:hAnsi="Times New Roman"/>
          <w:sz w:val="22"/>
          <w:szCs w:val="22"/>
          <w:b w:val="1"/>
          <w:bCs w:val="1"/>
          <w:u w:val="single" w:color="auto"/>
          <w:color w:val="auto"/>
        </w:rPr>
        <w:t>WAIVERS OF JURY TRIAL</w:t>
      </w:r>
      <w:r>
        <w:rPr>
          <w:rFonts w:ascii="Times New Roman" w:cs="Times New Roman" w:eastAsia="Times New Roman" w:hAnsi="Times New Roman"/>
          <w:sz w:val="22"/>
          <w:szCs w:val="22"/>
          <w:b w:val="1"/>
          <w:bCs w:val="1"/>
          <w:color w:val="auto"/>
        </w:rPr>
        <w:t>. THE BORROWER,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ADMINISTRATIVE AGENT AND THE LENDERS HEREBY IRREVOCABLY AND UNCONDITIONALLY WAIVE TRIAL BY JURY IN ANY LEGAL ACTION OR PROCEEDING RELATING TO THIS AGREEMENT OR ANY OTHER LOAN DOCUMENT AND FOR ANY COUNTERCLAIM THEREIN.</w:t>
      </w:r>
    </w:p>
    <w:p>
      <w:pPr>
        <w:spacing w:after="0" w:line="181" w:lineRule="exact"/>
        <w:rPr>
          <w:sz w:val="20"/>
          <w:szCs w:val="20"/>
          <w:color w:val="auto"/>
        </w:rPr>
      </w:pPr>
    </w:p>
    <w:p>
      <w:pPr>
        <w:ind w:left="180" w:right="479" w:firstLine="648"/>
        <w:spacing w:after="0" w:line="262" w:lineRule="exact"/>
        <w:rPr>
          <w:sz w:val="20"/>
          <w:szCs w:val="20"/>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hereby notifies the Borrower that pursuant to the requirements of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(signed into law October 26,</w:t>
      </w:r>
    </w:p>
    <w:p>
      <w:pPr>
        <w:spacing w:after="0" w:line="1" w:lineRule="exact"/>
        <w:rPr>
          <w:sz w:val="20"/>
          <w:szCs w:val="20"/>
          <w:color w:val="auto"/>
        </w:rPr>
      </w:pPr>
    </w:p>
    <w:p>
      <w:pPr>
        <w:ind w:left="180" w:right="199"/>
        <w:spacing w:after="0" w:line="232" w:lineRule="auto"/>
        <w:rPr>
          <w:sz w:val="20"/>
          <w:szCs w:val="20"/>
          <w:color w:val="auto"/>
        </w:rPr>
      </w:pPr>
      <w:r>
        <w:rPr>
          <w:rFonts w:ascii="Times New Roman" w:cs="Times New Roman" w:eastAsia="Times New Roman" w:hAnsi="Times New Roman"/>
          <w:sz w:val="22"/>
          <w:szCs w:val="22"/>
          <w:color w:val="auto"/>
        </w:rPr>
        <w:t>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the Borrower, which information includes the name, address, tax identification number and other information regarding the Borrower that will allow each of the Lenders to identify the Borrower in accordance with the Patriot Act. This notice is given in accordance with the requirements of the Patriot Act and is effective as to each Lender. The Borrower shall provide (a) all documentation and information that each Lender reasonably requests in order to satisfy such Lender’s obligations under the Patriot Act and (b) all documentation and information required by bank regulatory authorities under applicable “know your customer” rules and regulations.</w:t>
      </w:r>
    </w:p>
    <w:p>
      <w:pPr>
        <w:spacing w:after="0" w:line="180" w:lineRule="exact"/>
        <w:rPr>
          <w:sz w:val="20"/>
          <w:szCs w:val="20"/>
          <w:color w:val="auto"/>
        </w:rPr>
      </w:pPr>
    </w:p>
    <w:p>
      <w:pPr>
        <w:ind w:left="18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10.18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Each Lender hereby (a) acknowledges that a copy of the Intercreditor Agreement was delivered, or made available, to such Lender, (b) approves the Intercreditor Agreement, (c) agrees that it will be bound by, and will take no actions contrary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5" w:name="page276"/>
    <w:bookmarkEnd w:id="275"/>
    <w:p>
      <w:pPr>
        <w:ind w:left="180" w:right="219"/>
        <w:spacing w:after="0" w:line="253" w:lineRule="auto"/>
        <w:rPr>
          <w:sz w:val="20"/>
          <w:szCs w:val="20"/>
          <w:color w:val="auto"/>
        </w:rPr>
      </w:pPr>
      <w:r>
        <w:rPr>
          <w:rFonts w:ascii="Times New Roman" w:cs="Times New Roman" w:eastAsia="Times New Roman" w:hAnsi="Times New Roman"/>
          <w:sz w:val="21"/>
          <w:szCs w:val="21"/>
          <w:color w:val="auto"/>
        </w:rPr>
        <w:t>the provisions of the Intercreditor Agreement, (d) authorizes and instructs the Administrative Agent to enter into the Intercreditor Agreement as Administrative Agent on behalf of such Lender and</w:t>
      </w:r>
    </w:p>
    <w:p>
      <w:pPr>
        <w:spacing w:after="0" w:line="1" w:lineRule="exact"/>
        <w:rPr>
          <w:sz w:val="20"/>
          <w:szCs w:val="20"/>
          <w:color w:val="auto"/>
        </w:rPr>
      </w:pPr>
    </w:p>
    <w:p>
      <w:pPr>
        <w:ind w:left="180" w:right="639" w:firstLine="4"/>
        <w:spacing w:after="0" w:line="235" w:lineRule="auto"/>
        <w:tabs>
          <w:tab w:leader="none" w:pos="47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upon becoming a party hereto, such Lender is deemed to have made the representations and warranties set forth in Section 2.2(a) of the Intercreditor Agreement for the benefit of the other parties thereto.</w:t>
      </w:r>
    </w:p>
    <w:p>
      <w:pPr>
        <w:spacing w:after="0" w:line="178" w:lineRule="exact"/>
        <w:rPr>
          <w:sz w:val="20"/>
          <w:szCs w:val="20"/>
          <w:color w:val="auto"/>
        </w:rPr>
      </w:pPr>
    </w:p>
    <w:p>
      <w:pPr>
        <w:ind w:left="18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10.19 </w:t>
      </w:r>
      <w:r>
        <w:rPr>
          <w:rFonts w:ascii="Times New Roman" w:cs="Times New Roman" w:eastAsia="Times New Roman" w:hAnsi="Times New Roman"/>
          <w:sz w:val="21"/>
          <w:szCs w:val="21"/>
          <w:u w:val="single" w:color="auto"/>
          <w:color w:val="auto"/>
        </w:rPr>
        <w:t>Acknowledgment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-36195</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jc w:val="both"/>
        <w:ind w:left="180" w:right="199" w:firstLine="1300"/>
        <w:spacing w:after="0" w:line="232" w:lineRule="auto"/>
        <w:tabs>
          <w:tab w:leader="none" w:pos="212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9"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 the following terms have the following</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left="840" w:right="39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840" w:right="299"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382.2(b).</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6" w:name="page277"/>
    <w:bookmarkEnd w:id="276"/>
    <w:p>
      <w:pPr>
        <w:ind w:left="840" w:right="27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ind w:left="840" w:right="45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80" w:right="3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10.20 </w:t>
      </w:r>
      <w:r>
        <w:rPr>
          <w:rFonts w:ascii="Times New Roman" w:cs="Times New Roman" w:eastAsia="Times New Roman" w:hAnsi="Times New Roman"/>
          <w:sz w:val="21"/>
          <w:szCs w:val="21"/>
          <w:u w:val="single" w:color="auto"/>
          <w:color w:val="auto"/>
        </w:rPr>
        <w:t>Acknowledgment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jc w:val="both"/>
        <w:ind w:left="180" w:right="199" w:firstLine="1300"/>
        <w:spacing w:after="0" w:line="244" w:lineRule="auto"/>
        <w:tabs>
          <w:tab w:leader="none" w:pos="212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2"/>
          <w:szCs w:val="22"/>
          <w:color w:val="auto"/>
        </w:rPr>
      </w:pPr>
    </w:p>
    <w:p>
      <w:pPr>
        <w:ind w:left="2140" w:hanging="660"/>
        <w:spacing w:after="0"/>
        <w:tabs>
          <w:tab w:leader="none" w:pos="214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2800" w:hanging="672"/>
        <w:spacing w:after="0"/>
        <w:tabs>
          <w:tab w:leader="none" w:pos="280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840" w:right="279" w:firstLine="1288"/>
        <w:spacing w:after="0" w:line="251" w:lineRule="auto"/>
        <w:tabs>
          <w:tab w:leader="none" w:pos="2832"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8" w:lineRule="exact"/>
        <w:rPr>
          <w:rFonts w:ascii="Times New Roman" w:cs="Times New Roman" w:eastAsia="Times New Roman" w:hAnsi="Times New Roman"/>
          <w:sz w:val="21"/>
          <w:szCs w:val="21"/>
          <w:color w:val="auto"/>
        </w:rPr>
      </w:pPr>
    </w:p>
    <w:p>
      <w:pPr>
        <w:ind w:left="840" w:right="259" w:firstLine="1288"/>
        <w:spacing w:after="0" w:line="282" w:lineRule="auto"/>
        <w:tabs>
          <w:tab w:leader="none" w:pos="2851"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7" w:name="page278"/>
    <w:bookmarkEnd w:id="277"/>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proper and duly authorized officers as of the day and year first above written.</w:t>
      </w:r>
    </w:p>
    <w:p>
      <w:pPr>
        <w:spacing w:after="0" w:line="17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 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69215</wp:posOffset>
            </wp:positionV>
            <wp:extent cx="5528945" cy="50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8" w:name="page279"/>
    <w:bookmarkEnd w:id="278"/>
    <w:p>
      <w:pPr>
        <w:ind w:left="4040"/>
        <w:spacing w:after="0"/>
        <w:rPr>
          <w:sz w:val="20"/>
          <w:szCs w:val="20"/>
          <w:color w:val="auto"/>
        </w:rPr>
      </w:pPr>
      <w:r>
        <w:rPr>
          <w:rFonts w:ascii="Times New Roman" w:cs="Times New Roman" w:eastAsia="Times New Roman" w:hAnsi="Times New Roman"/>
          <w:sz w:val="22"/>
          <w:szCs w:val="22"/>
          <w:color w:val="auto"/>
        </w:rPr>
        <w:t>PNC BANK, NATIONAL ASSOCIATION, as</w:t>
      </w:r>
    </w:p>
    <w:p>
      <w:pPr>
        <w:spacing w:after="0" w:line="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Administrative Agent, Swing Line Lender and as a</w:t>
      </w:r>
    </w:p>
    <w:p>
      <w:pPr>
        <w:spacing w:after="0" w:line="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2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PNG Companies LLC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76835</wp:posOffset>
            </wp:positionV>
            <wp:extent cx="5528945" cy="51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79" w:name="page280"/>
    <w:bookmarkEnd w:id="279"/>
    <w:tbl>
      <w:tblPr>
        <w:tblLayout w:type="fixed"/>
        <w:tblInd w:w="190" w:type="dxa"/>
        <w:tblCellMar>
          <w:top w:w="0" w:type="dxa"/>
          <w:left w:w="0" w:type="dxa"/>
          <w:bottom w:w="0" w:type="dxa"/>
          <w:right w:w="0" w:type="dxa"/>
        </w:tblCellMar>
      </w:tblPr>
      <w:tr>
        <w:trPr>
          <w:trHeight w:val="253"/>
        </w:trPr>
        <w:tc>
          <w:tcPr>
            <w:tcW w:w="2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5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Schedule 1.1A</w:t>
            </w:r>
          </w:p>
        </w:tc>
        <w:tc>
          <w:tcPr>
            <w:tcW w:w="0" w:type="dxa"/>
            <w:vAlign w:val="bottom"/>
          </w:tcPr>
          <w:p>
            <w:pPr>
              <w:spacing w:after="0"/>
              <w:rPr>
                <w:sz w:val="1"/>
                <w:szCs w:val="1"/>
                <w:color w:val="auto"/>
              </w:rPr>
            </w:pPr>
          </w:p>
        </w:tc>
      </w:tr>
      <w:tr>
        <w:trPr>
          <w:trHeight w:val="282"/>
        </w:trPr>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to Credit Agreement</w:t>
            </w:r>
          </w:p>
        </w:tc>
        <w:tc>
          <w:tcPr>
            <w:tcW w:w="0" w:type="dxa"/>
            <w:vAlign w:val="bottom"/>
          </w:tcPr>
          <w:p>
            <w:pPr>
              <w:spacing w:after="0"/>
              <w:rPr>
                <w:sz w:val="1"/>
                <w:szCs w:val="1"/>
                <w:color w:val="auto"/>
              </w:rPr>
            </w:pPr>
          </w:p>
        </w:tc>
      </w:tr>
      <w:tr>
        <w:trPr>
          <w:trHeight w:val="407"/>
        </w:trPr>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Revolving Commitments</w:t>
            </w: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tcBorders>
          </w:tcPr>
          <w:p>
            <w:pPr>
              <w:spacing w:after="0"/>
              <w:rPr>
                <w:sz w:val="17"/>
                <w:szCs w:val="17"/>
                <w:color w:val="auto"/>
              </w:rPr>
            </w:pPr>
          </w:p>
        </w:tc>
        <w:tc>
          <w:tcPr>
            <w:tcW w:w="36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Name of Lender</w:t>
            </w:r>
          </w:p>
        </w:tc>
        <w:tc>
          <w:tcPr>
            <w:tcW w:w="340" w:type="dxa"/>
            <w:vAlign w:val="bottom"/>
          </w:tcPr>
          <w:p>
            <w:pPr>
              <w:spacing w:after="0"/>
              <w:rPr>
                <w:sz w:val="17"/>
                <w:szCs w:val="17"/>
                <w:color w:val="auto"/>
              </w:rPr>
            </w:pPr>
          </w:p>
        </w:tc>
        <w:tc>
          <w:tcPr>
            <w:tcW w:w="2480" w:type="dxa"/>
            <w:vAlign w:val="bottom"/>
            <w:tcBorders>
              <w:right w:val="single" w:sz="8" w:color="auto"/>
            </w:tcBorders>
            <w:gridSpan w:val="2"/>
          </w:tcPr>
          <w:p>
            <w:pPr>
              <w:jc w:val="right"/>
              <w:ind w:right="380"/>
              <w:spacing w:after="0" w:line="196" w:lineRule="exact"/>
              <w:rPr>
                <w:sz w:val="20"/>
                <w:szCs w:val="20"/>
                <w:color w:val="auto"/>
              </w:rPr>
            </w:pPr>
            <w:r>
              <w:rPr>
                <w:rFonts w:ascii="Times New Roman" w:cs="Times New Roman" w:eastAsia="Times New Roman" w:hAnsi="Times New Roman"/>
                <w:sz w:val="22"/>
                <w:szCs w:val="22"/>
                <w:color w:val="auto"/>
                <w:w w:val="97"/>
              </w:rPr>
              <w:t>Revolving Commitment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PNC Bank, National Association</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$150,000,000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The Huntington National Bank</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$75,000,000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left w:val="single" w:sz="8" w:color="auto"/>
              <w:bottom w:val="single" w:sz="8" w:color="auto"/>
              <w:right w:val="single" w:sz="8" w:color="auto"/>
            </w:tcBorders>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rPr>
              <w:t>Citizens Bank, N.A.</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$75,000,000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ind w:left="300"/>
              <w:spacing w:after="0" w:line="237" w:lineRule="exact"/>
              <w:rPr>
                <w:sz w:val="20"/>
                <w:szCs w:val="20"/>
                <w:color w:val="auto"/>
              </w:rPr>
            </w:pPr>
            <w:r>
              <w:rPr>
                <w:rFonts w:ascii="Times New Roman" w:cs="Times New Roman" w:eastAsia="Times New Roman" w:hAnsi="Times New Roman"/>
                <w:sz w:val="22"/>
                <w:szCs w:val="22"/>
                <w:b w:val="1"/>
                <w:bCs w:val="1"/>
                <w:color w:val="auto"/>
              </w:rPr>
              <w:t>Total:</w:t>
            </w:r>
          </w:p>
        </w:tc>
        <w:tc>
          <w:tcPr>
            <w:tcW w:w="2820" w:type="dxa"/>
            <w:vAlign w:val="bottom"/>
            <w:tcBorders>
              <w:bottom w:val="single" w:sz="8" w:color="auto"/>
              <w:right w:val="single" w:sz="8" w:color="auto"/>
            </w:tcBorders>
            <w:gridSpan w:val="3"/>
          </w:tcPr>
          <w:p>
            <w:pPr>
              <w:jc w:val="right"/>
              <w:ind w:right="80"/>
              <w:spacing w:after="0" w:line="237" w:lineRule="exact"/>
              <w:rPr>
                <w:sz w:val="20"/>
                <w:szCs w:val="20"/>
                <w:color w:val="auto"/>
              </w:rPr>
            </w:pPr>
            <w:r>
              <w:rPr>
                <w:rFonts w:ascii="Times New Roman" w:cs="Times New Roman" w:eastAsia="Times New Roman" w:hAnsi="Times New Roman"/>
                <w:sz w:val="22"/>
                <w:szCs w:val="22"/>
                <w:b w:val="1"/>
                <w:bCs w:val="1"/>
                <w:color w:val="auto"/>
              </w:rPr>
              <w:t>$300,000,000.00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280" w:name="page281"/>
    <w:bookmarkEnd w:id="280"/>
    <w:p>
      <w:pPr>
        <w:ind w:left="7700"/>
        <w:spacing w:after="0"/>
        <w:rPr>
          <w:sz w:val="20"/>
          <w:szCs w:val="20"/>
          <w:color w:val="auto"/>
        </w:rPr>
      </w:pPr>
      <w:r>
        <w:rPr>
          <w:rFonts w:ascii="Times New Roman" w:cs="Times New Roman" w:eastAsia="Times New Roman" w:hAnsi="Times New Roman"/>
          <w:sz w:val="21"/>
          <w:szCs w:val="21"/>
          <w:color w:val="auto"/>
        </w:rPr>
        <w:t>Schedule 4.4</w:t>
      </w:r>
    </w:p>
    <w:p>
      <w:pPr>
        <w:spacing w:after="0" w:line="2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Consents, Authorizations, Filings and Notices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1" w:name="page282"/>
    <w:bookmarkEnd w:id="281"/>
    <w:tbl>
      <w:tblPr>
        <w:tblLayout w:type="fixed"/>
        <w:tblInd w:w="19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Schedule 4.15</w:t>
            </w:r>
          </w:p>
        </w:tc>
      </w:tr>
      <w:tr>
        <w:trPr>
          <w:trHeight w:val="282"/>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to Credit Agreement</w:t>
            </w:r>
          </w:p>
        </w:tc>
      </w:tr>
      <w:tr>
        <w:trPr>
          <w:trHeight w:val="407"/>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Subsidiaries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40" w:type="dxa"/>
            <w:vAlign w:val="bottom"/>
            <w:tcBorders>
              <w:left w:val="single" w:sz="8" w:color="auto"/>
            </w:tcBorders>
            <w:shd w:val="clear" w:color="auto" w:fill="DBE5F1"/>
          </w:tcPr>
          <w:p>
            <w:pPr>
              <w:spacing w:after="0"/>
              <w:rPr>
                <w:sz w:val="17"/>
                <w:szCs w:val="17"/>
                <w:color w:val="auto"/>
              </w:rPr>
            </w:pPr>
          </w:p>
        </w:tc>
        <w:tc>
          <w:tcPr>
            <w:tcW w:w="320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620" w:type="dxa"/>
            <w:vAlign w:val="bottom"/>
            <w:tcBorders>
              <w:right w:val="single" w:sz="8" w:color="auto"/>
            </w:tcBorders>
            <w:shd w:val="clear" w:color="auto" w:fill="DBE5F1"/>
          </w:tcPr>
          <w:p>
            <w:pPr>
              <w:spacing w:after="0"/>
              <w:rPr>
                <w:sz w:val="17"/>
                <w:szCs w:val="17"/>
                <w:color w:val="auto"/>
              </w:rPr>
            </w:pPr>
          </w:p>
        </w:tc>
        <w:tc>
          <w:tcPr>
            <w:tcW w:w="2120" w:type="dxa"/>
            <w:vAlign w:val="bottom"/>
            <w:tcBorders>
              <w:right w:val="single" w:sz="8" w:color="auto"/>
            </w:tcBorders>
            <w:gridSpan w:val="2"/>
            <w:shd w:val="clear" w:color="auto" w:fill="DBE5F1"/>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2120" w:type="dxa"/>
            <w:vAlign w:val="bottom"/>
            <w:tcBorders>
              <w:right w:val="single" w:sz="8" w:color="auto"/>
            </w:tcBorders>
            <w:shd w:val="clear" w:color="auto" w:fill="DBE5F1"/>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8"/>
              </w:rPr>
              <w:t>Significant</w:t>
            </w:r>
          </w:p>
        </w:tc>
        <w:tc>
          <w:tcPr>
            <w:tcW w:w="20" w:type="dxa"/>
            <w:vAlign w:val="bottom"/>
          </w:tcPr>
          <w:p>
            <w:pPr>
              <w:spacing w:after="0"/>
              <w:rPr>
                <w:sz w:val="17"/>
                <w:szCs w:val="17"/>
                <w:color w:val="auto"/>
              </w:rPr>
            </w:pPr>
          </w:p>
        </w:tc>
      </w:tr>
      <w:tr>
        <w:trPr>
          <w:trHeight w:val="274"/>
        </w:trPr>
        <w:tc>
          <w:tcPr>
            <w:tcW w:w="540" w:type="dxa"/>
            <w:vAlign w:val="bottom"/>
            <w:tcBorders>
              <w:left w:val="single" w:sz="8" w:color="auto"/>
              <w:bottom w:val="single" w:sz="8" w:color="auto"/>
            </w:tcBorders>
            <w:shd w:val="clear" w:color="auto" w:fill="DBE5F1"/>
          </w:tcPr>
          <w:p>
            <w:pPr>
              <w:spacing w:after="0"/>
              <w:rPr>
                <w:sz w:val="23"/>
                <w:szCs w:val="23"/>
                <w:color w:val="auto"/>
              </w:rPr>
            </w:pPr>
          </w:p>
        </w:tc>
        <w:tc>
          <w:tcPr>
            <w:tcW w:w="3200" w:type="dxa"/>
            <w:vAlign w:val="bottom"/>
            <w:tcBorders>
              <w:bottom w:val="single" w:sz="8" w:color="auto"/>
            </w:tcBorders>
            <w:shd w:val="clear" w:color="auto" w:fill="DBE5F1"/>
          </w:tcPr>
          <w:p>
            <w:pPr>
              <w:ind w:left="920"/>
              <w:spacing w:after="0"/>
              <w:rPr>
                <w:sz w:val="20"/>
                <w:szCs w:val="20"/>
                <w:color w:val="auto"/>
              </w:rPr>
            </w:pPr>
            <w:r>
              <w:rPr>
                <w:rFonts w:ascii="Times New Roman" w:cs="Times New Roman" w:eastAsia="Times New Roman" w:hAnsi="Times New Roman"/>
                <w:sz w:val="22"/>
                <w:szCs w:val="22"/>
                <w:b w:val="1"/>
                <w:bCs w:val="1"/>
                <w:color w:val="auto"/>
              </w:rPr>
              <w:t>Company Name</w:t>
            </w:r>
          </w:p>
        </w:tc>
        <w:tc>
          <w:tcPr>
            <w:tcW w:w="60" w:type="dxa"/>
            <w:vAlign w:val="bottom"/>
            <w:tcBorders>
              <w:bottom w:val="single" w:sz="8" w:color="auto"/>
            </w:tcBorders>
            <w:shd w:val="clear" w:color="auto" w:fill="DBE5F1"/>
          </w:tcPr>
          <w:p>
            <w:pPr>
              <w:spacing w:after="0"/>
              <w:rPr>
                <w:sz w:val="23"/>
                <w:szCs w:val="23"/>
                <w:color w:val="auto"/>
              </w:rPr>
            </w:pPr>
          </w:p>
        </w:tc>
        <w:tc>
          <w:tcPr>
            <w:tcW w:w="620" w:type="dxa"/>
            <w:vAlign w:val="bottom"/>
            <w:tcBorders>
              <w:bottom w:val="single" w:sz="8" w:color="auto"/>
              <w:right w:val="single" w:sz="8" w:color="auto"/>
            </w:tcBorders>
            <w:shd w:val="clear" w:color="auto" w:fill="DBE5F1"/>
          </w:tcPr>
          <w:p>
            <w:pPr>
              <w:spacing w:after="0"/>
              <w:rPr>
                <w:sz w:val="23"/>
                <w:szCs w:val="23"/>
                <w:color w:val="auto"/>
              </w:rPr>
            </w:pPr>
          </w:p>
        </w:tc>
        <w:tc>
          <w:tcPr>
            <w:tcW w:w="440" w:type="dxa"/>
            <w:vAlign w:val="bottom"/>
            <w:tcBorders>
              <w:bottom w:val="single" w:sz="8" w:color="auto"/>
            </w:tcBorders>
            <w:shd w:val="clear" w:color="auto" w:fill="DBE5F1"/>
          </w:tcPr>
          <w:p>
            <w:pPr>
              <w:spacing w:after="0"/>
              <w:rPr>
                <w:sz w:val="23"/>
                <w:szCs w:val="23"/>
                <w:color w:val="auto"/>
              </w:rPr>
            </w:pPr>
          </w:p>
        </w:tc>
        <w:tc>
          <w:tcPr>
            <w:tcW w:w="1680" w:type="dxa"/>
            <w:vAlign w:val="bottom"/>
            <w:tcBorders>
              <w:bottom w:val="single" w:sz="8" w:color="auto"/>
              <w:right w:val="single" w:sz="8" w:color="auto"/>
            </w:tcBorders>
            <w:shd w:val="clear" w:color="auto" w:fill="DBE5F1"/>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21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Subsidiary</w:t>
            </w:r>
          </w:p>
        </w:tc>
        <w:tc>
          <w:tcPr>
            <w:tcW w:w="20" w:type="dxa"/>
            <w:vAlign w:val="bottom"/>
          </w:tcPr>
          <w:p>
            <w:pPr>
              <w:spacing w:after="0"/>
              <w:rPr>
                <w:sz w:val="23"/>
                <w:szCs w:val="23"/>
                <w:color w:val="auto"/>
              </w:rPr>
            </w:pPr>
          </w:p>
        </w:tc>
      </w:tr>
      <w:tr>
        <w:trPr>
          <w:trHeight w:val="237"/>
        </w:trPr>
        <w:tc>
          <w:tcPr>
            <w:tcW w:w="3740" w:type="dxa"/>
            <w:vAlign w:val="bottom"/>
            <w:tcBorders>
              <w:left w:val="single" w:sz="8" w:color="auto"/>
              <w:bottom w:val="single" w:sz="8" w:color="auto"/>
            </w:tcBorders>
            <w:gridSpan w:val="2"/>
          </w:tcPr>
          <w:p>
            <w:pPr>
              <w:ind w:left="360"/>
              <w:spacing w:after="0" w:line="237" w:lineRule="exact"/>
              <w:rPr>
                <w:sz w:val="20"/>
                <w:szCs w:val="20"/>
                <w:color w:val="auto"/>
              </w:rPr>
            </w:pPr>
            <w:r>
              <w:rPr>
                <w:rFonts w:ascii="Times New Roman" w:cs="Times New Roman" w:eastAsia="Times New Roman" w:hAnsi="Times New Roman"/>
                <w:sz w:val="22"/>
                <w:szCs w:val="22"/>
                <w:color w:val="auto"/>
              </w:rPr>
              <w:t>1. Peoples Homeworks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Times New Roman" w:cs="Times New Roman" w:eastAsia="Times New Roman" w:hAnsi="Times New Roman"/>
                <w:sz w:val="22"/>
                <w:szCs w:val="22"/>
                <w:color w:val="auto"/>
                <w:w w:val="97"/>
              </w:rPr>
              <w:t>Delaware</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3740" w:type="dxa"/>
            <w:vAlign w:val="bottom"/>
            <w:tcBorders>
              <w:left w:val="single" w:sz="8" w:color="auto"/>
              <w:bottom w:val="single" w:sz="8" w:color="auto"/>
            </w:tcBorders>
            <w:gridSpan w:val="2"/>
          </w:tcPr>
          <w:p>
            <w:pPr>
              <w:ind w:left="360"/>
              <w:spacing w:after="0" w:line="237" w:lineRule="exact"/>
              <w:rPr>
                <w:sz w:val="20"/>
                <w:szCs w:val="20"/>
                <w:color w:val="auto"/>
              </w:rPr>
            </w:pPr>
            <w:r>
              <w:rPr>
                <w:rFonts w:ascii="Times New Roman" w:cs="Times New Roman" w:eastAsia="Times New Roman" w:hAnsi="Times New Roman"/>
                <w:sz w:val="22"/>
                <w:szCs w:val="22"/>
                <w:color w:val="auto"/>
              </w:rPr>
              <w:t>2. PNG Gathering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Times New Roman" w:cs="Times New Roman" w:eastAsia="Times New Roman" w:hAnsi="Times New Roman"/>
                <w:sz w:val="22"/>
                <w:szCs w:val="22"/>
                <w:color w:val="auto"/>
                <w:w w:val="97"/>
              </w:rPr>
              <w:t>Delaware</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540" w:type="dxa"/>
            <w:vAlign w:val="bottom"/>
            <w:tcBorders>
              <w:left w:val="single" w:sz="8" w:color="auto"/>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w w:val="96"/>
              </w:rPr>
              <w:t>3.</w:t>
            </w:r>
          </w:p>
        </w:tc>
        <w:tc>
          <w:tcPr>
            <w:tcW w:w="3200" w:type="dxa"/>
            <w:vAlign w:val="bottom"/>
            <w:tcBorders>
              <w:bottom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w w:val="98"/>
              </w:rPr>
              <w:t>Peoples Natural Gas Company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Pennsylvania</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3"/>
              </w:rPr>
              <w:t>Yes</w:t>
            </w:r>
          </w:p>
        </w:tc>
        <w:tc>
          <w:tcPr>
            <w:tcW w:w="20" w:type="dxa"/>
            <w:vAlign w:val="bottom"/>
          </w:tcPr>
          <w:p>
            <w:pPr>
              <w:spacing w:after="0"/>
              <w:rPr>
                <w:sz w:val="20"/>
                <w:szCs w:val="20"/>
                <w:color w:val="auto"/>
              </w:rPr>
            </w:pPr>
          </w:p>
        </w:tc>
      </w:tr>
      <w:tr>
        <w:trPr>
          <w:trHeight w:val="236"/>
        </w:trPr>
        <w:tc>
          <w:tcPr>
            <w:tcW w:w="3740" w:type="dxa"/>
            <w:vAlign w:val="bottom"/>
            <w:tcBorders>
              <w:left w:val="single" w:sz="8" w:color="auto"/>
              <w:bottom w:val="single" w:sz="8" w:color="auto"/>
            </w:tcBorders>
            <w:gridSpan w:val="2"/>
          </w:tcPr>
          <w:p>
            <w:pPr>
              <w:ind w:left="360"/>
              <w:spacing w:after="0" w:line="237" w:lineRule="exact"/>
              <w:rPr>
                <w:sz w:val="20"/>
                <w:szCs w:val="20"/>
                <w:color w:val="auto"/>
              </w:rPr>
            </w:pPr>
            <w:r>
              <w:rPr>
                <w:rFonts w:ascii="Times New Roman" w:cs="Times New Roman" w:eastAsia="Times New Roman" w:hAnsi="Times New Roman"/>
                <w:sz w:val="22"/>
                <w:szCs w:val="22"/>
                <w:color w:val="auto"/>
              </w:rPr>
              <w:t>4. Peoples Gas KY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Kentucky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540" w:type="dxa"/>
            <w:vAlign w:val="bottom"/>
            <w:tcBorders>
              <w:left w:val="single" w:sz="8" w:color="auto"/>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w w:val="96"/>
              </w:rPr>
              <w:t>5.</w:t>
            </w:r>
          </w:p>
        </w:tc>
        <w:tc>
          <w:tcPr>
            <w:tcW w:w="3200" w:type="dxa"/>
            <w:vAlign w:val="bottom"/>
            <w:tcBorders>
              <w:bottom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Delta Natural Gas Company, Inc.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Kentucky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540" w:type="dxa"/>
            <w:vAlign w:val="bottom"/>
            <w:tcBorders>
              <w:left w:val="single" w:sz="8" w:color="auto"/>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w w:val="96"/>
              </w:rPr>
              <w:t>6.</w:t>
            </w:r>
          </w:p>
        </w:tc>
        <w:tc>
          <w:tcPr>
            <w:tcW w:w="3200" w:type="dxa"/>
            <w:vAlign w:val="bottom"/>
            <w:tcBorders>
              <w:bottom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Delta Resources,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Kentucky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540" w:type="dxa"/>
            <w:vAlign w:val="bottom"/>
            <w:tcBorders>
              <w:left w:val="single" w:sz="8" w:color="auto"/>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w w:val="96"/>
              </w:rPr>
              <w:t>7.</w:t>
            </w:r>
          </w:p>
        </w:tc>
        <w:tc>
          <w:tcPr>
            <w:tcW w:w="3200" w:type="dxa"/>
            <w:vAlign w:val="bottom"/>
            <w:tcBorders>
              <w:bottom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Delgasco,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Kentucky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r>
        <w:trPr>
          <w:trHeight w:val="237"/>
        </w:trPr>
        <w:tc>
          <w:tcPr>
            <w:tcW w:w="540" w:type="dxa"/>
            <w:vAlign w:val="bottom"/>
            <w:tcBorders>
              <w:left w:val="single" w:sz="8" w:color="auto"/>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w w:val="96"/>
              </w:rPr>
              <w:t>8.</w:t>
            </w:r>
          </w:p>
        </w:tc>
        <w:tc>
          <w:tcPr>
            <w:tcW w:w="3200" w:type="dxa"/>
            <w:vAlign w:val="bottom"/>
            <w:tcBorders>
              <w:bottom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Enpro, LLC</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ind w:right="372"/>
              <w:spacing w:after="0" w:line="237" w:lineRule="exact"/>
              <w:rPr>
                <w:sz w:val="20"/>
                <w:szCs w:val="20"/>
                <w:color w:val="auto"/>
              </w:rPr>
            </w:pPr>
            <w:r>
              <w:rPr>
                <w:rFonts w:ascii="Times New Roman" w:cs="Times New Roman" w:eastAsia="Times New Roman" w:hAnsi="Times New Roman"/>
                <w:sz w:val="22"/>
                <w:szCs w:val="22"/>
                <w:color w:val="auto"/>
                <w:w w:val="98"/>
              </w:rPr>
              <w:t>Kentucky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No</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282" w:name="page283"/>
    <w:bookmarkEnd w:id="282"/>
    <w:tbl>
      <w:tblPr>
        <w:tblLayout w:type="fixed"/>
        <w:tblInd w:w="19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Schedule 4.18</w:t>
            </w: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to Credit Agreement</w:t>
            </w:r>
          </w:p>
        </w:tc>
        <w:tc>
          <w:tcPr>
            <w:tcW w:w="0" w:type="dxa"/>
            <w:vAlign w:val="bottom"/>
          </w:tcPr>
          <w:p>
            <w:pPr>
              <w:spacing w:after="0"/>
              <w:rPr>
                <w:sz w:val="1"/>
                <w:szCs w:val="1"/>
                <w:color w:val="auto"/>
              </w:rPr>
            </w:pPr>
          </w:p>
        </w:tc>
      </w:tr>
      <w:tr>
        <w:trPr>
          <w:trHeight w:val="407"/>
        </w:trPr>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UCC Filing Jurisdictions</w:t>
            </w: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ind w:left="720"/>
              <w:spacing w:after="0" w:line="237" w:lineRule="exact"/>
              <w:rPr>
                <w:sz w:val="20"/>
                <w:szCs w:val="20"/>
                <w:color w:val="auto"/>
              </w:rPr>
            </w:pPr>
            <w:r>
              <w:rPr>
                <w:rFonts w:ascii="Times New Roman" w:cs="Times New Roman" w:eastAsia="Times New Roman" w:hAnsi="Times New Roman"/>
                <w:sz w:val="22"/>
                <w:szCs w:val="22"/>
                <w:color w:val="auto"/>
              </w:rPr>
              <w:t>Filing</w:t>
            </w:r>
          </w:p>
        </w:tc>
        <w:tc>
          <w:tcPr>
            <w:tcW w:w="1300" w:type="dxa"/>
            <w:vAlign w:val="bottom"/>
            <w:tcBorders>
              <w:bottom w:val="single" w:sz="8" w:color="auto"/>
            </w:tcBorders>
          </w:tcPr>
          <w:p>
            <w:pPr>
              <w:ind w:left="680"/>
              <w:spacing w:after="0" w:line="237" w:lineRule="exact"/>
              <w:rPr>
                <w:sz w:val="20"/>
                <w:szCs w:val="20"/>
                <w:color w:val="auto"/>
              </w:rPr>
            </w:pPr>
            <w:r>
              <w:rPr>
                <w:rFonts w:ascii="Times New Roman" w:cs="Times New Roman" w:eastAsia="Times New Roman" w:hAnsi="Times New Roman"/>
                <w:sz w:val="22"/>
                <w:szCs w:val="22"/>
                <w:color w:val="auto"/>
                <w:w w:val="98"/>
              </w:rPr>
              <w:t>Debtor</w:t>
            </w:r>
          </w:p>
        </w:tc>
        <w:tc>
          <w:tcPr>
            <w:tcW w:w="6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ind w:left="380"/>
              <w:spacing w:after="0" w:line="237" w:lineRule="exact"/>
              <w:rPr>
                <w:sz w:val="20"/>
                <w:szCs w:val="20"/>
                <w:color w:val="auto"/>
              </w:rPr>
            </w:pPr>
            <w:r>
              <w:rPr>
                <w:rFonts w:ascii="Times New Roman" w:cs="Times New Roman" w:eastAsia="Times New Roman" w:hAnsi="Times New Roman"/>
                <w:sz w:val="22"/>
                <w:szCs w:val="22"/>
                <w:color w:val="auto"/>
              </w:rPr>
              <w:t>Secured Party</w:t>
            </w:r>
          </w:p>
        </w:tc>
        <w:tc>
          <w:tcPr>
            <w:tcW w:w="274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rPr>
              <w:t>Location</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2"/>
                <w:szCs w:val="22"/>
                <w:color w:val="auto"/>
              </w:rPr>
              <w:t>UCC-1</w:t>
            </w:r>
          </w:p>
        </w:tc>
        <w:tc>
          <w:tcPr>
            <w:tcW w:w="13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Borrower</w:t>
            </w:r>
          </w:p>
        </w:tc>
        <w:tc>
          <w:tcPr>
            <w:tcW w:w="6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ind w:left="120"/>
              <w:spacing w:after="0" w:line="237" w:lineRule="exact"/>
              <w:rPr>
                <w:sz w:val="20"/>
                <w:szCs w:val="20"/>
                <w:color w:val="auto"/>
              </w:rPr>
            </w:pPr>
            <w:r>
              <w:rPr>
                <w:rFonts w:ascii="Times New Roman" w:cs="Times New Roman" w:eastAsia="Times New Roman" w:hAnsi="Times New Roman"/>
                <w:sz w:val="22"/>
                <w:szCs w:val="22"/>
                <w:color w:val="auto"/>
              </w:rPr>
              <w:t>Collateral Agent</w:t>
            </w:r>
          </w:p>
        </w:tc>
        <w:tc>
          <w:tcPr>
            <w:tcW w:w="2740" w:type="dxa"/>
            <w:vAlign w:val="bottom"/>
            <w:tcBorders>
              <w:bottom w:val="single" w:sz="8" w:color="auto"/>
              <w:right w:val="single" w:sz="8" w:color="auto"/>
            </w:tcBorders>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Delaware Secretary of State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4.18-1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283" w:name="page284"/>
    <w:bookmarkEnd w:id="283"/>
    <w:p>
      <w:pPr>
        <w:ind w:left="7700"/>
        <w:spacing w:after="0"/>
        <w:rPr>
          <w:sz w:val="20"/>
          <w:szCs w:val="20"/>
          <w:color w:val="auto"/>
        </w:rPr>
      </w:pPr>
      <w:r>
        <w:rPr>
          <w:rFonts w:ascii="Times New Roman" w:cs="Times New Roman" w:eastAsia="Times New Roman" w:hAnsi="Times New Roman"/>
          <w:sz w:val="21"/>
          <w:szCs w:val="21"/>
          <w:color w:val="auto"/>
        </w:rPr>
        <w:t>Schedule 7.2</w:t>
      </w:r>
    </w:p>
    <w:p>
      <w:pPr>
        <w:spacing w:after="0" w:line="2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Existing Liens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4" w:name="page285"/>
    <w:bookmarkEnd w:id="284"/>
    <w:p>
      <w:pPr>
        <w:jc w:val="right"/>
        <w:ind w:right="199"/>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COMPLIANCE CERTIFICATE</w:t>
      </w:r>
    </w:p>
    <w:p>
      <w:pPr>
        <w:spacing w:after="0" w:line="182" w:lineRule="exact"/>
        <w:rPr>
          <w:sz w:val="20"/>
          <w:szCs w:val="20"/>
          <w:color w:val="auto"/>
        </w:rPr>
      </w:pPr>
    </w:p>
    <w:p>
      <w:pPr>
        <w:ind w:left="180" w:right="23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Compliance Certificate is delivered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of the Credit Agreement, dated as of November 25, 2020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PNG Companies LLC, the Lenders party thereto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Unless otherwise defined herein, terms defined in the Credit Agreement and used herein shall have the meanings given to them in the Credit Agreement.</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 the undersigned, hereby certify, in my capacity as [•] [FINANCIAL OFFICER] of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Borrower and not in my individual capacity, to the Administrative Agent as follows:</w:t>
      </w:r>
    </w:p>
    <w:p>
      <w:pPr>
        <w:spacing w:after="0" w:line="182" w:lineRule="exact"/>
        <w:rPr>
          <w:sz w:val="20"/>
          <w:szCs w:val="20"/>
          <w:color w:val="auto"/>
        </w:rPr>
      </w:pPr>
    </w:p>
    <w:p>
      <w:pPr>
        <w:ind w:left="2300" w:hanging="820"/>
        <w:spacing w:after="0"/>
        <w:tabs>
          <w:tab w:leader="none" w:pos="230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a duly elected, qualified and acting Financial Officer of the Borrower.</w:t>
      </w:r>
    </w:p>
    <w:p>
      <w:pPr>
        <w:spacing w:after="0" w:line="217" w:lineRule="exact"/>
        <w:rPr>
          <w:rFonts w:ascii="Times New Roman" w:cs="Times New Roman" w:eastAsia="Times New Roman" w:hAnsi="Times New Roman"/>
          <w:sz w:val="21"/>
          <w:szCs w:val="21"/>
          <w:color w:val="auto"/>
        </w:rPr>
      </w:pPr>
    </w:p>
    <w:p>
      <w:pPr>
        <w:ind w:left="2300" w:hanging="820"/>
        <w:spacing w:after="0"/>
        <w:tabs>
          <w:tab w:leader="none" w:pos="2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and am familiar with the contents of this Compliance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Certificate.</w:t>
      </w:r>
    </w:p>
    <w:p>
      <w:pPr>
        <w:spacing w:after="0" w:line="182" w:lineRule="exact"/>
        <w:rPr>
          <w:sz w:val="20"/>
          <w:szCs w:val="20"/>
          <w:color w:val="auto"/>
        </w:rPr>
      </w:pPr>
    </w:p>
    <w:p>
      <w:pPr>
        <w:jc w:val="both"/>
        <w:ind w:left="180" w:right="199" w:firstLine="1300"/>
        <w:spacing w:after="0" w:line="234" w:lineRule="auto"/>
        <w:tabs>
          <w:tab w:leader="none" w:pos="2286"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have reviewed the terms of the Credit Agreement and the Loan Documents and have made or caused to be made under my supervision, a review in reasonable detail of the transactions and condition of the Borrower during the accounting period covered by the financial statements attached hereto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As of the date of this certificate, I have obtained no knowledge of the existence of any condition or event which constitutes a Default or Event of Default[, except as set forth below:</w:t>
      </w:r>
    </w:p>
    <w:p>
      <w:pPr>
        <w:spacing w:after="0" w:line="2"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w:t>
      </w:r>
    </w:p>
    <w:p>
      <w:pPr>
        <w:spacing w:after="0" w:line="182"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86"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Attachment 2</w:t>
      </w:r>
      <w:r>
        <w:rPr>
          <w:rFonts w:ascii="Times New Roman" w:cs="Times New Roman" w:eastAsia="Times New Roman" w:hAnsi="Times New Roman"/>
          <w:sz w:val="22"/>
          <w:szCs w:val="22"/>
          <w:color w:val="auto"/>
        </w:rPr>
        <w:t xml:space="preserve"> are the computations showing compliance with each of the financial covenants set forth in Section 7.1 of the Credit Agreement as of the last day of the accounting period covered by the Financial Statements.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5" w:name="page286"/>
    <w:bookmarkEnd w:id="285"/>
    <w:p>
      <w:pPr>
        <w:ind w:left="840"/>
        <w:spacing w:after="0"/>
        <w:rPr>
          <w:sz w:val="20"/>
          <w:szCs w:val="20"/>
          <w:color w:val="auto"/>
        </w:rPr>
      </w:pPr>
      <w:r>
        <w:rPr>
          <w:rFonts w:ascii="Times New Roman" w:cs="Times New Roman" w:eastAsia="Times New Roman" w:hAnsi="Times New Roman"/>
          <w:sz w:val="21"/>
          <w:szCs w:val="21"/>
          <w:color w:val="auto"/>
        </w:rPr>
        <w:t>IN WITNESS WHEREOF, I have executed this Certificate this ___ day of ____________,</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20__.</w:t>
      </w:r>
    </w:p>
    <w:p>
      <w:pPr>
        <w:spacing w:after="0" w:line="1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6" w:name="page287"/>
    <w:bookmarkEnd w:id="286"/>
    <w:p>
      <w:pPr>
        <w:jc w:val="right"/>
        <w:ind w:right="199"/>
        <w:spacing w:after="0"/>
        <w:rPr>
          <w:sz w:val="20"/>
          <w:szCs w:val="20"/>
          <w:color w:val="auto"/>
        </w:rPr>
      </w:pPr>
      <w:r>
        <w:rPr>
          <w:rFonts w:ascii="Times New Roman" w:cs="Times New Roman" w:eastAsia="Times New Roman" w:hAnsi="Times New Roman"/>
          <w:sz w:val="22"/>
          <w:szCs w:val="22"/>
          <w:color w:val="auto"/>
        </w:rPr>
        <w:t>Attachment 1</w:t>
      </w:r>
    </w:p>
    <w:p>
      <w:pPr>
        <w:spacing w:after="0" w:line="14"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to Compliance Certificate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[Attach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7" w:name="page288"/>
    <w:bookmarkEnd w:id="287"/>
    <w:p>
      <w:pPr>
        <w:jc w:val="right"/>
        <w:ind w:right="199"/>
        <w:spacing w:after="0"/>
        <w:rPr>
          <w:sz w:val="20"/>
          <w:szCs w:val="20"/>
          <w:color w:val="auto"/>
        </w:rPr>
      </w:pPr>
      <w:r>
        <w:rPr>
          <w:rFonts w:ascii="Times New Roman" w:cs="Times New Roman" w:eastAsia="Times New Roman" w:hAnsi="Times New Roman"/>
          <w:sz w:val="22"/>
          <w:szCs w:val="22"/>
          <w:color w:val="auto"/>
        </w:rPr>
        <w:t>Attachment 2</w:t>
      </w:r>
    </w:p>
    <w:p>
      <w:pPr>
        <w:spacing w:after="0" w:line="14"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to Compliance Certificate</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The information described herein is as of ____________, _____, and pertains to the period</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from ____________, _____ to ____________, _____.</w:t>
      </w:r>
    </w:p>
    <w:p>
      <w:pPr>
        <w:spacing w:after="0" w:line="182" w:lineRule="exact"/>
        <w:rPr>
          <w:sz w:val="20"/>
          <w:szCs w:val="20"/>
          <w:color w:val="auto"/>
        </w:rPr>
      </w:pPr>
    </w:p>
    <w:p>
      <w:pPr>
        <w:ind w:left="180" w:right="459" w:firstLine="648"/>
        <w:spacing w:after="0" w:line="258" w:lineRule="auto"/>
        <w:rPr>
          <w:sz w:val="20"/>
          <w:szCs w:val="20"/>
          <w:color w:val="auto"/>
        </w:rPr>
      </w:pPr>
      <w:r>
        <w:rPr>
          <w:rFonts w:ascii="Times New Roman" w:cs="Times New Roman" w:eastAsia="Times New Roman" w:hAnsi="Times New Roman"/>
          <w:sz w:val="22"/>
          <w:szCs w:val="22"/>
          <w:color w:val="auto"/>
        </w:rPr>
        <w:t>[Set forth each Financial Covenant Calculation as of the last day of the accounting period covered by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8" w:name="page289"/>
    <w:bookmarkEnd w:id="288"/>
    <w:p>
      <w:pPr>
        <w:jc w:val="right"/>
        <w:ind w:right="199"/>
        <w:spacing w:after="0"/>
        <w:rPr>
          <w:sz w:val="20"/>
          <w:szCs w:val="20"/>
          <w:color w:val="auto"/>
        </w:rPr>
      </w:pPr>
      <w:r>
        <w:rPr>
          <w:rFonts w:ascii="Times New Roman" w:cs="Times New Roman" w:eastAsia="Times New Roman" w:hAnsi="Times New Roman"/>
          <w:sz w:val="22"/>
          <w:szCs w:val="22"/>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CLOSING CERTIFICATE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November 25, 2020</w:t>
      </w:r>
    </w:p>
    <w:p>
      <w:pPr>
        <w:spacing w:after="0" w:line="206" w:lineRule="exact"/>
        <w:rPr>
          <w:sz w:val="20"/>
          <w:szCs w:val="20"/>
          <w:color w:val="auto"/>
        </w:rPr>
      </w:pPr>
    </w:p>
    <w:p>
      <w:pPr>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xml:space="preserve"> of the Credit Agreement, dated as of November 25, 2020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terms defined therein being used herein as therein defined), among PNG Companies LLC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thereto,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undersigned, in its capacity as [INSERT TITLE OF OFFICER] of the Borrower and not in its individual capacity, hereby certifies on behalf of the Borrower as follows:</w:t>
      </w:r>
    </w:p>
    <w:p>
      <w:pPr>
        <w:spacing w:after="0" w:line="181" w:lineRule="exact"/>
        <w:rPr>
          <w:sz w:val="20"/>
          <w:szCs w:val="20"/>
          <w:color w:val="auto"/>
        </w:rPr>
      </w:pPr>
    </w:p>
    <w:p>
      <w:pPr>
        <w:ind w:left="180" w:right="219" w:firstLine="4"/>
        <w:spacing w:after="0" w:line="248" w:lineRule="auto"/>
        <w:tabs>
          <w:tab w:leader="none" w:pos="99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 set forth in each of the Loan Documents to which it is a party are true and correct in all material respects (it being understood that the materiality qualifier shall not be applicable with respect to any clause of any representation or warranty which itself contains a materiality qualification) on and as of the date hereof with the same effect as if made on the date hereof, except for representations and warranties expressly stated to relate to a specific earlier date, in which case such representations and warranties were true and correct in all material respects (or all respects, as applicable) as of such earlier date.</w:t>
      </w:r>
    </w:p>
    <w:p>
      <w:pPr>
        <w:spacing w:after="0" w:line="170" w:lineRule="exact"/>
        <w:rPr>
          <w:rFonts w:ascii="Times New Roman" w:cs="Times New Roman" w:eastAsia="Times New Roman" w:hAnsi="Times New Roman"/>
          <w:sz w:val="21"/>
          <w:szCs w:val="21"/>
          <w:color w:val="auto"/>
        </w:rPr>
      </w:pPr>
    </w:p>
    <w:p>
      <w:pPr>
        <w:ind w:left="1000" w:hanging="816"/>
        <w:spacing w:after="0"/>
        <w:tabs>
          <w:tab w:leader="none" w:pos="10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as of the date hereof.</w:t>
      </w:r>
    </w:p>
    <w:p>
      <w:pPr>
        <w:spacing w:after="0" w:line="206" w:lineRule="exact"/>
        <w:rPr>
          <w:rFonts w:ascii="Times New Roman" w:cs="Times New Roman" w:eastAsia="Times New Roman" w:hAnsi="Times New Roman"/>
          <w:sz w:val="22"/>
          <w:szCs w:val="22"/>
          <w:color w:val="auto"/>
        </w:rPr>
      </w:pPr>
    </w:p>
    <w:p>
      <w:pPr>
        <w:ind w:left="180" w:right="279" w:firstLine="4"/>
        <w:spacing w:after="0" w:line="255" w:lineRule="auto"/>
        <w:tabs>
          <w:tab w:leader="none" w:pos="99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hereto as </w:t>
      </w:r>
      <w:r>
        <w:rPr>
          <w:rFonts w:ascii="Times New Roman" w:cs="Times New Roman" w:eastAsia="Times New Roman" w:hAnsi="Times New Roman"/>
          <w:sz w:val="21"/>
          <w:szCs w:val="21"/>
          <w:u w:val="single" w:color="auto"/>
          <w:color w:val="auto"/>
        </w:rPr>
        <w:t>Annex 1</w:t>
      </w:r>
      <w:r>
        <w:rPr>
          <w:rFonts w:ascii="Times New Roman" w:cs="Times New Roman" w:eastAsia="Times New Roman" w:hAnsi="Times New Roman"/>
          <w:sz w:val="21"/>
          <w:szCs w:val="21"/>
          <w:color w:val="auto"/>
        </w:rPr>
        <w:t xml:space="preserve"> is a true and complete copy of a Written Consent duly adopted by the Board of Directors of the Borrower on November 25, 2020; such Written Consent has not in any way been amended, modified, revoked or rescinded, has been in full force and effect since its adoption to and including the date hereof and is now in full force and effect.</w:t>
      </w:r>
    </w:p>
    <w:p>
      <w:pPr>
        <w:spacing w:after="0" w:line="161" w:lineRule="exact"/>
        <w:rPr>
          <w:rFonts w:ascii="Times New Roman" w:cs="Times New Roman" w:eastAsia="Times New Roman" w:hAnsi="Times New Roman"/>
          <w:sz w:val="21"/>
          <w:szCs w:val="21"/>
          <w:color w:val="auto"/>
        </w:rPr>
      </w:pPr>
    </w:p>
    <w:p>
      <w:pPr>
        <w:ind w:left="180" w:right="599" w:firstLine="4"/>
        <w:spacing w:after="0" w:line="282" w:lineRule="auto"/>
        <w:tabs>
          <w:tab w:leader="none" w:pos="99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hereto as </w:t>
      </w:r>
      <w:r>
        <w:rPr>
          <w:rFonts w:ascii="Times New Roman" w:cs="Times New Roman" w:eastAsia="Times New Roman" w:hAnsi="Times New Roman"/>
          <w:sz w:val="21"/>
          <w:szCs w:val="21"/>
          <w:u w:val="single" w:color="auto"/>
          <w:color w:val="auto"/>
        </w:rPr>
        <w:t>Annex 2</w:t>
      </w:r>
      <w:r>
        <w:rPr>
          <w:rFonts w:ascii="Times New Roman" w:cs="Times New Roman" w:eastAsia="Times New Roman" w:hAnsi="Times New Roman"/>
          <w:sz w:val="21"/>
          <w:szCs w:val="21"/>
          <w:color w:val="auto"/>
        </w:rPr>
        <w:t xml:space="preserve"> is a true and complete copy of the Amended and Restated Limited Liability Company Agreement of the Borrower as in effect on the date hereof.</w:t>
      </w:r>
    </w:p>
    <w:p>
      <w:pPr>
        <w:spacing w:after="0" w:line="134" w:lineRule="exact"/>
        <w:rPr>
          <w:rFonts w:ascii="Times New Roman" w:cs="Times New Roman" w:eastAsia="Times New Roman" w:hAnsi="Times New Roman"/>
          <w:sz w:val="21"/>
          <w:szCs w:val="21"/>
          <w:color w:val="auto"/>
        </w:rPr>
      </w:pPr>
    </w:p>
    <w:p>
      <w:pPr>
        <w:ind w:left="180" w:right="259" w:firstLine="4"/>
        <w:spacing w:after="0" w:line="258" w:lineRule="auto"/>
        <w:tabs>
          <w:tab w:leader="none" w:pos="99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Annex 3</w:t>
      </w:r>
      <w:r>
        <w:rPr>
          <w:rFonts w:ascii="Times New Roman" w:cs="Times New Roman" w:eastAsia="Times New Roman" w:hAnsi="Times New Roman"/>
          <w:sz w:val="22"/>
          <w:szCs w:val="22"/>
          <w:color w:val="auto"/>
        </w:rPr>
        <w:t xml:space="preserve"> is a true and complete copy of the Certificate of Formation of the Borrower as in effect on the date hereof.</w:t>
      </w:r>
    </w:p>
    <w:p>
      <w:pPr>
        <w:spacing w:after="0" w:line="158" w:lineRule="exact"/>
        <w:rPr>
          <w:rFonts w:ascii="Times New Roman" w:cs="Times New Roman" w:eastAsia="Times New Roman" w:hAnsi="Times New Roman"/>
          <w:sz w:val="22"/>
          <w:szCs w:val="22"/>
          <w:color w:val="auto"/>
        </w:rPr>
      </w:pPr>
    </w:p>
    <w:p>
      <w:pPr>
        <w:ind w:left="180" w:right="339" w:firstLine="4"/>
        <w:spacing w:after="0" w:line="235" w:lineRule="auto"/>
        <w:tabs>
          <w:tab w:leader="none" w:pos="99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Annex 4</w:t>
      </w:r>
      <w:r>
        <w:rPr>
          <w:rFonts w:ascii="Times New Roman" w:cs="Times New Roman" w:eastAsia="Times New Roman" w:hAnsi="Times New Roman"/>
          <w:sz w:val="22"/>
          <w:szCs w:val="22"/>
          <w:color w:val="auto"/>
        </w:rPr>
        <w:t xml:space="preserve"> are now duly elected and qualified officers or authorized representatives of the Borrower holding the offices indicated next to their respective names below, and the signatures appearing opposite their respective names below are the true and genuine signatures of such officers, and each of such officers is duly authorized to execute and deliver on behalf of the Borrower each of the Loan Documents to which it is a party and any certificate or other document to be delivered by the Borrower pursuant to the Loan Documents to which it is a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89" w:name="page290"/>
    <w:bookmarkEnd w:id="289"/>
    <w:p>
      <w:pPr>
        <w:ind w:left="180" w:right="39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hereunto set our names as of the date set forth above.</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0" w:name="page291"/>
    <w:bookmarkEnd w:id="290"/>
    <w:p>
      <w:pPr>
        <w:jc w:val="right"/>
        <w:ind w:right="199"/>
        <w:spacing w:after="0"/>
        <w:rPr>
          <w:sz w:val="20"/>
          <w:szCs w:val="20"/>
          <w:color w:val="auto"/>
        </w:rPr>
      </w:pPr>
      <w:r>
        <w:rPr>
          <w:rFonts w:ascii="Times New Roman" w:cs="Times New Roman" w:eastAsia="Times New Roman" w:hAnsi="Times New Roman"/>
          <w:sz w:val="22"/>
          <w:szCs w:val="22"/>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Reference is made to the Credit Agreement, dated as of November 25, 2020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PNG Companies LLC, the Lenders party thereto,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Unless otherwise defined herein, terms defined in the Credit Agreement and used herein shall have the meanings given to them in the Credit Agreement.</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 xml:space="preserve">The Assignor identified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xml:space="preserve">”) and the Assignee identified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agree as follows:</w:t>
      </w:r>
    </w:p>
    <w:p>
      <w:pPr>
        <w:spacing w:after="0" w:line="158" w:lineRule="exact"/>
        <w:rPr>
          <w:sz w:val="20"/>
          <w:szCs w:val="20"/>
          <w:color w:val="auto"/>
        </w:rPr>
      </w:pPr>
    </w:p>
    <w:p>
      <w:pPr>
        <w:ind w:left="180" w:right="259" w:firstLine="4"/>
        <w:spacing w:after="0" w:line="238" w:lineRule="auto"/>
        <w:tabs>
          <w:tab w:leader="none" w:pos="99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Assignor hereby irrevocably sells and assigns to the Assignee without recourse to the Assignor, and the Assignee hereby irrevocably purchases and assumes from the Assignor without recourse to the Assignor, as of the Effective Date (as defined below), the interest described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in and to the Assignor’s rights and obligations under the Credit Agreement.</w:t>
      </w:r>
    </w:p>
    <w:p>
      <w:pPr>
        <w:spacing w:after="0" w:line="176" w:lineRule="exact"/>
        <w:rPr>
          <w:rFonts w:ascii="Times New Roman" w:cs="Times New Roman" w:eastAsia="Times New Roman" w:hAnsi="Times New Roman"/>
          <w:sz w:val="22"/>
          <w:szCs w:val="22"/>
          <w:color w:val="auto"/>
        </w:rPr>
      </w:pPr>
    </w:p>
    <w:p>
      <w:pPr>
        <w:ind w:left="180" w:right="239" w:firstLine="4"/>
        <w:spacing w:after="0" w:line="233" w:lineRule="auto"/>
        <w:tabs>
          <w:tab w:leader="none" w:pos="99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any other Loan Document or any other instrument or document furnished pursuant thereto, other than that the Assignor has not created any adverse claim upon the interest being assigned by it hereunder and that such interest is free and clear of any such adverse claim and (b) makes no representation or warranty and assumes no responsibility with respect to the financial condition of the Borrower, any of its Affiliates or any other obligor or the performance or observance by the Borrower, any of its Affiliates or any other obligor of any of their respective obligations under the Credit Agreement or any other Loan Document or any other instrument or document furnished pursuant hereto or thereto.</w:t>
      </w:r>
    </w:p>
    <w:p>
      <w:pPr>
        <w:spacing w:after="0" w:line="187" w:lineRule="exact"/>
        <w:rPr>
          <w:rFonts w:ascii="Times New Roman" w:cs="Times New Roman" w:eastAsia="Times New Roman" w:hAnsi="Times New Roman"/>
          <w:sz w:val="22"/>
          <w:szCs w:val="22"/>
          <w:color w:val="auto"/>
        </w:rPr>
      </w:pPr>
    </w:p>
    <w:p>
      <w:pPr>
        <w:ind w:left="180" w:right="239" w:firstLine="4"/>
        <w:spacing w:after="0" w:line="233" w:lineRule="auto"/>
        <w:tabs>
          <w:tab w:leader="none" w:pos="99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(a) represents and warrants that it is legally authorized to enter into this Assignment and Assumption; (b) confirms that it has received a copy of the Credit Agreement, together with copies of the financial statements delivered pursuant to Section 4.1 thereof and such other documents and information as it has deemed appropriate to make its own credit analysis and decision to enter into this Assignment and Assumption;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(d) appoints and authorizes the Administrative Agent to take such action as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1" w:name="page292"/>
    <w:bookmarkEnd w:id="291"/>
    <w:p>
      <w:pPr>
        <w:ind w:left="180" w:right="459"/>
        <w:spacing w:after="0" w:line="239" w:lineRule="auto"/>
        <w:rPr>
          <w:sz w:val="20"/>
          <w:szCs w:val="20"/>
          <w:color w:val="auto"/>
        </w:rPr>
      </w:pPr>
      <w:r>
        <w:rPr>
          <w:rFonts w:ascii="Times New Roman" w:cs="Times New Roman" w:eastAsia="Times New Roman" w:hAnsi="Times New Roman"/>
          <w:sz w:val="22"/>
          <w:szCs w:val="22"/>
          <w:color w:val="auto"/>
        </w:rPr>
        <w:t>and will perform in accordance with its terms all the obligations which by the terms of the Credit Agreement are required to be performed by it as a Lender including, if it is organized under the laws of a jurisdiction outside the United States, its obligation pursuant to Section 2.14(d) of the Credit Agreement.</w:t>
      </w:r>
    </w:p>
    <w:p>
      <w:pPr>
        <w:spacing w:after="0" w:line="180" w:lineRule="exact"/>
        <w:rPr>
          <w:sz w:val="20"/>
          <w:szCs w:val="20"/>
          <w:color w:val="auto"/>
        </w:rPr>
      </w:pPr>
    </w:p>
    <w:p>
      <w:pPr>
        <w:ind w:left="180" w:right="299" w:firstLine="4"/>
        <w:spacing w:after="0" w:line="235" w:lineRule="auto"/>
        <w:tabs>
          <w:tab w:leader="none" w:pos="99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effective date of this Assignment and Assumption shall be the Effective Date of Assignment described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Following the execution of this Assignment and Assumption,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83" w:lineRule="exact"/>
        <w:rPr>
          <w:rFonts w:ascii="Times New Roman" w:cs="Times New Roman" w:eastAsia="Times New Roman" w:hAnsi="Times New Roman"/>
          <w:sz w:val="22"/>
          <w:szCs w:val="22"/>
          <w:color w:val="auto"/>
        </w:rPr>
      </w:pPr>
    </w:p>
    <w:p>
      <w:pPr>
        <w:ind w:left="180" w:right="199" w:firstLine="4"/>
        <w:spacing w:after="0" w:line="249" w:lineRule="auto"/>
        <w:tabs>
          <w:tab w:leader="none" w:pos="99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Agent for periods prior to the Effective Date or with respect to the making of this assignment directly between themselves.</w:t>
      </w:r>
    </w:p>
    <w:p>
      <w:pPr>
        <w:spacing w:after="0" w:line="170" w:lineRule="exact"/>
        <w:rPr>
          <w:rFonts w:ascii="Times New Roman" w:cs="Times New Roman" w:eastAsia="Times New Roman" w:hAnsi="Times New Roman"/>
          <w:sz w:val="21"/>
          <w:szCs w:val="21"/>
          <w:color w:val="auto"/>
        </w:rPr>
      </w:pPr>
    </w:p>
    <w:p>
      <w:pPr>
        <w:ind w:left="180" w:right="319" w:firstLine="4"/>
        <w:spacing w:after="0" w:line="251" w:lineRule="auto"/>
        <w:tabs>
          <w:tab w:leader="none" w:pos="99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Date, (a) the Assignee shall be a party to the Credit Agreement and, to the extent provided in this Assignment and Assumption, have the rights and obligations of a Lender thereunder and under the other Loan Documents and shall be bound by the provisions thereof and (b) the Assignor shall, to the extent provided in this Assignment and Assumption, relinquish its rights and be released from its obligations under the Credit Agreement.</w:t>
      </w:r>
    </w:p>
    <w:p>
      <w:pPr>
        <w:spacing w:after="0" w:line="168" w:lineRule="exact"/>
        <w:rPr>
          <w:rFonts w:ascii="Times New Roman" w:cs="Times New Roman" w:eastAsia="Times New Roman" w:hAnsi="Times New Roman"/>
          <w:sz w:val="21"/>
          <w:szCs w:val="21"/>
          <w:color w:val="auto"/>
        </w:rPr>
      </w:pPr>
    </w:p>
    <w:p>
      <w:pPr>
        <w:ind w:left="180" w:right="299" w:firstLine="4"/>
        <w:spacing w:after="0" w:line="258" w:lineRule="auto"/>
        <w:tabs>
          <w:tab w:leader="none" w:pos="99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shall be governed by and construed in accordance with the laws of the State of New York.</w:t>
      </w:r>
    </w:p>
    <w:p>
      <w:pPr>
        <w:spacing w:after="0" w:line="158" w:lineRule="exact"/>
        <w:rPr>
          <w:rFonts w:ascii="Times New Roman" w:cs="Times New Roman" w:eastAsia="Times New Roman" w:hAnsi="Times New Roman"/>
          <w:sz w:val="22"/>
          <w:szCs w:val="22"/>
          <w:color w:val="auto"/>
        </w:rPr>
      </w:pPr>
    </w:p>
    <w:p>
      <w:pPr>
        <w:ind w:left="180" w:right="239" w:firstLine="4"/>
        <w:spacing w:after="0" w:line="238" w:lineRule="auto"/>
        <w:tabs>
          <w:tab w:leader="none" w:pos="99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may be executed by one or more of the parties hereto on any number of separate counterparts, and all of said counterparts taken together shall be deemed to constitute one and the same instrument. Delivery of an executed signature page of this Assignment and Assumption by electronic or facsimile transmission shall be effective as delivery of a manually executed counterpart hereof.</w:t>
      </w:r>
    </w:p>
    <w:p>
      <w:pPr>
        <w:spacing w:after="0" w:line="177"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 xml:space="preserve">IN WITNESS WHEREOF, the parties hereto have caused this Assignment and Assumption to be executed as of the date first above written by their respective duly authorized officers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22"/>
          <w:szCs w:val="22"/>
          <w:color w:val="auto"/>
        </w:rPr>
        <w:t>Schedule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Assignment and Assumption with respect to</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the Credit Agreement, dated as of November 25, 2020,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among</w:t>
      </w:r>
    </w:p>
    <w:p>
      <w:pPr>
        <w:ind w:left="2740"/>
        <w:spacing w:after="0" w:line="230" w:lineRule="auto"/>
        <w:rPr>
          <w:sz w:val="20"/>
          <w:szCs w:val="20"/>
          <w:color w:val="auto"/>
        </w:rPr>
      </w:pPr>
      <w:r>
        <w:rPr>
          <w:rFonts w:ascii="Times New Roman" w:cs="Times New Roman" w:eastAsia="Times New Roman" w:hAnsi="Times New Roman"/>
          <w:sz w:val="22"/>
          <w:szCs w:val="22"/>
          <w:color w:val="auto"/>
        </w:rPr>
        <w:t>PNG Companies LLC (the “Borrower”),</w:t>
      </w:r>
    </w:p>
    <w:p>
      <w:pPr>
        <w:ind w:left="3180"/>
        <w:spacing w:after="0" w:line="231" w:lineRule="auto"/>
        <w:rPr>
          <w:sz w:val="20"/>
          <w:szCs w:val="20"/>
          <w:color w:val="auto"/>
        </w:rPr>
      </w:pPr>
      <w:r>
        <w:rPr>
          <w:rFonts w:ascii="Times New Roman" w:cs="Times New Roman" w:eastAsia="Times New Roman" w:hAnsi="Times New Roman"/>
          <w:sz w:val="22"/>
          <w:szCs w:val="22"/>
          <w:color w:val="auto"/>
        </w:rPr>
        <w:t>the Lenders party thereto, and</w:t>
      </w:r>
    </w:p>
    <w:p>
      <w:pPr>
        <w:jc w:val="center"/>
        <w:ind w:right="19"/>
        <w:spacing w:after="0"/>
        <w:rPr>
          <w:sz w:val="20"/>
          <w:szCs w:val="20"/>
          <w:color w:val="auto"/>
        </w:rPr>
      </w:pPr>
      <w:r>
        <w:rPr>
          <w:rFonts w:ascii="Times New Roman" w:cs="Times New Roman" w:eastAsia="Times New Roman" w:hAnsi="Times New Roman"/>
          <w:sz w:val="22"/>
          <w:szCs w:val="22"/>
          <w:color w:val="auto"/>
        </w:rPr>
        <w:t>PNC Bank, National Association, as Administrative Agent</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282"/>
        </w:trPr>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of Assignor:</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9"/>
        </w:trPr>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of Assignee:</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9"/>
        </w:trPr>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Effective Date of Assignment:</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0"/>
        </w:trPr>
        <w:tc>
          <w:tcPr>
            <w:tcW w:w="920" w:type="dxa"/>
            <w:vAlign w:val="bottom"/>
          </w:tcPr>
          <w:p>
            <w:pPr>
              <w:spacing w:after="0"/>
              <w:rPr>
                <w:sz w:val="24"/>
                <w:szCs w:val="24"/>
                <w:color w:val="auto"/>
              </w:rPr>
            </w:pPr>
          </w:p>
        </w:tc>
        <w:tc>
          <w:tcPr>
            <w:tcW w:w="3020" w:type="dxa"/>
            <w:vAlign w:val="bottom"/>
            <w:gridSpan w:val="2"/>
          </w:tcPr>
          <w:p>
            <w:pPr>
              <w:jc w:val="center"/>
              <w:ind w:right="1480"/>
              <w:spacing w:after="0"/>
              <w:rPr>
                <w:sz w:val="20"/>
                <w:szCs w:val="20"/>
                <w:color w:val="auto"/>
              </w:rPr>
            </w:pPr>
            <w:r>
              <w:rPr>
                <w:rFonts w:ascii="Times New Roman" w:cs="Times New Roman" w:eastAsia="Times New Roman" w:hAnsi="Times New Roman"/>
                <w:sz w:val="22"/>
                <w:szCs w:val="22"/>
                <w:color w:val="auto"/>
                <w:w w:val="98"/>
              </w:rPr>
              <w:t>Principal</w:t>
            </w:r>
          </w:p>
        </w:tc>
        <w:tc>
          <w:tcPr>
            <w:tcW w:w="1420" w:type="dxa"/>
            <w:vAlign w:val="bottom"/>
          </w:tcPr>
          <w:p>
            <w:pPr>
              <w:spacing w:after="0"/>
              <w:rPr>
                <w:sz w:val="24"/>
                <w:szCs w:val="24"/>
                <w:color w:val="auto"/>
              </w:rPr>
            </w:pPr>
          </w:p>
        </w:tc>
        <w:tc>
          <w:tcPr>
            <w:tcW w:w="3320" w:type="dxa"/>
            <w:vAlign w:val="bottom"/>
            <w:gridSpan w:val="2"/>
          </w:tcPr>
          <w:p>
            <w:pPr>
              <w:jc w:val="center"/>
              <w:ind w:right="1580"/>
              <w:spacing w:after="0"/>
              <w:rPr>
                <w:sz w:val="20"/>
                <w:szCs w:val="20"/>
                <w:color w:val="auto"/>
              </w:rPr>
            </w:pPr>
            <w:r>
              <w:rPr>
                <w:rFonts w:ascii="Times New Roman" w:cs="Times New Roman" w:eastAsia="Times New Roman" w:hAnsi="Times New Roman"/>
                <w:sz w:val="22"/>
                <w:szCs w:val="22"/>
                <w:color w:val="auto"/>
                <w:w w:val="98"/>
              </w:rPr>
              <w:t>Commitment</w:t>
            </w:r>
          </w:p>
        </w:tc>
      </w:tr>
      <w:tr>
        <w:trPr>
          <w:trHeight w:val="230"/>
        </w:trPr>
        <w:tc>
          <w:tcPr>
            <w:tcW w:w="920" w:type="dxa"/>
            <w:vAlign w:val="bottom"/>
          </w:tcPr>
          <w:p>
            <w:pPr>
              <w:spacing w:after="0"/>
              <w:rPr>
                <w:sz w:val="19"/>
                <w:szCs w:val="19"/>
                <w:color w:val="auto"/>
              </w:rPr>
            </w:pPr>
          </w:p>
        </w:tc>
        <w:tc>
          <w:tcPr>
            <w:tcW w:w="1580" w:type="dxa"/>
            <w:vAlign w:val="bottom"/>
          </w:tcPr>
          <w:p>
            <w:pPr>
              <w:jc w:val="center"/>
              <w:spacing w:after="0" w:line="230" w:lineRule="exact"/>
              <w:rPr>
                <w:sz w:val="20"/>
                <w:szCs w:val="20"/>
                <w:color w:val="auto"/>
              </w:rPr>
            </w:pPr>
            <w:r>
              <w:rPr>
                <w:rFonts w:ascii="Times New Roman" w:cs="Times New Roman" w:eastAsia="Times New Roman" w:hAnsi="Times New Roman"/>
                <w:sz w:val="22"/>
                <w:szCs w:val="22"/>
                <w:color w:val="auto"/>
                <w:w w:val="99"/>
              </w:rPr>
              <w:t>Amount Assigned</w:t>
            </w:r>
          </w:p>
        </w:tc>
        <w:tc>
          <w:tcPr>
            <w:tcW w:w="1440" w:type="dxa"/>
            <w:vAlign w:val="bottom"/>
          </w:tcPr>
          <w:p>
            <w:pPr>
              <w:spacing w:after="0"/>
              <w:rPr>
                <w:sz w:val="19"/>
                <w:szCs w:val="19"/>
                <w:color w:val="auto"/>
              </w:rPr>
            </w:pPr>
          </w:p>
        </w:tc>
        <w:tc>
          <w:tcPr>
            <w:tcW w:w="4740" w:type="dxa"/>
            <w:vAlign w:val="bottom"/>
            <w:gridSpan w:val="3"/>
          </w:tcPr>
          <w:p>
            <w:pPr>
              <w:jc w:val="center"/>
              <w:ind w:right="100"/>
              <w:spacing w:after="0" w:line="230" w:lineRule="exact"/>
              <w:rPr>
                <w:sz w:val="20"/>
                <w:szCs w:val="20"/>
                <w:color w:val="auto"/>
              </w:rPr>
            </w:pPr>
            <w:r>
              <w:rPr>
                <w:rFonts w:ascii="Times New Roman" w:cs="Times New Roman" w:eastAsia="Times New Roman" w:hAnsi="Times New Roman"/>
                <w:sz w:val="22"/>
                <w:szCs w:val="22"/>
                <w:color w:val="auto"/>
                <w:w w:val="97"/>
              </w:rPr>
              <w:t>Percentage Assigned</w:t>
            </w:r>
          </w:p>
        </w:tc>
      </w:tr>
      <w:tr>
        <w:trPr>
          <w:trHeight w:val="20"/>
        </w:trPr>
        <w:tc>
          <w:tcPr>
            <w:tcW w:w="9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92"/>
        </w:trPr>
        <w:tc>
          <w:tcPr>
            <w:tcW w:w="3940" w:type="dxa"/>
            <w:vAlign w:val="bottom"/>
            <w:gridSpan w:val="3"/>
          </w:tcPr>
          <w:p>
            <w:pPr>
              <w:jc w:val="center"/>
              <w:ind w:right="520"/>
              <w:spacing w:after="0"/>
              <w:rPr>
                <w:sz w:val="20"/>
                <w:szCs w:val="20"/>
                <w:color w:val="auto"/>
              </w:rPr>
            </w:pPr>
            <w:r>
              <w:rPr>
                <w:rFonts w:ascii="Times New Roman" w:cs="Times New Roman" w:eastAsia="Times New Roman" w:hAnsi="Times New Roman"/>
                <w:sz w:val="22"/>
                <w:szCs w:val="22"/>
                <w:color w:val="auto"/>
                <w:w w:val="98"/>
              </w:rPr>
              <w:t>$_______________</w:t>
            </w:r>
          </w:p>
        </w:tc>
        <w:tc>
          <w:tcPr>
            <w:tcW w:w="3220" w:type="dxa"/>
            <w:vAlign w:val="bottom"/>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7"/>
              </w:rPr>
              <w:t>____._____%</w:t>
            </w:r>
          </w:p>
        </w:tc>
        <w:tc>
          <w:tcPr>
            <w:tcW w:w="1520" w:type="dxa"/>
            <w:vAlign w:val="bottom"/>
          </w:tcPr>
          <w:p>
            <w:pPr>
              <w:spacing w:after="0"/>
              <w:rPr>
                <w:sz w:val="24"/>
                <w:szCs w:val="24"/>
                <w:color w:val="auto"/>
              </w:rPr>
            </w:pPr>
          </w:p>
        </w:tc>
      </w:tr>
      <w:tr>
        <w:trPr>
          <w:trHeight w:val="702"/>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[Name of Assignee]</w:t>
            </w: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[Name of Assignor]</w:t>
            </w:r>
          </w:p>
        </w:tc>
      </w:tr>
      <w:tr>
        <w:trPr>
          <w:trHeight w:val="447"/>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394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Title:</w:t>
            </w:r>
          </w:p>
        </w:tc>
        <w:tc>
          <w:tcPr>
            <w:tcW w:w="474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Title:</w:t>
            </w:r>
          </w:p>
        </w:tc>
      </w:tr>
      <w:tr>
        <w:trPr>
          <w:trHeight w:val="459"/>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Accepted for Recordation in the Register:</w:t>
            </w: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Required Consents (if any):</w:t>
            </w:r>
          </w:p>
        </w:tc>
      </w:tr>
      <w:tr>
        <w:trPr>
          <w:trHeight w:val="447"/>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 as</w:t>
            </w: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PNG Companies LLC</w:t>
            </w:r>
          </w:p>
        </w:tc>
      </w:tr>
      <w:tr>
        <w:trPr>
          <w:trHeight w:val="282"/>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Administrative Agent</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90"/>
        </w:trPr>
        <w:tc>
          <w:tcPr>
            <w:tcW w:w="3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394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Title:</w:t>
            </w:r>
          </w:p>
        </w:tc>
        <w:tc>
          <w:tcPr>
            <w:tcW w:w="474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rPr>
              <w:t>Title:</w:t>
            </w:r>
          </w:p>
        </w:tc>
      </w:tr>
      <w:tr>
        <w:trPr>
          <w:trHeight w:val="420"/>
        </w:trPr>
        <w:tc>
          <w:tcPr>
            <w:tcW w:w="394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c>
          <w:tcPr>
            <w:tcW w:w="332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 as</w:t>
            </w:r>
          </w:p>
        </w:tc>
      </w:tr>
      <w:tr>
        <w:trPr>
          <w:trHeight w:val="282"/>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Administrative Agent</w:t>
            </w:r>
          </w:p>
        </w:tc>
      </w:tr>
      <w:tr>
        <w:trPr>
          <w:trHeight w:val="690"/>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Title:</w:t>
            </w:r>
          </w:p>
        </w:tc>
      </w:tr>
      <w:tr>
        <w:trPr>
          <w:trHeight w:val="447"/>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20" w:type="dxa"/>
            <w:vAlign w:val="bottom"/>
            <w:gridSpan w:val="2"/>
          </w:tcPr>
          <w:p>
            <w:pPr>
              <w:ind w:left="1240"/>
              <w:spacing w:after="0"/>
              <w:rPr>
                <w:sz w:val="20"/>
                <w:szCs w:val="20"/>
                <w:color w:val="auto"/>
              </w:rPr>
            </w:pPr>
            <w:r>
              <w:rPr>
                <w:rFonts w:ascii="Times New Roman" w:cs="Times New Roman" w:eastAsia="Times New Roman" w:hAnsi="Times New Roman"/>
                <w:sz w:val="22"/>
                <w:szCs w:val="22"/>
                <w:color w:val="auto"/>
              </w:rPr>
              <w:t>, as</w:t>
            </w:r>
          </w:p>
        </w:tc>
      </w:tr>
      <w:tr>
        <w:trPr>
          <w:trHeight w:val="282"/>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Swing Line Lender</w:t>
            </w:r>
          </w:p>
        </w:tc>
      </w:tr>
      <w:tr>
        <w:trPr>
          <w:trHeight w:val="690"/>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Title:</w:t>
            </w:r>
          </w:p>
        </w:tc>
      </w:tr>
      <w:tr>
        <w:trPr>
          <w:trHeight w:val="702"/>
        </w:trPr>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C-3</w:t>
            </w:r>
          </w:p>
        </w:tc>
      </w:tr>
      <w:tr>
        <w:trPr>
          <w:trHeight w:val="96"/>
        </w:trPr>
        <w:tc>
          <w:tcPr>
            <w:tcW w:w="9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r>
      <w:tr>
        <w:trPr>
          <w:trHeight w:val="20"/>
        </w:trPr>
        <w:tc>
          <w:tcPr>
            <w:tcW w:w="9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3" w:name="page294"/>
    <w:bookmarkEnd w:id="293"/>
    <w:p>
      <w:pPr>
        <w:jc w:val="right"/>
        <w:ind w:right="199"/>
        <w:spacing w:after="0"/>
        <w:rPr>
          <w:sz w:val="20"/>
          <w:szCs w:val="20"/>
          <w:color w:val="auto"/>
        </w:rPr>
      </w:pPr>
      <w:r>
        <w:rPr>
          <w:rFonts w:ascii="Times New Roman" w:cs="Times New Roman" w:eastAsia="Times New Roman" w:hAnsi="Times New Roman"/>
          <w:sz w:val="22"/>
          <w:szCs w:val="22"/>
          <w:color w:val="auto"/>
        </w:rPr>
        <w:t>EXHIBIT D-1</w:t>
      </w:r>
    </w:p>
    <w:p>
      <w:pPr>
        <w:spacing w:after="0" w:line="2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FORM OF LEGAL OPINION OF SIMPSON THACHER &amp; BARTLETT LLP</w:t>
      </w:r>
    </w:p>
    <w:p>
      <w:pPr>
        <w:spacing w:after="0" w:line="20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4" w:name="page295"/>
    <w:bookmarkEnd w:id="294"/>
    <w:p>
      <w:pPr>
        <w:jc w:val="right"/>
        <w:ind w:right="199"/>
        <w:spacing w:after="0"/>
        <w:rPr>
          <w:sz w:val="20"/>
          <w:szCs w:val="20"/>
          <w:color w:val="auto"/>
        </w:rPr>
      </w:pPr>
      <w:r>
        <w:rPr>
          <w:rFonts w:ascii="Times New Roman" w:cs="Times New Roman" w:eastAsia="Times New Roman" w:hAnsi="Times New Roman"/>
          <w:sz w:val="22"/>
          <w:szCs w:val="22"/>
          <w:color w:val="auto"/>
        </w:rPr>
        <w:t>EXHIBIT D-2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LEGAL OPINION OF POST &amp; SCHELL P.C.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5" w:name="page296"/>
    <w:bookmarkEnd w:id="295"/>
    <w:p>
      <w:pPr>
        <w:jc w:val="right"/>
        <w:ind w:right="199"/>
        <w:spacing w:after="0"/>
        <w:rPr>
          <w:sz w:val="20"/>
          <w:szCs w:val="20"/>
          <w:color w:val="auto"/>
        </w:rPr>
      </w:pPr>
      <w:r>
        <w:rPr>
          <w:rFonts w:ascii="Times New Roman" w:cs="Times New Roman" w:eastAsia="Times New Roman" w:hAnsi="Times New Roman"/>
          <w:sz w:val="22"/>
          <w:szCs w:val="22"/>
          <w:color w:val="auto"/>
        </w:rPr>
        <w:t>EXHIBIT E-1</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FORM OF U.S. TAX CERTIFICATE</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(For Non-U.S. Lenders That Are Not Partnerships For U.S. Federal Income Tax Purposes)</w:t>
      </w:r>
    </w:p>
    <w:p>
      <w:pPr>
        <w:spacing w:after="0" w:line="206" w:lineRule="exact"/>
        <w:rPr>
          <w:sz w:val="20"/>
          <w:szCs w:val="20"/>
          <w:color w:val="auto"/>
        </w:rPr>
      </w:pPr>
    </w:p>
    <w:p>
      <w:pPr>
        <w:ind w:left="180" w:right="239" w:firstLine="648"/>
        <w:spacing w:after="0" w:line="255"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November 25, 2020 (as amended, restated, supplemented or otherwise modified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PNG Companies LLC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and PNC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80" w:right="279" w:firstLine="648"/>
        <w:spacing w:after="0" w:line="245" w:lineRule="auto"/>
        <w:rPr>
          <w:sz w:val="20"/>
          <w:szCs w:val="20"/>
          <w:color w:val="auto"/>
        </w:rPr>
      </w:pPr>
      <w:r>
        <w:rPr>
          <w:rFonts w:ascii="Times New Roman" w:cs="Times New Roman" w:eastAsia="Times New Roman" w:hAnsi="Times New Roman"/>
          <w:sz w:val="21"/>
          <w:szCs w:val="21"/>
          <w:color w:val="auto"/>
        </w:rPr>
        <w:t>Pursuant to the provisions of Section 2.14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w:t>
      </w:r>
    </w:p>
    <w:p>
      <w:pPr>
        <w:spacing w:after="0" w:line="3" w:lineRule="exact"/>
        <w:rPr>
          <w:sz w:val="20"/>
          <w:szCs w:val="20"/>
          <w:color w:val="auto"/>
        </w:rPr>
      </w:pPr>
    </w:p>
    <w:p>
      <w:pPr>
        <w:ind w:left="180" w:right="379" w:firstLine="4"/>
        <w:spacing w:after="0" w:line="237" w:lineRule="auto"/>
        <w:tabs>
          <w:tab w:leader="none" w:pos="48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payments in question are not effectively connected with the undersigned’s conduct of a U.S. trade or business.</w:t>
      </w:r>
    </w:p>
    <w:p>
      <w:pPr>
        <w:spacing w:after="0" w:line="178" w:lineRule="exact"/>
        <w:rPr>
          <w:sz w:val="20"/>
          <w:szCs w:val="20"/>
          <w:color w:val="auto"/>
        </w:rPr>
      </w:pPr>
    </w:p>
    <w:p>
      <w:pPr>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The undersigned has furnished the Administrative Agent and the Borrower with a certificate of its non-United States person status on IRS Form W-8BEN-E (or W-8BEN if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180" w:right="559"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LENDER]</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w:t>
      </w: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6" w:name="page297"/>
    <w:bookmarkEnd w:id="296"/>
    <w:p>
      <w:pPr>
        <w:jc w:val="right"/>
        <w:ind w:right="199"/>
        <w:spacing w:after="0"/>
        <w:rPr>
          <w:sz w:val="20"/>
          <w:szCs w:val="20"/>
          <w:color w:val="auto"/>
        </w:rPr>
      </w:pPr>
      <w:r>
        <w:rPr>
          <w:rFonts w:ascii="Times New Roman" w:cs="Times New Roman" w:eastAsia="Times New Roman" w:hAnsi="Times New Roman"/>
          <w:sz w:val="22"/>
          <w:szCs w:val="22"/>
          <w:color w:val="auto"/>
        </w:rPr>
        <w:t>EXHIBIT E-2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U.S. TAX CERTIFICATE</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(For Non-U.S. Lenders That Are Partnerships For U.S. Federal Income Tax Purposes)</w:t>
      </w:r>
    </w:p>
    <w:p>
      <w:pPr>
        <w:spacing w:after="0" w:line="206" w:lineRule="exact"/>
        <w:rPr>
          <w:sz w:val="20"/>
          <w:szCs w:val="20"/>
          <w:color w:val="auto"/>
        </w:rPr>
      </w:pPr>
    </w:p>
    <w:p>
      <w:pPr>
        <w:ind w:left="180" w:right="239" w:firstLine="648"/>
        <w:spacing w:after="0" w:line="255"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November 25, 2020 (as amended, restated, supplemented or otherwise modified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PNG Companies LLC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and PNC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80" w:right="199" w:firstLine="648"/>
        <w:spacing w:after="0" w:line="244" w:lineRule="auto"/>
        <w:rPr>
          <w:sz w:val="20"/>
          <w:szCs w:val="20"/>
          <w:color w:val="auto"/>
        </w:rPr>
      </w:pPr>
      <w:r>
        <w:rPr>
          <w:rFonts w:ascii="Times New Roman" w:cs="Times New Roman" w:eastAsia="Times New Roman" w:hAnsi="Times New Roman"/>
          <w:sz w:val="21"/>
          <w:szCs w:val="21"/>
          <w:color w:val="auto"/>
        </w:rPr>
        <w:t>Pursuant to the provisions of Section 2.14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w:t>
      </w:r>
    </w:p>
    <w:p>
      <w:pPr>
        <w:spacing w:after="0" w:line="1" w:lineRule="exact"/>
        <w:rPr>
          <w:sz w:val="20"/>
          <w:szCs w:val="20"/>
          <w:color w:val="auto"/>
        </w:rPr>
      </w:pPr>
    </w:p>
    <w:p>
      <w:pPr>
        <w:ind w:left="180" w:right="339" w:firstLine="4"/>
        <w:spacing w:after="0" w:line="234" w:lineRule="auto"/>
        <w:tabs>
          <w:tab w:leader="none" w:pos="48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177" w:lineRule="exact"/>
        <w:rPr>
          <w:sz w:val="20"/>
          <w:szCs w:val="20"/>
          <w:color w:val="auto"/>
        </w:rPr>
      </w:pPr>
    </w:p>
    <w:p>
      <w:pPr>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The undersigned has furnished the Administrative Agent and the Borrower with IRS Form W-8IMY accompanied by one of the following forms from each of its direct or indirect partners/members claiming the portfolio interest exemption: (i) an IRS Form W-8BEN-E (or W-8BEN if applicable) or (ii) an IRS Form W-8IMY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left="180" w:right="559"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LENDER]</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w:t>
      </w: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7" w:name="page298"/>
    <w:bookmarkEnd w:id="297"/>
    <w:p>
      <w:pPr>
        <w:ind w:left="180"/>
        <w:spacing w:after="0"/>
        <w:rPr>
          <w:sz w:val="20"/>
          <w:szCs w:val="20"/>
          <w:color w:val="auto"/>
        </w:rPr>
      </w:pPr>
      <w:r>
        <w:rPr>
          <w:rFonts w:ascii="Times New Roman" w:cs="Times New Roman" w:eastAsia="Times New Roman" w:hAnsi="Times New Roman"/>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74295</wp:posOffset>
            </wp:positionV>
            <wp:extent cx="5528945"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8" w:name="page299"/>
    <w:bookmarkEnd w:id="298"/>
    <w:p>
      <w:pPr>
        <w:jc w:val="right"/>
        <w:ind w:right="199"/>
        <w:spacing w:after="0"/>
        <w:rPr>
          <w:sz w:val="20"/>
          <w:szCs w:val="20"/>
          <w:color w:val="auto"/>
        </w:rPr>
      </w:pPr>
      <w:r>
        <w:rPr>
          <w:rFonts w:ascii="Times New Roman" w:cs="Times New Roman" w:eastAsia="Times New Roman" w:hAnsi="Times New Roman"/>
          <w:sz w:val="22"/>
          <w:szCs w:val="22"/>
          <w:color w:val="auto"/>
        </w:rPr>
        <w:t>EXHIBIT E-3</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U.S. TAX CERTIFICATE</w:t>
      </w:r>
    </w:p>
    <w:p>
      <w:pPr>
        <w:spacing w:after="0" w:line="206" w:lineRule="exact"/>
        <w:rPr>
          <w:sz w:val="20"/>
          <w:szCs w:val="20"/>
          <w:color w:val="auto"/>
        </w:rPr>
      </w:pPr>
    </w:p>
    <w:p>
      <w:pPr>
        <w:ind w:left="180" w:right="959" w:firstLine="648"/>
        <w:spacing w:after="0" w:line="258" w:lineRule="auto"/>
        <w:rPr>
          <w:sz w:val="20"/>
          <w:szCs w:val="20"/>
          <w:color w:val="auto"/>
        </w:rPr>
      </w:pPr>
      <w:r>
        <w:rPr>
          <w:rFonts w:ascii="Times New Roman" w:cs="Times New Roman" w:eastAsia="Times New Roman" w:hAnsi="Times New Roman"/>
          <w:sz w:val="22"/>
          <w:szCs w:val="22"/>
          <w:color w:val="auto"/>
        </w:rPr>
        <w:t>(For Non-U.S. Participants That Are Not Partnerships For U.S. Federal Income Tax Purposes)</w:t>
      </w:r>
    </w:p>
    <w:p>
      <w:pPr>
        <w:spacing w:after="0" w:line="158" w:lineRule="exact"/>
        <w:rPr>
          <w:sz w:val="20"/>
          <w:szCs w:val="20"/>
          <w:color w:val="auto"/>
        </w:rPr>
      </w:pPr>
    </w:p>
    <w:p>
      <w:pPr>
        <w:ind w:left="180" w:right="239" w:firstLine="648"/>
        <w:spacing w:after="0" w:line="255"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November 25, 2020 (as amended, restated, supplemented or otherwise modified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PNG Companies LLC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and PNC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80" w:right="279" w:firstLine="648"/>
        <w:spacing w:after="0" w:line="247" w:lineRule="auto"/>
        <w:rPr>
          <w:sz w:val="20"/>
          <w:szCs w:val="20"/>
          <w:color w:val="auto"/>
        </w:rPr>
      </w:pPr>
      <w:r>
        <w:rPr>
          <w:rFonts w:ascii="Times New Roman" w:cs="Times New Roman" w:eastAsia="Times New Roman" w:hAnsi="Times New Roman"/>
          <w:sz w:val="21"/>
          <w:szCs w:val="21"/>
          <w:color w:val="auto"/>
        </w:rPr>
        <w:t>Pursuant to the provisions of Section 2.14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w:t>
      </w:r>
    </w:p>
    <w:p>
      <w:pPr>
        <w:spacing w:after="0" w:line="2" w:lineRule="exact"/>
        <w:rPr>
          <w:sz w:val="20"/>
          <w:szCs w:val="20"/>
          <w:color w:val="auto"/>
        </w:rPr>
      </w:pPr>
    </w:p>
    <w:p>
      <w:pPr>
        <w:ind w:left="180" w:right="639"/>
        <w:spacing w:after="0" w:line="235" w:lineRule="auto"/>
        <w:rPr>
          <w:sz w:val="20"/>
          <w:szCs w:val="20"/>
          <w:color w:val="auto"/>
        </w:rPr>
      </w:pPr>
      <w:r>
        <w:rPr>
          <w:rFonts w:ascii="Times New Roman" w:cs="Times New Roman" w:eastAsia="Times New Roman" w:hAnsi="Times New Roman"/>
          <w:sz w:val="22"/>
          <w:szCs w:val="22"/>
          <w:color w:val="auto"/>
        </w:rPr>
        <w:t>(3)(B)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78"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a certificate of its non-United States person status on IRS Form W-8BEN-E (or W-8BEN if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left="180" w:right="559"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LENDER]</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w:t>
      </w: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99" w:name="page300"/>
    <w:bookmarkEnd w:id="299"/>
    <w:p>
      <w:pPr>
        <w:jc w:val="right"/>
        <w:ind w:right="199"/>
        <w:spacing w:after="0"/>
        <w:rPr>
          <w:sz w:val="20"/>
          <w:szCs w:val="20"/>
          <w:color w:val="auto"/>
        </w:rPr>
      </w:pPr>
      <w:r>
        <w:rPr>
          <w:rFonts w:ascii="Times New Roman" w:cs="Times New Roman" w:eastAsia="Times New Roman" w:hAnsi="Times New Roman"/>
          <w:sz w:val="22"/>
          <w:szCs w:val="22"/>
          <w:color w:val="auto"/>
        </w:rPr>
        <w:t>EXHIBIT E-4</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FORM OF U.S. TAX CERTIFICATE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(For Non-U.S. Participants That Are Partnerships For U.S. Federal Income Tax Purposes)</w:t>
      </w:r>
    </w:p>
    <w:p>
      <w:pPr>
        <w:spacing w:after="0" w:line="206" w:lineRule="exact"/>
        <w:rPr>
          <w:sz w:val="20"/>
          <w:szCs w:val="20"/>
          <w:color w:val="auto"/>
        </w:rPr>
      </w:pPr>
    </w:p>
    <w:p>
      <w:pPr>
        <w:ind w:left="180" w:right="239" w:firstLine="648"/>
        <w:spacing w:after="0" w:line="255"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November 25, 2020 (as amended, restated, supplemented or otherwise modified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PNG Companies LLC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and PNC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80" w:right="219" w:firstLine="648"/>
        <w:spacing w:after="0" w:line="245" w:lineRule="auto"/>
        <w:rPr>
          <w:sz w:val="20"/>
          <w:szCs w:val="20"/>
          <w:color w:val="auto"/>
        </w:rPr>
      </w:pPr>
      <w:r>
        <w:rPr>
          <w:rFonts w:ascii="Times New Roman" w:cs="Times New Roman" w:eastAsia="Times New Roman" w:hAnsi="Times New Roman"/>
          <w:sz w:val="21"/>
          <w:szCs w:val="21"/>
          <w:color w:val="auto"/>
        </w:rPr>
        <w:t>Pursuant to the provisions of Section 2.14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180" w:right="239" w:firstLine="4"/>
        <w:spacing w:after="0" w:line="232" w:lineRule="auto"/>
        <w:tabs>
          <w:tab w:leader="none" w:pos="54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in question are not effectively connected with the undersigned’s or its direct or indirect partners/members’ conduct of a U.S. trade or business.</w:t>
      </w:r>
    </w:p>
    <w:p>
      <w:pPr>
        <w:spacing w:after="0" w:line="183" w:lineRule="exact"/>
        <w:rPr>
          <w:sz w:val="20"/>
          <w:szCs w:val="20"/>
          <w:color w:val="auto"/>
        </w:rPr>
      </w:pPr>
    </w:p>
    <w:p>
      <w:pPr>
        <w:ind w:left="180" w:right="239" w:firstLine="648"/>
        <w:spacing w:after="0" w:line="246"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IRS Form W 8IMY accompanied by one of the following forms from each of its direct or indirect partners/members claiming the portfolio interest exemption: (i) an IRS Form W-8BEN-E (or W-8BEN if applicable) or (ii) an IRS Form W 8IMY accompanied by an IRS Form W-8BEN-E (or W-8BEN if applicable) from each of such direct or indirect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1" w:lineRule="exact"/>
        <w:rPr>
          <w:sz w:val="20"/>
          <w:szCs w:val="20"/>
          <w:color w:val="auto"/>
        </w:rPr>
      </w:pPr>
    </w:p>
    <w:p>
      <w:pPr>
        <w:ind w:left="180" w:right="559"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LENDER]</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w:t>
      </w: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____________ __, 20[__]</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0" w:name="page301"/>
    <w:bookmarkEnd w:id="300"/>
    <w:p>
      <w:pPr>
        <w:jc w:val="center"/>
        <w:ind w:right="19"/>
        <w:spacing w:after="0"/>
        <w:rPr>
          <w:sz w:val="20"/>
          <w:szCs w:val="20"/>
          <w:color w:val="auto"/>
        </w:rPr>
      </w:pPr>
      <w:r>
        <w:rPr>
          <w:rFonts w:ascii="Times New Roman" w:cs="Times New Roman" w:eastAsia="Times New Roman" w:hAnsi="Times New Roman"/>
          <w:sz w:val="21"/>
          <w:szCs w:val="21"/>
          <w:color w:val="auto"/>
        </w:rPr>
        <w:t>E-4-2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74295</wp:posOffset>
            </wp:positionV>
            <wp:extent cx="5528945" cy="514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57" w:right="1440" w:bottom="1440" w:gutter="0" w:footer="0" w:header="0"/>
        </w:sectPr>
      </w:pPr>
    </w:p>
    <w:bookmarkStart w:id="301" w:name="page302"/>
    <w:bookmarkEnd w:id="301"/>
    <w:p>
      <w:pPr>
        <w:jc w:val="right"/>
        <w:ind w:right="199"/>
        <w:spacing w:after="0"/>
        <w:rPr>
          <w:sz w:val="20"/>
          <w:szCs w:val="20"/>
          <w:color w:val="auto"/>
        </w:rPr>
      </w:pPr>
      <w:r>
        <w:rPr>
          <w:rFonts w:ascii="Times New Roman" w:cs="Times New Roman" w:eastAsia="Times New Roman" w:hAnsi="Times New Roman"/>
          <w:sz w:val="22"/>
          <w:szCs w:val="22"/>
          <w:color w:val="auto"/>
        </w:rPr>
        <w:t>EXHIBIT F</w:t>
      </w:r>
    </w:p>
    <w:p>
      <w:pPr>
        <w:spacing w:after="0" w:line="2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FORM OF BORROWING REQUEST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Administrative Agent</w:t>
      </w:r>
    </w:p>
    <w:p>
      <w:pPr>
        <w:ind w:left="180"/>
        <w:spacing w:after="0"/>
        <w:rPr>
          <w:sz w:val="20"/>
          <w:szCs w:val="20"/>
          <w:color w:val="auto"/>
        </w:rPr>
      </w:pPr>
      <w:r>
        <w:rPr>
          <w:rFonts w:ascii="Times New Roman" w:cs="Times New Roman" w:eastAsia="Times New Roman" w:hAnsi="Times New Roman"/>
          <w:sz w:val="22"/>
          <w:szCs w:val="22"/>
          <w:color w:val="auto"/>
        </w:rPr>
        <w:t>for the Lenders referred to below</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Agency Services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ind w:left="180"/>
        <w:spacing w:after="0" w:line="230" w:lineRule="auto"/>
        <w:rPr>
          <w:sz w:val="20"/>
          <w:szCs w:val="20"/>
          <w:color w:val="auto"/>
        </w:rPr>
      </w:pPr>
      <w:r>
        <w:rPr>
          <w:rFonts w:ascii="Times New Roman" w:cs="Times New Roman" w:eastAsia="Times New Roman" w:hAnsi="Times New Roman"/>
          <w:sz w:val="22"/>
          <w:szCs w:val="22"/>
          <w:color w:val="auto"/>
        </w:rPr>
        <w:t>Mail Stop: P7-PFSC-05-W</w:t>
      </w:r>
    </w:p>
    <w:p>
      <w:pPr>
        <w:ind w:left="180"/>
        <w:spacing w:after="0" w:line="231" w:lineRule="auto"/>
        <w:rPr>
          <w:sz w:val="20"/>
          <w:szCs w:val="20"/>
          <w:color w:val="auto"/>
        </w:rPr>
      </w:pPr>
      <w:r>
        <w:rPr>
          <w:rFonts w:ascii="Times New Roman" w:cs="Times New Roman" w:eastAsia="Times New Roman" w:hAnsi="Times New Roman"/>
          <w:sz w:val="22"/>
          <w:szCs w:val="22"/>
          <w:color w:val="auto"/>
        </w:rPr>
        <w:t>500 First Avenue</w:t>
      </w:r>
    </w:p>
    <w:p>
      <w:pPr>
        <w:ind w:left="180"/>
        <w:spacing w:after="0" w:line="230" w:lineRule="auto"/>
        <w:rPr>
          <w:sz w:val="20"/>
          <w:szCs w:val="20"/>
          <w:color w:val="auto"/>
        </w:rPr>
      </w:pPr>
      <w:r>
        <w:rPr>
          <w:rFonts w:ascii="Times New Roman" w:cs="Times New Roman" w:eastAsia="Times New Roman" w:hAnsi="Times New Roman"/>
          <w:sz w:val="22"/>
          <w:szCs w:val="22"/>
          <w:color w:val="auto"/>
        </w:rPr>
        <w:t>Pittsburgh, PA 15219</w:t>
      </w:r>
    </w:p>
    <w:p>
      <w:pPr>
        <w:ind w:left="180"/>
        <w:spacing w:after="0" w:line="231" w:lineRule="auto"/>
        <w:rPr>
          <w:sz w:val="20"/>
          <w:szCs w:val="20"/>
          <w:color w:val="auto"/>
        </w:rPr>
      </w:pPr>
      <w:r>
        <w:rPr>
          <w:rFonts w:ascii="Times New Roman" w:cs="Times New Roman" w:eastAsia="Times New Roman" w:hAnsi="Times New Roman"/>
          <w:sz w:val="22"/>
          <w:szCs w:val="22"/>
          <w:color w:val="auto"/>
        </w:rPr>
        <w:t>Attention: Agency Services</w:t>
      </w:r>
    </w:p>
    <w:p>
      <w:pPr>
        <w:ind w:left="180"/>
        <w:spacing w:after="0" w:line="230" w:lineRule="auto"/>
        <w:rPr>
          <w:sz w:val="20"/>
          <w:szCs w:val="20"/>
          <w:color w:val="auto"/>
        </w:rPr>
      </w:pPr>
      <w:r>
        <w:rPr>
          <w:rFonts w:ascii="Times New Roman" w:cs="Times New Roman" w:eastAsia="Times New Roman" w:hAnsi="Times New Roman"/>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Telephone: (412) 715-2006</w:t>
      </w:r>
    </w:p>
    <w:p>
      <w:pPr>
        <w:spacing w:after="0" w:line="182"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06" w:lineRule="exact"/>
        <w:rPr>
          <w:sz w:val="20"/>
          <w:szCs w:val="20"/>
          <w:color w:val="auto"/>
        </w:rPr>
      </w:pPr>
    </w:p>
    <w:p>
      <w:pPr>
        <w:ind w:left="180" w:right="219" w:firstLine="648"/>
        <w:spacing w:after="0" w:line="235" w:lineRule="auto"/>
        <w:rPr>
          <w:sz w:val="20"/>
          <w:szCs w:val="20"/>
          <w:color w:val="auto"/>
        </w:rPr>
      </w:pPr>
      <w:r>
        <w:rPr>
          <w:rFonts w:ascii="Times New Roman" w:cs="Times New Roman" w:eastAsia="Times New Roman" w:hAnsi="Times New Roman"/>
          <w:sz w:val="22"/>
          <w:szCs w:val="22"/>
          <w:color w:val="auto"/>
        </w:rPr>
        <w:t>Reference is made to the Credit Agreement dated as of November 25, 2020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PNG Companies LLC, the Lenders party thereto,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Terms defined in the Credit Agreement are used herein with the same meanings. The Borrower hereby requests to borrow Revolving Loans under the Credit Agreement, and in that connection the Borrower specifies the following information with respect to such borrowing of Revolving Loans requested hereby:</w:t>
      </w:r>
    </w:p>
    <w:p>
      <w:pPr>
        <w:spacing w:after="0" w:line="187" w:lineRule="exact"/>
        <w:rPr>
          <w:sz w:val="20"/>
          <w:szCs w:val="20"/>
          <w:color w:val="auto"/>
        </w:rPr>
      </w:pPr>
    </w:p>
    <w:p>
      <w:pPr>
        <w:ind w:left="1620" w:hanging="788"/>
        <w:spacing w:after="0"/>
        <w:tabs>
          <w:tab w:leader="none" w:pos="16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Revolving Loan :____________________</w:t>
      </w:r>
    </w:p>
    <w:p>
      <w:pPr>
        <w:spacing w:after="0" w:line="225" w:lineRule="exact"/>
        <w:rPr>
          <w:rFonts w:ascii="Times New Roman" w:cs="Times New Roman" w:eastAsia="Times New Roman" w:hAnsi="Times New Roman"/>
          <w:sz w:val="18"/>
          <w:szCs w:val="18"/>
          <w:color w:val="auto"/>
        </w:rPr>
      </w:pPr>
    </w:p>
    <w:p>
      <w:pPr>
        <w:ind w:left="1620" w:hanging="788"/>
        <w:spacing w:after="0"/>
        <w:tabs>
          <w:tab w:leader="none" w:pos="16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Revolving Loan (which is a Business Day) :__________________</w:t>
      </w:r>
    </w:p>
    <w:p>
      <w:pPr>
        <w:spacing w:after="0" w:line="225" w:lineRule="exact"/>
        <w:rPr>
          <w:rFonts w:ascii="Times New Roman" w:cs="Times New Roman" w:eastAsia="Times New Roman" w:hAnsi="Times New Roman"/>
          <w:sz w:val="18"/>
          <w:szCs w:val="18"/>
          <w:color w:val="auto"/>
        </w:rPr>
      </w:pPr>
    </w:p>
    <w:p>
      <w:pPr>
        <w:ind w:left="1620" w:hanging="788"/>
        <w:spacing w:after="0"/>
        <w:tabs>
          <w:tab w:leader="none" w:pos="16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Revolving Loan :____________________</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2" w:name="page303"/>
    <w:bookmarkEnd w:id="302"/>
    <w:p>
      <w:pPr>
        <w:ind w:left="1620" w:hanging="788"/>
        <w:spacing w:after="0"/>
        <w:tabs>
          <w:tab w:leader="none" w:pos="16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:____________________</w:t>
      </w:r>
    </w:p>
    <w:p>
      <w:pPr>
        <w:spacing w:after="0" w:line="215" w:lineRule="exact"/>
        <w:rPr>
          <w:rFonts w:ascii="Times New Roman" w:cs="Times New Roman" w:eastAsia="Times New Roman" w:hAnsi="Times New Roman"/>
          <w:sz w:val="18"/>
          <w:szCs w:val="18"/>
          <w:color w:val="auto"/>
        </w:rPr>
      </w:pPr>
    </w:p>
    <w:p>
      <w:pPr>
        <w:ind w:left="1640" w:hanging="808"/>
        <w:spacing w:after="0"/>
        <w:tabs>
          <w:tab w:leader="none" w:pos="16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Location and number of Borrower’s account at Administrative Agent to which</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proceeds of borrowing are to be disbursed:____________________</w:t>
      </w:r>
    </w:p>
    <w:p>
      <w:pPr>
        <w:spacing w:after="0" w:line="182" w:lineRule="exact"/>
        <w:rPr>
          <w:sz w:val="20"/>
          <w:szCs w:val="20"/>
          <w:color w:val="auto"/>
        </w:rPr>
      </w:pPr>
    </w:p>
    <w:p>
      <w:pPr>
        <w:ind w:left="1640" w:hanging="808"/>
        <w:spacing w:after="0"/>
        <w:tabs>
          <w:tab w:leader="none" w:pos="16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Revolving Loan will be used:</w:t>
      </w:r>
    </w:p>
    <w:p>
      <w:pPr>
        <w:spacing w:after="0" w:line="219" w:lineRule="exact"/>
        <w:rPr>
          <w:rFonts w:ascii="Times New Roman" w:cs="Times New Roman" w:eastAsia="Times New Roman" w:hAnsi="Times New Roman"/>
          <w:sz w:val="22"/>
          <w:szCs w:val="22"/>
          <w:color w:val="auto"/>
        </w:rPr>
      </w:pPr>
    </w:p>
    <w:p>
      <w:pPr>
        <w:ind w:left="2840" w:hanging="1360"/>
        <w:spacing w:after="0"/>
        <w:tabs>
          <w:tab w:leader="none" w:pos="2840" w:val="left"/>
        </w:tabs>
        <w:numPr>
          <w:ilvl w:val="1"/>
          <w:numId w:val="24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For purchases of natural gas inventory</w:t>
      </w:r>
    </w:p>
    <w:p>
      <w:pPr>
        <w:spacing w:after="0" w:line="219" w:lineRule="exact"/>
        <w:rPr>
          <w:rFonts w:ascii="MS PGothic" w:cs="MS PGothic" w:eastAsia="MS PGothic" w:hAnsi="MS PGothic"/>
          <w:sz w:val="22"/>
          <w:szCs w:val="22"/>
          <w:color w:val="auto"/>
        </w:rPr>
      </w:pPr>
    </w:p>
    <w:p>
      <w:pPr>
        <w:ind w:left="2840" w:hanging="1360"/>
        <w:spacing w:after="0"/>
        <w:tabs>
          <w:tab w:leader="none" w:pos="2840" w:val="left"/>
        </w:tabs>
        <w:numPr>
          <w:ilvl w:val="1"/>
          <w:numId w:val="249"/>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For other working capital needs and general corporate purposes</w:t>
      </w:r>
    </w:p>
    <w:p>
      <w:pPr>
        <w:spacing w:after="0" w:line="218" w:lineRule="exact"/>
        <w:rPr>
          <w:sz w:val="20"/>
          <w:szCs w:val="20"/>
          <w:color w:val="auto"/>
        </w:rPr>
      </w:pPr>
    </w:p>
    <w:p>
      <w:pPr>
        <w:ind w:left="180" w:right="639" w:firstLine="648"/>
        <w:spacing w:after="0" w:line="244" w:lineRule="auto"/>
        <w:rPr>
          <w:sz w:val="20"/>
          <w:szCs w:val="20"/>
          <w:color w:val="auto"/>
        </w:rPr>
      </w:pPr>
      <w:r>
        <w:rPr>
          <w:rFonts w:ascii="Times New Roman" w:cs="Times New Roman" w:eastAsia="Times New Roman" w:hAnsi="Times New Roman"/>
          <w:sz w:val="22"/>
          <w:szCs w:val="22"/>
          <w:color w:val="auto"/>
        </w:rPr>
        <w:t>The Borrower hereby represents and warrants as of the date of the making of such Revolving Loan, that the conditions set forth in Section 5.2 of the Credit Agreement have been satisfied or waived.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03" w:name="page304"/>
    <w:bookmarkEnd w:id="303"/>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Borrower has executed and delivered this Borrowing Request as of the date first written above.</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00" w:lineRule="exact"/>
        <w:rPr>
          <w:sz w:val="20"/>
          <w:szCs w:val="20"/>
          <w:color w:val="auto"/>
        </w:rPr>
      </w:pPr>
    </w:p>
    <w:p>
      <w:pPr>
        <w:spacing w:after="0" w:line="2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4" w:name="page305"/>
    <w:bookmarkEnd w:id="304"/>
    <w:tbl>
      <w:tblPr>
        <w:tblLayout w:type="fixed"/>
        <w:tblInd w:w="180" w:type="dxa"/>
        <w:tblCellMar>
          <w:top w:w="0" w:type="dxa"/>
          <w:left w:w="0" w:type="dxa"/>
          <w:bottom w:w="0" w:type="dxa"/>
          <w:right w:w="0" w:type="dxa"/>
        </w:tblCellMar>
      </w:tblPr>
      <w:tr>
        <w:trPr>
          <w:trHeight w:val="282"/>
        </w:trPr>
        <w:tc>
          <w:tcPr>
            <w:tcW w:w="5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EXHIBIT G</w:t>
            </w:r>
          </w:p>
        </w:tc>
      </w:tr>
      <w:tr>
        <w:trPr>
          <w:trHeight w:val="459"/>
        </w:trPr>
        <w:tc>
          <w:tcPr>
            <w:tcW w:w="5840" w:type="dxa"/>
            <w:vAlign w:val="bottom"/>
          </w:tcPr>
          <w:p>
            <w:pPr>
              <w:ind w:left="3540"/>
              <w:spacing w:after="0"/>
              <w:rPr>
                <w:sz w:val="20"/>
                <w:szCs w:val="20"/>
                <w:color w:val="auto"/>
              </w:rPr>
            </w:pPr>
            <w:r>
              <w:rPr>
                <w:rFonts w:ascii="Times New Roman" w:cs="Times New Roman" w:eastAsia="Times New Roman" w:hAnsi="Times New Roman"/>
                <w:sz w:val="22"/>
                <w:szCs w:val="22"/>
                <w:color w:val="auto"/>
              </w:rPr>
              <w:t>FORM OF NOTE</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0"/>
        </w:trPr>
        <w:tc>
          <w:tcPr>
            <w:tcW w:w="584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w:t>
            </w:r>
          </w:p>
        </w:tc>
        <w:tc>
          <w:tcPr>
            <w:tcW w:w="28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New York, New</w:t>
            </w:r>
          </w:p>
        </w:tc>
      </w:tr>
      <w:tr>
        <w:trPr>
          <w:trHeight w:val="282"/>
        </w:trPr>
        <w:tc>
          <w:tcPr>
            <w:tcW w:w="5840" w:type="dxa"/>
            <w:vAlign w:val="bottom"/>
          </w:tcPr>
          <w:p>
            <w:pPr>
              <w:spacing w:after="0"/>
              <w:rPr>
                <w:sz w:val="20"/>
                <w:szCs w:val="20"/>
                <w:color w:val="auto"/>
              </w:rPr>
            </w:pPr>
            <w:r>
              <w:rPr>
                <w:rFonts w:ascii="Times New Roman" w:cs="Times New Roman" w:eastAsia="Times New Roman" w:hAnsi="Times New Roman"/>
                <w:sz w:val="22"/>
                <w:szCs w:val="22"/>
                <w:color w:val="auto"/>
              </w:rPr>
              <w:t>York</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584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[_____], 20[__]</w:t>
            </w:r>
          </w:p>
        </w:tc>
      </w:tr>
      <w:tr>
        <w:trPr>
          <w:trHeight w:val="420"/>
        </w:trPr>
        <w:tc>
          <w:tcPr>
            <w:tcW w:w="86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FOR VALUE RECEIVED, PNG COMPANIES LLC, a Delaware limited liability</w:t>
            </w:r>
          </w:p>
        </w:tc>
      </w:tr>
      <w:tr>
        <w:trPr>
          <w:trHeight w:val="230"/>
        </w:trPr>
        <w:tc>
          <w:tcPr>
            <w:tcW w:w="58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company (the “Borrower”), hereby promises to pay to</w:t>
            </w:r>
          </w:p>
        </w:tc>
        <w:tc>
          <w:tcPr>
            <w:tcW w:w="28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auto"/>
              </w:rPr>
              <w:t>(the “Lender”) and its</w:t>
            </w:r>
          </w:p>
        </w:tc>
      </w:tr>
      <w:tr>
        <w:trPr>
          <w:trHeight w:val="20"/>
        </w:trPr>
        <w:tc>
          <w:tcPr>
            <w:tcW w:w="5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jc w:val="both"/>
        <w:ind w:left="180" w:right="199"/>
        <w:spacing w:after="0" w:line="249" w:lineRule="auto"/>
        <w:rPr>
          <w:sz w:val="20"/>
          <w:szCs w:val="20"/>
          <w:color w:val="auto"/>
        </w:rPr>
      </w:pPr>
      <w:r>
        <w:rPr>
          <w:rFonts w:ascii="Times New Roman" w:cs="Times New Roman" w:eastAsia="Times New Roman" w:hAnsi="Times New Roman"/>
          <w:sz w:val="21"/>
          <w:szCs w:val="21"/>
          <w:color w:val="auto"/>
        </w:rPr>
        <w:t>registered assigns, in lawful money of the United States of America in immediately available funds, at the Funding Office of PNC Bank, National Association, in its capacity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under the Credit Agreement (as defined below), on</w:t>
      </w:r>
    </w:p>
    <w:p>
      <w:pPr>
        <w:spacing w:after="0" w:line="1"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the Revolving Commitment Termination Date the principal sum of DOLLARS ($ ) or, if less, the then unpaid principal amount of all Revolving Loans made by the Lender pursuant to the Credit Agreement.</w:t>
      </w:r>
    </w:p>
    <w:p>
      <w:pPr>
        <w:spacing w:after="0" w:line="17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The Borrower promises also to pay interest on the unpaid principal amount of each Revolving Loan made by the Lender in like money to the Administrative Agent from the date hereof until paid at the rates and at the times provided in Section 2 of the Credit Agreement.</w:t>
      </w:r>
    </w:p>
    <w:p>
      <w:pPr>
        <w:spacing w:after="0" w:line="173"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This Note is one of the Notes issued pursuant to that certain Credit Agreement, dated as of November 25, 2020, among the Borrower, the Lenders and the Administrative Agent,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 is entitled to the benefits and subject to the terms thereof and of the other Loan Documents. This Note is subject to voluntary and mandatory repayment prior to the Revolving Commitment Termination Date, in whole or in part, upon the terms and conditions specified in the Credit Agreement.</w:t>
      </w:r>
    </w:p>
    <w:p>
      <w:pPr>
        <w:spacing w:after="0" w:line="183"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All Revolving Loans made by the Lender, the respective types and maturities thereof and all repayments of the principal thereof shall be recorded by the Lender and, if the Lender so elects in connection with any transfer or enforcement hereof, appropriate notations to evidence the foregoing information with respect to each such Revolving Loan then outstanding may be endorsed by the Lender on the schedule attached hereto, or on a continuation of such schedule attached to and made a part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the Lender to make any such recordation or endorsement shall not limit or otherwise affect the obligations of the Borrower hereunder or under the Credit Agreement.</w:t>
      </w:r>
    </w:p>
    <w:p>
      <w:pPr>
        <w:spacing w:after="0" w:line="178" w:lineRule="exact"/>
        <w:rPr>
          <w:sz w:val="20"/>
          <w:szCs w:val="20"/>
          <w:color w:val="auto"/>
        </w:rPr>
      </w:pPr>
    </w:p>
    <w:p>
      <w:pPr>
        <w:jc w:val="both"/>
        <w:ind w:left="180" w:right="199" w:firstLine="1296"/>
        <w:spacing w:after="0" w:line="244" w:lineRule="auto"/>
        <w:rPr>
          <w:sz w:val="20"/>
          <w:szCs w:val="20"/>
          <w:color w:val="auto"/>
        </w:rPr>
      </w:pPr>
      <w:r>
        <w:rPr>
          <w:rFonts w:ascii="Times New Roman" w:cs="Times New Roman" w:eastAsia="Times New Roman" w:hAnsi="Times New Roman"/>
          <w:sz w:val="22"/>
          <w:szCs w:val="22"/>
          <w:color w:val="auto"/>
        </w:rPr>
        <w:t>In case an Event of Default shall occur and be continuing, the principal of and accrued interest on this Note then remaining unpaid may become, or be declared to be, due and payable in the manner and with the effect provided in the Credit Agreement.</w:t>
      </w:r>
    </w:p>
    <w:p>
      <w:pPr>
        <w:spacing w:after="0" w:line="173" w:lineRule="exact"/>
        <w:rPr>
          <w:sz w:val="20"/>
          <w:szCs w:val="20"/>
          <w:color w:val="auto"/>
        </w:rPr>
      </w:pPr>
    </w:p>
    <w:p>
      <w:pPr>
        <w:jc w:val="both"/>
        <w:ind w:left="180" w:right="199" w:firstLine="1296"/>
        <w:spacing w:after="0" w:line="239" w:lineRule="auto"/>
        <w:rPr>
          <w:sz w:val="20"/>
          <w:szCs w:val="20"/>
          <w:color w:val="auto"/>
        </w:rPr>
      </w:pPr>
      <w:r>
        <w:rPr>
          <w:rFonts w:ascii="Times New Roman" w:cs="Times New Roman" w:eastAsia="Times New Roman" w:hAnsi="Times New Roman"/>
          <w:sz w:val="22"/>
          <w:szCs w:val="22"/>
          <w:color w:val="auto"/>
        </w:rPr>
        <w:t>The Borrower hereby waives presentment, demand, protest or notice of protest in connection with this Note to the extent permitted under applicable law. The non-exercise by the holder hereof of any of its rights hereunder in any particular instance shall not constitute a waiver thereof in that or any subsequent instance.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5" w:name="page306"/>
    <w:bookmarkEnd w:id="305"/>
    <w:p>
      <w:pPr>
        <w:jc w:val="both"/>
        <w:ind w:left="180" w:right="199" w:firstLine="1296"/>
        <w:spacing w:after="0" w:line="236" w:lineRule="auto"/>
        <w:rPr>
          <w:sz w:val="20"/>
          <w:szCs w:val="20"/>
          <w:color w:val="auto"/>
        </w:rPr>
      </w:pPr>
      <w:r>
        <w:rPr>
          <w:rFonts w:ascii="Times New Roman" w:cs="Times New Roman" w:eastAsia="Times New Roman" w:hAnsi="Times New Roman"/>
          <w:sz w:val="22"/>
          <w:szCs w:val="22"/>
          <w:color w:val="auto"/>
        </w:rPr>
        <w:t>This Note is a registered obligation, subject to restrictions on transfer or assignment as provided in Section 10.6 of the Credit Agreement, and transferable only upon notation in the Register, and no assignment hereof shall be effective until recorded therein; provided, however, nothing shall prevent or prohibit the Lender from pledging this Note, including, without limitation, to a Federal Reserve Bank in support of borrowings made by such Lender from such Federal Reserve Bank.</w:t>
      </w:r>
    </w:p>
    <w:p>
      <w:pPr>
        <w:spacing w:after="0" w:line="181" w:lineRule="exact"/>
        <w:rPr>
          <w:sz w:val="20"/>
          <w:szCs w:val="20"/>
          <w:color w:val="auto"/>
        </w:rPr>
      </w:pPr>
    </w:p>
    <w:p>
      <w:pPr>
        <w:jc w:val="both"/>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6" w:name="page307"/>
    <w:bookmarkEnd w:id="306"/>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THIS NOTE SHALL BE CONSTRUED IN ACCORDANCE WITH AND BE GOVERNED BY THE LAW OF THE STATE OF NEW YORK.</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7" w:name="page308"/>
    <w:bookmarkEnd w:id="307"/>
    <w:tbl>
      <w:tblPr>
        <w:tblLayout w:type="fixed"/>
        <w:tblInd w:w="180" w:type="dxa"/>
        <w:tblCellMar>
          <w:top w:w="0" w:type="dxa"/>
          <w:left w:w="0" w:type="dxa"/>
          <w:bottom w:w="0" w:type="dxa"/>
          <w:right w:w="0" w:type="dxa"/>
        </w:tblCellMar>
      </w:tblPr>
      <w:tr>
        <w:trPr>
          <w:trHeight w:val="282"/>
        </w:trPr>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4"/>
              </w:rPr>
              <w:t>Schedule</w:t>
            </w:r>
          </w:p>
        </w:tc>
      </w:tr>
      <w:tr>
        <w:trPr>
          <w:trHeight w:val="459"/>
        </w:trPr>
        <w:tc>
          <w:tcPr>
            <w:tcW w:w="1220" w:type="dxa"/>
            <w:vAlign w:val="bottom"/>
          </w:tcPr>
          <w:p>
            <w:pPr>
              <w:spacing w:after="0"/>
              <w:rPr>
                <w:sz w:val="24"/>
                <w:szCs w:val="24"/>
                <w:color w:val="auto"/>
              </w:rPr>
            </w:pPr>
          </w:p>
        </w:tc>
        <w:tc>
          <w:tcPr>
            <w:tcW w:w="600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REVOLVING LOANS AND PAYMENTS OF PRINCIPAL</w:t>
            </w:r>
          </w:p>
        </w:tc>
        <w:tc>
          <w:tcPr>
            <w:tcW w:w="1420" w:type="dxa"/>
            <w:vAlign w:val="bottom"/>
          </w:tcPr>
          <w:p>
            <w:pPr>
              <w:spacing w:after="0"/>
              <w:rPr>
                <w:sz w:val="24"/>
                <w:szCs w:val="24"/>
                <w:color w:val="auto"/>
              </w:rPr>
            </w:pPr>
          </w:p>
        </w:tc>
      </w:tr>
      <w:tr>
        <w:trPr>
          <w:trHeight w:val="204"/>
        </w:trPr>
        <w:tc>
          <w:tcPr>
            <w:tcW w:w="1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09"/>
        </w:trPr>
        <w:tc>
          <w:tcPr>
            <w:tcW w:w="1220" w:type="dxa"/>
            <w:vAlign w:val="bottom"/>
          </w:tcPr>
          <w:p>
            <w:pPr>
              <w:spacing w:after="0"/>
              <w:rPr>
                <w:sz w:val="18"/>
                <w:szCs w:val="18"/>
                <w:color w:val="auto"/>
              </w:rPr>
            </w:pPr>
          </w:p>
        </w:tc>
        <w:tc>
          <w:tcPr>
            <w:tcW w:w="15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Amount of</w:t>
            </w:r>
          </w:p>
        </w:tc>
        <w:tc>
          <w:tcPr>
            <w:tcW w:w="14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Type of</w:t>
            </w:r>
          </w:p>
        </w:tc>
        <w:tc>
          <w:tcPr>
            <w:tcW w:w="154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rPr>
              <w:t>Amount of</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122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Revolving</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Revolving</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Principal</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Maturity</w:t>
            </w:r>
          </w:p>
        </w:tc>
        <w:tc>
          <w:tcPr>
            <w:tcW w:w="14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Notation</w:t>
            </w:r>
          </w:p>
        </w:tc>
      </w:tr>
      <w:tr>
        <w:trPr>
          <w:trHeight w:val="280"/>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Loan</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Loan</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Repaid</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Date</w:t>
            </w:r>
          </w:p>
        </w:tc>
        <w:tc>
          <w:tcPr>
            <w:tcW w:w="1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Made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-477520</wp:posOffset>
            </wp:positionV>
            <wp:extent cx="5486400" cy="643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864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8" w:name="page309"/>
    <w:bookmarkEnd w:id="308"/>
    <w:p>
      <w:pPr>
        <w:jc w:val="right"/>
        <w:ind w:right="199"/>
        <w:spacing w:after="0"/>
        <w:rPr>
          <w:sz w:val="20"/>
          <w:szCs w:val="20"/>
          <w:color w:val="auto"/>
        </w:rPr>
      </w:pPr>
      <w:r>
        <w:rPr>
          <w:rFonts w:ascii="Times New Roman" w:cs="Times New Roman" w:eastAsia="Times New Roman" w:hAnsi="Times New Roman"/>
          <w:sz w:val="22"/>
          <w:szCs w:val="22"/>
          <w:color w:val="auto"/>
        </w:rPr>
        <w:t>EXHIBIT H</w:t>
      </w: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FORM OF CONVERSION/CONTINUATION NOTICE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Administrative Agent</w:t>
      </w:r>
    </w:p>
    <w:p>
      <w:pPr>
        <w:ind w:left="180"/>
        <w:spacing w:after="0" w:line="230" w:lineRule="auto"/>
        <w:rPr>
          <w:sz w:val="20"/>
          <w:szCs w:val="20"/>
          <w:color w:val="auto"/>
        </w:rPr>
      </w:pPr>
      <w:r>
        <w:rPr>
          <w:rFonts w:ascii="Times New Roman" w:cs="Times New Roman" w:eastAsia="Times New Roman" w:hAnsi="Times New Roman"/>
          <w:sz w:val="22"/>
          <w:szCs w:val="22"/>
          <w:color w:val="auto"/>
        </w:rPr>
        <w:t>under the Credit Agreement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referred to below</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Agency Services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PNC Bank, National Association</w:t>
      </w:r>
    </w:p>
    <w:p>
      <w:pPr>
        <w:ind w:left="180"/>
        <w:spacing w:after="0" w:line="230" w:lineRule="auto"/>
        <w:rPr>
          <w:sz w:val="20"/>
          <w:szCs w:val="20"/>
          <w:color w:val="auto"/>
        </w:rPr>
      </w:pPr>
      <w:r>
        <w:rPr>
          <w:rFonts w:ascii="Times New Roman" w:cs="Times New Roman" w:eastAsia="Times New Roman" w:hAnsi="Times New Roman"/>
          <w:sz w:val="22"/>
          <w:szCs w:val="22"/>
          <w:color w:val="auto"/>
        </w:rPr>
        <w:t>Mail Stop: P7-PFSC-05-W</w:t>
      </w:r>
    </w:p>
    <w:p>
      <w:pPr>
        <w:ind w:left="180"/>
        <w:spacing w:after="0" w:line="231" w:lineRule="auto"/>
        <w:rPr>
          <w:sz w:val="20"/>
          <w:szCs w:val="20"/>
          <w:color w:val="auto"/>
        </w:rPr>
      </w:pPr>
      <w:r>
        <w:rPr>
          <w:rFonts w:ascii="Times New Roman" w:cs="Times New Roman" w:eastAsia="Times New Roman" w:hAnsi="Times New Roman"/>
          <w:sz w:val="22"/>
          <w:szCs w:val="22"/>
          <w:color w:val="auto"/>
        </w:rPr>
        <w:t>500 First Avenue</w:t>
      </w:r>
    </w:p>
    <w:p>
      <w:pPr>
        <w:ind w:left="180"/>
        <w:spacing w:after="0" w:line="230" w:lineRule="auto"/>
        <w:rPr>
          <w:sz w:val="20"/>
          <w:szCs w:val="20"/>
          <w:color w:val="auto"/>
        </w:rPr>
      </w:pPr>
      <w:r>
        <w:rPr>
          <w:rFonts w:ascii="Times New Roman" w:cs="Times New Roman" w:eastAsia="Times New Roman" w:hAnsi="Times New Roman"/>
          <w:sz w:val="22"/>
          <w:szCs w:val="22"/>
          <w:color w:val="auto"/>
        </w:rPr>
        <w:t>Pittsburgh, PA 15219</w:t>
      </w:r>
    </w:p>
    <w:p>
      <w:pPr>
        <w:ind w:left="180"/>
        <w:spacing w:after="0" w:line="231" w:lineRule="auto"/>
        <w:rPr>
          <w:sz w:val="20"/>
          <w:szCs w:val="20"/>
          <w:color w:val="auto"/>
        </w:rPr>
      </w:pPr>
      <w:r>
        <w:rPr>
          <w:rFonts w:ascii="Times New Roman" w:cs="Times New Roman" w:eastAsia="Times New Roman" w:hAnsi="Times New Roman"/>
          <w:sz w:val="22"/>
          <w:szCs w:val="22"/>
          <w:color w:val="auto"/>
        </w:rPr>
        <w:t>Attention: Agency Services</w:t>
      </w:r>
    </w:p>
    <w:p>
      <w:pPr>
        <w:ind w:left="180"/>
        <w:spacing w:after="0" w:line="230" w:lineRule="auto"/>
        <w:rPr>
          <w:sz w:val="20"/>
          <w:szCs w:val="20"/>
          <w:color w:val="auto"/>
        </w:rPr>
      </w:pPr>
      <w:r>
        <w:rPr>
          <w:rFonts w:ascii="Times New Roman" w:cs="Times New Roman" w:eastAsia="Times New Roman" w:hAnsi="Times New Roman"/>
          <w:sz w:val="22"/>
          <w:szCs w:val="22"/>
          <w:color w:val="auto"/>
        </w:rPr>
        <w:t>Telecopy: (412) 768-0423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Telephone: (412) 715-2006</w:t>
      </w:r>
    </w:p>
    <w:p>
      <w:pPr>
        <w:spacing w:after="0" w:line="18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1"/>
          <w:szCs w:val="21"/>
          <w:color w:val="auto"/>
        </w:rPr>
        <w:t>Date: [•]</w:t>
      </w:r>
    </w:p>
    <w:p>
      <w:pPr>
        <w:spacing w:after="0" w:line="218" w:lineRule="exact"/>
        <w:rPr>
          <w:sz w:val="20"/>
          <w:szCs w:val="20"/>
          <w:color w:val="auto"/>
        </w:rPr>
      </w:pPr>
    </w:p>
    <w:p>
      <w:pPr>
        <w:jc w:val="both"/>
        <w:ind w:left="180" w:right="199" w:firstLine="1296"/>
        <w:spacing w:after="0" w:line="235" w:lineRule="auto"/>
        <w:rPr>
          <w:sz w:val="20"/>
          <w:szCs w:val="20"/>
          <w:color w:val="auto"/>
        </w:rPr>
      </w:pPr>
      <w:r>
        <w:rPr>
          <w:rFonts w:ascii="Times New Roman" w:cs="Times New Roman" w:eastAsia="Times New Roman" w:hAnsi="Times New Roman"/>
          <w:sz w:val="22"/>
          <w:szCs w:val="22"/>
          <w:color w:val="auto"/>
        </w:rPr>
        <w:t>The undersigned, PNG Companies LLC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refers to the Credit Agreement, dated as of November 25, 2020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Borrower, the Lenders party thereto,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Unless otherwise defined herein, terms defined in the Credit Agreement and used herein shall have the meanings given to them in the Credit Agreement.</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The undersigned hereby requests (select one):</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 conversion of a Term SOFR Rate Loan to an ABR Loan,</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 conversion of an ABR Loan to a Term SOFR Rate Loan, or</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 continuation of a Term SOFR Rate Loan</w:t>
      </w:r>
    </w:p>
    <w:p>
      <w:pPr>
        <w:spacing w:after="0" w:line="215" w:lineRule="exact"/>
        <w:rPr>
          <w:sz w:val="20"/>
          <w:szCs w:val="20"/>
          <w:color w:val="auto"/>
        </w:rPr>
      </w:pPr>
    </w:p>
    <w:p>
      <w:pPr>
        <w:ind w:left="2260" w:hanging="780"/>
        <w:spacing w:after="0"/>
        <w:tabs>
          <w:tab w:leader="none" w:pos="22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____________________ (a Business Day),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09" w:name="page310"/>
    <w:bookmarkEnd w:id="309"/>
    <w:p>
      <w:pPr>
        <w:ind w:left="180" w:right="199" w:firstLine="1300"/>
        <w:spacing w:after="0" w:line="282" w:lineRule="auto"/>
        <w:tabs>
          <w:tab w:leader="none" w:pos="225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the amount of $____________ to be converted into an ABR Loan.] [in the amount of $____________ to be converted into or continued as a Term SOFR Rate Loan, and]</w:t>
      </w:r>
    </w:p>
    <w:p>
      <w:pPr>
        <w:spacing w:after="0" w:line="161"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Interest Period of _____________ months.]</w:t>
      </w:r>
    </w:p>
    <w:p>
      <w:pPr>
        <w:spacing w:after="0" w:line="215" w:lineRule="exact"/>
        <w:rPr>
          <w:rFonts w:ascii="Times New Roman" w:cs="Times New Roman" w:eastAsia="Times New Roman" w:hAnsi="Times New Roman"/>
          <w:sz w:val="18"/>
          <w:szCs w:val="18"/>
          <w:color w:val="auto"/>
        </w:rPr>
      </w:pPr>
    </w:p>
    <w:p>
      <w:pPr>
        <w:ind w:left="2300" w:hanging="820"/>
        <w:spacing w:after="0"/>
        <w:tabs>
          <w:tab w:leader="none" w:pos="230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proceeds of the Revolving Loan that are being continued or</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converted hereby were used for:</w:t>
      </w:r>
    </w:p>
    <w:p>
      <w:pPr>
        <w:spacing w:after="0" w:line="18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The purchase natural gas inventory</w:t>
      </w: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Other working capital needs and general corporate purposes.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10" w:name="page311"/>
    <w:bookmarkEnd w:id="310"/>
    <w:p>
      <w:pPr>
        <w:ind w:left="180" w:right="199"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Borrower has executed and delivered this Conversion/Continuation Notice as of the date first written above.</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PNG COMPANIES LLC</w:t>
      </w: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11" w:name="page312"/>
    <w:bookmarkEnd w:id="311"/>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August 6, 2024</w:t>
      </w:r>
    </w:p>
    <w:p>
      <w:pPr>
        <w:sectPr>
          <w:pgSz w:w="11900" w:h="16838" w:orient="portrait"/>
          <w:cols w:equalWidth="0" w:num="1">
            <w:col w:w="9924"/>
          </w:cols>
          <w:pgMar w:left="976" w:top="75" w:right="99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jc w:val="both"/>
        <w:ind w:left="4" w:right="100"/>
        <w:spacing w:after="0" w:line="196" w:lineRule="auto"/>
        <w:rPr>
          <w:sz w:val="20"/>
          <w:szCs w:val="20"/>
          <w:color w:val="auto"/>
        </w:rPr>
      </w:pPr>
      <w:r>
        <w:rPr>
          <w:rFonts w:ascii="Times New Roman" w:cs="Times New Roman" w:eastAsia="Times New Roman" w:hAnsi="Times New Roman"/>
          <w:sz w:val="19"/>
          <w:szCs w:val="19"/>
          <w:color w:val="auto"/>
        </w:rPr>
        <w:t>In connection with the Quarterly Report on Form 10-Q for the period ended June 30, 2024 of Essential Utilities, Inc. (the “Company”) as filed with the Securities and Exchange Commission on the date hereof (the “Report”), I, Christopher H. Franklin, President and Chief Executive Officer of the Company, certify, pursuant to 18 U.S.C.</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17" w:lineRule="auto"/>
        <w:tabs>
          <w:tab w:leader="none" w:pos="32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1" w:right="10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100"/>
        <w:spacing w:after="0" w:line="188"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June 30, 2024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20" w:hanging="324"/>
        <w:spacing w:after="0" w:line="217" w:lineRule="auto"/>
        <w:tabs>
          <w:tab w:leader="none" w:pos="32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1)"/>
      <w:numFmt w:val="lowerLetter"/>
      <w:start w:val="1"/>
    </w:lvl>
  </w:abstractNum>
  <w:abstractNum w:abstractNumId="2">
    <w:nsid w:val="2A082C70"/>
    <w:multiLevelType w:val="hybridMultilevel"/>
    <w:lvl w:ilvl="0">
      <w:lvlJc w:val="left"/>
      <w:lvlText w:val=" "/>
      <w:numFmt w:val="bullet"/>
      <w:start w:val="1"/>
    </w:lvl>
  </w:abstractNum>
  <w:abstractNum w:abstractNumId="3">
    <w:nsid w:val="5EC6AFD4"/>
    <w:multiLevelType w:val="hybridMultilevel"/>
    <w:lvl w:ilvl="0">
      <w:lvlJc w:val="left"/>
      <w:lvlText w:val=" "/>
      <w:numFmt w:val="bullet"/>
      <w:start w:val="1"/>
    </w:lvl>
  </w:abstractNum>
  <w:abstractNum w:abstractNumId="4">
    <w:nsid w:val="19E21BB2"/>
    <w:multiLevelType w:val="hybridMultilevel"/>
    <w:lvl w:ilvl="0">
      <w:lvlJc w:val="left"/>
      <w:lvlText w:val=" "/>
      <w:numFmt w:val="bullet"/>
      <w:start w:val="1"/>
    </w:lvl>
  </w:abstractNum>
  <w:abstractNum w:abstractNumId="5">
    <w:nsid w:val="75E0858A"/>
    <w:multiLevelType w:val="hybridMultilevel"/>
    <w:lvl w:ilvl="0">
      <w:lvlJc w:val="left"/>
      <w:lvlText w:val=" "/>
      <w:numFmt w:val="bullet"/>
      <w:start w:val="1"/>
    </w:lvl>
  </w:abstractNum>
  <w:abstractNum w:abstractNumId="6">
    <w:nsid w:val="57A61A29"/>
    <w:multiLevelType w:val="hybridMultilevel"/>
    <w:lvl w:ilvl="0">
      <w:lvlJc w:val="left"/>
      <w:lvlText w:val=" "/>
      <w:numFmt w:val="bullet"/>
      <w:start w:val="1"/>
    </w:lvl>
  </w:abstractNum>
  <w:abstractNum w:abstractNumId="7">
    <w:nsid w:val="5399C654"/>
    <w:multiLevelType w:val="hybridMultilevel"/>
    <w:lvl w:ilvl="0">
      <w:lvlJc w:val="left"/>
      <w:lvlText w:val=" "/>
      <w:numFmt w:val="bullet"/>
      <w:start w:val="1"/>
    </w:lvl>
  </w:abstractNum>
  <w:abstractNum w:abstractNumId="8">
    <w:nsid w:val="20EE1348"/>
    <w:multiLevelType w:val="hybridMultilevel"/>
    <w:lvl w:ilvl="0">
      <w:lvlJc w:val="left"/>
      <w:lvlText w:val=" "/>
      <w:numFmt w:val="bullet"/>
      <w:start w:val="1"/>
    </w:lvl>
  </w:abstractNum>
  <w:abstractNum w:abstractNumId="9">
    <w:nsid w:val="4427069A"/>
    <w:multiLevelType w:val="hybridMultilevel"/>
    <w:lvl w:ilvl="0">
      <w:lvlJc w:val="left"/>
      <w:lvlText w:val=" "/>
      <w:numFmt w:val="bullet"/>
      <w:start w:val="1"/>
    </w:lvl>
  </w:abstractNum>
  <w:abstractNum w:abstractNumId="10">
    <w:nsid w:val="B37E80A"/>
    <w:multiLevelType w:val="hybridMultilevel"/>
    <w:lvl w:ilvl="0">
      <w:lvlJc w:val="left"/>
      <w:lvlText w:val=" "/>
      <w:numFmt w:val="bullet"/>
      <w:start w:val="1"/>
    </w:lvl>
  </w:abstractNum>
  <w:abstractNum w:abstractNumId="11">
    <w:nsid w:val="2157F6BC"/>
    <w:multiLevelType w:val="hybridMultilevel"/>
    <w:lvl w:ilvl="0">
      <w:lvlJc w:val="left"/>
      <w:lvlText w:val=" "/>
      <w:numFmt w:val="bullet"/>
      <w:start w:val="1"/>
    </w:lvl>
  </w:abstractNum>
  <w:abstractNum w:abstractNumId="12">
    <w:nsid w:val="704E1DD5"/>
    <w:multiLevelType w:val="hybridMultilevel"/>
    <w:lvl w:ilvl="0">
      <w:lvlJc w:val="left"/>
      <w:lvlText w:val="(%1)"/>
      <w:numFmt w:val="lowerLetter"/>
      <w:start w:val="1"/>
    </w:lvl>
  </w:abstractNum>
  <w:abstractNum w:abstractNumId="13">
    <w:nsid w:val="57D2F10E"/>
    <w:multiLevelType w:val="hybridMultilevel"/>
    <w:lvl w:ilvl="0">
      <w:lvlJc w:val="left"/>
      <w:lvlText w:val="(%1)"/>
      <w:numFmt w:val="lowerLetter"/>
      <w:start w:val="2"/>
    </w:lvl>
  </w:abstractNum>
  <w:abstractNum w:abstractNumId="14">
    <w:nsid w:val="BFFAE18"/>
    <w:multiLevelType w:val="hybridMultilevel"/>
    <w:lvl w:ilvl="0">
      <w:lvlJc w:val="left"/>
      <w:lvlText w:val="%1."/>
      <w:numFmt w:val="upperLetter"/>
      <w:start w:val="1"/>
    </w:lvl>
  </w:abstractNum>
  <w:abstractNum w:abstractNumId="15">
    <w:nsid w:val="E3E47A8"/>
    <w:multiLevelType w:val="hybridMultilevel"/>
    <w:lvl w:ilvl="0">
      <w:lvlJc w:val="left"/>
      <w:lvlText w:val="%1."/>
      <w:numFmt w:val="decimal"/>
      <w:start w:val="1"/>
    </w:lvl>
  </w:abstractNum>
  <w:abstractNum w:abstractNumId="16">
    <w:nsid w:val="2E48F044"/>
    <w:multiLevelType w:val="hybridMultilevel"/>
    <w:lvl w:ilvl="0">
      <w:lvlJc w:val="left"/>
      <w:lvlText w:val="%1."/>
      <w:numFmt w:val="decimal"/>
      <w:start w:val="2"/>
    </w:lvl>
    <w:lvl w:ilvl="1">
      <w:lvlJc w:val="left"/>
      <w:lvlText w:val="(%2)"/>
      <w:numFmt w:val="lowerLetter"/>
      <w:start w:val="1"/>
    </w:lvl>
  </w:abstractNum>
  <w:abstractNum w:abstractNumId="17">
    <w:nsid w:val="49D0FEAC"/>
    <w:multiLevelType w:val="hybridMultilevel"/>
    <w:lvl w:ilvl="0">
      <w:lvlJc w:val="left"/>
      <w:lvlText w:val="%1"/>
      <w:numFmt w:val="decimal"/>
      <w:start w:val="1"/>
    </w:lvl>
    <w:lvl w:ilvl="1">
      <w:lvlJc w:val="left"/>
      <w:lvlText w:val="(%2)"/>
      <w:numFmt w:val="lowerLetter"/>
      <w:start w:val="2"/>
    </w:lvl>
  </w:abstractNum>
  <w:abstractNum w:abstractNumId="18">
    <w:nsid w:val="4BEE5A5B"/>
    <w:multiLevelType w:val="hybridMultilevel"/>
    <w:lvl w:ilvl="0">
      <w:lvlJc w:val="left"/>
      <w:lvlText w:val="%1."/>
      <w:numFmt w:val="decimal"/>
      <w:start w:val="5"/>
    </w:lvl>
    <w:lvl w:ilvl="1">
      <w:lvlJc w:val="left"/>
      <w:lvlText w:val="%2"/>
      <w:numFmt w:val="lowerLetter"/>
      <w:start w:val="1"/>
    </w:lvl>
  </w:abstractNum>
  <w:abstractNum w:abstractNumId="19">
    <w:nsid w:val="5551B9F3"/>
    <w:multiLevelType w:val="hybridMultilevel"/>
    <w:lvl w:ilvl="0">
      <w:lvlJc w:val="left"/>
      <w:lvlText w:val="%1."/>
      <w:numFmt w:val="decimal"/>
      <w:start w:val="7"/>
    </w:lvl>
    <w:lvl w:ilvl="1">
      <w:lvlJc w:val="left"/>
      <w:lvlText w:val="(%2)"/>
      <w:numFmt w:val="lowerLetter"/>
      <w:start w:val="1"/>
    </w:lvl>
  </w:abstractNum>
  <w:abstractNum w:abstractNumId="20">
    <w:nsid w:val="24F6AB8E"/>
    <w:multiLevelType w:val="hybridMultilevel"/>
    <w:lvl w:ilvl="0">
      <w:lvlJc w:val="left"/>
      <w:lvlText w:val="%1."/>
      <w:numFmt w:val="decimal"/>
      <w:start w:val="8"/>
    </w:lvl>
  </w:abstractNum>
  <w:abstractNum w:abstractNumId="21">
    <w:nsid w:val="634C574C"/>
    <w:multiLevelType w:val="hybridMultilevel"/>
    <w:lvl w:ilvl="0">
      <w:lvlJc w:val="left"/>
      <w:lvlText w:val="(%1)"/>
      <w:numFmt w:val="lowerLetter"/>
      <w:start w:val="1"/>
    </w:lvl>
    <w:lvl w:ilvl="1">
      <w:lvlJc w:val="left"/>
      <w:lvlText w:val="(%2)"/>
      <w:numFmt w:val="lowerRoman"/>
      <w:start w:val="1"/>
    </w:lvl>
  </w:abstractNum>
  <w:abstractNum w:abstractNumId="22">
    <w:nsid w:val="24E99DD7"/>
    <w:multiLevelType w:val="hybridMultilevel"/>
    <w:lvl w:ilvl="0">
      <w:lvlJc w:val="left"/>
      <w:lvlText w:val="(%1)"/>
      <w:numFmt w:val="lowerLetter"/>
      <w:start w:val="4"/>
    </w:lvl>
  </w:abstractNum>
  <w:abstractNum w:abstractNumId="23">
    <w:nsid w:val="2A31B62D"/>
    <w:multiLevelType w:val="hybridMultilevel"/>
    <w:lvl w:ilvl="0">
      <w:lvlJc w:val="left"/>
      <w:lvlText w:val="%1."/>
      <w:numFmt w:val="decimal"/>
      <w:start w:val="9"/>
    </w:lvl>
    <w:lvl w:ilvl="1">
      <w:lvlJc w:val="left"/>
      <w:lvlText w:val="(%2)"/>
      <w:numFmt w:val="lowerLetter"/>
      <w:start w:val="1"/>
    </w:lvl>
  </w:abstractNum>
  <w:abstractNum w:abstractNumId="24">
    <w:nsid w:val="1849C29B"/>
    <w:multiLevelType w:val="hybridMultilevel"/>
    <w:lvl w:ilvl="0">
      <w:lvlJc w:val="left"/>
      <w:lvlText w:val="(%1)"/>
      <w:numFmt w:val="lowerLetter"/>
      <w:start w:val="4"/>
    </w:lvl>
  </w:abstractNum>
  <w:abstractNum w:abstractNumId="25">
    <w:nsid w:val="7DFF9D09"/>
    <w:multiLevelType w:val="hybridMultilevel"/>
    <w:lvl w:ilvl="0">
      <w:lvlJc w:val="left"/>
      <w:lvlText w:val="%1."/>
      <w:numFmt w:val="upperLetter"/>
      <w:start w:val="1"/>
    </w:lvl>
  </w:abstractNum>
  <w:abstractNum w:abstractNumId="26">
    <w:nsid w:val="754342"/>
    <w:multiLevelType w:val="hybridMultilevel"/>
    <w:lvl w:ilvl="0">
      <w:lvlJc w:val="left"/>
      <w:lvlText w:val="(%1)"/>
      <w:numFmt w:val="lowerLetter"/>
      <w:start w:val="1"/>
    </w:lvl>
  </w:abstractNum>
  <w:abstractNum w:abstractNumId="27">
    <w:nsid w:val="69E7F3E5"/>
    <w:multiLevelType w:val="hybridMultilevel"/>
    <w:lvl w:ilvl="0">
      <w:lvlJc w:val="left"/>
      <w:lvlText w:val="(%1)"/>
      <w:numFmt w:val="lowerLetter"/>
      <w:start w:val="1"/>
    </w:lvl>
  </w:abstractNum>
  <w:abstractNum w:abstractNumId="28">
    <w:nsid w:val="2A6DE806"/>
    <w:multiLevelType w:val="hybridMultilevel"/>
    <w:lvl w:ilvl="0">
      <w:lvlJc w:val="left"/>
      <w:lvlText w:val="(%1)"/>
      <w:numFmt w:val="lowerRoman"/>
      <w:start w:val="1"/>
    </w:lvl>
  </w:abstractNum>
  <w:abstractNum w:abstractNumId="29">
    <w:nsid w:val="1816F8C4"/>
    <w:multiLevelType w:val="hybridMultilevel"/>
    <w:lvl w:ilvl="0">
      <w:lvlJc w:val="left"/>
      <w:lvlText w:val="(%1)"/>
      <w:numFmt w:val="lowerRoman"/>
      <w:start w:val="2"/>
    </w:lvl>
  </w:abstractNum>
  <w:abstractNum w:abstractNumId="30">
    <w:nsid w:val="37DF2233"/>
    <w:multiLevelType w:val="hybridMultilevel"/>
    <w:lvl w:ilvl="0">
      <w:lvlJc w:val="left"/>
      <w:lvlText w:val="(%1)"/>
      <w:numFmt w:val="lowerRoman"/>
      <w:start w:val="2"/>
    </w:lvl>
  </w:abstractNum>
  <w:abstractNum w:abstractNumId="31">
    <w:nsid w:val="7AB49DAF"/>
    <w:multiLevelType w:val="hybridMultilevel"/>
    <w:lvl w:ilvl="0">
      <w:lvlJc w:val="left"/>
      <w:lvlText w:val="(%1)"/>
      <w:numFmt w:val="lowerRoman"/>
      <w:start w:val="1"/>
    </w:lvl>
  </w:abstractNum>
  <w:abstractNum w:abstractNumId="32">
    <w:nsid w:val="759F82CD"/>
    <w:multiLevelType w:val="hybridMultilevel"/>
    <w:lvl w:ilvl="0">
      <w:lvlJc w:val="left"/>
      <w:lvlText w:val="(%1)"/>
      <w:numFmt w:val="lowerRoman"/>
      <w:start w:val="1"/>
    </w:lvl>
  </w:abstractNum>
  <w:abstractNum w:abstractNumId="33">
    <w:nsid w:val="61E74EA3"/>
    <w:multiLevelType w:val="hybridMultilevel"/>
    <w:lvl w:ilvl="0">
      <w:lvlJc w:val="left"/>
      <w:lvlText w:val="(%1)"/>
      <w:numFmt w:val="lowerLetter"/>
      <w:start w:val="1"/>
    </w:lvl>
  </w:abstractNum>
  <w:abstractNum w:abstractNumId="34">
    <w:nsid w:val="597B4D84"/>
    <w:multiLevelType w:val="hybridMultilevel"/>
    <w:lvl w:ilvl="0">
      <w:lvlJc w:val="left"/>
      <w:lvlText w:val="(%1)"/>
      <w:numFmt w:val="lowerLetter"/>
      <w:start w:val="5"/>
    </w:lvl>
  </w:abstractNum>
  <w:abstractNum w:abstractNumId="35">
    <w:nsid w:val="F819E7F"/>
    <w:multiLevelType w:val="hybridMultilevel"/>
    <w:lvl w:ilvl="0">
      <w:lvlJc w:val="left"/>
      <w:lvlText w:val="(%1)"/>
      <w:numFmt w:val="lowerLetter"/>
      <w:start w:val="1"/>
    </w:lvl>
  </w:abstractNum>
  <w:abstractNum w:abstractNumId="36">
    <w:nsid w:val="57C7D42D"/>
    <w:multiLevelType w:val="hybridMultilevel"/>
    <w:lvl w:ilvl="0">
      <w:lvlJc w:val="left"/>
      <w:lvlText w:val="(%1)"/>
      <w:numFmt w:val="lowerLetter"/>
      <w:start w:val="3"/>
    </w:lvl>
  </w:abstractNum>
  <w:abstractNum w:abstractNumId="37">
    <w:nsid w:val="312167AD"/>
    <w:multiLevelType w:val="hybridMultilevel"/>
    <w:lvl w:ilvl="0">
      <w:lvlJc w:val="left"/>
      <w:lvlText w:val="(%1)"/>
      <w:numFmt w:val="lowerRoman"/>
      <w:start w:val="2"/>
    </w:lvl>
  </w:abstractNum>
  <w:abstractNum w:abstractNumId="38">
    <w:nsid w:val="631B64D4"/>
    <w:multiLevelType w:val="hybridMultilevel"/>
    <w:lvl w:ilvl="0">
      <w:lvlJc w:val="left"/>
      <w:lvlText w:val="(%1)"/>
      <w:numFmt w:val="lowerLetter"/>
      <w:start w:val="2"/>
    </w:lvl>
  </w:abstractNum>
  <w:abstractNum w:abstractNumId="39">
    <w:nsid w:val="78B5E776"/>
    <w:multiLevelType w:val="hybridMultilevel"/>
    <w:lvl w:ilvl="0">
      <w:lvlJc w:val="left"/>
      <w:lvlText w:val="(%1)"/>
      <w:numFmt w:val="lowerLetter"/>
      <w:start w:val="3"/>
    </w:lvl>
  </w:abstractNum>
  <w:abstractNum w:abstractNumId="40">
    <w:nsid w:val="75486E47"/>
    <w:multiLevelType w:val="hybridMultilevel"/>
    <w:lvl w:ilvl="0">
      <w:lvlJc w:val="left"/>
      <w:lvlText w:val="(%1)"/>
      <w:numFmt w:val="lowerRoman"/>
      <w:start w:val="3"/>
    </w:lvl>
  </w:abstractNum>
  <w:abstractNum w:abstractNumId="41">
    <w:nsid w:val="6E534CDE"/>
    <w:multiLevelType w:val="hybridMultilevel"/>
    <w:lvl w:ilvl="0">
      <w:lvlJc w:val="left"/>
      <w:lvlText w:val="(%1)"/>
      <w:numFmt w:val="upperLetter"/>
      <w:start w:val="1"/>
    </w:lvl>
  </w:abstractNum>
  <w:abstractNum w:abstractNumId="42">
    <w:nsid w:val="1A0DDE32"/>
    <w:multiLevelType w:val="hybridMultilevel"/>
    <w:lvl w:ilvl="0">
      <w:lvlJc w:val="left"/>
      <w:lvlText w:val="(%1)"/>
      <w:numFmt w:val="lowerRoman"/>
      <w:start w:val="1"/>
    </w:lvl>
  </w:abstractNum>
  <w:abstractNum w:abstractNumId="43">
    <w:nsid w:val="65968C1C"/>
    <w:multiLevelType w:val="hybridMultilevel"/>
    <w:lvl w:ilvl="0">
      <w:lvlJc w:val="left"/>
      <w:lvlText w:val="(%1)"/>
      <w:numFmt w:val="lowerLetter"/>
      <w:start w:val="25"/>
    </w:lvl>
  </w:abstractNum>
  <w:abstractNum w:abstractNumId="44">
    <w:nsid w:val="46263DEC"/>
    <w:multiLevelType w:val="hybridMultilevel"/>
    <w:lvl w:ilvl="0">
      <w:lvlJc w:val="left"/>
      <w:lvlText w:val="(%1)"/>
      <w:numFmt w:val="lowerRoman"/>
      <w:start w:val="1"/>
    </w:lvl>
  </w:abstractNum>
  <w:abstractNum w:abstractNumId="45">
    <w:nsid w:val="260D8C4A"/>
    <w:multiLevelType w:val="hybridMultilevel"/>
    <w:lvl w:ilvl="0">
      <w:lvlJc w:val="left"/>
      <w:lvlText w:val="%1"/>
      <w:numFmt w:val="upperLetter"/>
      <w:start w:val="1"/>
    </w:lvl>
    <w:lvl w:ilvl="1">
      <w:lvlJc w:val="left"/>
      <w:lvlText w:val="(%2)"/>
      <w:numFmt w:val="lowerRoman"/>
      <w:start w:val="1"/>
    </w:lvl>
  </w:abstractNum>
  <w:abstractNum w:abstractNumId="46">
    <w:nsid w:val="73D4D3C4"/>
    <w:multiLevelType w:val="hybridMultilevel"/>
    <w:lvl w:ilvl="0">
      <w:lvlJc w:val="left"/>
      <w:lvlText w:val="(%1)"/>
      <w:numFmt w:val="upperLetter"/>
      <w:start w:val="2"/>
    </w:lvl>
    <w:lvl w:ilvl="1">
      <w:lvlJc w:val="left"/>
      <w:lvlText w:val="(%2)"/>
      <w:numFmt w:val="lowerRoman"/>
      <w:start w:val="2"/>
    </w:lvl>
  </w:abstractNum>
  <w:abstractNum w:abstractNumId="47">
    <w:nsid w:val="746F2E30"/>
    <w:multiLevelType w:val="hybridMultilevel"/>
    <w:lvl w:ilvl="0">
      <w:lvlJc w:val="left"/>
      <w:lvlText w:val="(%1)"/>
      <w:numFmt w:val="lowerRoman"/>
      <w:start w:val="3"/>
    </w:lvl>
  </w:abstractNum>
  <w:abstractNum w:abstractNumId="48">
    <w:nsid w:val="6FDE8AF6"/>
    <w:multiLevelType w:val="hybridMultilevel"/>
    <w:lvl w:ilvl="0">
      <w:lvlJc w:val="left"/>
      <w:lvlText w:val="(%1)"/>
      <w:numFmt w:val="lowerRoman"/>
      <w:start w:val="6"/>
    </w:lvl>
  </w:abstractNum>
  <w:abstractNum w:abstractNumId="49">
    <w:nsid w:val="3FC32E20"/>
    <w:multiLevelType w:val="hybridMultilevel"/>
    <w:lvl w:ilvl="0">
      <w:lvlJc w:val="left"/>
      <w:lvlText w:val="(%1)"/>
      <w:numFmt w:val="decimal"/>
      <w:start w:val="1"/>
    </w:lvl>
  </w:abstractNum>
  <w:abstractNum w:abstractNumId="50">
    <w:nsid w:val="49C0E823"/>
    <w:multiLevelType w:val="hybridMultilevel"/>
    <w:lvl w:ilvl="0">
      <w:lvlJc w:val="left"/>
      <w:lvlText w:val="(%1)"/>
      <w:numFmt w:val="decimal"/>
      <w:start w:val="1"/>
    </w:lvl>
  </w:abstractNum>
  <w:abstractNum w:abstractNumId="51">
    <w:nsid w:val="14D53685"/>
    <w:multiLevelType w:val="hybridMultilevel"/>
    <w:lvl w:ilvl="0">
      <w:lvlJc w:val="left"/>
      <w:lvlText w:val="(%1)"/>
      <w:numFmt w:val="decimal"/>
      <w:start w:val="1"/>
    </w:lvl>
  </w:abstractNum>
  <w:abstractNum w:abstractNumId="52">
    <w:nsid w:val="230F856C"/>
    <w:multiLevelType w:val="hybridMultilevel"/>
    <w:lvl w:ilvl="0">
      <w:lvlJc w:val="left"/>
      <w:lvlText w:val="(%1)"/>
      <w:numFmt w:val="decimal"/>
      <w:start w:val="2"/>
    </w:lvl>
  </w:abstractNum>
  <w:abstractNum w:abstractNumId="53">
    <w:nsid w:val="6EAA85FB"/>
    <w:multiLevelType w:val="hybridMultilevel"/>
    <w:lvl w:ilvl="0">
      <w:lvlJc w:val="left"/>
      <w:lvlText w:val="(%1)"/>
      <w:numFmt w:val="decimal"/>
      <w:start w:val="3"/>
    </w:lvl>
  </w:abstractNum>
  <w:abstractNum w:abstractNumId="54">
    <w:nsid w:val="3F06ECB2"/>
    <w:multiLevelType w:val="hybridMultilevel"/>
    <w:lvl w:ilvl="0">
      <w:lvlJc w:val="left"/>
      <w:lvlText w:val="(%1)"/>
      <w:numFmt w:val="lowerRoman"/>
      <w:start w:val="10"/>
    </w:lvl>
  </w:abstractNum>
  <w:abstractNum w:abstractNumId="55">
    <w:nsid w:val="3B594807"/>
    <w:multiLevelType w:val="hybridMultilevel"/>
    <w:lvl w:ilvl="0">
      <w:lvlJc w:val="left"/>
      <w:lvlText w:val="(%1)"/>
      <w:numFmt w:val="lowerRoman"/>
      <w:start w:val="1"/>
    </w:lvl>
  </w:abstractNum>
  <w:abstractNum w:abstractNumId="56">
    <w:nsid w:val="6CAA2304"/>
    <w:multiLevelType w:val="hybridMultilevel"/>
    <w:lvl w:ilvl="0">
      <w:lvlJc w:val="left"/>
      <w:lvlText w:val="(%1)"/>
      <w:numFmt w:val="lowerRoman"/>
      <w:start w:val="1"/>
    </w:lvl>
  </w:abstractNum>
  <w:abstractNum w:abstractNumId="57">
    <w:nsid w:val="3F7C2FF4"/>
    <w:multiLevelType w:val="hybridMultilevel"/>
    <w:lvl w:ilvl="0">
      <w:lvlJc w:val="left"/>
      <w:lvlText w:val="(%1)"/>
      <w:numFmt w:val="lowerLetter"/>
      <w:start w:val="1"/>
    </w:lvl>
  </w:abstractNum>
  <w:abstractNum w:abstractNumId="58">
    <w:nsid w:val="25413BEC"/>
    <w:multiLevelType w:val="hybridMultilevel"/>
    <w:lvl w:ilvl="0">
      <w:lvlJc w:val="left"/>
      <w:lvlText w:val="(%1)"/>
      <w:numFmt w:val="lowerRoman"/>
      <w:start w:val="2"/>
    </w:lvl>
  </w:abstractNum>
  <w:abstractNum w:abstractNumId="59">
    <w:nsid w:val="17180B0B"/>
    <w:multiLevelType w:val="hybridMultilevel"/>
    <w:lvl w:ilvl="0">
      <w:lvlJc w:val="left"/>
      <w:lvlText w:val="(%1)"/>
      <w:numFmt w:val="lowerRoman"/>
      <w:start w:val="1"/>
    </w:lvl>
  </w:abstractNum>
  <w:abstractNum w:abstractNumId="60">
    <w:nsid w:val="579328B9"/>
    <w:multiLevelType w:val="hybridMultilevel"/>
    <w:lvl w:ilvl="0">
      <w:lvlJc w:val="left"/>
      <w:lvlText w:val="(%1)"/>
      <w:numFmt w:val="lowerRoman"/>
      <w:start w:val="5"/>
    </w:lvl>
  </w:abstractNum>
  <w:abstractNum w:abstractNumId="61">
    <w:nsid w:val="5D205E20"/>
    <w:multiLevelType w:val="hybridMultilevel"/>
    <w:lvl w:ilvl="0">
      <w:lvlJc w:val="left"/>
      <w:lvlText w:val="(%1)"/>
      <w:numFmt w:val="lowerRoman"/>
      <w:start w:val="1"/>
    </w:lvl>
  </w:abstractNum>
  <w:abstractNum w:abstractNumId="62">
    <w:nsid w:val="11CCA8BA"/>
    <w:multiLevelType w:val="hybridMultilevel"/>
    <w:lvl w:ilvl="0">
      <w:lvlJc w:val="left"/>
      <w:lvlText w:val="(%1)"/>
      <w:numFmt w:val="lowerLetter"/>
      <w:start w:val="2"/>
    </w:lvl>
  </w:abstractNum>
  <w:abstractNum w:abstractNumId="63">
    <w:nsid w:val="4D32AB86"/>
    <w:multiLevelType w:val="hybridMultilevel"/>
    <w:lvl w:ilvl="0">
      <w:lvlJc w:val="left"/>
      <w:lvlText w:val="(%1)"/>
      <w:numFmt w:val="lowerRoman"/>
      <w:start w:val="1"/>
    </w:lvl>
  </w:abstractNum>
  <w:abstractNum w:abstractNumId="64">
    <w:nsid w:val="3F07ACC3"/>
    <w:multiLevelType w:val="hybridMultilevel"/>
    <w:lvl w:ilvl="0">
      <w:lvlJc w:val="left"/>
      <w:lvlText w:val="(%1)"/>
      <w:numFmt w:val="lowerLetter"/>
      <w:start w:val="24"/>
    </w:lvl>
  </w:abstractNum>
  <w:abstractNum w:abstractNumId="65">
    <w:nsid w:val="6B47F63E"/>
    <w:multiLevelType w:val="hybridMultilevel"/>
    <w:lvl w:ilvl="0">
      <w:lvlJc w:val="left"/>
      <w:lvlText w:val="(%1)"/>
      <w:numFmt w:val="lowerRoman"/>
      <w:start w:val="2"/>
    </w:lvl>
  </w:abstractNum>
  <w:abstractNum w:abstractNumId="66">
    <w:nsid w:val="5CB44A05"/>
    <w:multiLevelType w:val="hybridMultilevel"/>
    <w:lvl w:ilvl="0">
      <w:lvlJc w:val="left"/>
      <w:lvlText w:val="(%1)"/>
      <w:numFmt w:val="lowerLetter"/>
      <w:start w:val="5"/>
    </w:lvl>
  </w:abstractNum>
  <w:abstractNum w:abstractNumId="67">
    <w:nsid w:val="16CF80F1"/>
    <w:multiLevelType w:val="hybridMultilevel"/>
    <w:lvl w:ilvl="0">
      <w:lvlJc w:val="left"/>
      <w:lvlText w:val="(%1)"/>
      <w:numFmt w:val="upperLetter"/>
      <w:start w:val="1"/>
    </w:lvl>
  </w:abstractNum>
  <w:abstractNum w:abstractNumId="68">
    <w:nsid w:val="1C695DEC"/>
    <w:multiLevelType w:val="hybridMultilevel"/>
    <w:lvl w:ilvl="0">
      <w:lvlJc w:val="left"/>
      <w:lvlText w:val="(%1)"/>
      <w:numFmt w:val="lowerRoman"/>
      <w:start w:val="1"/>
    </w:lvl>
  </w:abstractNum>
  <w:abstractNum w:abstractNumId="69">
    <w:nsid w:val="3FCFAED9"/>
    <w:multiLevelType w:val="hybridMultilevel"/>
    <w:lvl w:ilvl="0">
      <w:lvlJc w:val="left"/>
      <w:lvlText w:val="(%1)"/>
      <w:numFmt w:val="lowerRoman"/>
      <w:start w:val="5"/>
    </w:lvl>
  </w:abstractNum>
  <w:abstractNum w:abstractNumId="70">
    <w:nsid w:val="F856867"/>
    <w:multiLevelType w:val="hybridMultilevel"/>
    <w:lvl w:ilvl="0">
      <w:lvlJc w:val="left"/>
      <w:lvlText w:val="(%1)"/>
      <w:numFmt w:val="lowerRoman"/>
      <w:start w:val="2"/>
    </w:lvl>
  </w:abstractNum>
  <w:abstractNum w:abstractNumId="71">
    <w:nsid w:val="11B1CC33"/>
    <w:multiLevelType w:val="hybridMultilevel"/>
    <w:lvl w:ilvl="0">
      <w:lvlJc w:val="left"/>
      <w:lvlText w:val="(%1)"/>
      <w:numFmt w:val="lowerRoman"/>
      <w:start w:val="2"/>
    </w:lvl>
  </w:abstractNum>
  <w:abstractNum w:abstractNumId="72">
    <w:nsid w:val="2E22FBB7"/>
    <w:multiLevelType w:val="hybridMultilevel"/>
    <w:lvl w:ilvl="0">
      <w:lvlJc w:val="left"/>
      <w:lvlText w:val="(%1)"/>
      <w:numFmt w:val="lowerRoman"/>
      <w:start w:val="1"/>
    </w:lvl>
  </w:abstractNum>
  <w:abstractNum w:abstractNumId="73">
    <w:nsid w:val="29934699"/>
    <w:multiLevelType w:val="hybridMultilevel"/>
    <w:lvl w:ilvl="0">
      <w:lvlJc w:val="left"/>
      <w:lvlText w:val="(%1)"/>
      <w:numFmt w:val="lowerRoman"/>
      <w:start w:val="1"/>
    </w:lvl>
  </w:abstractNum>
  <w:abstractNum w:abstractNumId="74">
    <w:nsid w:val="77485850"/>
    <w:multiLevelType w:val="hybridMultilevel"/>
    <w:lvl w:ilvl="0">
      <w:lvlJc w:val="left"/>
      <w:lvlText w:val="%1"/>
      <w:numFmt w:val="lowerLetter"/>
      <w:start w:val="1"/>
    </w:lvl>
    <w:lvl w:ilvl="1">
      <w:lvlJc w:val="left"/>
      <w:lvlText w:val="(%2)"/>
      <w:numFmt w:val="lowerLetter"/>
      <w:start w:val="61"/>
    </w:lvl>
  </w:abstractNum>
  <w:abstractNum w:abstractNumId="75">
    <w:nsid w:val="744939A3"/>
    <w:multiLevelType w:val="hybridMultilevel"/>
    <w:lvl w:ilvl="0">
      <w:lvlJc w:val="left"/>
      <w:lvlText w:val="(%1)"/>
      <w:numFmt w:val="lowerLetter"/>
      <w:start w:val="2"/>
    </w:lvl>
    <w:lvl w:ilvl="1">
      <w:lvlJc w:val="left"/>
      <w:lvlText w:val="%2"/>
      <w:numFmt w:val="lowerLetter"/>
      <w:start w:val="1"/>
    </w:lvl>
  </w:abstractNum>
  <w:abstractNum w:abstractNumId="76">
    <w:nsid w:val="4FA0D2E3"/>
    <w:multiLevelType w:val="hybridMultilevel"/>
    <w:lvl w:ilvl="0">
      <w:lvlJc w:val="left"/>
      <w:lvlText w:val="(%1)"/>
      <w:numFmt w:val="lowerLetter"/>
      <w:start w:val="1"/>
    </w:lvl>
  </w:abstractNum>
  <w:abstractNum w:abstractNumId="77">
    <w:nsid w:val="6B1D2C14"/>
    <w:multiLevelType w:val="hybridMultilevel"/>
    <w:lvl w:ilvl="0">
      <w:lvlJc w:val="left"/>
      <w:lvlText w:val="(%1)"/>
      <w:numFmt w:val="lowerLetter"/>
      <w:start w:val="1"/>
    </w:lvl>
  </w:abstractNum>
  <w:abstractNum w:abstractNumId="78">
    <w:nsid w:val="68B867D3"/>
    <w:multiLevelType w:val="hybridMultilevel"/>
    <w:lvl w:ilvl="0">
      <w:lvlJc w:val="left"/>
      <w:lvlText w:val="%1"/>
      <w:numFmt w:val="lowerLetter"/>
      <w:start w:val="1"/>
    </w:lvl>
    <w:lvl w:ilvl="1">
      <w:lvlJc w:val="left"/>
      <w:lvlText w:val="(%2)"/>
      <w:numFmt w:val="lowerRoman"/>
      <w:start w:val="1"/>
    </w:lvl>
  </w:abstractNum>
  <w:abstractNum w:abstractNumId="79">
    <w:nsid w:val="3F7F5DD9"/>
    <w:multiLevelType w:val="hybridMultilevel"/>
    <w:lvl w:ilvl="0">
      <w:lvlJc w:val="left"/>
      <w:lvlText w:val="(%1)"/>
      <w:numFmt w:val="lowerLetter"/>
      <w:start w:val="1"/>
    </w:lvl>
    <w:lvl w:ilvl="1">
      <w:lvlJc w:val="left"/>
      <w:lvlText w:val="(%2)"/>
      <w:numFmt w:val="lowerRoman"/>
      <w:start w:val="4"/>
    </w:lvl>
  </w:abstractNum>
  <w:abstractNum w:abstractNumId="80">
    <w:nsid w:val="2AE05A34"/>
    <w:multiLevelType w:val="hybridMultilevel"/>
    <w:lvl w:ilvl="0">
      <w:lvlJc w:val="left"/>
      <w:lvlText w:val="(%1)"/>
      <w:numFmt w:val="lowerRoman"/>
      <w:start w:val="1"/>
    </w:lvl>
  </w:abstractNum>
  <w:abstractNum w:abstractNumId="81">
    <w:nsid w:val="32794FF7"/>
    <w:multiLevelType w:val="hybridMultilevel"/>
    <w:lvl w:ilvl="0">
      <w:lvlJc w:val="left"/>
      <w:lvlText w:val="(%1)"/>
      <w:numFmt w:val="lowerRoman"/>
      <w:start w:val="1"/>
    </w:lvl>
  </w:abstractNum>
  <w:abstractNum w:abstractNumId="82">
    <w:nsid w:val="5454945E"/>
    <w:multiLevelType w:val="hybridMultilevel"/>
    <w:lvl w:ilvl="0">
      <w:lvlJc w:val="left"/>
      <w:lvlText w:val="(%1)"/>
      <w:numFmt w:val="lowerLetter"/>
      <w:start w:val="1"/>
    </w:lvl>
  </w:abstractNum>
  <w:abstractNum w:abstractNumId="83">
    <w:nsid w:val="4DEFDFA0"/>
    <w:multiLevelType w:val="hybridMultilevel"/>
    <w:lvl w:ilvl="0">
      <w:lvlJc w:val="left"/>
      <w:lvlText w:val="(%1)"/>
      <w:numFmt w:val="lowerLetter"/>
      <w:start w:val="3"/>
    </w:lvl>
  </w:abstractNum>
  <w:abstractNum w:abstractNumId="84">
    <w:nsid w:val="2123D5F2"/>
    <w:multiLevelType w:val="hybridMultilevel"/>
    <w:lvl w:ilvl="0">
      <w:lvlJc w:val="left"/>
      <w:lvlText w:val="(%1)"/>
      <w:numFmt w:val="lowerRoman"/>
      <w:start w:val="1"/>
    </w:lvl>
  </w:abstractNum>
  <w:abstractNum w:abstractNumId="85">
    <w:nsid w:val="135B8110"/>
    <w:multiLevelType w:val="hybridMultilevel"/>
    <w:lvl w:ilvl="0">
      <w:lvlJc w:val="left"/>
      <w:lvlText w:val="(%1)"/>
      <w:numFmt w:val="lowerRoman"/>
      <w:start w:val="1"/>
    </w:lvl>
  </w:abstractNum>
  <w:abstractNum w:abstractNumId="86">
    <w:nsid w:val="94927A8"/>
    <w:multiLevelType w:val="hybridMultilevel"/>
    <w:lvl w:ilvl="0">
      <w:lvlJc w:val="left"/>
      <w:lvlText w:val="(%1)"/>
      <w:numFmt w:val="lowerRoman"/>
      <w:start w:val="5"/>
    </w:lvl>
  </w:abstractNum>
  <w:abstractNum w:abstractNumId="87">
    <w:nsid w:val="DCDF8F6"/>
    <w:multiLevelType w:val="hybridMultilevel"/>
    <w:lvl w:ilvl="0">
      <w:lvlJc w:val="left"/>
      <w:lvlText w:val="(%1)"/>
      <w:numFmt w:val="lowerRoman"/>
      <w:start w:val="3"/>
    </w:lvl>
  </w:abstractNum>
  <w:abstractNum w:abstractNumId="88">
    <w:nsid w:val="52D7B105"/>
    <w:multiLevelType w:val="hybridMultilevel"/>
    <w:lvl w:ilvl="0">
      <w:lvlJc w:val="left"/>
      <w:lvlText w:val="(%1)"/>
      <w:numFmt w:val="lowerRoman"/>
      <w:start w:val="3"/>
    </w:lvl>
  </w:abstractNum>
  <w:abstractNum w:abstractNumId="89">
    <w:nsid w:val="2E8A6394"/>
    <w:multiLevelType w:val="hybridMultilevel"/>
    <w:lvl w:ilvl="0">
      <w:lvlJc w:val="left"/>
      <w:lvlText w:val="(%1)"/>
      <w:numFmt w:val="lowerRoman"/>
      <w:start w:val="1"/>
    </w:lvl>
  </w:abstractNum>
  <w:abstractNum w:abstractNumId="90">
    <w:nsid w:val="24E60401"/>
    <w:multiLevelType w:val="hybridMultilevel"/>
    <w:lvl w:ilvl="0">
      <w:lvlJc w:val="left"/>
      <w:lvlText w:val="(%1)"/>
      <w:numFmt w:val="lowerRoman"/>
      <w:start w:val="1"/>
    </w:lvl>
  </w:abstractNum>
  <w:abstractNum w:abstractNumId="91">
    <w:nsid w:val="2A6AD9BE"/>
    <w:multiLevelType w:val="hybridMultilevel"/>
    <w:lvl w:ilvl="0">
      <w:lvlJc w:val="left"/>
      <w:lvlText w:val="(%1)"/>
      <w:numFmt w:val="lowerRoman"/>
      <w:start w:val="1"/>
    </w:lvl>
  </w:abstractNum>
  <w:abstractNum w:abstractNumId="92">
    <w:nsid w:val="BAAC1B4"/>
    <w:multiLevelType w:val="hybridMultilevel"/>
    <w:lvl w:ilvl="0">
      <w:lvlJc w:val="left"/>
      <w:lvlText w:val="(%1)"/>
      <w:numFmt w:val="lowerRoman"/>
      <w:start w:val="2"/>
    </w:lvl>
  </w:abstractNum>
  <w:abstractNum w:abstractNumId="93">
    <w:nsid w:val="36B2ACBC"/>
    <w:multiLevelType w:val="hybridMultilevel"/>
    <w:lvl w:ilvl="0">
      <w:lvlJc w:val="left"/>
      <w:lvlText w:val="(%1)"/>
      <w:numFmt w:val="lowerLetter"/>
      <w:start w:val="1"/>
    </w:lvl>
  </w:abstractNum>
  <w:abstractNum w:abstractNumId="94">
    <w:nsid w:val="779D8544"/>
    <w:multiLevelType w:val="hybridMultilevel"/>
    <w:lvl w:ilvl="0">
      <w:lvlJc w:val="left"/>
      <w:lvlText w:val="%1."/>
      <w:numFmt w:val="upperLetter"/>
      <w:start w:val="1"/>
    </w:lvl>
  </w:abstractNum>
  <w:abstractNum w:abstractNumId="95">
    <w:nsid w:val="4AB26E78"/>
    <w:multiLevelType w:val="hybridMultilevel"/>
    <w:lvl w:ilvl="0">
      <w:lvlJc w:val="left"/>
      <w:lvlText w:val="(%1)"/>
      <w:numFmt w:val="upperLetter"/>
      <w:start w:val="1"/>
    </w:lvl>
  </w:abstractNum>
  <w:abstractNum w:abstractNumId="96">
    <w:nsid w:val="21FAA2FA"/>
    <w:multiLevelType w:val="hybridMultilevel"/>
    <w:lvl w:ilvl="0">
      <w:lvlJc w:val="left"/>
      <w:lvlText w:val="(%1)"/>
      <w:numFmt w:val="upperLetter"/>
      <w:start w:val="3"/>
    </w:lvl>
  </w:abstractNum>
  <w:abstractNum w:abstractNumId="97">
    <w:nsid w:val="5451CF49"/>
    <w:multiLevelType w:val="hybridMultilevel"/>
    <w:lvl w:ilvl="0">
      <w:lvlJc w:val="left"/>
      <w:lvlText w:val="(%1)"/>
      <w:numFmt w:val="upperLetter"/>
      <w:start w:val="4"/>
    </w:lvl>
  </w:abstractNum>
  <w:abstractNum w:abstractNumId="98">
    <w:nsid w:val="6181EF69"/>
    <w:multiLevelType w:val="hybridMultilevel"/>
    <w:lvl w:ilvl="0">
      <w:lvlJc w:val="left"/>
      <w:lvlText w:val="(%1)"/>
      <w:numFmt w:val="lowerRoman"/>
      <w:start w:val="2"/>
    </w:lvl>
  </w:abstractNum>
  <w:abstractNum w:abstractNumId="99">
    <w:nsid w:val="3E6400E6"/>
    <w:multiLevelType w:val="hybridMultilevel"/>
    <w:lvl w:ilvl="0">
      <w:lvlJc w:val="left"/>
      <w:lvlText w:val="(%1)"/>
      <w:numFmt w:val="lowerRoman"/>
      <w:start w:val="1"/>
    </w:lvl>
  </w:abstractNum>
  <w:abstractNum w:abstractNumId="100">
    <w:nsid w:val="14217E23"/>
    <w:multiLevelType w:val="hybridMultilevel"/>
    <w:lvl w:ilvl="0">
      <w:lvlJc w:val="left"/>
      <w:lvlText w:val="(%1)"/>
      <w:numFmt w:val="lowerRoman"/>
      <w:start w:val="3"/>
    </w:lvl>
  </w:abstractNum>
  <w:abstractNum w:abstractNumId="101">
    <w:nsid w:val="710757D0"/>
    <w:multiLevelType w:val="hybridMultilevel"/>
    <w:lvl w:ilvl="0">
      <w:lvlJc w:val="left"/>
      <w:lvlText w:val="(%1)"/>
      <w:numFmt w:val="lowerRoman"/>
      <w:start w:val="1"/>
    </w:lvl>
  </w:abstractNum>
  <w:abstractNum w:abstractNumId="102">
    <w:nsid w:val="5015CD1A"/>
    <w:multiLevelType w:val="hybridMultilevel"/>
    <w:lvl w:ilvl="0">
      <w:lvlJc w:val="left"/>
      <w:lvlText w:val="%1."/>
      <w:numFmt w:val="upperLetter"/>
      <w:start w:val="1"/>
    </w:lvl>
  </w:abstractNum>
  <w:abstractNum w:abstractNumId="103">
    <w:nsid w:val="424479DA"/>
    <w:multiLevelType w:val="hybridMultilevel"/>
    <w:lvl w:ilvl="0">
      <w:lvlJc w:val="left"/>
      <w:lvlText w:val="%1."/>
      <w:numFmt w:val="upperLetter"/>
      <w:start w:val="2"/>
    </w:lvl>
  </w:abstractNum>
  <w:abstractNum w:abstractNumId="104">
    <w:nsid w:val="1A9A9E6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5">
    <w:nsid w:val="475E256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06">
    <w:nsid w:val="368DB37E"/>
    <w:multiLevelType w:val="hybridMultilevel"/>
    <w:lvl w:ilvl="0">
      <w:lvlJc w:val="left"/>
      <w:lvlText w:val="%1."/>
      <w:numFmt w:val="decimal"/>
      <w:start w:val="5"/>
    </w:lvl>
    <w:lvl w:ilvl="1">
      <w:lvlJc w:val="left"/>
      <w:lvlText w:val="(%2)"/>
      <w:numFmt w:val="lowerLetter"/>
      <w:start w:val="1"/>
    </w:lvl>
  </w:abstractNum>
  <w:abstractNum w:abstractNumId="107">
    <w:nsid w:val="6A3B714C"/>
    <w:multiLevelType w:val="hybridMultilevel"/>
    <w:lvl w:ilvl="0">
      <w:lvlJc w:val="left"/>
      <w:lvlText w:val="%1"/>
      <w:numFmt w:val="decimal"/>
      <w:start w:val="1"/>
    </w:lvl>
    <w:lvl w:ilvl="1">
      <w:lvlJc w:val="left"/>
      <w:lvlText w:val="(%2)"/>
      <w:numFmt w:val="lowerLetter"/>
      <w:start w:val="2"/>
    </w:lvl>
  </w:abstractNum>
  <w:abstractNum w:abstractNumId="108">
    <w:nsid w:val="327B517E"/>
    <w:multiLevelType w:val="hybridMultilevel"/>
    <w:lvl w:ilvl="0">
      <w:lvlJc w:val="left"/>
      <w:lvlText w:val="%1."/>
      <w:numFmt w:val="decimal"/>
      <w:start w:val="6"/>
    </w:lvl>
    <w:lvl w:ilvl="1">
      <w:lvlJc w:val="left"/>
      <w:lvlText w:val="%2"/>
      <w:numFmt w:val="lowerLetter"/>
      <w:start w:val="1"/>
    </w:lvl>
  </w:abstractNum>
  <w:abstractNum w:abstractNumId="109">
    <w:nsid w:val="1F461B51"/>
    <w:multiLevelType w:val="hybridMultilevel"/>
    <w:lvl w:ilvl="0">
      <w:lvlJc w:val="left"/>
      <w:lvlText w:val="%1."/>
      <w:numFmt w:val="decimal"/>
      <w:start w:val="8"/>
    </w:lvl>
    <w:lvl w:ilvl="1">
      <w:lvlJc w:val="left"/>
      <w:lvlText w:val="(%2)"/>
      <w:numFmt w:val="lowerLetter"/>
      <w:start w:val="1"/>
    </w:lvl>
  </w:abstractNum>
  <w:abstractNum w:abstractNumId="110">
    <w:nsid w:val="29BACF25"/>
    <w:multiLevelType w:val="hybridMultilevel"/>
    <w:lvl w:ilvl="0">
      <w:lvlJc w:val="left"/>
      <w:lvlText w:val="%1."/>
      <w:numFmt w:val="decimal"/>
      <w:start w:val="9"/>
    </w:lvl>
    <w:lvl w:ilvl="1">
      <w:lvlJc w:val="left"/>
      <w:lvlText w:val="(%2)"/>
      <w:numFmt w:val="lowerLetter"/>
      <w:start w:val="1"/>
    </w:lvl>
  </w:abstractNum>
  <w:abstractNum w:abstractNumId="111">
    <w:nsid w:val="5D5BABB3"/>
    <w:multiLevelType w:val="hybridMultilevel"/>
    <w:lvl w:ilvl="0">
      <w:lvlJc w:val="left"/>
      <w:lvlText w:val="%1"/>
      <w:numFmt w:val="lowerLetter"/>
      <w:start w:val="1"/>
    </w:lvl>
    <w:lvl w:ilvl="1">
      <w:lvlJc w:val="left"/>
      <w:lvlText w:val="(%2)"/>
      <w:numFmt w:val="lowerRoman"/>
      <w:start w:val="1"/>
    </w:lvl>
  </w:abstractNum>
  <w:abstractNum w:abstractNumId="112">
    <w:nsid w:val="51BF6B48"/>
    <w:multiLevelType w:val="hybridMultilevel"/>
    <w:lvl w:ilvl="0">
      <w:lvlJc w:val="left"/>
      <w:lvlText w:val="(%1)"/>
      <w:numFmt w:val="lowerLetter"/>
      <w:start w:val="4"/>
    </w:lvl>
    <w:lvl w:ilvl="1">
      <w:lvlJc w:val="left"/>
      <w:lvlText w:val="%2"/>
      <w:numFmt w:val="lowerRoman"/>
      <w:start w:val="1"/>
    </w:lvl>
  </w:abstractNum>
  <w:abstractNum w:abstractNumId="113">
    <w:nsid w:val="7E0F6384"/>
    <w:multiLevelType w:val="hybridMultilevel"/>
    <w:lvl w:ilvl="0">
      <w:lvlJc w:val="left"/>
      <w:lvlText w:val="(%1)"/>
      <w:numFmt w:val="lowerLetter"/>
      <w:start w:val="6"/>
    </w:lvl>
  </w:abstractNum>
  <w:abstractNum w:abstractNumId="114">
    <w:nsid w:val="2B4B8B53"/>
    <w:multiLevelType w:val="hybridMultilevel"/>
    <w:lvl w:ilvl="0">
      <w:lvlJc w:val="left"/>
      <w:lvlText w:val="%1."/>
      <w:numFmt w:val="decimal"/>
      <w:start w:val="10"/>
    </w:lvl>
    <w:lvl w:ilvl="1">
      <w:lvlJc w:val="left"/>
      <w:lvlText w:val="(%2)"/>
      <w:numFmt w:val="lowerLetter"/>
      <w:start w:val="1"/>
    </w:lvl>
  </w:abstractNum>
  <w:abstractNum w:abstractNumId="115">
    <w:nsid w:val="72E3413A"/>
    <w:multiLevelType w:val="hybridMultilevel"/>
    <w:lvl w:ilvl="0">
      <w:lvlJc w:val="left"/>
      <w:lvlText w:val="(%1)"/>
      <w:numFmt w:val="lowerLetter"/>
      <w:start w:val="5"/>
    </w:lvl>
  </w:abstractNum>
  <w:abstractNum w:abstractNumId="116">
    <w:nsid w:val="116AE494"/>
    <w:multiLevelType w:val="hybridMultilevel"/>
    <w:lvl w:ilvl="0">
      <w:lvlJc w:val="left"/>
      <w:lvlText w:val="A"/>
      <w:numFmt w:val="bullet"/>
      <w:start w:val="1"/>
    </w:lvl>
  </w:abstractNum>
  <w:abstractNum w:abstractNumId="117">
    <w:nsid w:val="3494B2FB"/>
    <w:multiLevelType w:val="hybridMultilevel"/>
    <w:lvl w:ilvl="0">
      <w:lvlJc w:val="left"/>
      <w:lvlText w:val="(%1)"/>
      <w:numFmt w:val="lowerRoman"/>
      <w:start w:val="1"/>
    </w:lvl>
  </w:abstractNum>
  <w:abstractNum w:abstractNumId="118">
    <w:nsid w:val="B13A31"/>
    <w:multiLevelType w:val="hybridMultilevel"/>
    <w:lvl w:ilvl="0">
      <w:lvlJc w:val="left"/>
      <w:lvlText w:val="(%1)"/>
      <w:numFmt w:val="lowerLetter"/>
      <w:start w:val="3"/>
    </w:lvl>
  </w:abstractNum>
  <w:abstractNum w:abstractNumId="119">
    <w:nsid w:val="64429599"/>
    <w:multiLevelType w:val="hybridMultilevel"/>
    <w:lvl w:ilvl="0">
      <w:lvlJc w:val="left"/>
      <w:lvlText w:val="(%1)"/>
      <w:numFmt w:val="lowerLetter"/>
      <w:start w:val="2"/>
    </w:lvl>
  </w:abstractNum>
  <w:abstractNum w:abstractNumId="120">
    <w:nsid w:val="631F1690"/>
    <w:multiLevelType w:val="hybridMultilevel"/>
    <w:lvl w:ilvl="0">
      <w:lvlJc w:val="left"/>
      <w:lvlText w:val="(%1)"/>
      <w:numFmt w:val="lowerLetter"/>
      <w:start w:val="4"/>
    </w:lvl>
  </w:abstractNum>
  <w:abstractNum w:abstractNumId="121">
    <w:nsid w:val="25973E32"/>
    <w:multiLevelType w:val="hybridMultilevel"/>
    <w:lvl w:ilvl="0">
      <w:lvlJc w:val="left"/>
      <w:lvlText w:val="(%1)"/>
      <w:numFmt w:val="lowerLetter"/>
      <w:start w:val="1"/>
    </w:lvl>
  </w:abstractNum>
  <w:abstractNum w:abstractNumId="122">
    <w:nsid w:val="EAD6F57"/>
    <w:multiLevelType w:val="hybridMultilevel"/>
    <w:lvl w:ilvl="0">
      <w:lvlJc w:val="left"/>
      <w:lvlText w:val="(%1)"/>
      <w:numFmt w:val="lowerLetter"/>
      <w:start w:val="2"/>
    </w:lvl>
  </w:abstractNum>
  <w:abstractNum w:abstractNumId="123">
    <w:nsid w:val="6EC9D844"/>
    <w:multiLevelType w:val="hybridMultilevel"/>
    <w:lvl w:ilvl="0">
      <w:lvlJc w:val="left"/>
      <w:lvlText w:val="(%1)"/>
      <w:numFmt w:val="lowerRoman"/>
      <w:start w:val="1"/>
    </w:lvl>
  </w:abstractNum>
  <w:abstractNum w:abstractNumId="124">
    <w:nsid w:val="5C49EAEE"/>
    <w:multiLevelType w:val="hybridMultilevel"/>
    <w:lvl w:ilvl="0">
      <w:lvlJc w:val="left"/>
      <w:lvlText w:val="(%1)"/>
      <w:numFmt w:val="lowerRoman"/>
      <w:start w:val="1"/>
    </w:lvl>
  </w:abstractNum>
  <w:abstractNum w:abstractNumId="125">
    <w:nsid w:val="64AF49B"/>
    <w:multiLevelType w:val="hybridMultilevel"/>
    <w:lvl w:ilvl="0">
      <w:lvlJc w:val="left"/>
      <w:lvlText w:val="(%1)"/>
      <w:numFmt w:val="lowerLetter"/>
      <w:start w:val="2"/>
    </w:lvl>
  </w:abstractNum>
  <w:abstractNum w:abstractNumId="126">
    <w:nsid w:val="397C46BC"/>
    <w:multiLevelType w:val="hybridMultilevel"/>
    <w:lvl w:ilvl="0">
      <w:lvlJc w:val="left"/>
      <w:lvlText w:val="(%1)"/>
      <w:numFmt w:val="lowerLetter"/>
      <w:start w:val="3"/>
    </w:lvl>
  </w:abstractNum>
  <w:abstractNum w:abstractNumId="127">
    <w:nsid w:val="7E448DE9"/>
    <w:multiLevelType w:val="hybridMultilevel"/>
    <w:lvl w:ilvl="0">
      <w:lvlJc w:val="left"/>
      <w:lvlText w:val="(%1)"/>
      <w:numFmt w:val="lowerLetter"/>
      <w:start w:val="7"/>
    </w:lvl>
  </w:abstractNum>
  <w:abstractNum w:abstractNumId="128">
    <w:nsid w:val="5A9CC3E5"/>
    <w:multiLevelType w:val="hybridMultilevel"/>
    <w:lvl w:ilvl="0">
      <w:lvlJc w:val="left"/>
      <w:lvlText w:val="(%1)"/>
      <w:numFmt w:val="lowerLetter"/>
      <w:start w:val="11"/>
    </w:lvl>
  </w:abstractNum>
  <w:abstractNum w:abstractNumId="129">
    <w:nsid w:val="1AFE3625"/>
    <w:multiLevelType w:val="hybridMultilevel"/>
    <w:lvl w:ilvl="0">
      <w:lvlJc w:val="left"/>
      <w:lvlText w:val="%1"/>
      <w:numFmt w:val="lowerLetter"/>
      <w:start w:val="1"/>
    </w:lvl>
    <w:lvl w:ilvl="1">
      <w:lvlJc w:val="left"/>
      <w:lvlText w:val="(%2)"/>
      <w:numFmt w:val="lowerRoman"/>
      <w:start w:val="1"/>
    </w:lvl>
  </w:abstractNum>
  <w:abstractNum w:abstractNumId="130">
    <w:nsid w:val="3CA88ECF"/>
    <w:multiLevelType w:val="hybridMultilevel"/>
    <w:lvl w:ilvl="0">
      <w:lvlJc w:val="left"/>
      <w:lvlText w:val="(%1)"/>
      <w:numFmt w:val="lowerLetter"/>
      <w:start w:val="1"/>
    </w:lvl>
    <w:lvl w:ilvl="1">
      <w:lvlJc w:val="left"/>
      <w:lvlText w:val="(%2)"/>
      <w:numFmt w:val="lowerRoman"/>
      <w:start w:val="3"/>
    </w:lvl>
  </w:abstractNum>
  <w:abstractNum w:abstractNumId="131">
    <w:nsid w:val="6EBE4208"/>
    <w:multiLevelType w:val="hybridMultilevel"/>
    <w:lvl w:ilvl="0">
      <w:lvlJc w:val="left"/>
      <w:lvlText w:val="%1"/>
      <w:numFmt w:val="lowerLetter"/>
      <w:start w:val="1"/>
    </w:lvl>
    <w:lvl w:ilvl="1">
      <w:lvlJc w:val="left"/>
      <w:lvlText w:val="(%2)"/>
      <w:numFmt w:val="lowerLetter"/>
      <w:start w:val="1"/>
    </w:lvl>
  </w:abstractNum>
  <w:abstractNum w:abstractNumId="132">
    <w:nsid w:val="C058DF5"/>
    <w:multiLevelType w:val="hybridMultilevel"/>
    <w:lvl w:ilvl="0">
      <w:lvlJc w:val="left"/>
      <w:lvlText w:val="(%1)"/>
      <w:numFmt w:val="lowerLetter"/>
      <w:start w:val="9"/>
    </w:lvl>
    <w:lvl w:ilvl="1">
      <w:lvlJc w:val="left"/>
      <w:lvlText w:val="%2"/>
      <w:numFmt w:val="lowerLetter"/>
      <w:start w:val="1"/>
    </w:lvl>
  </w:abstractNum>
  <w:abstractNum w:abstractNumId="133">
    <w:nsid w:val="CBE5BE9"/>
    <w:multiLevelType w:val="hybridMultilevel"/>
    <w:lvl w:ilvl="0">
      <w:lvlJc w:val="left"/>
      <w:lvlText w:val="(%1)"/>
      <w:numFmt w:val="lowerLetter"/>
      <w:start w:val="1"/>
    </w:lvl>
  </w:abstractNum>
  <w:abstractNum w:abstractNumId="134">
    <w:nsid w:val="3102BBE2"/>
    <w:multiLevelType w:val="hybridMultilevel"/>
    <w:lvl w:ilvl="0">
      <w:lvlJc w:val="left"/>
      <w:lvlText w:val="(%1)"/>
      <w:numFmt w:val="lowerRoman"/>
      <w:start w:val="10"/>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1)"/>
      <w:numFmt w:val="lowerLetter"/>
      <w:start w:val="1"/>
    </w:lvl>
  </w:abstractNum>
  <w:abstractNum w:abstractNumId="137">
    <w:nsid w:val="67906F60"/>
    <w:multiLevelType w:val="hybridMultilevel"/>
    <w:lvl w:ilvl="0">
      <w:lvlJc w:val="left"/>
      <w:lvlText w:val="(%1)"/>
      <w:numFmt w:val="lowerLetter"/>
      <w:start w:val="1"/>
    </w:lvl>
  </w:abstractNum>
  <w:abstractNum w:abstractNumId="138">
    <w:nsid w:val="10DB9DAA"/>
    <w:multiLevelType w:val="hybridMultilevel"/>
    <w:lvl w:ilvl="0">
      <w:lvlJc w:val="left"/>
      <w:lvlText w:val="(%1)"/>
      <w:numFmt w:val="lowerLetter"/>
      <w:start w:val="2"/>
    </w:lvl>
  </w:abstractNum>
  <w:abstractNum w:abstractNumId="139">
    <w:nsid w:val="697D2D2"/>
    <w:multiLevelType w:val="hybridMultilevel"/>
    <w:lvl w:ilvl="0">
      <w:lvlJc w:val="left"/>
      <w:lvlText w:val="(%1)"/>
      <w:numFmt w:val="lowerLetter"/>
      <w:start w:val="1"/>
    </w:lvl>
  </w:abstractNum>
  <w:abstractNum w:abstractNumId="140">
    <w:nsid w:val="6D68AB2"/>
    <w:multiLevelType w:val="hybridMultilevel"/>
    <w:lvl w:ilvl="0">
      <w:lvlJc w:val="left"/>
      <w:lvlText w:val="(%1)"/>
      <w:numFmt w:val="lowerLetter"/>
      <w:start w:val="3"/>
    </w:lvl>
  </w:abstractNum>
  <w:abstractNum w:abstractNumId="141">
    <w:nsid w:val="3A966CD0"/>
    <w:multiLevelType w:val="hybridMultilevel"/>
    <w:lvl w:ilvl="0">
      <w:lvlJc w:val="left"/>
      <w:lvlText w:val="(%1)"/>
      <w:numFmt w:val="lowerLetter"/>
      <w:start w:val="1"/>
    </w:lvl>
  </w:abstractNum>
  <w:abstractNum w:abstractNumId="142">
    <w:nsid w:val="63F37E85"/>
    <w:multiLevelType w:val="hybridMultilevel"/>
    <w:lvl w:ilvl="0">
      <w:lvlJc w:val="left"/>
      <w:lvlText w:val="(%1)"/>
      <w:numFmt w:val="lowerLetter"/>
      <w:start w:val="1"/>
    </w:lvl>
  </w:abstractNum>
  <w:abstractNum w:abstractNumId="143">
    <w:nsid w:val="5895F5FA"/>
    <w:multiLevelType w:val="hybridMultilevel"/>
    <w:lvl w:ilvl="0">
      <w:lvlJc w:val="left"/>
      <w:lvlText w:val="(%1)"/>
      <w:numFmt w:val="lowerLetter"/>
      <w:start w:val="1"/>
    </w:lvl>
  </w:abstractNum>
  <w:abstractNum w:abstractNumId="144">
    <w:nsid w:val="38A5D054"/>
    <w:multiLevelType w:val="hybridMultilevel"/>
    <w:lvl w:ilvl="0">
      <w:lvlJc w:val="left"/>
      <w:lvlText w:val="(%1)"/>
      <w:numFmt w:val="lowerLetter"/>
      <w:start w:val="5"/>
    </w:lvl>
  </w:abstractNum>
  <w:abstractNum w:abstractNumId="145">
    <w:nsid w:val="F3F09D8"/>
    <w:multiLevelType w:val="hybridMultilevel"/>
    <w:lvl w:ilvl="0">
      <w:lvlJc w:val="left"/>
      <w:lvlText w:val="(%1)"/>
      <w:numFmt w:val="lowerLetter"/>
      <w:start w:val="1"/>
    </w:lvl>
    <w:lvl w:ilvl="1">
      <w:lvlJc w:val="left"/>
      <w:lvlText w:val="(%2)"/>
      <w:numFmt w:val="lowerRoman"/>
      <w:start w:val="1"/>
    </w:lvl>
  </w:abstractNum>
  <w:abstractNum w:abstractNumId="146">
    <w:nsid w:val="4B793735"/>
    <w:multiLevelType w:val="hybridMultilevel"/>
    <w:lvl w:ilvl="0">
      <w:lvlJc w:val="left"/>
      <w:lvlText w:val="(%1)"/>
      <w:numFmt w:val="lowerLetter"/>
      <w:start w:val="2"/>
    </w:lvl>
  </w:abstractNum>
  <w:abstractNum w:abstractNumId="147">
    <w:nsid w:val="4A10B4E8"/>
    <w:multiLevelType w:val="hybridMultilevel"/>
    <w:lvl w:ilvl="0">
      <w:lvlJc w:val="left"/>
      <w:lvlText w:val="(%1)"/>
      <w:numFmt w:val="lowerLetter"/>
      <w:start w:val="1"/>
    </w:lvl>
  </w:abstractNum>
  <w:abstractNum w:abstractNumId="148">
    <w:nsid w:val="43D3BCD4"/>
    <w:multiLevelType w:val="hybridMultilevel"/>
    <w:lvl w:ilvl="0">
      <w:lvlJc w:val="left"/>
      <w:lvlText w:val="(%1)"/>
      <w:numFmt w:val="lowerLetter"/>
      <w:start w:val="5"/>
    </w:lvl>
  </w:abstractNum>
  <w:abstractNum w:abstractNumId="149">
    <w:nsid w:val="4C2A7166"/>
    <w:multiLevelType w:val="hybridMultilevel"/>
    <w:lvl w:ilvl="0">
      <w:lvlJc w:val="left"/>
      <w:lvlText w:val="(%1)"/>
      <w:numFmt w:val="decimal"/>
      <w:start w:val="30"/>
    </w:lvl>
    <w:lvl w:ilvl="1">
      <w:lvlJc w:val="left"/>
      <w:lvlText w:val="(%2)"/>
      <w:numFmt w:val="lowerLetter"/>
      <w:start w:val="7"/>
    </w:lvl>
  </w:abstractNum>
  <w:abstractNum w:abstractNumId="150">
    <w:nsid w:val="2E534A82"/>
    <w:multiLevelType w:val="hybridMultilevel"/>
    <w:lvl w:ilvl="0">
      <w:lvlJc w:val="left"/>
      <w:lvlText w:val="(%1)"/>
      <w:numFmt w:val="decimal"/>
      <w:start w:val="10"/>
    </w:lvl>
    <w:lvl w:ilvl="1">
      <w:lvlJc w:val="left"/>
      <w:lvlText w:val="%2"/>
      <w:numFmt w:val="lowerLetter"/>
      <w:start w:val="1"/>
    </w:lvl>
  </w:abstractNum>
  <w:abstractNum w:abstractNumId="151">
    <w:nsid w:val="26F2D364"/>
    <w:multiLevelType w:val="hybridMultilevel"/>
    <w:lvl w:ilvl="0">
      <w:lvlJc w:val="left"/>
      <w:lvlText w:val="(%1)"/>
      <w:numFmt w:val="lowerLetter"/>
      <w:start w:val="9"/>
    </w:lvl>
  </w:abstractNum>
  <w:abstractNum w:abstractNumId="152">
    <w:nsid w:val="71C1AF98"/>
    <w:multiLevelType w:val="hybridMultilevel"/>
    <w:lvl w:ilvl="0">
      <w:lvlJc w:val="left"/>
      <w:lvlText w:val="(%1)"/>
      <w:numFmt w:val="lowerRoman"/>
      <w:start w:val="1"/>
    </w:lvl>
  </w:abstractNum>
  <w:abstractNum w:abstractNumId="153">
    <w:nsid w:val="3D00B9D9"/>
    <w:multiLevelType w:val="hybridMultilevel"/>
    <w:lvl w:ilvl="0">
      <w:lvlJc w:val="left"/>
      <w:lvlText w:val="(%1)"/>
      <w:numFmt w:val="lowerRoman"/>
      <w:start w:val="8"/>
    </w:lvl>
  </w:abstractNum>
  <w:abstractNum w:abstractNumId="154">
    <w:nsid w:val="15BCABA8"/>
    <w:multiLevelType w:val="hybridMultilevel"/>
    <w:lvl w:ilvl="0">
      <w:lvlJc w:val="left"/>
      <w:lvlText w:val="(%1)"/>
      <w:numFmt w:val="lowerRoman"/>
      <w:start w:val="1"/>
    </w:lvl>
  </w:abstractNum>
  <w:abstractNum w:abstractNumId="155">
    <w:nsid w:val="4E0B9A87"/>
    <w:multiLevelType w:val="hybridMultilevel"/>
    <w:lvl w:ilvl="0">
      <w:lvlJc w:val="left"/>
      <w:lvlText w:val="(%1)"/>
      <w:numFmt w:val="lowerRoman"/>
      <w:start w:val="2"/>
    </w:lvl>
  </w:abstractNum>
  <w:abstractNum w:abstractNumId="156">
    <w:nsid w:val="434BAE75"/>
    <w:multiLevelType w:val="hybridMultilevel"/>
    <w:lvl w:ilvl="0">
      <w:lvlJc w:val="left"/>
      <w:lvlText w:val="(%1)"/>
      <w:numFmt w:val="upperLetter"/>
      <w:start w:val="9"/>
    </w:lvl>
    <w:lvl w:ilvl="1">
      <w:lvlJc w:val="left"/>
      <w:lvlText w:val="(%2)"/>
      <w:numFmt w:val="lowerRoman"/>
      <w:start w:val="5"/>
    </w:lvl>
  </w:abstractNum>
  <w:abstractNum w:abstractNumId="157">
    <w:nsid w:val="4F38F265"/>
    <w:multiLevelType w:val="hybridMultilevel"/>
    <w:lvl w:ilvl="0">
      <w:lvlJc w:val="left"/>
      <w:lvlText w:val="(%1)"/>
      <w:numFmt w:val="decimal"/>
      <w:start w:val="1"/>
    </w:lvl>
  </w:abstractNum>
  <w:abstractNum w:abstractNumId="158">
    <w:nsid w:val="4C502870"/>
    <w:multiLevelType w:val="hybridMultilevel"/>
    <w:lvl w:ilvl="0">
      <w:lvlJc w:val="left"/>
      <w:lvlText w:val="(%1)"/>
      <w:numFmt w:val="upperLetter"/>
      <w:start w:val="1"/>
    </w:lvl>
  </w:abstractNum>
  <w:abstractNum w:abstractNumId="159">
    <w:nsid w:val="1DE8725A"/>
    <w:multiLevelType w:val="hybridMultilevel"/>
    <w:lvl w:ilvl="0">
      <w:lvlJc w:val="left"/>
      <w:lvlText w:val="(%1)"/>
      <w:numFmt w:val="decimal"/>
      <w:start w:val="1"/>
    </w:lvl>
  </w:abstractNum>
  <w:abstractNum w:abstractNumId="160">
    <w:nsid w:val="6A37288A"/>
    <w:multiLevelType w:val="hybridMultilevel"/>
    <w:lvl w:ilvl="0">
      <w:lvlJc w:val="left"/>
      <w:lvlText w:val="(%1)"/>
      <w:numFmt w:val="decimal"/>
      <w:start w:val="1"/>
    </w:lvl>
  </w:abstractNum>
  <w:abstractNum w:abstractNumId="161">
    <w:nsid w:val="8F8B73F"/>
    <w:multiLevelType w:val="hybridMultilevel"/>
    <w:lvl w:ilvl="0">
      <w:lvlJc w:val="left"/>
      <w:lvlText w:val="(%1)"/>
      <w:numFmt w:val="lowerRoman"/>
      <w:start w:val="10"/>
    </w:lvl>
  </w:abstractNum>
  <w:abstractNum w:abstractNumId="162">
    <w:nsid w:val="CA6B462"/>
    <w:multiLevelType w:val="hybridMultilevel"/>
    <w:lvl w:ilvl="0">
      <w:lvlJc w:val="left"/>
      <w:lvlText w:val="(%1)"/>
      <w:numFmt w:val="lowerLetter"/>
      <w:start w:val="1"/>
    </w:lvl>
  </w:abstractNum>
  <w:abstractNum w:abstractNumId="163">
    <w:nsid w:val="763CB680"/>
    <w:multiLevelType w:val="hybridMultilevel"/>
    <w:lvl w:ilvl="0">
      <w:lvlJc w:val="left"/>
      <w:lvlText w:val="(%1)"/>
      <w:numFmt w:val="lowerLetter"/>
      <w:start w:val="3"/>
    </w:lvl>
    <w:lvl w:ilvl="1">
      <w:lvlJc w:val="left"/>
      <w:lvlText w:val="(%2)"/>
      <w:numFmt w:val="lowerRoman"/>
      <w:start w:val="1"/>
    </w:lvl>
  </w:abstractNum>
  <w:abstractNum w:abstractNumId="164">
    <w:nsid w:val="15B71329"/>
    <w:multiLevelType w:val="hybridMultilevel"/>
    <w:lvl w:ilvl="0">
      <w:lvlJc w:val="left"/>
      <w:lvlText w:val="(%1)"/>
      <w:numFmt w:val="lowerLetter"/>
      <w:start w:val="1"/>
    </w:lvl>
  </w:abstractNum>
  <w:abstractNum w:abstractNumId="165">
    <w:nsid w:val="3DA97044"/>
    <w:multiLevelType w:val="hybridMultilevel"/>
    <w:lvl w:ilvl="0">
      <w:lvlJc w:val="left"/>
      <w:lvlText w:val="(%1)"/>
      <w:numFmt w:val="lowerLetter"/>
      <w:start w:val="2"/>
    </w:lvl>
  </w:abstractNum>
  <w:abstractNum w:abstractNumId="166">
    <w:nsid w:val="1CDCE2DE"/>
    <w:multiLevelType w:val="hybridMultilevel"/>
    <w:lvl w:ilvl="0">
      <w:lvlJc w:val="left"/>
      <w:lvlText w:val="%1"/>
      <w:numFmt w:val="lowerLetter"/>
      <w:start w:val="1"/>
    </w:lvl>
    <w:lvl w:ilvl="1">
      <w:lvlJc w:val="left"/>
      <w:lvlText w:val="(%2)"/>
      <w:numFmt w:val="lowerLetter"/>
      <w:start w:val="4"/>
    </w:lvl>
  </w:abstractNum>
  <w:abstractNum w:abstractNumId="167">
    <w:nsid w:val="69D3947C"/>
    <w:multiLevelType w:val="hybridMultilevel"/>
    <w:lvl w:ilvl="0">
      <w:lvlJc w:val="left"/>
      <w:lvlText w:val="(%1)"/>
      <w:numFmt w:val="lowerLetter"/>
      <w:start w:val="61"/>
    </w:lvl>
    <w:lvl w:ilvl="1">
      <w:lvlJc w:val="left"/>
      <w:lvlText w:val="%2"/>
      <w:numFmt w:val="lowerLetter"/>
      <w:start w:val="1"/>
    </w:lvl>
  </w:abstractNum>
  <w:abstractNum w:abstractNumId="168">
    <w:nsid w:val="2539DFA5"/>
    <w:multiLevelType w:val="hybridMultilevel"/>
    <w:lvl w:ilvl="0">
      <w:lvlJc w:val="left"/>
      <w:lvlText w:val="(%1)"/>
      <w:numFmt w:val="lowerLetter"/>
      <w:start w:val="5"/>
    </w:lvl>
  </w:abstractNum>
  <w:abstractNum w:abstractNumId="169">
    <w:nsid w:val="2DB88089"/>
    <w:multiLevelType w:val="hybridMultilevel"/>
    <w:lvl w:ilvl="0">
      <w:lvlJc w:val="left"/>
      <w:lvlText w:val="(%1)"/>
      <w:numFmt w:val="lowerRoman"/>
      <w:start w:val="2"/>
    </w:lvl>
  </w:abstractNum>
  <w:abstractNum w:abstractNumId="170">
    <w:nsid w:val="706B674E"/>
    <w:multiLevelType w:val="hybridMultilevel"/>
    <w:lvl w:ilvl="0">
      <w:lvlJc w:val="left"/>
      <w:lvlText w:val="%1)"/>
      <w:numFmt w:val="decimal"/>
      <w:start w:val="715"/>
    </w:lvl>
  </w:abstractNum>
  <w:abstractNum w:abstractNumId="171">
    <w:nsid w:val="2C106A57"/>
    <w:multiLevelType w:val="hybridMultilevel"/>
    <w:lvl w:ilvl="0">
      <w:lvlJc w:val="left"/>
      <w:lvlText w:val="(%1)"/>
      <w:numFmt w:val="lowerLetter"/>
      <w:start w:val="1"/>
    </w:lvl>
  </w:abstractNum>
  <w:abstractNum w:abstractNumId="172">
    <w:nsid w:val="684EED59"/>
    <w:multiLevelType w:val="hybridMultilevel"/>
    <w:lvl w:ilvl="0">
      <w:lvlJc w:val="left"/>
      <w:lvlText w:val="(%1)"/>
      <w:numFmt w:val="lowerLetter"/>
      <w:start w:val="5"/>
    </w:lvl>
  </w:abstractNum>
  <w:abstractNum w:abstractNumId="173">
    <w:nsid w:val="545EE5D3"/>
    <w:multiLevelType w:val="hybridMultilevel"/>
    <w:lvl w:ilvl="0">
      <w:lvlJc w:val="left"/>
      <w:lvlText w:val="(%1)"/>
      <w:numFmt w:val="lowerLetter"/>
      <w:start w:val="1"/>
    </w:lvl>
  </w:abstractNum>
  <w:abstractNum w:abstractNumId="174">
    <w:nsid w:val="4A66051"/>
    <w:multiLevelType w:val="hybridMultilevel"/>
    <w:lvl w:ilvl="0">
      <w:lvlJc w:val="left"/>
      <w:lvlText w:val="(%1)"/>
      <w:numFmt w:val="lowerRoman"/>
      <w:start w:val="1"/>
    </w:lvl>
  </w:abstractNum>
  <w:abstractNum w:abstractNumId="175">
    <w:nsid w:val="20F4BDAD"/>
    <w:multiLevelType w:val="hybridMultilevel"/>
    <w:lvl w:ilvl="0">
      <w:lvlJc w:val="left"/>
      <w:lvlText w:val="%1"/>
      <w:numFmt w:val="lowerLetter"/>
      <w:start w:val="1"/>
    </w:lvl>
    <w:lvl w:ilvl="1">
      <w:lvlJc w:val="left"/>
      <w:lvlText w:val="(%2)"/>
      <w:numFmt w:val="lowerRoman"/>
      <w:start w:val="2"/>
    </w:lvl>
  </w:abstractNum>
  <w:abstractNum w:abstractNumId="176">
    <w:nsid w:val="639DEFAC"/>
    <w:multiLevelType w:val="hybridMultilevel"/>
    <w:lvl w:ilvl="0">
      <w:lvlJc w:val="left"/>
      <w:lvlText w:val="(%1)"/>
      <w:numFmt w:val="lowerLetter"/>
      <w:start w:val="3"/>
    </w:lvl>
    <w:lvl w:ilvl="1">
      <w:lvlJc w:val="left"/>
      <w:lvlText w:val="%2"/>
      <w:numFmt w:val="lowerRoman"/>
      <w:start w:val="1"/>
    </w:lvl>
  </w:abstractNum>
  <w:abstractNum w:abstractNumId="177">
    <w:nsid w:val="501F9786"/>
    <w:multiLevelType w:val="hybridMultilevel"/>
    <w:lvl w:ilvl="0">
      <w:lvlJc w:val="left"/>
      <w:lvlText w:val="(%1)"/>
      <w:numFmt w:val="lowerLetter"/>
      <w:start w:val="1"/>
    </w:lvl>
  </w:abstractNum>
  <w:abstractNum w:abstractNumId="178">
    <w:nsid w:val="6B057295"/>
    <w:multiLevelType w:val="hybridMultilevel"/>
    <w:lvl w:ilvl="0">
      <w:lvlJc w:val="left"/>
      <w:lvlText w:val="(%1)"/>
      <w:numFmt w:val="lowerLetter"/>
      <w:start w:val="6"/>
    </w:lvl>
    <w:lvl w:ilvl="1">
      <w:lvlJc w:val="left"/>
      <w:lvlText w:val="(%2)"/>
      <w:numFmt w:val="lowerRoman"/>
      <w:start w:val="1"/>
    </w:lvl>
  </w:abstractNum>
  <w:abstractNum w:abstractNumId="179">
    <w:nsid w:val="2771AC80"/>
    <w:multiLevelType w:val="hybridMultilevel"/>
    <w:lvl w:ilvl="0">
      <w:lvlJc w:val="left"/>
      <w:lvlText w:val="(%1)"/>
      <w:numFmt w:val="lowerLetter"/>
      <w:start w:val="12"/>
    </w:lvl>
  </w:abstractNum>
  <w:abstractNum w:abstractNumId="180">
    <w:nsid w:val="1C4A08EC"/>
    <w:multiLevelType w:val="hybridMultilevel"/>
    <w:lvl w:ilvl="0">
      <w:lvlJc w:val="left"/>
      <w:lvlText w:val="(%1)"/>
      <w:numFmt w:val="lowerLetter"/>
      <w:start w:val="1"/>
    </w:lvl>
  </w:abstractNum>
  <w:abstractNum w:abstractNumId="181">
    <w:nsid w:val="1958BD17"/>
    <w:multiLevelType w:val="hybridMultilevel"/>
    <w:lvl w:ilvl="0">
      <w:lvlJc w:val="left"/>
      <w:lvlText w:val="(%1)"/>
      <w:numFmt w:val="lowerLetter"/>
      <w:start w:val="1"/>
    </w:lvl>
  </w:abstractNum>
  <w:abstractNum w:abstractNumId="182">
    <w:nsid w:val="4E647FE4"/>
    <w:multiLevelType w:val="hybridMultilevel"/>
    <w:lvl w:ilvl="0">
      <w:lvlJc w:val="left"/>
      <w:lvlText w:val="(%1)"/>
      <w:numFmt w:val="lowerLetter"/>
      <w:start w:val="1"/>
    </w:lvl>
  </w:abstractNum>
  <w:abstractNum w:abstractNumId="183">
    <w:nsid w:val="E0BB885"/>
    <w:multiLevelType w:val="hybridMultilevel"/>
    <w:lvl w:ilvl="0">
      <w:lvlJc w:val="left"/>
      <w:lvlText w:val="(%1)"/>
      <w:numFmt w:val="lowerLetter"/>
      <w:start w:val="3"/>
    </w:lvl>
  </w:abstractNum>
  <w:abstractNum w:abstractNumId="184">
    <w:nsid w:val="565976F1"/>
    <w:multiLevelType w:val="hybridMultilevel"/>
    <w:lvl w:ilvl="0">
      <w:lvlJc w:val="left"/>
      <w:lvlText w:val="(%1)"/>
      <w:numFmt w:val="lowerRoman"/>
      <w:start w:val="1"/>
    </w:lvl>
  </w:abstractNum>
  <w:abstractNum w:abstractNumId="185">
    <w:nsid w:val="64212B8C"/>
    <w:multiLevelType w:val="hybridMultilevel"/>
    <w:lvl w:ilvl="0">
      <w:lvlJc w:val="left"/>
      <w:lvlText w:val="(%1)"/>
      <w:numFmt w:val="lowerLetter"/>
      <w:start w:val="2"/>
    </w:lvl>
  </w:abstractNum>
  <w:abstractNum w:abstractNumId="186">
    <w:nsid w:val="5C17530C"/>
    <w:multiLevelType w:val="hybridMultilevel"/>
    <w:lvl w:ilvl="0">
      <w:lvlJc w:val="left"/>
      <w:lvlText w:val="(%1)"/>
      <w:numFmt w:val="lowerLetter"/>
      <w:start w:val="1"/>
    </w:lvl>
  </w:abstractNum>
  <w:abstractNum w:abstractNumId="187">
    <w:nsid w:val="19A52566"/>
    <w:multiLevelType w:val="hybridMultilevel"/>
    <w:lvl w:ilvl="0">
      <w:lvlJc w:val="left"/>
      <w:lvlText w:val="(%1)"/>
      <w:numFmt w:val="lowerLetter"/>
      <w:start w:val="5"/>
    </w:lvl>
  </w:abstractNum>
  <w:abstractNum w:abstractNumId="188">
    <w:nsid w:val="335A1DF1"/>
    <w:multiLevelType w:val="hybridMultilevel"/>
    <w:lvl w:ilvl="0">
      <w:lvlJc w:val="left"/>
      <w:lvlText w:val="(%1)"/>
      <w:numFmt w:val="lowerLetter"/>
      <w:start w:val="1"/>
    </w:lvl>
  </w:abstractNum>
  <w:abstractNum w:abstractNumId="189">
    <w:nsid w:val="28677B7C"/>
    <w:multiLevelType w:val="hybridMultilevel"/>
    <w:lvl w:ilvl="0">
      <w:lvlJc w:val="left"/>
      <w:lvlText w:val="(%1)"/>
      <w:numFmt w:val="lowerRoman"/>
      <w:start w:val="2"/>
    </w:lvl>
  </w:abstractNum>
  <w:abstractNum w:abstractNumId="190">
    <w:nsid w:val="378D97C0"/>
    <w:multiLevelType w:val="hybridMultilevel"/>
    <w:lvl w:ilvl="0">
      <w:lvlJc w:val="left"/>
      <w:lvlText w:val="(%1)"/>
      <w:numFmt w:val="lowerRoman"/>
      <w:start w:val="10"/>
    </w:lvl>
  </w:abstractNum>
  <w:abstractNum w:abstractNumId="191">
    <w:nsid w:val="1D91467C"/>
    <w:multiLevelType w:val="hybridMultilevel"/>
    <w:lvl w:ilvl="0">
      <w:lvlJc w:val="left"/>
      <w:lvlText w:val="(%1)"/>
      <w:numFmt w:val="lowerLetter"/>
      <w:start w:val="1"/>
    </w:lvl>
  </w:abstractNum>
  <w:abstractNum w:abstractNumId="192">
    <w:nsid w:val="316032BB"/>
    <w:multiLevelType w:val="hybridMultilevel"/>
    <w:lvl w:ilvl="0">
      <w:lvlJc w:val="left"/>
      <w:lvlText w:val="(%1)"/>
      <w:numFmt w:val="lowerLetter"/>
      <w:start w:val="35"/>
    </w:lvl>
    <w:lvl w:ilvl="1">
      <w:lvlJc w:val="left"/>
      <w:lvlText w:val="(%2)"/>
      <w:numFmt w:val="lowerLetter"/>
      <w:start w:val="3"/>
    </w:lvl>
  </w:abstractNum>
  <w:abstractNum w:abstractNumId="193">
    <w:nsid w:val="44344C22"/>
    <w:multiLevelType w:val="hybridMultilevel"/>
    <w:lvl w:ilvl="0">
      <w:lvlJc w:val="left"/>
      <w:lvlText w:val="%1"/>
      <w:numFmt w:val="lowerLetter"/>
      <w:start w:val="1"/>
    </w:lvl>
    <w:lvl w:ilvl="1">
      <w:lvlJc w:val="left"/>
      <w:lvlText w:val="(%2)"/>
      <w:numFmt w:val="lowerLetter"/>
      <w:start w:val="1"/>
    </w:lvl>
  </w:abstractNum>
  <w:abstractNum w:abstractNumId="194">
    <w:nsid w:val="13CDFCFC"/>
    <w:multiLevelType w:val="hybridMultilevel"/>
    <w:lvl w:ilvl="0">
      <w:lvlJc w:val="left"/>
      <w:lvlText w:val="(%1)"/>
      <w:numFmt w:val="lowerLetter"/>
      <w:start w:val="9"/>
    </w:lvl>
    <w:lvl w:ilvl="1">
      <w:lvlJc w:val="left"/>
      <w:lvlText w:val="(%2)"/>
      <w:numFmt w:val="lowerLetter"/>
      <w:start w:val="7"/>
    </w:lvl>
  </w:abstractNum>
  <w:abstractNum w:abstractNumId="195">
    <w:nsid w:val="471745E4"/>
    <w:multiLevelType w:val="hybridMultilevel"/>
    <w:lvl w:ilvl="0">
      <w:lvlJc w:val="left"/>
      <w:lvlText w:val="(%1)"/>
      <w:numFmt w:val="lowerLetter"/>
      <w:start w:val="9"/>
    </w:lvl>
  </w:abstractNum>
  <w:abstractNum w:abstractNumId="196">
    <w:nsid w:val="1DDBC66"/>
    <w:multiLevelType w:val="hybridMultilevel"/>
    <w:lvl w:ilvl="0">
      <w:lvlJc w:val="left"/>
      <w:lvlText w:val="(%1)"/>
      <w:numFmt w:val="lowerLetter"/>
      <w:start w:val="1"/>
    </w:lvl>
  </w:abstractNum>
  <w:abstractNum w:abstractNumId="197">
    <w:nsid w:val="30AADFDA"/>
    <w:multiLevelType w:val="hybridMultilevel"/>
    <w:lvl w:ilvl="0">
      <w:lvlJc w:val="left"/>
      <w:lvlText w:val="(%1)"/>
      <w:numFmt w:val="lowerLetter"/>
      <w:start w:val="1"/>
    </w:lvl>
  </w:abstractNum>
  <w:abstractNum w:abstractNumId="198">
    <w:nsid w:val="30EADA61"/>
    <w:multiLevelType w:val="hybridMultilevel"/>
    <w:lvl w:ilvl="0">
      <w:lvlJc w:val="left"/>
      <w:lvlText w:val="(%1)"/>
      <w:numFmt w:val="lowerLetter"/>
      <w:start w:val="3"/>
    </w:lvl>
  </w:abstractNum>
  <w:abstractNum w:abstractNumId="199">
    <w:nsid w:val="27179C0B"/>
    <w:multiLevelType w:val="hybridMultilevel"/>
    <w:lvl w:ilvl="0">
      <w:lvlJc w:val="left"/>
      <w:lvlText w:val="(%1)"/>
      <w:numFmt w:val="lowerLetter"/>
      <w:start w:val="1"/>
    </w:lvl>
  </w:abstractNum>
  <w:abstractNum w:abstractNumId="200">
    <w:nsid w:val="5E636063"/>
    <w:multiLevelType w:val="hybridMultilevel"/>
    <w:lvl w:ilvl="0">
      <w:lvlJc w:val="left"/>
      <w:lvlText w:val="(%1)"/>
      <w:numFmt w:val="lowerLetter"/>
      <w:start w:val="1"/>
    </w:lvl>
  </w:abstractNum>
  <w:abstractNum w:abstractNumId="201">
    <w:nsid w:val="215641AF"/>
    <w:multiLevelType w:val="hybridMultilevel"/>
    <w:lvl w:ilvl="0">
      <w:lvlJc w:val="left"/>
      <w:lvlText w:val="%1"/>
      <w:numFmt w:val="lowerLetter"/>
      <w:start w:val="1"/>
    </w:lvl>
    <w:lvl w:ilvl="1">
      <w:lvlJc w:val="left"/>
      <w:lvlText w:val="(%2)"/>
      <w:numFmt w:val="lowerLetter"/>
      <w:start w:val="1"/>
    </w:lvl>
  </w:abstractNum>
  <w:abstractNum w:abstractNumId="202">
    <w:nsid w:val="53280662"/>
    <w:multiLevelType w:val="hybridMultilevel"/>
    <w:lvl w:ilvl="0">
      <w:lvlJc w:val="left"/>
      <w:lvlText w:val="(%1)"/>
      <w:numFmt w:val="lowerLetter"/>
      <w:start w:val="35"/>
    </w:lvl>
    <w:lvl w:ilvl="1">
      <w:lvlJc w:val="left"/>
      <w:lvlText w:val="%2"/>
      <w:numFmt w:val="lowerLetter"/>
      <w:start w:val="1"/>
    </w:lvl>
  </w:abstractNum>
  <w:abstractNum w:abstractNumId="203">
    <w:nsid w:val="46B24DBC"/>
    <w:multiLevelType w:val="hybridMultilevel"/>
    <w:lvl w:ilvl="0">
      <w:lvlJc w:val="left"/>
      <w:lvlText w:val="%1"/>
      <w:numFmt w:val="upperLetter"/>
      <w:start w:val="1"/>
    </w:lvl>
    <w:lvl w:ilvl="1">
      <w:lvlJc w:val="left"/>
      <w:lvlText w:val="(%2)"/>
      <w:numFmt w:val="lowerLetter"/>
      <w:start w:val="6"/>
    </w:lvl>
  </w:abstractNum>
  <w:abstractNum w:abstractNumId="204">
    <w:nsid w:val="75B52783"/>
    <w:multiLevelType w:val="hybridMultilevel"/>
    <w:lvl w:ilvl="0">
      <w:lvlJc w:val="left"/>
      <w:lvlText w:val="(%1)"/>
      <w:numFmt w:val="upperLetter"/>
      <w:start w:val="1"/>
    </w:lvl>
    <w:lvl w:ilvl="1">
      <w:lvlJc w:val="left"/>
      <w:lvlText w:val="(%2)"/>
      <w:numFmt w:val="lowerLetter"/>
      <w:start w:val="7"/>
    </w:lvl>
  </w:abstractNum>
  <w:abstractNum w:abstractNumId="205">
    <w:nsid w:val="57CE66B4"/>
    <w:multiLevelType w:val="hybridMultilevel"/>
    <w:lvl w:ilvl="0">
      <w:lvlJc w:val="left"/>
      <w:lvlText w:val="(%1)"/>
      <w:numFmt w:val="lowerLetter"/>
      <w:start w:val="35"/>
    </w:lvl>
    <w:lvl w:ilvl="1">
      <w:lvlJc w:val="left"/>
      <w:lvlText w:val="(%2)"/>
      <w:numFmt w:val="lowerLetter"/>
      <w:start w:val="11"/>
    </w:lvl>
  </w:abstractNum>
  <w:abstractNum w:abstractNumId="206">
    <w:nsid w:val="67A70B69"/>
    <w:multiLevelType w:val="hybridMultilevel"/>
    <w:lvl w:ilvl="0">
      <w:lvlJc w:val="left"/>
      <w:lvlText w:val="(%1)"/>
      <w:numFmt w:val="lowerLetter"/>
      <w:start w:val="1"/>
    </w:lvl>
    <w:lvl w:ilvl="1">
      <w:lvlJc w:val="left"/>
      <w:lvlText w:val="(%2)"/>
      <w:numFmt w:val="lowerRoman"/>
      <w:start w:val="1"/>
    </w:lvl>
  </w:abstractNum>
  <w:abstractNum w:abstractNumId="207">
    <w:nsid w:val="5953172F"/>
    <w:multiLevelType w:val="hybridMultilevel"/>
    <w:lvl w:ilvl="0">
      <w:lvlJc w:val="left"/>
      <w:lvlText w:val="(%1)"/>
      <w:numFmt w:val="lowerLetter"/>
      <w:start w:val="3"/>
    </w:lvl>
  </w:abstractNum>
  <w:abstractNum w:abstractNumId="208">
    <w:nsid w:val="27EDFE3A"/>
    <w:multiLevelType w:val="hybridMultilevel"/>
    <w:lvl w:ilvl="0">
      <w:lvlJc w:val="left"/>
      <w:lvlText w:val="(%1)"/>
      <w:numFmt w:val="lowerLetter"/>
      <w:start w:val="1"/>
    </w:lvl>
  </w:abstractNum>
  <w:abstractNum w:abstractNumId="209">
    <w:nsid w:val="52AC7DFF"/>
    <w:multiLevelType w:val="hybridMultilevel"/>
    <w:lvl w:ilvl="0">
      <w:lvlJc w:val="left"/>
      <w:lvlText w:val="(%1)"/>
      <w:numFmt w:val="lowerLetter"/>
      <w:start w:val="1"/>
    </w:lvl>
  </w:abstractNum>
  <w:abstractNum w:abstractNumId="210">
    <w:nsid w:val="C4C3AF"/>
    <w:multiLevelType w:val="hybridMultilevel"/>
    <w:lvl w:ilvl="0">
      <w:lvlJc w:val="left"/>
      <w:lvlText w:val="%1"/>
      <w:numFmt w:val="lowerLetter"/>
      <w:start w:val="1"/>
    </w:lvl>
    <w:lvl w:ilvl="1">
      <w:lvlJc w:val="left"/>
      <w:lvlText w:val="(%2)"/>
      <w:numFmt w:val="lowerRoman"/>
      <w:start w:val="1"/>
    </w:lvl>
  </w:abstractNum>
  <w:abstractNum w:abstractNumId="211">
    <w:nsid w:val="44380727"/>
    <w:multiLevelType w:val="hybridMultilevel"/>
    <w:lvl w:ilvl="0">
      <w:lvlJc w:val="left"/>
      <w:lvlText w:val="(%1)"/>
      <w:numFmt w:val="lowerLetter"/>
      <w:start w:val="2"/>
    </w:lvl>
    <w:lvl w:ilvl="1">
      <w:lvlJc w:val="left"/>
      <w:lvlText w:val="%2"/>
      <w:numFmt w:val="lowerRoman"/>
      <w:start w:val="1"/>
    </w:lvl>
  </w:abstractNum>
  <w:abstractNum w:abstractNumId="212">
    <w:nsid w:val="6C053B16"/>
    <w:multiLevelType w:val="hybridMultilevel"/>
    <w:lvl w:ilvl="0">
      <w:lvlJc w:val="left"/>
      <w:lvlText w:val="(%1)"/>
      <w:numFmt w:val="lowerLetter"/>
      <w:start w:val="1"/>
    </w:lvl>
    <w:lvl w:ilvl="1">
      <w:lvlJc w:val="left"/>
      <w:lvlText w:val="(%2)"/>
      <w:numFmt w:val="lowerRoman"/>
      <w:start w:val="1"/>
    </w:lvl>
  </w:abstractNum>
  <w:abstractNum w:abstractNumId="213">
    <w:nsid w:val="4F294393"/>
    <w:multiLevelType w:val="hybridMultilevel"/>
    <w:lvl w:ilvl="0">
      <w:lvlJc w:val="left"/>
      <w:lvlText w:val="(%1)"/>
      <w:numFmt w:val="lowerLetter"/>
      <w:start w:val="3"/>
    </w:lvl>
  </w:abstractNum>
  <w:abstractNum w:abstractNumId="214">
    <w:nsid w:val="5243BFAC"/>
    <w:multiLevelType w:val="hybridMultilevel"/>
    <w:lvl w:ilvl="0">
      <w:lvlJc w:val="left"/>
      <w:lvlText w:val="(%1)"/>
      <w:numFmt w:val="lowerLetter"/>
      <w:start w:val="5"/>
    </w:lvl>
  </w:abstractNum>
  <w:abstractNum w:abstractNumId="215">
    <w:nsid w:val="425EB207"/>
    <w:multiLevelType w:val="hybridMultilevel"/>
    <w:lvl w:ilvl="0">
      <w:lvlJc w:val="left"/>
      <w:lvlText w:val="(%1)"/>
      <w:numFmt w:val="lowerRoman"/>
      <w:start w:val="3"/>
    </w:lvl>
  </w:abstractNum>
  <w:abstractNum w:abstractNumId="216">
    <w:nsid w:val="334A6F1F"/>
    <w:multiLevelType w:val="hybridMultilevel"/>
    <w:lvl w:ilvl="0">
      <w:lvlJc w:val="left"/>
      <w:lvlText w:val="(%1)"/>
      <w:numFmt w:val="lowerLetter"/>
      <w:start w:val="1"/>
    </w:lvl>
  </w:abstractNum>
  <w:abstractNum w:abstractNumId="217">
    <w:nsid w:val="2E5B12B8"/>
    <w:multiLevelType w:val="hybridMultilevel"/>
    <w:lvl w:ilvl="0">
      <w:lvlJc w:val="left"/>
      <w:lvlText w:val="(%1)"/>
      <w:numFmt w:val="lowerRoman"/>
      <w:start w:val="3"/>
    </w:lvl>
  </w:abstractNum>
  <w:abstractNum w:abstractNumId="218">
    <w:nsid w:val="5C03D76D"/>
    <w:multiLevelType w:val="hybridMultilevel"/>
    <w:lvl w:ilvl="0">
      <w:lvlJc w:val="left"/>
      <w:lvlText w:val="(%1)"/>
      <w:numFmt w:val="lowerRoman"/>
      <w:start w:val="2"/>
    </w:lvl>
  </w:abstractNum>
  <w:abstractNum w:abstractNumId="219">
    <w:nsid w:val="66A48D11"/>
    <w:multiLevelType w:val="hybridMultilevel"/>
    <w:lvl w:ilvl="0">
      <w:lvlJc w:val="left"/>
      <w:lvlText w:val="(%1)"/>
      <w:numFmt w:val="lowerLetter"/>
      <w:start w:val="2"/>
    </w:lvl>
  </w:abstractNum>
  <w:abstractNum w:abstractNumId="220">
    <w:nsid w:val="56C28E34"/>
    <w:multiLevelType w:val="hybridMultilevel"/>
    <w:lvl w:ilvl="0">
      <w:lvlJc w:val="left"/>
      <w:lvlText w:val="(%1)"/>
      <w:numFmt w:val="lowerLetter"/>
      <w:start w:val="3"/>
    </w:lvl>
    <w:lvl w:ilvl="1">
      <w:lvlJc w:val="left"/>
      <w:lvlText w:val="(%2)"/>
      <w:numFmt w:val="lowerRoman"/>
      <w:start w:val="1"/>
    </w:lvl>
  </w:abstractNum>
  <w:abstractNum w:abstractNumId="221">
    <w:nsid w:val="13916F2D"/>
    <w:multiLevelType w:val="hybridMultilevel"/>
    <w:lvl w:ilvl="0">
      <w:lvlJc w:val="left"/>
      <w:lvlText w:val="(%1)"/>
      <w:numFmt w:val="lowerLetter"/>
      <w:start w:val="1"/>
    </w:lvl>
  </w:abstractNum>
  <w:abstractNum w:abstractNumId="222">
    <w:nsid w:val="435D38D"/>
    <w:multiLevelType w:val="hybridMultilevel"/>
    <w:lvl w:ilvl="0">
      <w:lvlJc w:val="left"/>
      <w:lvlText w:val="(%1)"/>
      <w:numFmt w:val="lowerLetter"/>
      <w:start w:val="2"/>
    </w:lvl>
  </w:abstractNum>
  <w:abstractNum w:abstractNumId="223">
    <w:nsid w:val="822C0EF"/>
    <w:multiLevelType w:val="hybridMultilevel"/>
    <w:lvl w:ilvl="0">
      <w:lvlJc w:val="left"/>
      <w:lvlText w:val="(%1)"/>
      <w:numFmt w:val="lowerLetter"/>
      <w:start w:val="1"/>
    </w:lvl>
  </w:abstractNum>
  <w:abstractNum w:abstractNumId="224">
    <w:nsid w:val="57C5BB4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5">
    <w:nsid w:val="1803D089"/>
    <w:multiLevelType w:val="hybridMultilevel"/>
    <w:lvl w:ilvl="0">
      <w:lvlJc w:val="left"/>
      <w:lvlText w:val="(%1)"/>
      <w:numFmt w:val="upperLetter"/>
      <w:start w:val="3"/>
    </w:lvl>
  </w:abstractNum>
  <w:abstractNum w:abstractNumId="226">
    <w:nsid w:val="4F3A06D4"/>
    <w:multiLevelType w:val="hybridMultilevel"/>
    <w:lvl w:ilvl="0">
      <w:lvlJc w:val="left"/>
      <w:lvlText w:val="(%1)"/>
      <w:numFmt w:val="lowerRoman"/>
      <w:start w:val="3"/>
    </w:lvl>
  </w:abstractNum>
  <w:abstractNum w:abstractNumId="227">
    <w:nsid w:val="59A377B6"/>
    <w:multiLevelType w:val="hybridMultilevel"/>
    <w:lvl w:ilvl="0">
      <w:lvlJc w:val="left"/>
      <w:lvlText w:val="(%1)"/>
      <w:numFmt w:val="lowerRoman"/>
      <w:start w:val="4"/>
    </w:lvl>
  </w:abstractNum>
  <w:abstractNum w:abstractNumId="228">
    <w:nsid w:val="48AEB063"/>
    <w:multiLevelType w:val="hybridMultilevel"/>
    <w:lvl w:ilvl="0">
      <w:lvlJc w:val="left"/>
      <w:lvlText w:val="(%1)"/>
      <w:numFmt w:val="lowerLetter"/>
      <w:start w:val="3"/>
    </w:lvl>
    <w:lvl w:ilvl="1">
      <w:lvlJc w:val="left"/>
      <w:lvlText w:val="(%2)"/>
      <w:numFmt w:val="lowerLetter"/>
      <w:start w:val="35"/>
    </w:lvl>
  </w:abstractNum>
  <w:abstractNum w:abstractNumId="229">
    <w:nsid w:val="24E135"/>
    <w:multiLevelType w:val="hybridMultilevel"/>
    <w:lvl w:ilvl="0">
      <w:lvlJc w:val="left"/>
      <w:lvlText w:val="(%1)"/>
      <w:numFmt w:val="lowerLetter"/>
      <w:start w:val="4"/>
    </w:lvl>
  </w:abstractNum>
  <w:abstractNum w:abstractNumId="230">
    <w:nsid w:val="BB13C1"/>
    <w:multiLevelType w:val="hybridMultilevel"/>
    <w:lvl w:ilvl="0">
      <w:lvlJc w:val="left"/>
      <w:lvlText w:val="(%1)"/>
      <w:numFmt w:val="lowerLetter"/>
      <w:start w:val="1"/>
    </w:lvl>
  </w:abstractNum>
  <w:abstractNum w:abstractNumId="231">
    <w:nsid w:val="271210C7"/>
    <w:multiLevelType w:val="hybridMultilevel"/>
    <w:lvl w:ilvl="0">
      <w:lvlJc w:val="left"/>
      <w:lvlText w:val="(%1)"/>
      <w:numFmt w:val="lowerLetter"/>
      <w:start w:val="1"/>
    </w:lvl>
  </w:abstractNum>
  <w:abstractNum w:abstractNumId="232">
    <w:nsid w:val="217B22E4"/>
    <w:multiLevelType w:val="hybridMultilevel"/>
    <w:lvl w:ilvl="0">
      <w:lvlJc w:val="left"/>
      <w:lvlText w:val="(%1)"/>
      <w:numFmt w:val="lowerLetter"/>
      <w:start w:val="3"/>
    </w:lvl>
  </w:abstractNum>
  <w:abstractNum w:abstractNumId="233">
    <w:nsid w:val="53E31A24"/>
    <w:multiLevelType w:val="hybridMultilevel"/>
    <w:lvl w:ilvl="0">
      <w:lvlJc w:val="left"/>
      <w:lvlText w:val="(%1)"/>
      <w:numFmt w:val="lowerLetter"/>
      <w:start w:val="1"/>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lowerLetter"/>
      <w:start w:val="5"/>
    </w:lvl>
  </w:abstractNum>
  <w:abstractNum w:abstractNumId="236">
    <w:nsid w:val="2BB180D8"/>
    <w:multiLevelType w:val="hybridMultilevel"/>
    <w:lvl w:ilvl="0">
      <w:lvlJc w:val="left"/>
      <w:lvlText w:val="(%1)"/>
      <w:numFmt w:val="lowerLetter"/>
      <w:start w:val="1"/>
    </w:lvl>
  </w:abstractNum>
  <w:abstractNum w:abstractNumId="237">
    <w:nsid w:val="556B69ED"/>
    <w:multiLevelType w:val="hybridMultilevel"/>
    <w:lvl w:ilvl="0">
      <w:lvlJc w:val="left"/>
      <w:lvlText w:val="(%1)"/>
      <w:numFmt w:val="lowerLetter"/>
      <w:start w:val="1"/>
    </w:lvl>
    <w:lvl w:ilvl="1">
      <w:lvlJc w:val="left"/>
      <w:lvlText w:val="(%2)"/>
      <w:numFmt w:val="lowerRoman"/>
      <w:start w:val="1"/>
    </w:lvl>
  </w:abstractNum>
  <w:abstractNum w:abstractNumId="238">
    <w:nsid w:val="70836196"/>
    <w:multiLevelType w:val="hybridMultilevel"/>
    <w:lvl w:ilvl="0">
      <w:lvlJc w:val="left"/>
      <w:lvlText w:val="%1."/>
      <w:numFmt w:val="decimal"/>
      <w:start w:val="1"/>
    </w:lvl>
  </w:abstractNum>
  <w:abstractNum w:abstractNumId="239">
    <w:nsid w:val="539F7F12"/>
    <w:multiLevelType w:val="hybridMultilevel"/>
    <w:lvl w:ilvl="0">
      <w:lvlJc w:val="left"/>
      <w:lvlText w:val="%1."/>
      <w:numFmt w:val="decimal"/>
      <w:start w:val="3"/>
    </w:lvl>
  </w:abstractNum>
  <w:abstractNum w:abstractNumId="240">
    <w:nsid w:val="2817E7EC"/>
    <w:multiLevelType w:val="hybridMultilevel"/>
    <w:lvl w:ilvl="0">
      <w:lvlJc w:val="left"/>
      <w:lvlText w:val="%1."/>
      <w:numFmt w:val="decimal"/>
      <w:start w:val="1"/>
    </w:lvl>
  </w:abstractNum>
  <w:abstractNum w:abstractNumId="241">
    <w:nsid w:val="71482545"/>
    <w:multiLevelType w:val="hybridMultilevel"/>
    <w:lvl w:ilvl="0">
      <w:lvlJc w:val="left"/>
      <w:lvlText w:val="%1."/>
      <w:numFmt w:val="decimal"/>
      <w:start w:val="1"/>
    </w:lvl>
  </w:abstractNum>
  <w:abstractNum w:abstractNumId="242">
    <w:nsid w:val="17D78639"/>
    <w:multiLevelType w:val="hybridMultilevel"/>
    <w:lvl w:ilvl="0">
      <w:lvlJc w:val="left"/>
      <w:lvlText w:val="%1."/>
      <w:numFmt w:val="decimal"/>
      <w:start w:val="4"/>
    </w:lvl>
  </w:abstractNum>
  <w:abstractNum w:abstractNumId="243">
    <w:nsid w:val="141D2302"/>
    <w:multiLevelType w:val="hybridMultilevel"/>
    <w:lvl w:ilvl="0">
      <w:lvlJc w:val="left"/>
      <w:lvlText w:val="(%1)"/>
      <w:numFmt w:val="lowerRoman"/>
      <w:start w:val="5"/>
    </w:lvl>
  </w:abstractNum>
  <w:abstractNum w:abstractNumId="244">
    <w:nsid w:val="407168D8"/>
    <w:multiLevelType w:val="hybridMultilevel"/>
    <w:lvl w:ilvl="0">
      <w:lvlJc w:val="left"/>
      <w:lvlText w:val="(%1)"/>
      <w:numFmt w:val="lowerRoman"/>
      <w:start w:val="5"/>
    </w:lvl>
  </w:abstractNum>
  <w:abstractNum w:abstractNumId="245">
    <w:nsid w:val="6A1B45E5"/>
    <w:multiLevelType w:val="hybridMultilevel"/>
    <w:lvl w:ilvl="0">
      <w:lvlJc w:val="left"/>
      <w:lvlText w:val="(%1)"/>
      <w:numFmt w:val="lowerRoman"/>
      <w:start w:val="4"/>
    </w:lvl>
  </w:abstractNum>
  <w:abstractNum w:abstractNumId="246">
    <w:nsid w:val="567BD50A"/>
    <w:multiLevelType w:val="hybridMultilevel"/>
    <w:lvl w:ilvl="0">
      <w:lvlJc w:val="left"/>
      <w:lvlText w:val="%1."/>
      <w:numFmt w:val="decimal"/>
      <w:start w:val="1"/>
    </w:lvl>
  </w:abstractNum>
  <w:abstractNum w:abstractNumId="247">
    <w:nsid w:val="73BBD7F8"/>
    <w:multiLevelType w:val="hybridMultilevel"/>
    <w:lvl w:ilvl="0">
      <w:lvlJc w:val="left"/>
      <w:lvlText w:val="%1."/>
      <w:numFmt w:val="decimal"/>
      <w:start w:val="4"/>
    </w:lvl>
  </w:abstractNum>
  <w:abstractNum w:abstractNumId="248">
    <w:nsid w:val="1876589D"/>
    <w:multiLevelType w:val="hybridMultilevel"/>
    <w:lvl w:ilvl="0">
      <w:lvlJc w:val="left"/>
      <w:lvlText w:val="%1."/>
      <w:numFmt w:val="decimal"/>
      <w:start w:val="6"/>
    </w:lvl>
    <w:lvl w:ilvl="1">
      <w:lvlJc w:val="left"/>
      <w:lvlText w:val="☐"/>
      <w:numFmt w:val="bullet"/>
      <w:start w:val="1"/>
    </w:lvl>
  </w:abstractNum>
  <w:abstractNum w:abstractNumId="249">
    <w:nsid w:val="327FAC77"/>
    <w:multiLevelType w:val="hybridMultilevel"/>
    <w:lvl w:ilvl="0">
      <w:lvlJc w:val="left"/>
      <w:lvlText w:val="%1."/>
      <w:numFmt w:val="decimal"/>
      <w:start w:val="1"/>
    </w:lvl>
  </w:abstractNum>
  <w:abstractNum w:abstractNumId="250">
    <w:nsid w:val="5A606509"/>
    <w:multiLevelType w:val="hybridMultilevel"/>
    <w:lvl w:ilvl="0">
      <w:lvlJc w:val="left"/>
      <w:lvlText w:val="%1."/>
      <w:numFmt w:val="decimal"/>
      <w:start w:val="2"/>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decimal"/>
      <w:start w:val="1"/>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2024-08-06T16:26:21Z</dcterms:created>
  <dcterms:modified xsi:type="dcterms:W3CDTF">2024-08-06T16:26:21Z</dcterms:modified>
</cp:coreProperties>
</file>