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32497d425.htm"/>
      <w:bookmarkStart w:id="1" w:name="ksd132497d425"/>
      <w:bookmarkEnd w:id="0"/>
      <w:bookmarkEnd w:id="1"/>
      <w:r>
        <w:rPr>
          <w:rFonts w:ascii="Times New Roman" w:hAnsi="Times New Roman"/>
          <w:sz w:val="20"/>
        </w:rPr>
        <w:t xml:space="preserve">Filed by American Water Works Company,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14a-6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Essential Utilities,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001-06659 </w:t>
      </w:r>
    </w:p>
    <w:p>
      <w:pPr>
        <w:pStyle w:val="TextBody"/>
        <w:bidi w:val="0"/>
        <w:spacing w:before="0" w:after="0"/>
        <w:jc w:val="right"/>
        <w:rPr>
          <w:rFonts w:ascii="Times New Roman" w:hAnsi="Times New Roman"/>
          <w:sz w:val="20"/>
        </w:rPr>
      </w:pPr>
      <w:r>
        <w:rPr>
          <w:rFonts w:ascii="Times New Roman" w:hAnsi="Times New Roman"/>
          <w:sz w:val="20"/>
        </w:rPr>
        <w:t xml:space="preserve">Date: August 13, 2026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communications regarding the merger between American Water Works Company, Inc. (“American Water”) and Essential Utilities, Inc. were published by American Water through various social media channels beginning on August 12, 2026. </w:t>
      </w:r>
    </w:p>
    <w:p>
      <w:pPr>
        <w:pStyle w:val="TextBody"/>
        <w:bidi w:val="0"/>
        <w:spacing w:before="360" w:after="0"/>
        <w:jc w:val="left"/>
        <w:rPr>
          <w:rFonts w:ascii="Times New Roman" w:hAnsi="Times New Roman"/>
          <w:b/>
          <w:sz w:val="20"/>
        </w:rPr>
      </w:pPr>
      <w:r>
        <w:rPr>
          <w:rFonts w:ascii="Times New Roman" w:hAnsi="Times New Roman"/>
          <w:b/>
          <w:sz w:val="20"/>
        </w:rPr>
        <w:t xml:space="preserve">Social Media Post from American Water </w:t>
      </w:r>
    </w:p>
    <w:p>
      <w:pPr>
        <w:pStyle w:val="TextBody"/>
        <w:bidi w:val="0"/>
        <w:spacing w:before="0" w:after="0"/>
        <w:jc w:val="left"/>
        <w:rPr/>
      </w:pPr>
      <w:r>
        <w:rPr/>
        <w:t> </w:t>
      </w:r>
    </w:p>
    <w:p>
      <w:pPr>
        <w:pStyle w:val="TextBody"/>
        <w:bidi w:val="0"/>
        <w:spacing w:before="0" w:after="0"/>
        <w:jc w:val="center"/>
        <w:rPr/>
      </w:pPr>
      <w:r>
        <w:rPr/>
        <w:drawing>
          <wp:inline distT="0" distB="0" distL="0" distR="0">
            <wp:extent cx="4025900" cy="62591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25900" cy="625919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Cautionary Statement Regarding Forward-Looking Statements</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pStyle w:val="TextBody"/>
        <w:bidi w:val="0"/>
        <w:spacing w:before="240" w:after="0"/>
        <w:jc w:val="left"/>
        <w:rPr>
          <w:rFonts w:ascii="Times New Roman" w:hAnsi="Times New Roman"/>
          <w:sz w:val="20"/>
        </w:rPr>
      </w:pPr>
      <w:r>
        <w:rPr>
          <w:rFonts w:ascii="Times New Roman" w:hAnsi="Times New Roman"/>
          <w:sz w:val="20"/>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pStyle w:val="TextBody"/>
        <w:bidi w:val="0"/>
        <w:spacing w:before="360" w:after="0"/>
        <w:jc w:val="left"/>
        <w:rPr>
          <w:rFonts w:ascii="Times New Roman" w:hAnsi="Times New Roman"/>
          <w:b/>
          <w:sz w:val="20"/>
        </w:rPr>
      </w:pPr>
      <w:r>
        <w:rPr>
          <w:rFonts w:ascii="Times New Roman" w:hAnsi="Times New Roman"/>
          <w:b/>
          <w:sz w:val="20"/>
        </w:rPr>
        <w:t>Proposed Merger</w:t>
      </w:r>
    </w:p>
    <w:p>
      <w:pPr>
        <w:pStyle w:val="TextBody"/>
        <w:bidi w:val="0"/>
        <w:spacing w:before="120" w:after="0"/>
        <w:jc w:val="left"/>
        <w:rPr>
          <w:rFonts w:ascii="Times New Roman" w:hAnsi="Times New Roman"/>
          <w:sz w:val="20"/>
        </w:rPr>
      </w:pPr>
      <w:r>
        <w:rPr>
          <w:rFonts w:ascii="Times New Roman" w:hAnsi="Times New Roman"/>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pStyle w:val="TextBody"/>
        <w:bidi w:val="0"/>
        <w:spacing w:before="360" w:after="0"/>
        <w:jc w:val="left"/>
        <w:rPr>
          <w:rFonts w:ascii="Times New Roman" w:hAnsi="Times New Roman"/>
          <w:b/>
          <w:sz w:val="20"/>
        </w:rPr>
      </w:pPr>
      <w:r>
        <w:rPr>
          <w:rFonts w:ascii="Times New Roman" w:hAnsi="Times New Roman"/>
          <w:b/>
          <w:sz w:val="20"/>
        </w:rPr>
        <w:t>No Offer or Solicitation</w:t>
      </w:r>
    </w:p>
    <w:p>
      <w:pPr>
        <w:pStyle w:val="TextBody"/>
        <w:bidi w:val="0"/>
        <w:spacing w:before="120" w:after="0"/>
        <w:jc w:val="left"/>
        <w:rPr>
          <w:rFonts w:ascii="Times New Roman" w:hAnsi="Times New Roman"/>
          <w:sz w:val="20"/>
        </w:rPr>
      </w:pPr>
      <w:r>
        <w:rPr>
          <w:rFonts w:ascii="Times New Roman" w:hAnsi="Times New Roman"/>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1472</Words>
  <Characters>8718</Characters>
  <CharactersWithSpaces>10184</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