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u w:val="single" w:color="auto"/>
          <w:color w:val="0563C1"/>
        </w:rPr>
        <w:t>Table of Contents</w:t>
      </w:r>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700" w:right="1980" w:hanging="3684"/>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September 30, 2023</w:t>
      </w:r>
    </w:p>
    <w:p>
      <w:pPr>
        <w:spacing w:after="0" w:line="71" w:lineRule="exact"/>
        <w:rPr>
          <w:sz w:val="24"/>
          <w:szCs w:val="24"/>
          <w:color w:val="auto"/>
        </w:rPr>
      </w:pPr>
    </w:p>
    <w:p>
      <w:pPr>
        <w:ind w:left="2960" w:right="1920" w:hanging="2952"/>
        <w:spacing w:after="0" w:line="289" w:lineRule="auto"/>
        <w:tabs>
          <w:tab w:leader="none" w:pos="147"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28"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54"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163" w:lineRule="exact"/>
        <w:rPr>
          <w:sz w:val="24"/>
          <w:szCs w:val="24"/>
          <w:color w:val="auto"/>
        </w:rPr>
      </w:pPr>
    </w:p>
    <w:tbl>
      <w:tblPr>
        <w:tblLayout w:type="fixed"/>
        <w:tblInd w:w="740" w:type="dxa"/>
        <w:tblCellMar>
          <w:top w:w="0" w:type="dxa"/>
          <w:left w:w="0" w:type="dxa"/>
          <w:bottom w:w="0" w:type="dxa"/>
          <w:right w:w="0" w:type="dxa"/>
        </w:tblCellMar>
      </w:tblPr>
      <w:tr>
        <w:trPr>
          <w:trHeight w:val="218"/>
        </w:trPr>
        <w:tc>
          <w:tcPr>
            <w:tcW w:w="15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9"/>
                <w:szCs w:val="19"/>
                <w:color w:val="auto"/>
                <w:w w:val="88"/>
              </w:rPr>
              <w:t>Pennsylvania</w:t>
            </w:r>
          </w:p>
        </w:tc>
        <w:tc>
          <w:tcPr>
            <w:tcW w:w="2960" w:type="dxa"/>
            <w:vAlign w:val="bottom"/>
            <w:gridSpan w:val="2"/>
          </w:tcPr>
          <w:p>
            <w:pPr>
              <w:spacing w:after="0"/>
              <w:rPr>
                <w:sz w:val="18"/>
                <w:szCs w:val="18"/>
                <w:color w:val="auto"/>
              </w:rPr>
            </w:pPr>
          </w:p>
        </w:tc>
        <w:tc>
          <w:tcPr>
            <w:tcW w:w="2640" w:type="dxa"/>
            <w:vAlign w:val="bottom"/>
            <w:gridSpan w:val="4"/>
          </w:tcPr>
          <w:p>
            <w:pPr>
              <w:jc w:val="right"/>
              <w:ind w:right="40"/>
              <w:spacing w:after="0"/>
              <w:rPr>
                <w:sz w:val="20"/>
                <w:szCs w:val="20"/>
                <w:color w:val="auto"/>
              </w:rPr>
            </w:pPr>
            <w:r>
              <w:rPr>
                <w:rFonts w:ascii="Arial" w:cs="Arial" w:eastAsia="Arial" w:hAnsi="Arial"/>
                <w:sz w:val="19"/>
                <w:szCs w:val="19"/>
                <w:color w:val="auto"/>
              </w:rPr>
              <w:t>23-1702594</w:t>
            </w:r>
          </w:p>
        </w:tc>
        <w:tc>
          <w:tcPr>
            <w:tcW w:w="22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7"/>
        </w:trPr>
        <w:tc>
          <w:tcPr>
            <w:tcW w:w="5480" w:type="dxa"/>
            <w:vAlign w:val="bottom"/>
            <w:gridSpan w:val="4"/>
          </w:tcPr>
          <w:p>
            <w:pPr>
              <w:jc w:val="center"/>
              <w:ind w:right="1440"/>
              <w:spacing w:after="0" w:line="187" w:lineRule="exact"/>
              <w:rPr>
                <w:sz w:val="20"/>
                <w:szCs w:val="20"/>
                <w:color w:val="auto"/>
              </w:rPr>
            </w:pPr>
            <w:r>
              <w:rPr>
                <w:rFonts w:ascii="Arial" w:cs="Arial" w:eastAsia="Arial" w:hAnsi="Arial"/>
                <w:sz w:val="19"/>
                <w:szCs w:val="19"/>
                <w:color w:val="auto"/>
                <w:w w:val="92"/>
              </w:rPr>
              <w:t>(State or other jurisdiction of</w:t>
            </w:r>
          </w:p>
        </w:tc>
        <w:tc>
          <w:tcPr>
            <w:tcW w:w="2860" w:type="dxa"/>
            <w:vAlign w:val="bottom"/>
            <w:gridSpan w:val="5"/>
          </w:tcPr>
          <w:p>
            <w:pPr>
              <w:jc w:val="center"/>
              <w:ind w:left="134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80" w:type="dxa"/>
            <w:vAlign w:val="bottom"/>
            <w:gridSpan w:val="4"/>
          </w:tcPr>
          <w:p>
            <w:pPr>
              <w:jc w:val="center"/>
              <w:ind w:right="1440"/>
              <w:spacing w:after="0"/>
              <w:rPr>
                <w:sz w:val="20"/>
                <w:szCs w:val="20"/>
                <w:color w:val="auto"/>
              </w:rPr>
            </w:pPr>
            <w:r>
              <w:rPr>
                <w:rFonts w:ascii="Arial" w:cs="Arial" w:eastAsia="Arial" w:hAnsi="Arial"/>
                <w:sz w:val="19"/>
                <w:szCs w:val="19"/>
                <w:color w:val="auto"/>
                <w:w w:val="92"/>
              </w:rPr>
              <w:t>incorporation or organization)</w:t>
            </w:r>
          </w:p>
        </w:tc>
        <w:tc>
          <w:tcPr>
            <w:tcW w:w="2860" w:type="dxa"/>
            <w:vAlign w:val="bottom"/>
            <w:gridSpan w:val="5"/>
          </w:tcPr>
          <w:p>
            <w:pPr>
              <w:jc w:val="center"/>
              <w:ind w:left="1346"/>
              <w:spacing w:after="0"/>
              <w:rPr>
                <w:sz w:val="20"/>
                <w:szCs w:val="20"/>
                <w:color w:val="auto"/>
              </w:rPr>
            </w:pPr>
            <w:r>
              <w:rPr>
                <w:rFonts w:ascii="Arial" w:cs="Arial" w:eastAsia="Arial" w:hAnsi="Arial"/>
                <w:sz w:val="19"/>
                <w:szCs w:val="19"/>
                <w:color w:val="auto"/>
                <w:w w:val="96"/>
              </w:rPr>
              <w:t>Identification No.)</w:t>
            </w:r>
          </w:p>
        </w:tc>
      </w:tr>
      <w:tr>
        <w:trPr>
          <w:trHeight w:val="363"/>
        </w:trPr>
        <w:tc>
          <w:tcPr>
            <w:tcW w:w="5480" w:type="dxa"/>
            <w:vAlign w:val="bottom"/>
            <w:gridSpan w:val="4"/>
          </w:tcPr>
          <w:p>
            <w:pPr>
              <w:jc w:val="center"/>
              <w:ind w:right="1460"/>
              <w:spacing w:after="0"/>
              <w:rPr>
                <w:sz w:val="20"/>
                <w:szCs w:val="20"/>
                <w:color w:val="auto"/>
              </w:rPr>
            </w:pPr>
            <w:r>
              <w:rPr>
                <w:rFonts w:ascii="Arial" w:cs="Arial" w:eastAsia="Arial" w:hAnsi="Arial"/>
                <w:sz w:val="19"/>
                <w:szCs w:val="19"/>
                <w:color w:val="auto"/>
                <w:w w:val="90"/>
              </w:rPr>
              <w:t>762 W. Lancaster Avenue, Bryn Mawr, Pennsylvania</w:t>
            </w:r>
          </w:p>
        </w:tc>
        <w:tc>
          <w:tcPr>
            <w:tcW w:w="2860" w:type="dxa"/>
            <w:vAlign w:val="bottom"/>
            <w:gridSpan w:val="5"/>
          </w:tcPr>
          <w:p>
            <w:pPr>
              <w:jc w:val="right"/>
              <w:ind w:right="220"/>
              <w:spacing w:after="0"/>
              <w:rPr>
                <w:sz w:val="20"/>
                <w:szCs w:val="20"/>
                <w:color w:val="auto"/>
              </w:rPr>
            </w:pPr>
            <w:r>
              <w:rPr>
                <w:rFonts w:ascii="Arial" w:cs="Arial" w:eastAsia="Arial" w:hAnsi="Arial"/>
                <w:sz w:val="19"/>
                <w:szCs w:val="19"/>
                <w:color w:val="auto"/>
              </w:rPr>
              <w:t>19010 -3489</w:t>
            </w:r>
          </w:p>
        </w:tc>
      </w:tr>
      <w:tr>
        <w:trPr>
          <w:trHeight w:val="234"/>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9"/>
                <w:szCs w:val="19"/>
                <w:color w:val="auto"/>
                <w:w w:val="91"/>
              </w:rPr>
              <w:t>(Zip Code)</w:t>
            </w:r>
          </w:p>
        </w:tc>
        <w:tc>
          <w:tcPr>
            <w:tcW w:w="220" w:type="dxa"/>
            <w:vAlign w:val="bottom"/>
          </w:tcPr>
          <w:p>
            <w:pPr>
              <w:spacing w:after="0"/>
              <w:rPr>
                <w:sz w:val="20"/>
                <w:szCs w:val="20"/>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37"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6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79"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Large Accelerated Filer </w:t>
      </w:r>
      <w:r>
        <w:rPr>
          <w:rFonts w:ascii="Arial" w:cs="Arial" w:eastAsia="Arial" w:hAnsi="Arial"/>
          <w:sz w:val="19"/>
          <w:szCs w:val="19"/>
          <w:b w:val="1"/>
          <w:bCs w:val="1"/>
          <w:color w:val="auto"/>
        </w:rPr>
        <w:t>S</w:t>
      </w:r>
    </w:p>
    <w:p>
      <w:pPr>
        <w:spacing w:after="0" w:line="229" w:lineRule="auto"/>
        <w:rPr>
          <w:sz w:val="20"/>
          <w:szCs w:val="20"/>
          <w:color w:val="auto"/>
        </w:rPr>
      </w:pPr>
      <w:r>
        <w:rPr>
          <w:rFonts w:ascii="Arial" w:cs="Arial" w:eastAsia="Arial" w:hAnsi="Arial"/>
          <w:sz w:val="19"/>
          <w:szCs w:val="19"/>
          <w:color w:val="auto"/>
        </w:rPr>
        <w:t xml:space="preserve">Non-Accelerated Filer </w:t>
      </w:r>
      <w:r>
        <w:rPr>
          <w:rFonts w:ascii="Arial" w:cs="Arial" w:eastAsia="Arial" w:hAnsi="Arial"/>
          <w:sz w:val="19"/>
          <w:szCs w:val="19"/>
          <w:b w:val="1"/>
          <w:bCs w:val="1"/>
          <w:color w:val="auto"/>
        </w:rPr>
        <w:t>£</w:t>
      </w: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Accelerated Filer </w:t>
      </w:r>
      <w:r>
        <w:rPr>
          <w:rFonts w:ascii="Arial" w:cs="Arial" w:eastAsia="Arial" w:hAnsi="Arial"/>
          <w:sz w:val="19"/>
          <w:szCs w:val="19"/>
          <w:b w:val="1"/>
          <w:bCs w:val="1"/>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396"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9"/>
                <w:szCs w:val="19"/>
                <w:color w:val="auto"/>
              </w:rPr>
            </w:pPr>
          </w:p>
        </w:tc>
        <w:tc>
          <w:tcPr>
            <w:tcW w:w="7860" w:type="dxa"/>
            <w:vAlign w:val="bottom"/>
            <w:gridSpan w:val="5"/>
          </w:tcPr>
          <w:p>
            <w:pPr>
              <w:ind w:left="6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80" w:type="dxa"/>
            <w:vAlign w:val="bottom"/>
          </w:tcPr>
          <w:p>
            <w:pPr>
              <w:jc w:val="center"/>
              <w:ind w:left="686"/>
              <w:spacing w:after="0"/>
              <w:rPr>
                <w:sz w:val="20"/>
                <w:szCs w:val="20"/>
                <w:color w:val="auto"/>
              </w:rPr>
            </w:pPr>
            <w:r>
              <w:rPr>
                <w:rFonts w:ascii="Arial" w:cs="Arial" w:eastAsia="Arial" w:hAnsi="Arial"/>
                <w:sz w:val="19"/>
                <w:szCs w:val="19"/>
                <w:color w:val="auto"/>
                <w:w w:val="89"/>
              </w:rPr>
              <w:t>Title of each class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9"/>
                <w:szCs w:val="19"/>
                <w:color w:val="auto"/>
                <w:w w:val="92"/>
              </w:rPr>
              <w:t>Trading Symbol(s)</w:t>
            </w:r>
          </w:p>
        </w:tc>
        <w:tc>
          <w:tcPr>
            <w:tcW w:w="4520" w:type="dxa"/>
            <w:vAlign w:val="bottom"/>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234"/>
        </w:trPr>
        <w:tc>
          <w:tcPr>
            <w:tcW w:w="3380" w:type="dxa"/>
            <w:vAlign w:val="bottom"/>
            <w:tcBorders>
              <w:top w:val="single" w:sz="8" w:color="auto"/>
            </w:tcBorders>
          </w:tcPr>
          <w:p>
            <w:pPr>
              <w:jc w:val="center"/>
              <w:ind w:left="706"/>
              <w:spacing w:after="0"/>
              <w:rPr>
                <w:sz w:val="20"/>
                <w:szCs w:val="20"/>
                <w:color w:val="auto"/>
              </w:rPr>
            </w:pPr>
            <w:r>
              <w:rPr>
                <w:rFonts w:ascii="Arial" w:cs="Arial" w:eastAsia="Arial" w:hAnsi="Arial"/>
                <w:sz w:val="19"/>
                <w:szCs w:val="19"/>
                <w:color w:val="auto"/>
                <w:w w:val="90"/>
              </w:rPr>
              <w:t>Common stock, $0.50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6"/>
              </w:rPr>
              <w:t>WTRG</w:t>
            </w:r>
          </w:p>
        </w:tc>
        <w:tc>
          <w:tcPr>
            <w:tcW w:w="24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33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October 23, 2023</w:t>
      </w:r>
      <w:r>
        <w:rPr>
          <w:rFonts w:ascii="Arial" w:cs="Arial" w:eastAsia="Arial" w:hAnsi="Arial"/>
          <w:sz w:val="19"/>
          <w:szCs w:val="19"/>
          <w:b w:val="1"/>
          <w:bCs w:val="1"/>
          <w:color w:val="auto"/>
        </w:rPr>
        <w:t>:</w:t>
      </w:r>
      <w:r>
        <w:rPr>
          <w:rFonts w:ascii="Arial" w:cs="Arial" w:eastAsia="Arial" w:hAnsi="Arial"/>
          <w:sz w:val="19"/>
          <w:szCs w:val="19"/>
          <w:color w:val="auto"/>
        </w:rPr>
        <w:t xml:space="preserve"> 273,165,817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0563C1"/>
        </w:rPr>
        <w:t>Table of Contents</w:t>
      </w:r>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60" w:type="dxa"/>
            <w:vAlign w:val="bottom"/>
            <w:gridSpan w:val="19"/>
          </w:tcPr>
          <w:p>
            <w:pPr>
              <w:jc w:val="center"/>
              <w:ind w:right="1140"/>
              <w:spacing w:after="0"/>
              <w:rPr>
                <w:sz w:val="20"/>
                <w:szCs w:val="20"/>
                <w:color w:val="auto"/>
              </w:rPr>
            </w:pPr>
            <w:r>
              <w:rPr>
                <w:rFonts w:ascii="Arial" w:cs="Arial" w:eastAsia="Arial" w:hAnsi="Arial"/>
                <w:sz w:val="22"/>
                <w:szCs w:val="22"/>
                <w:color w:val="auto"/>
                <w:w w:val="96"/>
              </w:rPr>
              <w:t>ESSENTIAL UTILITIES, INC. AND SUBSIDIARIES</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20" w:type="dxa"/>
            <w:vAlign w:val="bottom"/>
            <w:gridSpan w:val="15"/>
          </w:tcPr>
          <w:p>
            <w:pPr>
              <w:jc w:val="center"/>
              <w:ind w:right="2780"/>
              <w:spacing w:after="0"/>
              <w:rPr>
                <w:sz w:val="20"/>
                <w:szCs w:val="20"/>
                <w:color w:val="auto"/>
              </w:rPr>
            </w:pPr>
            <w:r>
              <w:rPr>
                <w:rFonts w:ascii="Arial" w:cs="Arial" w:eastAsia="Arial" w:hAnsi="Arial"/>
                <w:sz w:val="22"/>
                <w:szCs w:val="22"/>
                <w:color w:val="auto"/>
                <w:w w:val="94"/>
              </w:rPr>
              <w:t>TABLE OF CONTENTS</w:t>
            </w:r>
          </w:p>
        </w:tc>
        <w:tc>
          <w:tcPr>
            <w:tcW w:w="1720" w:type="dxa"/>
            <w:vAlign w:val="bottom"/>
            <w:gridSpan w:val="3"/>
            <w:vMerge w:val="restart"/>
          </w:tcPr>
          <w:p>
            <w:pPr>
              <w:ind w:left="1220"/>
              <w:spacing w:after="0"/>
              <w:rPr>
                <w:sz w:val="20"/>
                <w:szCs w:val="20"/>
                <w:color w:val="auto"/>
              </w:rPr>
            </w:pPr>
            <w:r>
              <w:rPr>
                <w:rFonts w:ascii="Arial" w:cs="Arial" w:eastAsia="Arial" w:hAnsi="Arial"/>
                <w:sz w:val="22"/>
                <w:szCs w:val="22"/>
                <w:color w:val="auto"/>
                <w:w w:val="93"/>
              </w:rPr>
              <w:t>Page</w:t>
            </w:r>
          </w:p>
        </w:tc>
        <w:tc>
          <w:tcPr>
            <w:tcW w:w="0" w:type="dxa"/>
            <w:vAlign w:val="bottom"/>
          </w:tcPr>
          <w:p>
            <w:pPr>
              <w:spacing w:after="0"/>
              <w:rPr>
                <w:sz w:val="1"/>
                <w:szCs w:val="1"/>
                <w:color w:val="auto"/>
              </w:rPr>
            </w:pPr>
          </w:p>
        </w:tc>
      </w:tr>
      <w:tr>
        <w:trPr>
          <w:trHeight w:val="200"/>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700" w:type="dxa"/>
            <w:vAlign w:val="bottom"/>
            <w:gridSpan w:val="18"/>
            <w:shd w:val="clear" w:color="auto" w:fill="CCEEFF"/>
          </w:tcPr>
          <w:p>
            <w:pPr>
              <w:jc w:val="center"/>
              <w:ind w:right="2160"/>
              <w:spacing w:after="0" w:line="203" w:lineRule="exact"/>
              <w:rPr>
                <w:sz w:val="20"/>
                <w:szCs w:val="20"/>
                <w:color w:val="auto"/>
              </w:rPr>
            </w:pPr>
            <w:r>
              <w:rPr>
                <w:rFonts w:ascii="Arial" w:cs="Arial" w:eastAsia="Arial" w:hAnsi="Arial"/>
                <w:sz w:val="22"/>
                <w:szCs w:val="22"/>
                <w:color w:val="0563C1"/>
                <w:w w:val="91"/>
              </w:rPr>
              <w:t>Part I – Financial Information</w:t>
            </w:r>
          </w:p>
        </w:tc>
        <w:tc>
          <w:tcPr>
            <w:tcW w:w="1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12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6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38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4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0" w:type="dxa"/>
            <w:vAlign w:val="bottom"/>
            <w:tcBorders>
              <w:top w:val="single" w:sz="8" w:color="0563C1"/>
            </w:tcBorders>
          </w:tcPr>
          <w:p>
            <w:pPr>
              <w:spacing w:after="0"/>
              <w:rPr>
                <w:sz w:val="10"/>
                <w:szCs w:val="10"/>
                <w:color w:val="auto"/>
              </w:rPr>
            </w:pPr>
          </w:p>
        </w:tc>
        <w:tc>
          <w:tcPr>
            <w:tcW w:w="120" w:type="dxa"/>
            <w:vAlign w:val="bottom"/>
            <w:tcBorders>
              <w:top w:val="single" w:sz="8" w:color="0563C1"/>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1.</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Financial Statements:</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60" w:type="dxa"/>
            <w:vAlign w:val="bottom"/>
            <w:tcBorders>
              <w:top w:val="single" w:sz="8" w:color="0563C1"/>
            </w:tcBorders>
          </w:tcPr>
          <w:p>
            <w:pPr>
              <w:spacing w:after="0"/>
              <w:rPr>
                <w:sz w:val="10"/>
                <w:szCs w:val="10"/>
                <w:color w:val="auto"/>
              </w:rPr>
            </w:pPr>
          </w:p>
        </w:tc>
        <w:tc>
          <w:tcPr>
            <w:tcW w:w="26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40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420" w:type="dxa"/>
            <w:vAlign w:val="bottom"/>
            <w:tcBorders>
              <w:top w:val="single" w:sz="8" w:color="0563C1"/>
            </w:tcBorders>
          </w:tcPr>
          <w:p>
            <w:pPr>
              <w:spacing w:after="0"/>
              <w:rPr>
                <w:sz w:val="10"/>
                <w:szCs w:val="10"/>
                <w:color w:val="auto"/>
              </w:rPr>
            </w:pPr>
          </w:p>
        </w:tc>
        <w:tc>
          <w:tcPr>
            <w:tcW w:w="3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80" w:type="dxa"/>
            <w:vAlign w:val="bottom"/>
            <w:tcBorders>
              <w:top w:val="single" w:sz="8" w:color="0563C1"/>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Balance Sheets (unaudited) – September 30, 2023 and December 31, 2022</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560" w:type="dxa"/>
            <w:vAlign w:val="bottom"/>
            <w:tcBorders>
              <w:top w:val="single" w:sz="8" w:color="0563C1"/>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Operations and Comprehensive Income (unaudited) –</w:t>
            </w:r>
          </w:p>
        </w:tc>
        <w:tc>
          <w:tcPr>
            <w:tcW w:w="1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223" w:lineRule="exact"/>
              <w:rPr>
                <w:sz w:val="20"/>
                <w:szCs w:val="20"/>
                <w:color w:val="auto"/>
              </w:rPr>
            </w:pPr>
            <w:r>
              <w:rPr>
                <w:rFonts w:ascii="Arial" w:cs="Arial" w:eastAsia="Arial" w:hAnsi="Arial"/>
                <w:sz w:val="22"/>
                <w:szCs w:val="22"/>
                <w:color w:val="0563C1"/>
              </w:rPr>
              <w:t>Three Months Ended September 30, 2023 and 2022</w:t>
            </w:r>
          </w:p>
        </w:tc>
        <w:tc>
          <w:tcPr>
            <w:tcW w:w="1800" w:type="dxa"/>
            <w:vAlign w:val="bottom"/>
            <w:tcBorders>
              <w:top w:val="single" w:sz="8" w:color="CCEEFF"/>
            </w:tcBorders>
            <w:gridSpan w:val="2"/>
            <w:shd w:val="clear" w:color="auto" w:fill="CCEEFF"/>
          </w:tcPr>
          <w:p>
            <w:pPr>
              <w:spacing w:after="0"/>
              <w:rPr>
                <w:sz w:val="20"/>
                <w:szCs w:val="20"/>
                <w:color w:val="auto"/>
              </w:rPr>
            </w:pPr>
          </w:p>
        </w:tc>
        <w:tc>
          <w:tcPr>
            <w:tcW w:w="172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Operations and Comprehensive Income (unaudited) –</w:t>
            </w:r>
          </w:p>
        </w:tc>
        <w:tc>
          <w:tcPr>
            <w:tcW w:w="1640" w:type="dxa"/>
            <w:vAlign w:val="bottom"/>
            <w:gridSpan w:val="2"/>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223" w:lineRule="exact"/>
              <w:rPr>
                <w:sz w:val="20"/>
                <w:szCs w:val="20"/>
                <w:color w:val="auto"/>
              </w:rPr>
            </w:pPr>
            <w:r>
              <w:rPr>
                <w:rFonts w:ascii="Arial" w:cs="Arial" w:eastAsia="Arial" w:hAnsi="Arial"/>
                <w:sz w:val="22"/>
                <w:szCs w:val="22"/>
                <w:color w:val="0563C1"/>
              </w:rPr>
              <w:t>Nine Months Ended September 30, 2023 and 2022</w:t>
            </w:r>
          </w:p>
        </w:tc>
        <w:tc>
          <w:tcPr>
            <w:tcW w:w="1800" w:type="dxa"/>
            <w:vAlign w:val="bottom"/>
            <w:tcBorders>
              <w:top w:val="single" w:sz="8" w:color="CCEEFF"/>
            </w:tcBorders>
            <w:gridSpan w:val="2"/>
            <w:shd w:val="clear" w:color="auto" w:fill="CCEEFF"/>
          </w:tcPr>
          <w:p>
            <w:pPr>
              <w:spacing w:after="0"/>
              <w:rPr>
                <w:sz w:val="20"/>
                <w:szCs w:val="20"/>
                <w:color w:val="auto"/>
              </w:rPr>
            </w:pPr>
          </w:p>
        </w:tc>
        <w:tc>
          <w:tcPr>
            <w:tcW w:w="1640" w:type="dxa"/>
            <w:vAlign w:val="bottom"/>
            <w:tcBorders>
              <w:top w:val="single" w:sz="8" w:color="CCEEFF"/>
            </w:tcBorders>
            <w:gridSpan w:val="2"/>
            <w:vMerge w:val="continue"/>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Capitalization (unaudited) –</w:t>
            </w:r>
          </w:p>
        </w:tc>
        <w:tc>
          <w:tcPr>
            <w:tcW w:w="1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520" w:type="dxa"/>
            <w:vAlign w:val="bottom"/>
            <w:tcBorders>
              <w:top w:val="single" w:sz="8" w:color="0563C1"/>
            </w:tcBorders>
            <w:gridSpan w:val="20"/>
            <w:shd w:val="clear" w:color="auto" w:fill="CCEEFF"/>
          </w:tcPr>
          <w:p>
            <w:pPr>
              <w:spacing w:after="0" w:line="223" w:lineRule="exact"/>
              <w:rPr>
                <w:sz w:val="20"/>
                <w:szCs w:val="20"/>
                <w:color w:val="auto"/>
              </w:rPr>
            </w:pPr>
            <w:r>
              <w:rPr>
                <w:rFonts w:ascii="Arial" w:cs="Arial" w:eastAsia="Arial" w:hAnsi="Arial"/>
                <w:sz w:val="22"/>
                <w:szCs w:val="22"/>
                <w:color w:val="0563C1"/>
              </w:rPr>
              <w:t>September 30, 2023 and December 31, 2022</w:t>
            </w:r>
          </w:p>
        </w:tc>
        <w:tc>
          <w:tcPr>
            <w:tcW w:w="4020" w:type="dxa"/>
            <w:vAlign w:val="bottom"/>
            <w:tcBorders>
              <w:top w:val="single" w:sz="8" w:color="CCEEFF"/>
            </w:tcBorders>
            <w:gridSpan w:val="7"/>
            <w:shd w:val="clear" w:color="auto" w:fill="CCEEFF"/>
          </w:tcPr>
          <w:p>
            <w:pPr>
              <w:spacing w:after="0"/>
              <w:rPr>
                <w:sz w:val="20"/>
                <w:szCs w:val="20"/>
                <w:color w:val="auto"/>
              </w:rPr>
            </w:pPr>
          </w:p>
        </w:tc>
        <w:tc>
          <w:tcPr>
            <w:tcW w:w="172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0563C1"/>
            </w:tcBorders>
            <w:gridSpan w:val="17"/>
            <w:shd w:val="clear" w:color="auto" w:fill="CCEEFF"/>
          </w:tcPr>
          <w:p>
            <w:pPr>
              <w:spacing w:after="0" w:line="203" w:lineRule="exact"/>
              <w:rPr>
                <w:sz w:val="20"/>
                <w:szCs w:val="20"/>
                <w:color w:val="auto"/>
              </w:rPr>
            </w:pPr>
            <w:r>
              <w:rPr>
                <w:rFonts w:ascii="Arial" w:cs="Arial" w:eastAsia="Arial" w:hAnsi="Arial"/>
                <w:sz w:val="22"/>
                <w:szCs w:val="22"/>
                <w:color w:val="0563C1"/>
                <w:w w:val="88"/>
              </w:rPr>
              <w:t>Consolidated Statements of Equity (unaudited) –</w:t>
            </w:r>
          </w:p>
        </w:tc>
        <w:tc>
          <w:tcPr>
            <w:tcW w:w="464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540" w:type="dxa"/>
            <w:vAlign w:val="bottom"/>
            <w:gridSpan w:val="27"/>
            <w:shd w:val="clear" w:color="auto" w:fill="CCEEFF"/>
          </w:tcPr>
          <w:p>
            <w:pPr>
              <w:spacing w:after="0" w:line="223" w:lineRule="exact"/>
              <w:rPr>
                <w:sz w:val="20"/>
                <w:szCs w:val="20"/>
                <w:color w:val="auto"/>
              </w:rPr>
            </w:pPr>
            <w:r>
              <w:rPr>
                <w:rFonts w:ascii="Arial" w:cs="Arial" w:eastAsia="Arial" w:hAnsi="Arial"/>
                <w:sz w:val="22"/>
                <w:szCs w:val="22"/>
                <w:color w:val="0563C1"/>
              </w:rPr>
              <w:t>Nine Months Ended September 30, 2023</w:t>
            </w:r>
          </w:p>
        </w:tc>
        <w:tc>
          <w:tcPr>
            <w:tcW w:w="17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0563C1"/>
            </w:tcBorders>
            <w:gridSpan w:val="17"/>
            <w:shd w:val="clear" w:color="auto" w:fill="CCEEFF"/>
          </w:tcPr>
          <w:p>
            <w:pPr>
              <w:spacing w:after="0" w:line="203" w:lineRule="exact"/>
              <w:rPr>
                <w:sz w:val="20"/>
                <w:szCs w:val="20"/>
                <w:color w:val="auto"/>
              </w:rPr>
            </w:pPr>
            <w:r>
              <w:rPr>
                <w:rFonts w:ascii="Arial" w:cs="Arial" w:eastAsia="Arial" w:hAnsi="Arial"/>
                <w:sz w:val="22"/>
                <w:szCs w:val="22"/>
                <w:color w:val="0563C1"/>
                <w:w w:val="88"/>
              </w:rPr>
              <w:t>Consolidated Statements of Equity (unaudited) –</w:t>
            </w:r>
          </w:p>
        </w:tc>
        <w:tc>
          <w:tcPr>
            <w:tcW w:w="464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80" w:type="dxa"/>
            <w:vAlign w:val="bottom"/>
            <w:gridSpan w:val="26"/>
            <w:shd w:val="clear" w:color="auto" w:fill="CCEEFF"/>
          </w:tcPr>
          <w:p>
            <w:pPr>
              <w:spacing w:after="0" w:line="223" w:lineRule="exact"/>
              <w:rPr>
                <w:sz w:val="20"/>
                <w:szCs w:val="20"/>
                <w:color w:val="auto"/>
              </w:rPr>
            </w:pPr>
            <w:r>
              <w:rPr>
                <w:rFonts w:ascii="Arial" w:cs="Arial" w:eastAsia="Arial" w:hAnsi="Arial"/>
                <w:sz w:val="22"/>
                <w:szCs w:val="22"/>
                <w:color w:val="0563C1"/>
              </w:rPr>
              <w:t>‎Nine Months Ended September 30, 2022</w:t>
            </w:r>
          </w:p>
        </w:tc>
        <w:tc>
          <w:tcPr>
            <w:tcW w:w="17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Cash Flow (unaudited) –</w:t>
            </w:r>
          </w:p>
        </w:tc>
        <w:tc>
          <w:tcPr>
            <w:tcW w:w="1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0"/>
        </w:trPr>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460" w:type="dxa"/>
            <w:vAlign w:val="bottom"/>
            <w:gridSpan w:val="2"/>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840" w:type="dxa"/>
            <w:vAlign w:val="bottom"/>
            <w:tcBorders>
              <w:right w:val="single" w:sz="8" w:color="CCEEFF"/>
            </w:tcBorders>
            <w:gridSpan w:val="5"/>
            <w:shd w:val="clear" w:color="auto" w:fill="0563C1"/>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760" w:type="dxa"/>
            <w:vAlign w:val="bottom"/>
            <w:gridSpan w:val="4"/>
            <w:shd w:val="clear" w:color="auto" w:fill="CCEEFF"/>
          </w:tcPr>
          <w:p>
            <w:pPr>
              <w:spacing w:after="0" w:line="20" w:lineRule="exact"/>
              <w:rPr>
                <w:sz w:val="1"/>
                <w:szCs w:val="1"/>
                <w:color w:val="auto"/>
              </w:rPr>
            </w:pPr>
          </w:p>
        </w:tc>
        <w:tc>
          <w:tcPr>
            <w:tcW w:w="172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540" w:type="dxa"/>
            <w:vAlign w:val="bottom"/>
            <w:gridSpan w:val="27"/>
            <w:shd w:val="clear" w:color="auto" w:fill="CCEEFF"/>
          </w:tcPr>
          <w:p>
            <w:pPr>
              <w:spacing w:after="0" w:line="223" w:lineRule="exact"/>
              <w:rPr>
                <w:sz w:val="20"/>
                <w:szCs w:val="20"/>
                <w:color w:val="auto"/>
              </w:rPr>
            </w:pPr>
            <w:r>
              <w:rPr>
                <w:rFonts w:ascii="Arial" w:cs="Arial" w:eastAsia="Arial" w:hAnsi="Arial"/>
                <w:sz w:val="22"/>
                <w:szCs w:val="22"/>
                <w:color w:val="0563C1"/>
              </w:rPr>
              <w:t>Nine Months Ended September 30, 2023 and 2022</w:t>
            </w:r>
          </w:p>
        </w:tc>
        <w:tc>
          <w:tcPr>
            <w:tcW w:w="17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886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Notes to Consolidated Financial Statements (unaudited)</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520" w:type="dxa"/>
            <w:vAlign w:val="bottom"/>
            <w:gridSpan w:val="30"/>
            <w:shd w:val="clear" w:color="auto" w:fill="CCEEFF"/>
          </w:tcPr>
          <w:p>
            <w:pPr>
              <w:spacing w:after="0" w:line="203" w:lineRule="exact"/>
              <w:rPr>
                <w:sz w:val="20"/>
                <w:szCs w:val="20"/>
                <w:color w:val="auto"/>
              </w:rPr>
            </w:pPr>
            <w:r>
              <w:rPr>
                <w:rFonts w:ascii="Arial" w:cs="Arial" w:eastAsia="Arial" w:hAnsi="Arial"/>
                <w:sz w:val="22"/>
                <w:szCs w:val="22"/>
                <w:color w:val="0563C1"/>
              </w:rPr>
              <w:t>Item 2. Management’s Discussion and Analysis of Financial</w:t>
            </w:r>
          </w:p>
        </w:tc>
        <w:tc>
          <w:tcPr>
            <w:tcW w:w="17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shd w:val="clear" w:color="auto" w:fill="CCEEFF"/>
          </w:tcPr>
          <w:p>
            <w:pPr>
              <w:spacing w:after="0"/>
              <w:rPr>
                <w:sz w:val="20"/>
                <w:szCs w:val="20"/>
                <w:color w:val="auto"/>
              </w:rPr>
            </w:pPr>
          </w:p>
        </w:tc>
        <w:tc>
          <w:tcPr>
            <w:tcW w:w="4600" w:type="dxa"/>
            <w:vAlign w:val="bottom"/>
            <w:tcBorders>
              <w:top w:val="single" w:sz="8" w:color="0563C1"/>
              <w:right w:val="single" w:sz="8" w:color="CCEEFF"/>
            </w:tcBorders>
            <w:gridSpan w:val="18"/>
            <w:shd w:val="clear" w:color="auto" w:fill="CCEEFF"/>
          </w:tcPr>
          <w:p>
            <w:pPr>
              <w:spacing w:after="0" w:line="223" w:lineRule="exact"/>
              <w:rPr>
                <w:sz w:val="20"/>
                <w:szCs w:val="20"/>
                <w:color w:val="auto"/>
              </w:rPr>
            </w:pPr>
            <w:r>
              <w:rPr>
                <w:rFonts w:ascii="Arial" w:cs="Arial" w:eastAsia="Arial" w:hAnsi="Arial"/>
                <w:sz w:val="22"/>
                <w:szCs w:val="22"/>
                <w:color w:val="0563C1"/>
              </w:rPr>
              <w:t>Condition and Results of Operations</w:t>
            </w:r>
          </w:p>
        </w:tc>
        <w:tc>
          <w:tcPr>
            <w:tcW w:w="4260" w:type="dxa"/>
            <w:vAlign w:val="bottom"/>
            <w:tcBorders>
              <w:top w:val="single" w:sz="8" w:color="CCEEFF"/>
            </w:tcBorders>
            <w:gridSpan w:val="11"/>
            <w:shd w:val="clear" w:color="auto" w:fill="CCEEFF"/>
          </w:tcPr>
          <w:p>
            <w:pPr>
              <w:spacing w:after="0"/>
              <w:rPr>
                <w:sz w:val="20"/>
                <w:szCs w:val="20"/>
                <w:color w:val="auto"/>
              </w:rPr>
            </w:pPr>
          </w:p>
        </w:tc>
        <w:tc>
          <w:tcPr>
            <w:tcW w:w="172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3.</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Quantitative and Qualitative Disclosures About Market Risk</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4.</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Controls and Procedures</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20" w:type="dxa"/>
            <w:vAlign w:val="bottom"/>
            <w:gridSpan w:val="17"/>
            <w:shd w:val="clear" w:color="auto" w:fill="CCEEFF"/>
          </w:tcPr>
          <w:p>
            <w:pPr>
              <w:jc w:val="center"/>
              <w:ind w:right="2640"/>
              <w:spacing w:after="0" w:line="203" w:lineRule="exact"/>
              <w:rPr>
                <w:sz w:val="20"/>
                <w:szCs w:val="20"/>
                <w:color w:val="auto"/>
              </w:rPr>
            </w:pPr>
            <w:r>
              <w:rPr>
                <w:rFonts w:ascii="Arial" w:cs="Arial" w:eastAsia="Arial" w:hAnsi="Arial"/>
                <w:sz w:val="22"/>
                <w:szCs w:val="22"/>
                <w:color w:val="0563C1"/>
                <w:w w:val="91"/>
              </w:rPr>
              <w:t>Part II – Other Information</w:t>
            </w:r>
          </w:p>
        </w:tc>
        <w:tc>
          <w:tcPr>
            <w:tcW w:w="1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26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38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8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4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800" w:type="dxa"/>
            <w:vAlign w:val="bottom"/>
            <w:tcBorders>
              <w:top w:val="single" w:sz="8" w:color="0563C1"/>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1.</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Legal Proceedings</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20" w:type="dxa"/>
            <w:vAlign w:val="bottom"/>
            <w:gridSpan w:val="30"/>
            <w:shd w:val="clear" w:color="auto" w:fill="CCEEFF"/>
          </w:tcPr>
          <w:p>
            <w:pPr>
              <w:spacing w:after="0" w:line="203" w:lineRule="exact"/>
              <w:rPr>
                <w:sz w:val="20"/>
                <w:szCs w:val="20"/>
                <w:color w:val="auto"/>
              </w:rPr>
            </w:pPr>
            <w:r>
              <w:rPr>
                <w:rFonts w:ascii="Arial" w:cs="Arial" w:eastAsia="Arial" w:hAnsi="Arial"/>
                <w:sz w:val="22"/>
                <w:szCs w:val="22"/>
                <w:color w:val="0563C1"/>
              </w:rPr>
              <w:t>Item 1A. Risk Factors</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2.</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Unregistered Sales of Equity Securities and Use of Proceeds</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48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5.</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Other Information</w:t>
            </w:r>
          </w:p>
        </w:tc>
        <w:tc>
          <w:tcPr>
            <w:tcW w:w="1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22"/>
                <w:szCs w:val="22"/>
                <w:color w:val="auto"/>
              </w:rPr>
              <w:t>47</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6.</w:t>
            </w:r>
          </w:p>
        </w:tc>
        <w:tc>
          <w:tcPr>
            <w:tcW w:w="886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Exhibits</w:t>
            </w:r>
          </w:p>
        </w:tc>
        <w:tc>
          <w:tcPr>
            <w:tcW w:w="172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29"/>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Arial" w:cs="Arial" w:eastAsia="Arial" w:hAnsi="Arial"/>
                <w:sz w:val="22"/>
                <w:szCs w:val="22"/>
                <w:color w:val="0563C1"/>
                <w:w w:val="85"/>
              </w:rPr>
              <w:t>Signatures</w:t>
            </w:r>
          </w:p>
        </w:tc>
        <w:tc>
          <w:tcPr>
            <w:tcW w:w="8600" w:type="dxa"/>
            <w:vAlign w:val="bottom"/>
            <w:tcBorders>
              <w:bottom w:val="single" w:sz="8" w:color="CCEEFF"/>
            </w:tcBorders>
            <w:gridSpan w:val="28"/>
            <w:shd w:val="clear" w:color="auto" w:fill="CCEEFF"/>
          </w:tcPr>
          <w:p>
            <w:pPr>
              <w:spacing w:after="0"/>
              <w:rPr>
                <w:sz w:val="18"/>
                <w:szCs w:val="18"/>
                <w:color w:val="auto"/>
              </w:rPr>
            </w:pPr>
          </w:p>
        </w:tc>
        <w:tc>
          <w:tcPr>
            <w:tcW w:w="172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5280" w:type="dxa"/>
            <w:vAlign w:val="bottom"/>
            <w:gridSpan w:val="23"/>
          </w:tcPr>
          <w:p>
            <w:pPr>
              <w:jc w:val="center"/>
              <w:ind w:left="4552"/>
              <w:spacing w:after="0"/>
              <w:rPr>
                <w:sz w:val="20"/>
                <w:szCs w:val="20"/>
                <w:color w:val="auto"/>
              </w:rPr>
            </w:pPr>
            <w:r>
              <w:rPr>
                <w:rFonts w:ascii="Arial" w:cs="Arial" w:eastAsia="Arial" w:hAnsi="Arial"/>
                <w:sz w:val="22"/>
                <w:szCs w:val="22"/>
                <w:color w:val="auto"/>
                <w:w w:val="81"/>
              </w:rPr>
              <w:t>1</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w w:val="93"/>
              </w:rPr>
              <w:t>December 31,</w:t>
            </w:r>
          </w:p>
        </w:tc>
      </w:tr>
      <w:tr>
        <w:trPr>
          <w:trHeight w:val="199"/>
        </w:trPr>
        <w:tc>
          <w:tcPr>
            <w:tcW w:w="6440" w:type="dxa"/>
            <w:vAlign w:val="bottom"/>
            <w:tcBorders>
              <w:bottom w:val="single" w:sz="8" w:color="CCEEFF"/>
            </w:tcBorders>
          </w:tcPr>
          <w:p>
            <w:pPr>
              <w:ind w:left="3940"/>
              <w:spacing w:after="0"/>
              <w:rPr>
                <w:sz w:val="20"/>
                <w:szCs w:val="20"/>
                <w:color w:val="auto"/>
              </w:rPr>
            </w:pPr>
            <w:r>
              <w:rPr>
                <w:rFonts w:ascii="Arial" w:cs="Arial" w:eastAsia="Arial" w:hAnsi="Arial"/>
                <w:sz w:val="16"/>
                <w:szCs w:val="16"/>
                <w:color w:val="auto"/>
              </w:rPr>
              <w:t>Assets</w:t>
            </w:r>
          </w:p>
        </w:tc>
        <w:tc>
          <w:tcPr>
            <w:tcW w:w="2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r>
      <w:tr>
        <w:trPr>
          <w:trHeight w:val="169"/>
        </w:trPr>
        <w:tc>
          <w:tcPr>
            <w:tcW w:w="64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Property, plant and equipment, at cost</w:t>
            </w:r>
          </w:p>
        </w:tc>
        <w:tc>
          <w:tcPr>
            <w:tcW w:w="20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14,681,336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13,737,387</w:t>
            </w:r>
          </w:p>
        </w:tc>
      </w:tr>
      <w:tr>
        <w:trPr>
          <w:trHeight w:val="175"/>
        </w:trPr>
        <w:tc>
          <w:tcPr>
            <w:tcW w:w="644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Less: accumulated depreciation</w:t>
            </w:r>
          </w:p>
        </w:tc>
        <w:tc>
          <w:tcPr>
            <w:tcW w:w="20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2,834,771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2,606,441</w:t>
            </w:r>
          </w:p>
        </w:tc>
      </w:tr>
      <w:tr>
        <w:trPr>
          <w:trHeight w:val="169"/>
        </w:trPr>
        <w:tc>
          <w:tcPr>
            <w:tcW w:w="64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property, plant and equipment</w:t>
            </w:r>
          </w:p>
        </w:tc>
        <w:tc>
          <w:tcPr>
            <w:tcW w:w="20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11,846,565</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11,130,946</w:t>
            </w:r>
          </w:p>
        </w:tc>
      </w:tr>
      <w:tr>
        <w:trPr>
          <w:trHeight w:val="169"/>
        </w:trPr>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Current assets:</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6440" w:type="dxa"/>
            <w:vAlign w:val="bottom"/>
          </w:tcPr>
          <w:p>
            <w:pPr>
              <w:ind w:left="120"/>
              <w:spacing w:after="0" w:line="175" w:lineRule="exact"/>
              <w:rPr>
                <w:sz w:val="20"/>
                <w:szCs w:val="20"/>
                <w:color w:val="auto"/>
              </w:rPr>
            </w:pPr>
            <w:r>
              <w:rPr>
                <w:rFonts w:ascii="Arial" w:cs="Arial" w:eastAsia="Arial" w:hAnsi="Arial"/>
                <w:sz w:val="16"/>
                <w:szCs w:val="16"/>
                <w:color w:val="auto"/>
              </w:rPr>
              <w:t>Cash and cash equivalents</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8,505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11,398</w:t>
            </w:r>
          </w:p>
        </w:tc>
      </w:tr>
      <w:tr>
        <w:trPr>
          <w:trHeight w:val="175"/>
        </w:trPr>
        <w:tc>
          <w:tcPr>
            <w:tcW w:w="644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Accounts receivable, net</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133,735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206,324</w:t>
            </w:r>
          </w:p>
        </w:tc>
      </w:tr>
      <w:tr>
        <w:trPr>
          <w:trHeight w:val="176"/>
        </w:trPr>
        <w:tc>
          <w:tcPr>
            <w:tcW w:w="6440" w:type="dxa"/>
            <w:vAlign w:val="bottom"/>
          </w:tcPr>
          <w:p>
            <w:pPr>
              <w:ind w:left="120"/>
              <w:spacing w:after="0" w:line="175" w:lineRule="exact"/>
              <w:rPr>
                <w:sz w:val="20"/>
                <w:szCs w:val="20"/>
                <w:color w:val="auto"/>
              </w:rPr>
            </w:pPr>
            <w:r>
              <w:rPr>
                <w:rFonts w:ascii="Arial" w:cs="Arial" w:eastAsia="Arial" w:hAnsi="Arial"/>
                <w:sz w:val="16"/>
                <w:szCs w:val="16"/>
                <w:color w:val="auto"/>
              </w:rPr>
              <w:t>Unbilled revenues</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75,101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170,504</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Inventory - materials and supplies</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48,811</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46,592</w:t>
            </w:r>
          </w:p>
        </w:tc>
      </w:tr>
      <w:tr>
        <w:trPr>
          <w:trHeight w:val="175"/>
        </w:trPr>
        <w:tc>
          <w:tcPr>
            <w:tcW w:w="6440" w:type="dxa"/>
            <w:vAlign w:val="bottom"/>
          </w:tcPr>
          <w:p>
            <w:pPr>
              <w:ind w:left="120"/>
              <w:spacing w:after="0" w:line="175" w:lineRule="exact"/>
              <w:rPr>
                <w:sz w:val="20"/>
                <w:szCs w:val="20"/>
                <w:color w:val="auto"/>
              </w:rPr>
            </w:pPr>
            <w:r>
              <w:rPr>
                <w:rFonts w:ascii="Arial" w:cs="Arial" w:eastAsia="Arial" w:hAnsi="Arial"/>
                <w:sz w:val="16"/>
                <w:szCs w:val="16"/>
                <w:color w:val="auto"/>
              </w:rPr>
              <w:t>Inventory - gas stored</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78,634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153,143</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Current assets held for sale</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7,461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11,167</w:t>
            </w:r>
          </w:p>
        </w:tc>
      </w:tr>
      <w:tr>
        <w:trPr>
          <w:trHeight w:val="175"/>
        </w:trPr>
        <w:tc>
          <w:tcPr>
            <w:tcW w:w="6440" w:type="dxa"/>
            <w:vAlign w:val="bottom"/>
          </w:tcPr>
          <w:p>
            <w:pPr>
              <w:ind w:left="120"/>
              <w:spacing w:after="0" w:line="175" w:lineRule="exact"/>
              <w:rPr>
                <w:sz w:val="20"/>
                <w:szCs w:val="20"/>
                <w:color w:val="auto"/>
              </w:rPr>
            </w:pPr>
            <w:r>
              <w:rPr>
                <w:rFonts w:ascii="Arial" w:cs="Arial" w:eastAsia="Arial" w:hAnsi="Arial"/>
                <w:sz w:val="16"/>
                <w:szCs w:val="16"/>
                <w:color w:val="auto"/>
              </w:rPr>
              <w:t>Prepayments and other current assets</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31,409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39,759</w:t>
            </w:r>
          </w:p>
        </w:tc>
      </w:tr>
      <w:tr>
        <w:trPr>
          <w:trHeight w:val="176"/>
        </w:trPr>
        <w:tc>
          <w:tcPr>
            <w:tcW w:w="644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Regulatory assets</w:t>
            </w:r>
          </w:p>
        </w:tc>
        <w:tc>
          <w:tcPr>
            <w:tcW w:w="20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25,692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19,272</w:t>
            </w:r>
          </w:p>
        </w:tc>
      </w:tr>
      <w:tr>
        <w:trPr>
          <w:trHeight w:val="169"/>
        </w:trPr>
        <w:tc>
          <w:tcPr>
            <w:tcW w:w="6440" w:type="dxa"/>
            <w:vAlign w:val="bottom"/>
          </w:tcPr>
          <w:p>
            <w:pPr>
              <w:spacing w:after="0" w:line="169" w:lineRule="exact"/>
              <w:rPr>
                <w:sz w:val="20"/>
                <w:szCs w:val="20"/>
                <w:color w:val="auto"/>
              </w:rPr>
            </w:pPr>
            <w:r>
              <w:rPr>
                <w:rFonts w:ascii="Arial" w:cs="Arial" w:eastAsia="Arial" w:hAnsi="Arial"/>
                <w:sz w:val="16"/>
                <w:szCs w:val="16"/>
                <w:color w:val="auto"/>
              </w:rPr>
              <w:t>Total current assets</w:t>
            </w: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409,348</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658,159</w:t>
            </w:r>
          </w:p>
        </w:tc>
      </w:tr>
      <w:tr>
        <w:trPr>
          <w:trHeight w:val="169"/>
        </w:trPr>
        <w:tc>
          <w:tcPr>
            <w:tcW w:w="6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Regulatory assets</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1,564,056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1,342,753</w:t>
            </w:r>
          </w:p>
        </w:tc>
      </w:tr>
      <w:tr>
        <w:trPr>
          <w:trHeight w:val="176"/>
        </w:trPr>
        <w:tc>
          <w:tcPr>
            <w:tcW w:w="6440" w:type="dxa"/>
            <w:vAlign w:val="bottom"/>
          </w:tcPr>
          <w:p>
            <w:pPr>
              <w:spacing w:after="0" w:line="175" w:lineRule="exact"/>
              <w:rPr>
                <w:sz w:val="20"/>
                <w:szCs w:val="20"/>
                <w:color w:val="auto"/>
              </w:rPr>
            </w:pPr>
            <w:r>
              <w:rPr>
                <w:rFonts w:ascii="Arial" w:cs="Arial" w:eastAsia="Arial" w:hAnsi="Arial"/>
                <w:sz w:val="16"/>
                <w:szCs w:val="16"/>
                <w:color w:val="auto"/>
              </w:rPr>
              <w:t>Deferred charges and other assets, net</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191,958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166,653</w:t>
            </w:r>
          </w:p>
        </w:tc>
      </w:tr>
      <w:tr>
        <w:trPr>
          <w:trHeight w:val="175"/>
        </w:trPr>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Funds restricted for construction activity</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1,370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1,342</w:t>
            </w:r>
          </w:p>
        </w:tc>
      </w:tr>
      <w:tr>
        <w:trPr>
          <w:trHeight w:val="176"/>
        </w:trPr>
        <w:tc>
          <w:tcPr>
            <w:tcW w:w="6440" w:type="dxa"/>
            <w:vAlign w:val="bottom"/>
          </w:tcPr>
          <w:p>
            <w:pPr>
              <w:spacing w:after="0" w:line="175" w:lineRule="exact"/>
              <w:rPr>
                <w:sz w:val="20"/>
                <w:szCs w:val="20"/>
                <w:color w:val="auto"/>
              </w:rPr>
            </w:pPr>
            <w:r>
              <w:rPr>
                <w:rFonts w:ascii="Arial" w:cs="Arial" w:eastAsia="Arial" w:hAnsi="Arial"/>
                <w:sz w:val="16"/>
                <w:szCs w:val="16"/>
                <w:color w:val="auto"/>
              </w:rPr>
              <w:t>Goodwill</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2,340,661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2,340,792</w:t>
            </w:r>
          </w:p>
        </w:tc>
      </w:tr>
      <w:tr>
        <w:trPr>
          <w:trHeight w:val="175"/>
        </w:trPr>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Non-current assets held for sale</w:t>
            </w:r>
          </w:p>
        </w:tc>
        <w:tc>
          <w:tcPr>
            <w:tcW w:w="2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37,327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32,124</w:t>
            </w:r>
          </w:p>
        </w:tc>
      </w:tr>
      <w:tr>
        <w:trPr>
          <w:trHeight w:val="176"/>
        </w:trPr>
        <w:tc>
          <w:tcPr>
            <w:tcW w:w="6440" w:type="dxa"/>
            <w:vAlign w:val="bottom"/>
          </w:tcPr>
          <w:p>
            <w:pPr>
              <w:spacing w:after="0" w:line="175" w:lineRule="exact"/>
              <w:rPr>
                <w:sz w:val="20"/>
                <w:szCs w:val="20"/>
                <w:color w:val="auto"/>
              </w:rPr>
            </w:pPr>
            <w:r>
              <w:rPr>
                <w:rFonts w:ascii="Arial" w:cs="Arial" w:eastAsia="Arial" w:hAnsi="Arial"/>
                <w:sz w:val="16"/>
                <w:szCs w:val="16"/>
                <w:color w:val="auto"/>
              </w:rPr>
              <w:t>Operating lease right-of-use assets</w:t>
            </w: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Arial" w:cs="Arial" w:eastAsia="Arial" w:hAnsi="Arial"/>
                <w:sz w:val="16"/>
                <w:szCs w:val="16"/>
                <w:color w:val="auto"/>
              </w:rPr>
              <w:t>37,836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41,734</w:t>
            </w:r>
          </w:p>
        </w:tc>
      </w:tr>
      <w:tr>
        <w:trPr>
          <w:trHeight w:val="176"/>
        </w:trPr>
        <w:tc>
          <w:tcPr>
            <w:tcW w:w="6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Intangible assets</w:t>
            </w:r>
          </w:p>
        </w:tc>
        <w:tc>
          <w:tcPr>
            <w:tcW w:w="20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3,672</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4,604</w:t>
            </w:r>
          </w:p>
        </w:tc>
      </w:tr>
      <w:tr>
        <w:trPr>
          <w:trHeight w:val="169"/>
        </w:trPr>
        <w:tc>
          <w:tcPr>
            <w:tcW w:w="644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20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16,432,793</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15,719,107</w:t>
            </w:r>
          </w:p>
        </w:tc>
      </w:tr>
      <w:tr>
        <w:trPr>
          <w:trHeight w:val="20"/>
        </w:trPr>
        <w:tc>
          <w:tcPr>
            <w:tcW w:w="6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w w:val="93"/>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199"/>
        </w:trPr>
        <w:tc>
          <w:tcPr>
            <w:tcW w:w="8460" w:type="dxa"/>
            <w:vAlign w:val="bottom"/>
          </w:tcPr>
          <w:p>
            <w:pPr>
              <w:ind w:left="3420"/>
              <w:spacing w:after="0"/>
              <w:rPr>
                <w:sz w:val="20"/>
                <w:szCs w:val="20"/>
                <w:color w:val="auto"/>
              </w:rPr>
            </w:pPr>
            <w:r>
              <w:rPr>
                <w:rFonts w:ascii="Arial" w:cs="Arial" w:eastAsia="Arial" w:hAnsi="Arial"/>
                <w:sz w:val="16"/>
                <w:szCs w:val="16"/>
                <w:color w:val="auto"/>
              </w:rPr>
              <w:t>Liabilities and Equity</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60" w:type="dxa"/>
            <w:vAlign w:val="bottom"/>
            <w:shd w:val="clear" w:color="auto" w:fill="CCEEFF"/>
          </w:tcPr>
          <w:p>
            <w:pPr>
              <w:ind w:left="120"/>
              <w:spacing w:after="0" w:line="152" w:lineRule="exact"/>
              <w:rPr>
                <w:sz w:val="20"/>
                <w:szCs w:val="20"/>
                <w:color w:val="auto"/>
              </w:rPr>
            </w:pPr>
            <w:r>
              <w:rPr>
                <w:rFonts w:ascii="Arial" w:cs="Arial" w:eastAsia="Arial" w:hAnsi="Arial"/>
                <w:sz w:val="16"/>
                <w:szCs w:val="16"/>
                <w:color w:val="auto"/>
                <w:w w:val="93"/>
              </w:rPr>
              <w:t>Common stock at $0.50 par value, authorized 600,000,000 shares, issued 276,471,716 and 266,973,321 as of September 30,</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2023 and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138,235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133,486</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Capital in excess of par value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4,131,834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3,793,262</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1,739,271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1,534,331</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Treasury stock, at cost, 3,305,899 and 3,236,237 shares as of September 30, 2023 and December 31, 2022</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(86,783)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(83,693)</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5,922,557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5,377,386</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debt, excluding current portion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6,501,254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6,418,039</w:t>
            </w:r>
          </w:p>
        </w:tc>
        <w:tc>
          <w:tcPr>
            <w:tcW w:w="0" w:type="dxa"/>
            <w:vAlign w:val="bottom"/>
          </w:tcPr>
          <w:p>
            <w:pPr>
              <w:spacing w:after="0"/>
              <w:rPr>
                <w:sz w:val="1"/>
                <w:szCs w:val="1"/>
                <w:color w:val="auto"/>
              </w:rPr>
            </w:pPr>
          </w:p>
        </w:tc>
      </w:tr>
      <w:tr>
        <w:trPr>
          <w:trHeight w:val="175"/>
        </w:trPr>
        <w:tc>
          <w:tcPr>
            <w:tcW w:w="8460" w:type="dxa"/>
            <w:vAlign w:val="bottom"/>
          </w:tcPr>
          <w:p>
            <w:pPr>
              <w:spacing w:after="0" w:line="175" w:lineRule="exact"/>
              <w:rPr>
                <w:sz w:val="20"/>
                <w:szCs w:val="20"/>
                <w:color w:val="auto"/>
              </w:rPr>
            </w:pPr>
            <w:r>
              <w:rPr>
                <w:rFonts w:ascii="Arial" w:cs="Arial" w:eastAsia="Arial" w:hAnsi="Arial"/>
                <w:sz w:val="16"/>
                <w:szCs w:val="16"/>
                <w:color w:val="auto"/>
              </w:rPr>
              <w:t>Less: debt issuance costs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45,214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46,982</w:t>
            </w:r>
          </w:p>
        </w:tc>
        <w:tc>
          <w:tcPr>
            <w:tcW w:w="0" w:type="dxa"/>
            <w:vAlign w:val="bottom"/>
          </w:tcPr>
          <w:p>
            <w:pPr>
              <w:spacing w:after="0"/>
              <w:rPr>
                <w:sz w:val="1"/>
                <w:szCs w:val="1"/>
                <w:color w:val="auto"/>
              </w:rPr>
            </w:pPr>
          </w:p>
        </w:tc>
      </w:tr>
      <w:tr>
        <w:trPr>
          <w:trHeight w:val="169"/>
        </w:trPr>
        <w:tc>
          <w:tcPr>
            <w:tcW w:w="84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Long-term debt, excluding current portion, net of debt issuance costs</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6,456,040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6,371,057</w:t>
            </w:r>
          </w:p>
        </w:tc>
        <w:tc>
          <w:tcPr>
            <w:tcW w:w="0" w:type="dxa"/>
            <w:vAlign w:val="bottom"/>
          </w:tcPr>
          <w:p>
            <w:pPr>
              <w:spacing w:after="0"/>
              <w:rPr>
                <w:sz w:val="1"/>
                <w:szCs w:val="1"/>
                <w:color w:val="auto"/>
              </w:rPr>
            </w:pPr>
          </w:p>
        </w:tc>
      </w:tr>
      <w:tr>
        <w:trPr>
          <w:trHeight w:val="231"/>
        </w:trPr>
        <w:tc>
          <w:tcPr>
            <w:tcW w:w="8460" w:type="dxa"/>
            <w:vAlign w:val="bottom"/>
          </w:tcPr>
          <w:p>
            <w:pPr>
              <w:spacing w:after="0"/>
              <w:rPr>
                <w:sz w:val="20"/>
                <w:szCs w:val="20"/>
                <w:color w:val="auto"/>
              </w:rPr>
            </w:pPr>
            <w:r>
              <w:rPr>
                <w:rFonts w:ascii="Arial" w:cs="Arial" w:eastAsia="Arial" w:hAnsi="Arial"/>
                <w:sz w:val="16"/>
                <w:szCs w:val="16"/>
                <w:color w:val="auto"/>
              </w:rPr>
              <w:t>Commitments and contingencies (See Note 14)</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218,619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199,356</w:t>
            </w:r>
          </w:p>
        </w:tc>
        <w:tc>
          <w:tcPr>
            <w:tcW w:w="0" w:type="dxa"/>
            <w:vAlign w:val="bottom"/>
          </w:tcPr>
          <w:p>
            <w:pPr>
              <w:spacing w:after="0"/>
              <w:rPr>
                <w:sz w:val="1"/>
                <w:szCs w:val="1"/>
                <w:color w:val="auto"/>
              </w:rPr>
            </w:pPr>
          </w:p>
        </w:tc>
      </w:tr>
      <w:tr>
        <w:trPr>
          <w:trHeight w:val="176"/>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Loans payable</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131,832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228,500</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191,924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238,843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Book overdraft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19,688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28,694</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81,429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47,063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Accrued taxes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29,113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34,393</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Liabilities related to assets held for sale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2,669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Regulatory liabilities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80,190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35,276</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Dividends payable</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75,808</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Other accrued liabilities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141,104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130,673</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896,568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1,021,869</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Deferred credits and other liabilities:</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Deferred income taxes and investment tax credits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1,486,979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1,345,766</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Customers' advances for construction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129,139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114,732</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Regulatory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825,659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778,754</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Asset retirement obligations</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845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175"/>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35,133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37,666</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Non-current liabilities related to assets held for sale</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758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76"/>
        </w:trPr>
        <w:tc>
          <w:tcPr>
            <w:tcW w:w="8460" w:type="dxa"/>
            <w:vAlign w:val="bottom"/>
          </w:tcPr>
          <w:p>
            <w:pPr>
              <w:ind w:left="120"/>
              <w:spacing w:after="0" w:line="175" w:lineRule="exact"/>
              <w:rPr>
                <w:sz w:val="20"/>
                <w:szCs w:val="20"/>
                <w:color w:val="auto"/>
              </w:rPr>
            </w:pPr>
            <w:r>
              <w:rPr>
                <w:rFonts w:ascii="Arial" w:cs="Arial" w:eastAsia="Arial" w:hAnsi="Arial"/>
                <w:sz w:val="16"/>
                <w:szCs w:val="16"/>
                <w:color w:val="auto"/>
              </w:rPr>
              <w:t>Pension and other postretirement benefit liabilities</w:t>
            </w:r>
          </w:p>
        </w:tc>
        <w:tc>
          <w:tcPr>
            <w:tcW w:w="140" w:type="dxa"/>
            <w:vAlign w:val="bottom"/>
          </w:tcPr>
          <w:p>
            <w:pPr>
              <w:spacing w:after="0"/>
              <w:rPr>
                <w:sz w:val="15"/>
                <w:szCs w:val="15"/>
                <w:color w:val="auto"/>
              </w:rPr>
            </w:pPr>
          </w:p>
        </w:tc>
        <w:tc>
          <w:tcPr>
            <w:tcW w:w="130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32,380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31,244</w:t>
            </w: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24,326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28,562</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6"/>
                <w:szCs w:val="16"/>
                <w:color w:val="auto"/>
              </w:rPr>
              <w:t>Total deferred credits and other liabilities</w:t>
            </w:r>
          </w:p>
        </w:tc>
        <w:tc>
          <w:tcPr>
            <w:tcW w:w="1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2,535,219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2,338,541</w:t>
            </w:r>
          </w:p>
        </w:tc>
        <w:tc>
          <w:tcPr>
            <w:tcW w:w="0" w:type="dxa"/>
            <w:vAlign w:val="bottom"/>
          </w:tcPr>
          <w:p>
            <w:pPr>
              <w:spacing w:after="0"/>
              <w:rPr>
                <w:sz w:val="1"/>
                <w:szCs w:val="1"/>
                <w:color w:val="auto"/>
              </w:rPr>
            </w:pPr>
          </w:p>
        </w:tc>
      </w:tr>
      <w:tr>
        <w:trPr>
          <w:trHeight w:val="169"/>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Contributions in aid of construction</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line="175" w:lineRule="exact"/>
              <w:rPr>
                <w:sz w:val="20"/>
                <w:szCs w:val="20"/>
                <w:color w:val="auto"/>
              </w:rPr>
            </w:pPr>
            <w:r>
              <w:rPr>
                <w:rFonts w:ascii="Arial" w:cs="Arial" w:eastAsia="Arial" w:hAnsi="Arial"/>
                <w:sz w:val="16"/>
                <w:szCs w:val="16"/>
                <w:color w:val="auto"/>
              </w:rPr>
              <w:t>622,409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610,254</w:t>
            </w:r>
          </w:p>
        </w:tc>
        <w:tc>
          <w:tcPr>
            <w:tcW w:w="0" w:type="dxa"/>
            <w:vAlign w:val="bottom"/>
          </w:tcPr>
          <w:p>
            <w:pPr>
              <w:spacing w:after="0"/>
              <w:rPr>
                <w:sz w:val="1"/>
                <w:szCs w:val="1"/>
                <w:color w:val="auto"/>
              </w:rPr>
            </w:pPr>
          </w:p>
        </w:tc>
      </w:tr>
      <w:tr>
        <w:trPr>
          <w:trHeight w:val="169"/>
        </w:trPr>
        <w:tc>
          <w:tcPr>
            <w:tcW w:w="8460" w:type="dxa"/>
            <w:vAlign w:val="bottom"/>
          </w:tcPr>
          <w:p>
            <w:pPr>
              <w:spacing w:after="0" w:line="169" w:lineRule="exact"/>
              <w:rPr>
                <w:sz w:val="20"/>
                <w:szCs w:val="20"/>
                <w:color w:val="auto"/>
              </w:rPr>
            </w:pPr>
            <w:r>
              <w:rPr>
                <w:rFonts w:ascii="Arial" w:cs="Arial" w:eastAsia="Arial" w:hAnsi="Arial"/>
                <w:sz w:val="16"/>
                <w:szCs w:val="16"/>
                <w:color w:val="auto"/>
              </w:rPr>
              <w:t>Total liabilities and equity</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16,432,793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15,719,107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40" w:type="dxa"/>
            <w:vAlign w:val="bottom"/>
            <w:gridSpan w:val="6"/>
          </w:tcPr>
          <w:p>
            <w:pPr>
              <w:ind w:left="500"/>
              <w:spacing w:after="0"/>
              <w:rPr>
                <w:sz w:val="20"/>
                <w:szCs w:val="20"/>
                <w:color w:val="auto"/>
              </w:rPr>
            </w:pPr>
            <w:r>
              <w:rPr>
                <w:rFonts w:ascii="Arial" w:cs="Arial" w:eastAsia="Arial" w:hAnsi="Arial"/>
                <w:sz w:val="22"/>
                <w:szCs w:val="22"/>
                <w:color w:val="auto"/>
              </w:rPr>
              <w:t>Three Months Ended</w:t>
            </w:r>
          </w:p>
        </w:tc>
        <w:tc>
          <w:tcPr>
            <w:tcW w:w="0" w:type="dxa"/>
            <w:vAlign w:val="bottom"/>
          </w:tcPr>
          <w:p>
            <w:pPr>
              <w:spacing w:after="0"/>
              <w:rPr>
                <w:sz w:val="1"/>
                <w:szCs w:val="1"/>
                <w:color w:val="auto"/>
              </w:rPr>
            </w:pPr>
          </w:p>
        </w:tc>
      </w:tr>
      <w:tr>
        <w:trPr>
          <w:trHeight w:val="251"/>
        </w:trPr>
        <w:tc>
          <w:tcPr>
            <w:tcW w:w="5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2"/>
              <w:spacing w:after="0" w:line="223" w:lineRule="exact"/>
              <w:rPr>
                <w:sz w:val="20"/>
                <w:szCs w:val="20"/>
                <w:color w:val="auto"/>
              </w:rPr>
            </w:pPr>
            <w:r>
              <w:rPr>
                <w:rFonts w:ascii="Arial" w:cs="Arial" w:eastAsia="Arial" w:hAnsi="Arial"/>
                <w:sz w:val="22"/>
                <w:szCs w:val="22"/>
                <w:color w:val="auto"/>
                <w:w w:val="98"/>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411,255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434,618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147,018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151,361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16,590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52,041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84,348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80,471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24,207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22,625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1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273,850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308,757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137,405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125,861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68,590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60,488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(942)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line="229" w:lineRule="exact"/>
              <w:rPr>
                <w:sz w:val="20"/>
                <w:szCs w:val="20"/>
                <w:color w:val="auto"/>
              </w:rPr>
            </w:pPr>
            <w:r>
              <w:rPr>
                <w:rFonts w:ascii="Arial" w:cs="Arial" w:eastAsia="Arial" w:hAnsi="Arial"/>
                <w:sz w:val="22"/>
                <w:szCs w:val="22"/>
                <w:color w:val="auto"/>
              </w:rPr>
              <w:t>(5,455)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(5,812)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Loss (gain) on sale of other assets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Other</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(1,438)</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Income before income taxes</w:t>
            </w:r>
          </w:p>
        </w:tc>
        <w:tc>
          <w:tcPr>
            <w:tcW w:w="1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76,365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73,435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1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(3,711)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income</w:t>
            </w:r>
          </w:p>
        </w:tc>
        <w:tc>
          <w:tcPr>
            <w:tcW w:w="17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80,076</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68,638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80,076</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4"/>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68,638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Net income per common share:</w:t>
            </w:r>
          </w:p>
        </w:tc>
        <w:tc>
          <w:tcPr>
            <w:tcW w:w="1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2160" w:type="dxa"/>
            <w:vAlign w:val="bottom"/>
            <w:gridSpan w:val="2"/>
            <w:shd w:val="clear" w:color="auto" w:fill="CCEEFF"/>
          </w:tcPr>
          <w:p>
            <w:pPr>
              <w:jc w:val="right"/>
              <w:ind w:right="183"/>
              <w:spacing w:after="0" w:line="229" w:lineRule="exact"/>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0.30</w:t>
            </w:r>
          </w:p>
        </w:tc>
        <w:tc>
          <w:tcPr>
            <w:tcW w:w="2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64"/>
              <w:spacing w:after="0"/>
              <w:rPr>
                <w:sz w:val="20"/>
                <w:szCs w:val="20"/>
                <w:color w:val="auto"/>
              </w:rPr>
            </w:pPr>
            <w:r>
              <w:rPr>
                <w:rFonts w:ascii="Arial" w:cs="Arial" w:eastAsia="Arial" w:hAnsi="Arial"/>
                <w:sz w:val="19"/>
                <w:szCs w:val="19"/>
                <w:color w:val="auto"/>
                <w:w w:val="75"/>
              </w:rPr>
              <w:t>$</w:t>
            </w: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8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380" w:type="dxa"/>
            <w:vAlign w:val="bottom"/>
            <w:tcBorders>
              <w:bottom w:val="single" w:sz="8" w:color="auto"/>
            </w:tcBorders>
          </w:tcPr>
          <w:p>
            <w:pPr>
              <w:jc w:val="right"/>
              <w:ind w:right="183"/>
              <w:spacing w:after="0" w:line="210" w:lineRule="exact"/>
              <w:rPr>
                <w:sz w:val="20"/>
                <w:szCs w:val="20"/>
                <w:color w:val="auto"/>
              </w:rPr>
            </w:pPr>
            <w:r>
              <w:rPr>
                <w:rFonts w:ascii="Arial" w:cs="Arial" w:eastAsia="Arial" w:hAnsi="Arial"/>
                <w:sz w:val="19"/>
                <w:szCs w:val="19"/>
                <w:color w:val="auto"/>
                <w:w w:val="75"/>
              </w:rPr>
              <w:t>$</w:t>
            </w:r>
          </w:p>
        </w:tc>
        <w:tc>
          <w:tcPr>
            <w:tcW w:w="13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0.30</w:t>
            </w:r>
          </w:p>
        </w:tc>
        <w:tc>
          <w:tcPr>
            <w:tcW w:w="22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266,767</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262,213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120"/>
              <w:spacing w:after="0" w:line="250" w:lineRule="exact"/>
              <w:rPr>
                <w:sz w:val="20"/>
                <w:szCs w:val="20"/>
                <w:color w:val="auto"/>
              </w:rPr>
            </w:pPr>
            <w:r>
              <w:rPr>
                <w:rFonts w:ascii="Arial" w:cs="Arial" w:eastAsia="Arial" w:hAnsi="Arial"/>
                <w:sz w:val="22"/>
                <w:szCs w:val="22"/>
                <w:color w:val="auto"/>
              </w:rPr>
              <w:t>Diluted</w:t>
            </w: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267,176</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262,754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0" w:type="dxa"/>
            <w:vAlign w:val="bottom"/>
            <w:gridSpan w:val="4"/>
          </w:tcPr>
          <w:p>
            <w:pPr>
              <w:jc w:val="right"/>
              <w:ind w:right="912"/>
              <w:spacing w:after="0"/>
              <w:rPr>
                <w:sz w:val="20"/>
                <w:szCs w:val="20"/>
                <w:color w:val="auto"/>
              </w:rPr>
            </w:pPr>
            <w:r>
              <w:rPr>
                <w:rFonts w:ascii="Arial" w:cs="Arial" w:eastAsia="Arial" w:hAnsi="Arial"/>
                <w:sz w:val="22"/>
                <w:szCs w:val="22"/>
                <w:color w:val="auto"/>
              </w:rPr>
              <w:t>Nine Months Ended</w:t>
            </w:r>
          </w:p>
        </w:tc>
      </w:tr>
      <w:tr>
        <w:trPr>
          <w:trHeight w:val="251"/>
        </w:trPr>
        <w:tc>
          <w:tcPr>
            <w:tcW w:w="6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200" w:type="dxa"/>
            <w:vAlign w:val="bottom"/>
            <w:tcBorders>
              <w:bottom w:val="single" w:sz="8" w:color="auto"/>
            </w:tcBorders>
          </w:tcPr>
          <w:p>
            <w:pPr>
              <w:spacing w:after="0"/>
              <w:rPr>
                <w:sz w:val="21"/>
                <w:szCs w:val="2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2"/>
              <w:spacing w:after="0" w:line="223" w:lineRule="exact"/>
              <w:rPr>
                <w:sz w:val="20"/>
                <w:szCs w:val="20"/>
                <w:color w:val="auto"/>
              </w:rPr>
            </w:pPr>
            <w:r>
              <w:rPr>
                <w:rFonts w:ascii="Arial" w:cs="Arial" w:eastAsia="Arial" w:hAnsi="Arial"/>
                <w:sz w:val="22"/>
                <w:szCs w:val="22"/>
                <w:color w:val="auto"/>
              </w:rPr>
              <w:t>2023</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w w:val="98"/>
              </w:rPr>
              <w:t>2022</w:t>
            </w:r>
          </w:p>
        </w:tc>
      </w:tr>
      <w:tr>
        <w:trPr>
          <w:trHeight w:val="223"/>
        </w:trPr>
        <w:tc>
          <w:tcPr>
            <w:tcW w:w="61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1,574,405</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1,582,649</w:t>
            </w:r>
          </w:p>
        </w:tc>
      </w:tr>
      <w:tr>
        <w:trPr>
          <w:trHeight w:val="229"/>
        </w:trPr>
        <w:tc>
          <w:tcPr>
            <w:tcW w:w="6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418,520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428,923</w:t>
            </w:r>
          </w:p>
        </w:tc>
      </w:tr>
      <w:tr>
        <w:trPr>
          <w:trHeight w:val="229"/>
        </w:trPr>
        <w:tc>
          <w:tcPr>
            <w:tcW w:w="61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314,838</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354,896</w:t>
            </w:r>
          </w:p>
        </w:tc>
      </w:tr>
      <w:tr>
        <w:trPr>
          <w:trHeight w:val="230"/>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252,208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235,774</w:t>
            </w:r>
          </w:p>
        </w:tc>
      </w:tr>
      <w:tr>
        <w:trPr>
          <w:trHeight w:val="229"/>
        </w:trPr>
        <w:tc>
          <w:tcPr>
            <w:tcW w:w="61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3,282</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4,478</w:t>
            </w:r>
          </w:p>
        </w:tc>
      </w:tr>
      <w:tr>
        <w:trPr>
          <w:trHeight w:val="230"/>
        </w:trPr>
        <w:tc>
          <w:tcPr>
            <w:tcW w:w="612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3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67,433</w:t>
            </w: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67,352</w:t>
            </w:r>
          </w:p>
        </w:tc>
      </w:tr>
      <w:tr>
        <w:trPr>
          <w:trHeight w:val="223"/>
        </w:trPr>
        <w:tc>
          <w:tcPr>
            <w:tcW w:w="61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13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1,056,281</w:t>
            </w:r>
          </w:p>
        </w:tc>
        <w:tc>
          <w:tcPr>
            <w:tcW w:w="1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1,091,423</w:t>
            </w:r>
          </w:p>
        </w:tc>
      </w:tr>
      <w:tr>
        <w:trPr>
          <w:trHeight w:val="223"/>
        </w:trPr>
        <w:tc>
          <w:tcPr>
            <w:tcW w:w="6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518,124</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491,226</w:t>
            </w:r>
          </w:p>
        </w:tc>
      </w:tr>
      <w:tr>
        <w:trPr>
          <w:trHeight w:val="230"/>
        </w:trPr>
        <w:tc>
          <w:tcPr>
            <w:tcW w:w="6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210,440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169,345</w:t>
            </w:r>
          </w:p>
        </w:tc>
      </w:tr>
      <w:tr>
        <w:trPr>
          <w:trHeight w:val="230"/>
        </w:trPr>
        <w:tc>
          <w:tcPr>
            <w:tcW w:w="61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line="229" w:lineRule="exact"/>
              <w:rPr>
                <w:sz w:val="20"/>
                <w:szCs w:val="20"/>
                <w:color w:val="auto"/>
              </w:rPr>
            </w:pPr>
            <w:r>
              <w:rPr>
                <w:rFonts w:ascii="Arial" w:cs="Arial" w:eastAsia="Arial" w:hAnsi="Arial"/>
                <w:sz w:val="22"/>
                <w:szCs w:val="22"/>
                <w:color w:val="auto"/>
              </w:rPr>
              <w:t>(2,731)</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(2,943)</w:t>
            </w:r>
          </w:p>
        </w:tc>
      </w:tr>
      <w:tr>
        <w:trPr>
          <w:trHeight w:val="230"/>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180"/>
              <w:spacing w:after="0" w:line="229" w:lineRule="exact"/>
              <w:rPr>
                <w:sz w:val="20"/>
                <w:szCs w:val="20"/>
                <w:color w:val="auto"/>
              </w:rPr>
            </w:pPr>
            <w:r>
              <w:rPr>
                <w:rFonts w:ascii="Arial" w:cs="Arial" w:eastAsia="Arial" w:hAnsi="Arial"/>
                <w:sz w:val="22"/>
                <w:szCs w:val="22"/>
                <w:color w:val="auto"/>
              </w:rPr>
              <w:t>(14,567)</w:t>
            </w: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(17,802)</w:t>
            </w:r>
          </w:p>
        </w:tc>
      </w:tr>
      <w:tr>
        <w:trPr>
          <w:trHeight w:val="230"/>
        </w:trPr>
        <w:tc>
          <w:tcPr>
            <w:tcW w:w="61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line="229" w:lineRule="exact"/>
              <w:rPr>
                <w:sz w:val="20"/>
                <w:szCs w:val="20"/>
                <w:color w:val="auto"/>
              </w:rPr>
            </w:pPr>
            <w:r>
              <w:rPr>
                <w:rFonts w:ascii="Arial" w:cs="Arial" w:eastAsia="Arial" w:hAnsi="Arial"/>
                <w:sz w:val="22"/>
                <w:szCs w:val="22"/>
                <w:color w:val="auto"/>
              </w:rPr>
              <w:t>(184)</w:t>
            </w: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(777)</w:t>
            </w:r>
          </w:p>
        </w:tc>
      </w:tr>
      <w:tr>
        <w:trPr>
          <w:trHeight w:val="230"/>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Other</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180"/>
              <w:spacing w:after="0" w:line="229" w:lineRule="exact"/>
              <w:rPr>
                <w:sz w:val="20"/>
                <w:szCs w:val="20"/>
                <w:color w:val="auto"/>
              </w:rPr>
            </w:pPr>
            <w:r>
              <w:rPr>
                <w:rFonts w:ascii="Arial" w:cs="Arial" w:eastAsia="Arial" w:hAnsi="Arial"/>
                <w:sz w:val="22"/>
                <w:szCs w:val="22"/>
                <w:color w:val="auto"/>
              </w:rPr>
              <w:t>(2,001)</w:t>
            </w: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(2,566)</w:t>
            </w:r>
          </w:p>
        </w:tc>
      </w:tr>
      <w:tr>
        <w:trPr>
          <w:trHeight w:val="223"/>
        </w:trPr>
        <w:tc>
          <w:tcPr>
            <w:tcW w:w="612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Income before income taxes</w:t>
            </w:r>
          </w:p>
        </w:tc>
        <w:tc>
          <w:tcPr>
            <w:tcW w:w="13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327,167</w:t>
            </w:r>
          </w:p>
        </w:tc>
        <w:tc>
          <w:tcPr>
            <w:tcW w:w="1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345,969</w:t>
            </w:r>
          </w:p>
        </w:tc>
      </w:tr>
      <w:tr>
        <w:trPr>
          <w:trHeight w:val="230"/>
        </w:trPr>
        <w:tc>
          <w:tcPr>
            <w:tcW w:w="6120" w:type="dxa"/>
            <w:vAlign w:val="bottom"/>
          </w:tcPr>
          <w:p>
            <w:pPr>
              <w:spacing w:after="0" w:line="229" w:lineRule="exact"/>
              <w:rPr>
                <w:sz w:val="20"/>
                <w:szCs w:val="20"/>
                <w:color w:val="auto"/>
              </w:rPr>
            </w:pPr>
            <w:r>
              <w:rPr>
                <w:rFonts w:ascii="Arial" w:cs="Arial" w:eastAsia="Arial" w:hAnsi="Arial"/>
                <w:sz w:val="22"/>
                <w:szCs w:val="22"/>
                <w:color w:val="auto"/>
              </w:rPr>
              <w:t>Income tax benefit</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180"/>
              <w:spacing w:after="0" w:line="229" w:lineRule="exact"/>
              <w:rPr>
                <w:sz w:val="20"/>
                <w:szCs w:val="20"/>
                <w:color w:val="auto"/>
              </w:rPr>
            </w:pPr>
            <w:r>
              <w:rPr>
                <w:rFonts w:ascii="Arial" w:cs="Arial" w:eastAsia="Arial" w:hAnsi="Arial"/>
                <w:sz w:val="22"/>
                <w:szCs w:val="22"/>
                <w:color w:val="auto"/>
              </w:rPr>
              <w:t>(35,611)</w:t>
            </w:r>
          </w:p>
        </w:tc>
        <w:tc>
          <w:tcPr>
            <w:tcW w:w="64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(4,336)</w:t>
            </w:r>
          </w:p>
        </w:tc>
      </w:tr>
      <w:tr>
        <w:trPr>
          <w:trHeight w:val="223"/>
        </w:trPr>
        <w:tc>
          <w:tcPr>
            <w:tcW w:w="61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income</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362,778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1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350,305</w:t>
            </w:r>
          </w:p>
        </w:tc>
      </w:tr>
      <w:tr>
        <w:trPr>
          <w:trHeight w:val="20"/>
        </w:trPr>
        <w:tc>
          <w:tcPr>
            <w:tcW w:w="6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1720" w:type="dxa"/>
            <w:vAlign w:val="bottom"/>
            <w:gridSpan w:val="2"/>
            <w:shd w:val="clear" w:color="auto" w:fill="CCEEFF"/>
          </w:tcPr>
          <w:p>
            <w:pPr>
              <w:jc w:val="right"/>
              <w:ind w:right="172"/>
              <w:spacing w:after="0" w:line="229" w:lineRule="exact"/>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362,778</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2"/>
              <w:spacing w:after="0" w:line="229" w:lineRule="exact"/>
              <w:rPr>
                <w:sz w:val="20"/>
                <w:szCs w:val="20"/>
                <w:color w:val="auto"/>
              </w:rPr>
            </w:pPr>
            <w:r>
              <w:rPr>
                <w:rFonts w:ascii="Arial" w:cs="Arial" w:eastAsia="Arial" w:hAnsi="Arial"/>
                <w:sz w:val="22"/>
                <w:szCs w:val="22"/>
                <w:color w:val="auto"/>
                <w:w w:val="81"/>
              </w:rPr>
              <w:t>$</w:t>
            </w: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350,305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Net income per common share: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6120" w:type="dxa"/>
            <w:vAlign w:val="bottom"/>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gridSpan w:val="2"/>
          </w:tcPr>
          <w:p>
            <w:pPr>
              <w:jc w:val="right"/>
              <w:ind w:right="172"/>
              <w:spacing w:after="0" w:line="229" w:lineRule="exact"/>
              <w:rPr>
                <w:sz w:val="20"/>
                <w:szCs w:val="20"/>
                <w:color w:val="auto"/>
              </w:rPr>
            </w:pPr>
            <w:r>
              <w:rPr>
                <w:rFonts w:ascii="Arial" w:cs="Arial" w:eastAsia="Arial" w:hAnsi="Arial"/>
                <w:sz w:val="22"/>
                <w:szCs w:val="22"/>
                <w:color w:val="auto"/>
              </w:rPr>
              <w:t>$</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1.37</w:t>
            </w:r>
          </w:p>
        </w:tc>
        <w:tc>
          <w:tcPr>
            <w:tcW w:w="180" w:type="dxa"/>
            <w:vAlign w:val="bottom"/>
          </w:tcPr>
          <w:p>
            <w:pPr>
              <w:spacing w:after="0"/>
              <w:rPr>
                <w:sz w:val="23"/>
                <w:szCs w:val="23"/>
                <w:color w:val="auto"/>
              </w:rPr>
            </w:pPr>
          </w:p>
        </w:tc>
        <w:tc>
          <w:tcPr>
            <w:tcW w:w="640" w:type="dxa"/>
            <w:vAlign w:val="bottom"/>
          </w:tcPr>
          <w:p>
            <w:pPr>
              <w:jc w:val="right"/>
              <w:ind w:right="412"/>
              <w:spacing w:after="0" w:line="229" w:lineRule="exact"/>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1.34</w:t>
            </w:r>
          </w:p>
        </w:tc>
      </w:tr>
      <w:tr>
        <w:trPr>
          <w:trHeight w:val="210"/>
        </w:trPr>
        <w:tc>
          <w:tcPr>
            <w:tcW w:w="612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172"/>
              <w:spacing w:after="0" w:line="210" w:lineRule="exact"/>
              <w:rPr>
                <w:sz w:val="20"/>
                <w:szCs w:val="20"/>
                <w:color w:val="auto"/>
              </w:rPr>
            </w:pPr>
            <w:r>
              <w:rPr>
                <w:rFonts w:ascii="Arial" w:cs="Arial" w:eastAsia="Arial" w:hAnsi="Arial"/>
                <w:sz w:val="22"/>
                <w:szCs w:val="22"/>
                <w:color w:val="auto"/>
                <w:w w:val="81"/>
              </w:rPr>
              <w:t>$</w:t>
            </w:r>
          </w:p>
        </w:tc>
        <w:tc>
          <w:tcPr>
            <w:tcW w:w="13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12"/>
              <w:spacing w:after="0" w:line="210" w:lineRule="exact"/>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1.33</w:t>
            </w:r>
          </w:p>
        </w:tc>
      </w:tr>
      <w:tr>
        <w:trPr>
          <w:trHeight w:val="20"/>
        </w:trPr>
        <w:tc>
          <w:tcPr>
            <w:tcW w:w="6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1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Average common shares outstanding during the period:</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612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Basic</w:t>
            </w:r>
          </w:p>
        </w:tc>
        <w:tc>
          <w:tcPr>
            <w:tcW w:w="13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265,135</w:t>
            </w:r>
          </w:p>
        </w:tc>
        <w:tc>
          <w:tcPr>
            <w:tcW w:w="18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262,089</w:t>
            </w:r>
          </w:p>
        </w:tc>
      </w:tr>
      <w:tr>
        <w:trPr>
          <w:trHeight w:val="210"/>
        </w:trPr>
        <w:tc>
          <w:tcPr>
            <w:tcW w:w="6120" w:type="dxa"/>
            <w:vAlign w:val="bottom"/>
            <w:tcBorders>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3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265,688</w:t>
            </w:r>
          </w:p>
        </w:tc>
        <w:tc>
          <w:tcPr>
            <w:tcW w:w="1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262,641</w:t>
            </w:r>
          </w:p>
        </w:tc>
      </w:tr>
      <w:tr>
        <w:trPr>
          <w:trHeight w:val="20"/>
        </w:trPr>
        <w:tc>
          <w:tcPr>
            <w:tcW w:w="6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color w:val="auto"/>
              </w:rPr>
              <w:t>September 30,</w:t>
            </w:r>
          </w:p>
        </w:tc>
        <w:tc>
          <w:tcPr>
            <w:tcW w:w="300" w:type="dxa"/>
            <w:vAlign w:val="bottom"/>
          </w:tcPr>
          <w:p>
            <w:pPr>
              <w:spacing w:after="0"/>
              <w:rPr>
                <w:sz w:val="17"/>
                <w:szCs w:val="17"/>
                <w:color w:val="auto"/>
              </w:rPr>
            </w:pPr>
          </w:p>
        </w:tc>
        <w:tc>
          <w:tcPr>
            <w:tcW w:w="1600" w:type="dxa"/>
            <w:vAlign w:val="bottom"/>
          </w:tcPr>
          <w:p>
            <w:pPr>
              <w:jc w:val="right"/>
              <w:ind w:right="411"/>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71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3"/>
        </w:trPr>
        <w:tc>
          <w:tcPr>
            <w:tcW w:w="7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Common stock, $0.50 par value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138,235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133,486</w:t>
            </w:r>
          </w:p>
        </w:tc>
        <w:tc>
          <w:tcPr>
            <w:tcW w:w="0" w:type="dxa"/>
            <w:vAlign w:val="bottom"/>
          </w:tcPr>
          <w:p>
            <w:pPr>
              <w:spacing w:after="0"/>
              <w:rPr>
                <w:sz w:val="1"/>
                <w:szCs w:val="1"/>
                <w:color w:val="auto"/>
              </w:rPr>
            </w:pPr>
          </w:p>
        </w:tc>
      </w:tr>
      <w:tr>
        <w:trPr>
          <w:trHeight w:val="189"/>
        </w:trPr>
        <w:tc>
          <w:tcPr>
            <w:tcW w:w="7140" w:type="dxa"/>
            <w:vAlign w:val="bottom"/>
          </w:tcPr>
          <w:p>
            <w:pPr>
              <w:ind w:left="240"/>
              <w:spacing w:after="0" w:line="189" w:lineRule="exact"/>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4,131,834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spacing w:after="0" w:line="189" w:lineRule="exact"/>
              <w:rPr>
                <w:sz w:val="20"/>
                <w:szCs w:val="20"/>
                <w:color w:val="auto"/>
              </w:rPr>
            </w:pPr>
            <w:r>
              <w:rPr>
                <w:rFonts w:ascii="Arial" w:cs="Arial" w:eastAsia="Arial" w:hAnsi="Arial"/>
                <w:sz w:val="18"/>
                <w:szCs w:val="18"/>
                <w:color w:val="auto"/>
              </w:rPr>
              <w:t>3,793,262</w:t>
            </w: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1,739,271</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1,534,331</w:t>
            </w:r>
          </w:p>
        </w:tc>
        <w:tc>
          <w:tcPr>
            <w:tcW w:w="0" w:type="dxa"/>
            <w:vAlign w:val="bottom"/>
          </w:tcPr>
          <w:p>
            <w:pPr>
              <w:spacing w:after="0"/>
              <w:rPr>
                <w:sz w:val="1"/>
                <w:szCs w:val="1"/>
                <w:color w:val="auto"/>
              </w:rPr>
            </w:pPr>
          </w:p>
        </w:tc>
      </w:tr>
      <w:tr>
        <w:trPr>
          <w:trHeight w:val="189"/>
        </w:trPr>
        <w:tc>
          <w:tcPr>
            <w:tcW w:w="7140" w:type="dxa"/>
            <w:vAlign w:val="bottom"/>
            <w:tcBorders>
              <w:bottom w:val="single" w:sz="8" w:color="CCEEFF"/>
            </w:tcBorders>
          </w:tcPr>
          <w:p>
            <w:pPr>
              <w:ind w:left="240"/>
              <w:spacing w:after="0" w:line="189" w:lineRule="exact"/>
              <w:rPr>
                <w:sz w:val="20"/>
                <w:szCs w:val="20"/>
                <w:color w:val="auto"/>
              </w:rPr>
            </w:pPr>
            <w:r>
              <w:rPr>
                <w:rFonts w:ascii="Arial" w:cs="Arial" w:eastAsia="Arial" w:hAnsi="Arial"/>
                <w:sz w:val="18"/>
                <w:szCs w:val="18"/>
                <w:color w:val="auto"/>
              </w:rPr>
              <w:t>Treasury stock, at cost</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(86,783)</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(83,693)</w:t>
            </w:r>
          </w:p>
        </w:tc>
        <w:tc>
          <w:tcPr>
            <w:tcW w:w="0" w:type="dxa"/>
            <w:vAlign w:val="bottom"/>
          </w:tcPr>
          <w:p>
            <w:pPr>
              <w:spacing w:after="0"/>
              <w:rPr>
                <w:sz w:val="1"/>
                <w:szCs w:val="1"/>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5,922,557</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5,377,386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of subsidiaries (substantially collateralized by utility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4600" w:type="dxa"/>
            <w:vAlign w:val="bottom"/>
            <w:gridSpan w:val="3"/>
          </w:tcPr>
          <w:p>
            <w:pPr>
              <w:jc w:val="center"/>
              <w:ind w:right="740"/>
              <w:spacing w:after="0" w:line="199" w:lineRule="exact"/>
              <w:rPr>
                <w:sz w:val="20"/>
                <w:szCs w:val="20"/>
                <w:color w:val="auto"/>
              </w:rPr>
            </w:pPr>
            <w:r>
              <w:rPr>
                <w:rFonts w:ascii="Arial" w:cs="Arial" w:eastAsia="Arial" w:hAnsi="Arial"/>
                <w:sz w:val="18"/>
                <w:szCs w:val="18"/>
                <w:color w:val="auto"/>
                <w:w w:val="88"/>
              </w:rPr>
              <w:t>Interest Rate Range</w:t>
            </w:r>
          </w:p>
        </w:tc>
        <w:tc>
          <w:tcPr>
            <w:tcW w:w="2540" w:type="dxa"/>
            <w:vAlign w:val="bottom"/>
            <w:gridSpan w:val="2"/>
          </w:tcPr>
          <w:p>
            <w:pPr>
              <w:jc w:val="center"/>
              <w:ind w:right="1020"/>
              <w:spacing w:after="0" w:line="199" w:lineRule="exact"/>
              <w:rPr>
                <w:sz w:val="20"/>
                <w:szCs w:val="20"/>
                <w:color w:val="auto"/>
              </w:rPr>
            </w:pPr>
            <w:r>
              <w:rPr>
                <w:rFonts w:ascii="Arial" w:cs="Arial" w:eastAsia="Arial" w:hAnsi="Arial"/>
                <w:sz w:val="18"/>
                <w:szCs w:val="18"/>
                <w:color w:val="auto"/>
                <w:w w:val="92"/>
              </w:rPr>
              <w:t>Maturity Date Range</w:t>
            </w: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0.00% to 0.99%</w:t>
            </w:r>
          </w:p>
        </w:tc>
        <w:tc>
          <w:tcPr>
            <w:tcW w:w="196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2023 to 2033</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1,411</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Arial" w:cs="Arial" w:eastAsia="Arial" w:hAnsi="Arial"/>
                <w:sz w:val="18"/>
                <w:szCs w:val="18"/>
                <w:color w:val="auto"/>
                <w:w w:val="91"/>
              </w:rPr>
              <w:t>1.00% to 1.99%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2023 to 2039</w:t>
            </w: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7,730</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Arial" w:cs="Arial" w:eastAsia="Arial" w:hAnsi="Arial"/>
                <w:sz w:val="18"/>
                <w:szCs w:val="18"/>
                <w:color w:val="auto"/>
                <w:w w:val="91"/>
              </w:rPr>
              <w:t>2.00% to 2.99%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2024 to 2058</w:t>
            </w: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208,425</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209,755</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Arial" w:cs="Arial" w:eastAsia="Arial" w:hAnsi="Arial"/>
                <w:sz w:val="18"/>
                <w:szCs w:val="18"/>
                <w:color w:val="auto"/>
                <w:w w:val="91"/>
              </w:rPr>
              <w:t>3.00% to 3.99%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2023 to 2056</w:t>
            </w: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1,315,519</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1,351,432</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Arial" w:cs="Arial" w:eastAsia="Arial" w:hAnsi="Arial"/>
                <w:sz w:val="18"/>
                <w:szCs w:val="18"/>
                <w:color w:val="auto"/>
                <w:w w:val="91"/>
              </w:rPr>
              <w:t>4.00% to 4.99%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2023 to 2059</w:t>
            </w: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1,398,614</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1,403,313</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Arial" w:cs="Arial" w:eastAsia="Arial" w:hAnsi="Arial"/>
                <w:sz w:val="18"/>
                <w:szCs w:val="18"/>
                <w:color w:val="auto"/>
                <w:w w:val="91"/>
              </w:rPr>
              <w:t>5.00% to 5.99%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2023 to 2061</w:t>
            </w: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313,698</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14,357</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Arial" w:cs="Arial" w:eastAsia="Arial" w:hAnsi="Arial"/>
                <w:sz w:val="18"/>
                <w:szCs w:val="18"/>
                <w:color w:val="auto"/>
                <w:w w:val="91"/>
              </w:rPr>
              <w:t>6.00% to 6.99%</w:t>
            </w:r>
          </w:p>
        </w:tc>
        <w:tc>
          <w:tcPr>
            <w:tcW w:w="2540" w:type="dxa"/>
            <w:vAlign w:val="bottom"/>
            <w:gridSpan w:val="2"/>
            <w:shd w:val="clear" w:color="auto" w:fill="CCEEFF"/>
          </w:tcPr>
          <w:p>
            <w:pPr>
              <w:jc w:val="center"/>
              <w:ind w:right="1020"/>
              <w:spacing w:after="0" w:line="189" w:lineRule="exact"/>
              <w:rPr>
                <w:sz w:val="20"/>
                <w:szCs w:val="20"/>
                <w:color w:val="auto"/>
              </w:rPr>
            </w:pPr>
            <w:r>
              <w:rPr>
                <w:rFonts w:ascii="Arial" w:cs="Arial" w:eastAsia="Arial" w:hAnsi="Arial"/>
                <w:sz w:val="18"/>
                <w:szCs w:val="18"/>
                <w:color w:val="auto"/>
                <w:w w:val="91"/>
              </w:rPr>
              <w:t>2026 to 2036</w:t>
            </w: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31,000</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Arial" w:cs="Arial" w:eastAsia="Arial" w:hAnsi="Arial"/>
                <w:sz w:val="18"/>
                <w:szCs w:val="18"/>
                <w:color w:val="auto"/>
                <w:w w:val="91"/>
              </w:rPr>
              <w:t>7.00% to 7.99%</w:t>
            </w:r>
          </w:p>
        </w:tc>
        <w:tc>
          <w:tcPr>
            <w:tcW w:w="2540" w:type="dxa"/>
            <w:vAlign w:val="bottom"/>
            <w:gridSpan w:val="2"/>
          </w:tcPr>
          <w:p>
            <w:pPr>
              <w:jc w:val="center"/>
              <w:ind w:right="1020"/>
              <w:spacing w:after="0" w:line="189" w:lineRule="exact"/>
              <w:rPr>
                <w:sz w:val="20"/>
                <w:szCs w:val="20"/>
                <w:color w:val="auto"/>
              </w:rPr>
            </w:pPr>
            <w:r>
              <w:rPr>
                <w:rFonts w:ascii="Arial" w:cs="Arial" w:eastAsia="Arial" w:hAnsi="Arial"/>
                <w:sz w:val="18"/>
                <w:szCs w:val="18"/>
                <w:color w:val="auto"/>
                <w:w w:val="91"/>
              </w:rPr>
              <w:t>2025 to 2027</w:t>
            </w: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28,188</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spacing w:after="0"/>
              <w:rPr>
                <w:sz w:val="16"/>
                <w:szCs w:val="16"/>
                <w:color w:val="auto"/>
              </w:rPr>
            </w:pPr>
          </w:p>
        </w:tc>
        <w:tc>
          <w:tcPr>
            <w:tcW w:w="3380" w:type="dxa"/>
            <w:vAlign w:val="bottom"/>
            <w:gridSpan w:val="2"/>
            <w:shd w:val="clear" w:color="auto" w:fill="CCEEFF"/>
          </w:tcPr>
          <w:p>
            <w:pPr>
              <w:jc w:val="center"/>
              <w:ind w:right="1980"/>
              <w:spacing w:after="0" w:line="189" w:lineRule="exact"/>
              <w:rPr>
                <w:sz w:val="20"/>
                <w:szCs w:val="20"/>
                <w:color w:val="auto"/>
              </w:rPr>
            </w:pPr>
            <w:r>
              <w:rPr>
                <w:rFonts w:ascii="Arial" w:cs="Arial" w:eastAsia="Arial" w:hAnsi="Arial"/>
                <w:sz w:val="18"/>
                <w:szCs w:val="18"/>
                <w:color w:val="auto"/>
                <w:w w:val="91"/>
              </w:rPr>
              <w:t>8.00% to 8.99%</w:t>
            </w:r>
          </w:p>
        </w:tc>
        <w:tc>
          <w:tcPr>
            <w:tcW w:w="15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2025</w:t>
            </w: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1,488</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3380" w:type="dxa"/>
            <w:vAlign w:val="bottom"/>
            <w:gridSpan w:val="2"/>
          </w:tcPr>
          <w:p>
            <w:pPr>
              <w:jc w:val="center"/>
              <w:ind w:right="1980"/>
              <w:spacing w:after="0" w:line="189" w:lineRule="exact"/>
              <w:rPr>
                <w:sz w:val="20"/>
                <w:szCs w:val="20"/>
                <w:color w:val="auto"/>
              </w:rPr>
            </w:pPr>
            <w:r>
              <w:rPr>
                <w:rFonts w:ascii="Arial" w:cs="Arial" w:eastAsia="Arial" w:hAnsi="Arial"/>
                <w:sz w:val="18"/>
                <w:szCs w:val="18"/>
                <w:color w:val="auto"/>
                <w:w w:val="91"/>
              </w:rPr>
              <w:t>9.00% to 9.99%</w:t>
            </w: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auto"/>
                <w:w w:val="89"/>
              </w:rPr>
              <w:t>2026</w:t>
            </w: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11,800</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183"/>
        </w:trPr>
        <w:tc>
          <w:tcPr>
            <w:tcW w:w="12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3,317,873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3,062,395</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8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Notes payable to bank under revolving credit agreement, variable rate, due 2027</w:t>
            </w: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347,000</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189"/>
        </w:trPr>
        <w:tc>
          <w:tcPr>
            <w:tcW w:w="4600" w:type="dxa"/>
            <w:vAlign w:val="bottom"/>
            <w:gridSpan w:val="3"/>
          </w:tcPr>
          <w:p>
            <w:pPr>
              <w:spacing w:after="0" w:line="189" w:lineRule="exact"/>
              <w:rPr>
                <w:sz w:val="20"/>
                <w:szCs w:val="20"/>
                <w:color w:val="auto"/>
              </w:rPr>
            </w:pPr>
            <w:r>
              <w:rPr>
                <w:rFonts w:ascii="Arial" w:cs="Arial" w:eastAsia="Arial" w:hAnsi="Arial"/>
                <w:sz w:val="18"/>
                <w:szCs w:val="18"/>
                <w:color w:val="auto"/>
              </w:rPr>
              <w:t>Unsecured notes payable:</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2.40% due 2031</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400,000</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2.704% due 2030</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500,000</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Notes ranging from 3.01% to 3.59% due 2029 through 2050</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1,125,000</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4.28%, due 2049</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500,000</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Notes at 5.30%, due 2052</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500,000</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89"/>
        </w:trPr>
        <w:tc>
          <w:tcPr>
            <w:tcW w:w="46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Notes at 5.95%, due 2023 through 2034</w:t>
            </w: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30,000</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Total long-term debt</w:t>
            </w:r>
          </w:p>
        </w:tc>
        <w:tc>
          <w:tcPr>
            <w:tcW w:w="15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6,719,873</w:t>
            </w: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6,617,395</w:t>
            </w: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portion of long-term debt</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218,619</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199,356</w:t>
            </w:r>
          </w:p>
        </w:tc>
        <w:tc>
          <w:tcPr>
            <w:tcW w:w="0" w:type="dxa"/>
            <w:vAlign w:val="bottom"/>
          </w:tcPr>
          <w:p>
            <w:pPr>
              <w:spacing w:after="0"/>
              <w:rPr>
                <w:sz w:val="1"/>
                <w:szCs w:val="1"/>
                <w:color w:val="auto"/>
              </w:rPr>
            </w:pPr>
          </w:p>
        </w:tc>
      </w:tr>
      <w:tr>
        <w:trPr>
          <w:trHeight w:val="183"/>
        </w:trPr>
        <w:tc>
          <w:tcPr>
            <w:tcW w:w="4600" w:type="dxa"/>
            <w:vAlign w:val="bottom"/>
            <w:gridSpan w:val="3"/>
          </w:tcPr>
          <w:p>
            <w:pPr>
              <w:spacing w:after="0" w:line="182" w:lineRule="exact"/>
              <w:rPr>
                <w:sz w:val="20"/>
                <w:szCs w:val="20"/>
                <w:color w:val="auto"/>
              </w:rPr>
            </w:pPr>
            <w:r>
              <w:rPr>
                <w:rFonts w:ascii="Arial" w:cs="Arial" w:eastAsia="Arial" w:hAnsi="Arial"/>
                <w:sz w:val="18"/>
                <w:szCs w:val="18"/>
                <w:color w:val="auto"/>
              </w:rPr>
              <w:t>Long-term debt, excluding current portion</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6,501,254</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6,418,039</w:t>
            </w:r>
          </w:p>
        </w:tc>
        <w:tc>
          <w:tcPr>
            <w:tcW w:w="0" w:type="dxa"/>
            <w:vAlign w:val="bottom"/>
          </w:tcPr>
          <w:p>
            <w:pPr>
              <w:spacing w:after="0"/>
              <w:rPr>
                <w:sz w:val="1"/>
                <w:szCs w:val="1"/>
                <w:color w:val="auto"/>
              </w:rPr>
            </w:pPr>
          </w:p>
        </w:tc>
      </w:tr>
      <w:tr>
        <w:trPr>
          <w:trHeight w:val="189"/>
        </w:trPr>
        <w:tc>
          <w:tcPr>
            <w:tcW w:w="46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Less: debt issuance costs</w:t>
            </w:r>
          </w:p>
        </w:tc>
        <w:tc>
          <w:tcPr>
            <w:tcW w:w="1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45,214</w:t>
            </w: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46,982</w:t>
            </w:r>
          </w:p>
        </w:tc>
        <w:tc>
          <w:tcPr>
            <w:tcW w:w="0" w:type="dxa"/>
            <w:vAlign w:val="bottom"/>
          </w:tcPr>
          <w:p>
            <w:pPr>
              <w:spacing w:after="0"/>
              <w:rPr>
                <w:sz w:val="1"/>
                <w:szCs w:val="1"/>
                <w:color w:val="auto"/>
              </w:rPr>
            </w:pPr>
          </w:p>
        </w:tc>
      </w:tr>
      <w:tr>
        <w:trPr>
          <w:trHeight w:val="182"/>
        </w:trPr>
        <w:tc>
          <w:tcPr>
            <w:tcW w:w="7140" w:type="dxa"/>
            <w:vAlign w:val="bottom"/>
            <w:tcBorders>
              <w:bottom w:val="single" w:sz="8" w:color="CCEEFF"/>
            </w:tcBorders>
            <w:gridSpan w:val="5"/>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6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6,456,040</w:t>
            </w:r>
          </w:p>
        </w:tc>
        <w:tc>
          <w:tcPr>
            <w:tcW w:w="2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6,371,057</w:t>
            </w:r>
          </w:p>
        </w:tc>
        <w:tc>
          <w:tcPr>
            <w:tcW w:w="0" w:type="dxa"/>
            <w:vAlign w:val="bottom"/>
          </w:tcPr>
          <w:p>
            <w:pPr>
              <w:spacing w:after="0"/>
              <w:rPr>
                <w:sz w:val="1"/>
                <w:szCs w:val="1"/>
                <w:color w:val="auto"/>
              </w:rPr>
            </w:pPr>
          </w:p>
        </w:tc>
      </w:tr>
      <w:tr>
        <w:trPr>
          <w:trHeight w:val="183"/>
        </w:trPr>
        <w:tc>
          <w:tcPr>
            <w:tcW w:w="1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gridSpan w:val="3"/>
          </w:tcPr>
          <w:p>
            <w:pPr>
              <w:spacing w:after="0" w:line="182" w:lineRule="exact"/>
              <w:rPr>
                <w:sz w:val="20"/>
                <w:szCs w:val="20"/>
                <w:color w:val="auto"/>
              </w:rPr>
            </w:pPr>
            <w:r>
              <w:rPr>
                <w:rFonts w:ascii="Arial" w:cs="Arial" w:eastAsia="Arial" w:hAnsi="Arial"/>
                <w:sz w:val="18"/>
                <w:szCs w:val="18"/>
                <w:color w:val="auto"/>
              </w:rPr>
              <w:t>Total capitalization</w:t>
            </w: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12,378,597</w:t>
            </w:r>
          </w:p>
        </w:tc>
        <w:tc>
          <w:tcPr>
            <w:tcW w:w="220" w:type="dxa"/>
            <w:vAlign w:val="bottom"/>
          </w:tcPr>
          <w:p>
            <w:pPr>
              <w:spacing w:after="0"/>
              <w:rPr>
                <w:sz w:val="15"/>
                <w:szCs w:val="15"/>
                <w:color w:val="auto"/>
              </w:rPr>
            </w:pPr>
          </w:p>
        </w:tc>
        <w:tc>
          <w:tcPr>
            <w:tcW w:w="56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11,748,443</w:t>
            </w:r>
          </w:p>
        </w:tc>
        <w:tc>
          <w:tcPr>
            <w:tcW w:w="0" w:type="dxa"/>
            <w:vAlign w:val="bottom"/>
          </w:tcPr>
          <w:p>
            <w:pPr>
              <w:spacing w:after="0"/>
              <w:rPr>
                <w:sz w:val="1"/>
                <w:szCs w:val="1"/>
                <w:color w:val="auto"/>
              </w:rPr>
            </w:pPr>
          </w:p>
        </w:tc>
      </w:tr>
      <w:tr>
        <w:trPr>
          <w:trHeight w:val="20"/>
        </w:trPr>
        <w:tc>
          <w:tcPr>
            <w:tcW w:w="714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140" w:type="dxa"/>
            <w:vAlign w:val="bottom"/>
            <w:gridSpan w:val="5"/>
            <w:vMerge w:val="continue"/>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Common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w w:val="93"/>
              </w:rPr>
              <w:t>Retained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Treasury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8"/>
        </w:trPr>
        <w:tc>
          <w:tcPr>
            <w:tcW w:w="58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Stock</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Par Value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4"/>
              </w:rPr>
              <w:t>Earnings</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Stock</w:t>
            </w: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19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133,486</w:t>
            </w:r>
          </w:p>
        </w:tc>
        <w:tc>
          <w:tcPr>
            <w:tcW w:w="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3,793,262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1,534,331</w:t>
            </w:r>
          </w:p>
        </w:tc>
        <w:tc>
          <w:tcPr>
            <w:tcW w:w="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(83,693)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5,377,386</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191,434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191,434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Dividends of March 1, 2023 ($0.2870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Dividends of June 1, 2023 declared ($0.2870 per share)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(75,876)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(75,876)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dividend reinvestment plan (97,315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Issuance of common stock from at-the-market sale agreements (399,128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19,294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(88,051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(3,911)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(3,911)</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Equity compensation plan (222,782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(2,917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196"/>
        </w:trPr>
        <w:tc>
          <w:tcPr>
            <w:tcW w:w="5860" w:type="dxa"/>
            <w:vAlign w:val="bottom"/>
          </w:tcPr>
          <w:p>
            <w:pPr>
              <w:spacing w:after="0"/>
              <w:rPr>
                <w:sz w:val="20"/>
                <w:szCs w:val="20"/>
                <w:color w:val="auto"/>
              </w:rPr>
            </w:pPr>
            <w:r>
              <w:rPr>
                <w:rFonts w:ascii="Arial" w:cs="Arial" w:eastAsia="Arial" w:hAnsi="Arial"/>
                <w:sz w:val="16"/>
                <w:szCs w:val="16"/>
                <w:color w:val="auto"/>
              </w:rPr>
              <w:t>Balance at March 31, 2023</w:t>
            </w:r>
          </w:p>
        </w:tc>
        <w:tc>
          <w:tcPr>
            <w:tcW w:w="56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133,848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3,819,804</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1,649,621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(87,331)</w:t>
            </w: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5,515,942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91,268</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Dividends of June 1, 2023 ($0.2870 per share)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dividend reinvestment plan (102,676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3,952</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Repurchase of stock (971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(17,054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Exercise of stock options (3,026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196"/>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2023</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133,909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3,827,199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1,740,682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(87,092)</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5,614,698</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Net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80,076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80,076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Dividends of September 1, 2023 ($0.3071 per share)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(81,230)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(81,230)</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Issuance of common stock under dividend reinvestment plan (113,043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3,992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w w:val="99"/>
              </w:rPr>
              <w:t>Issuance of common stock from at-the-market sale agreements (8,539,711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303,689</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Repurchase of stock (48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(133 shares)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Exercise of stock options (610 shares)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(707)</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183"/>
        </w:trPr>
        <w:tc>
          <w:tcPr>
            <w:tcW w:w="58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September 30, 2023</w:t>
            </w: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138,235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4,131,834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1,739,271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(86,783)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5,922,557</w:t>
            </w: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w w:val="92"/>
              </w:rPr>
              <w:t>Common</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color w:val="auto"/>
                <w:w w:val="93"/>
              </w:rPr>
              <w:t>Retained</w:t>
            </w:r>
          </w:p>
        </w:tc>
        <w:tc>
          <w:tcPr>
            <w:tcW w:w="8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w w:val="88"/>
              </w:rPr>
              <w:t>Treasury</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Stock</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Par Value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4"/>
              </w:rPr>
              <w:t>Earnings</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Stock</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3,705,814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1,434,201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(83,615)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5,184,450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199,376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199,376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Dividends of March 1, 2022 ($0.2682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(67,821)</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Dividends of June 1, 2022 declared ($0.2682 per share)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(67,863)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(67,863)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dividend reinvestment plan (93,833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Repurchase of stock (21,290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(57,052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Exercise of stock options (28,516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March 31, 2022</w:t>
            </w: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3,713,560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1,497,757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(84,357)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5,255,100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82,291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82,291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Dividends of June 1, 2022 ($0.2682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Issuance of common stock from stock purchase contracts (9,029,461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(4,515)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dividend reinvestment plan (92,889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Repurchase of stock (305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 (4,736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Exercise of stock options (6,462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
        </w:trPr>
        <w:tc>
          <w:tcPr>
            <w:tcW w:w="5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132,707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3,715,975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1,577,442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(84,092)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5,342,032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68,638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68,638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Dividends of September 1, 2022 ($0.2870 per share)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(75,246)</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Issuance of common stock under dividend reinvestment plan (89,123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stock (604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Equity compensation plan (6,555 shares)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 (18,992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83"/>
        </w:trPr>
        <w:tc>
          <w:tcPr>
            <w:tcW w:w="5700" w:type="dxa"/>
            <w:vAlign w:val="bottom"/>
          </w:tcPr>
          <w:p>
            <w:pPr>
              <w:spacing w:after="0" w:line="183" w:lineRule="exact"/>
              <w:rPr>
                <w:sz w:val="20"/>
                <w:szCs w:val="20"/>
                <w:color w:val="auto"/>
              </w:rPr>
            </w:pPr>
            <w:r>
              <w:rPr>
                <w:rFonts w:ascii="Arial" w:cs="Arial" w:eastAsia="Arial" w:hAnsi="Arial"/>
                <w:sz w:val="16"/>
                <w:szCs w:val="16"/>
                <w:color w:val="auto"/>
              </w:rPr>
              <w:t>Balance at September 30, 2022</w:t>
            </w:r>
          </w:p>
        </w:tc>
        <w:tc>
          <w:tcPr>
            <w:tcW w:w="7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132,764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3,723,523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1,570,652</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(83,837)</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5,343,102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FFFFFF"/>
        </w:rPr>
        <w:t>Click or tap here to enter text.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199"/>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28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2023</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w w:val="95"/>
              </w:rPr>
              <w:t>2022</w:t>
            </w:r>
          </w:p>
        </w:tc>
        <w:tc>
          <w:tcPr>
            <w:tcW w:w="0" w:type="dxa"/>
            <w:vAlign w:val="bottom"/>
          </w:tcPr>
          <w:p>
            <w:pPr>
              <w:spacing w:after="0"/>
              <w:rPr>
                <w:sz w:val="1"/>
                <w:szCs w:val="1"/>
                <w:color w:val="auto"/>
              </w:rPr>
            </w:pPr>
          </w:p>
        </w:tc>
      </w:tr>
      <w:tr>
        <w:trPr>
          <w:trHeight w:val="169"/>
        </w:trPr>
        <w:tc>
          <w:tcPr>
            <w:tcW w:w="8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Net income</w:t>
            </w:r>
          </w:p>
        </w:tc>
        <w:tc>
          <w:tcPr>
            <w:tcW w:w="520" w:type="dxa"/>
            <w:vAlign w:val="bottom"/>
            <w:gridSpan w:val="2"/>
            <w:shd w:val="clear" w:color="auto" w:fill="CCEEFF"/>
          </w:tcPr>
          <w:p>
            <w:pPr>
              <w:jc w:val="right"/>
              <w:ind w:right="124"/>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362,778</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350,305</w:t>
            </w:r>
          </w:p>
        </w:tc>
        <w:tc>
          <w:tcPr>
            <w:tcW w:w="0" w:type="dxa"/>
            <w:vAlign w:val="bottom"/>
          </w:tcPr>
          <w:p>
            <w:pPr>
              <w:spacing w:after="0"/>
              <w:rPr>
                <w:sz w:val="1"/>
                <w:szCs w:val="1"/>
                <w:color w:val="auto"/>
              </w:rPr>
            </w:pPr>
          </w:p>
        </w:tc>
      </w:tr>
      <w:tr>
        <w:trPr>
          <w:trHeight w:val="176"/>
        </w:trPr>
        <w:tc>
          <w:tcPr>
            <w:tcW w:w="8280" w:type="dxa"/>
            <w:vAlign w:val="bottom"/>
          </w:tcPr>
          <w:p>
            <w:pPr>
              <w:spacing w:after="0" w:line="175"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255,490</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240,252</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(40,541)</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(12,794)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Provision for doubtful accounts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17,021</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18,519</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8,929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8,164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Gain on sale of utility systems and other assets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(184)</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176"/>
        </w:trPr>
        <w:tc>
          <w:tcPr>
            <w:tcW w:w="8280" w:type="dxa"/>
            <w:vAlign w:val="bottom"/>
          </w:tcPr>
          <w:p>
            <w:pPr>
              <w:ind w:left="220"/>
              <w:spacing w:after="0" w:line="175" w:lineRule="exact"/>
              <w:rPr>
                <w:sz w:val="20"/>
                <w:szCs w:val="20"/>
                <w:color w:val="auto"/>
              </w:rPr>
            </w:pPr>
            <w:r>
              <w:rPr>
                <w:rFonts w:ascii="Arial" w:cs="Arial" w:eastAsia="Arial" w:hAnsi="Arial"/>
                <w:sz w:val="16"/>
                <w:szCs w:val="16"/>
                <w:color w:val="auto"/>
              </w:rPr>
              <w:t>Net change in receivables, deferred purchased gas costs, inventory and prepayments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265,922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(116,804)</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(5,266)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65,845</w:t>
            </w:r>
          </w:p>
        </w:tc>
        <w:tc>
          <w:tcPr>
            <w:tcW w:w="0" w:type="dxa"/>
            <w:vAlign w:val="bottom"/>
          </w:tcPr>
          <w:p>
            <w:pPr>
              <w:spacing w:after="0"/>
              <w:rPr>
                <w:sz w:val="1"/>
                <w:szCs w:val="1"/>
                <w:color w:val="auto"/>
              </w:rPr>
            </w:pPr>
          </w:p>
        </w:tc>
      </w:tr>
      <w:tr>
        <w:trPr>
          <w:trHeight w:val="175"/>
        </w:trPr>
        <w:tc>
          <w:tcPr>
            <w:tcW w:w="8280" w:type="dxa"/>
            <w:vAlign w:val="bottom"/>
          </w:tcPr>
          <w:p>
            <w:pPr>
              <w:ind w:left="220"/>
              <w:spacing w:after="0" w:line="175" w:lineRule="exact"/>
              <w:rPr>
                <w:sz w:val="20"/>
                <w:szCs w:val="20"/>
                <w:color w:val="auto"/>
              </w:rPr>
            </w:pPr>
            <w:r>
              <w:rPr>
                <w:rFonts w:ascii="Arial" w:cs="Arial" w:eastAsia="Arial" w:hAnsi="Arial"/>
                <w:sz w:val="16"/>
                <w:szCs w:val="16"/>
                <w:color w:val="auto"/>
              </w:rPr>
              <w:t>Pension and other postretirement benefits contributions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(20,343)</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(20,390)</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(39,237)</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(13,161)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cash flows from operating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804,569</w:t>
            </w:r>
          </w:p>
        </w:tc>
        <w:tc>
          <w:tcPr>
            <w:tcW w:w="1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519,159</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80" w:type="dxa"/>
            <w:vAlign w:val="bottom"/>
          </w:tcPr>
          <w:p>
            <w:pPr>
              <w:ind w:left="120"/>
              <w:spacing w:after="0" w:line="152" w:lineRule="exact"/>
              <w:rPr>
                <w:sz w:val="20"/>
                <w:szCs w:val="20"/>
                <w:color w:val="auto"/>
              </w:rPr>
            </w:pPr>
            <w:r>
              <w:rPr>
                <w:rFonts w:ascii="Arial" w:cs="Arial" w:eastAsia="Arial" w:hAnsi="Arial"/>
                <w:sz w:val="16"/>
                <w:szCs w:val="16"/>
                <w:color w:val="auto"/>
                <w:w w:val="94"/>
              </w:rPr>
              <w:t>Property, plant and equipment additions, including the debt component of allowance for funds used during construction of</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280" w:type="dxa"/>
            <w:vAlign w:val="bottom"/>
          </w:tcPr>
          <w:p>
            <w:pPr>
              <w:ind w:left="120"/>
              <w:spacing w:after="0"/>
              <w:rPr>
                <w:sz w:val="20"/>
                <w:szCs w:val="20"/>
                <w:color w:val="auto"/>
              </w:rPr>
            </w:pPr>
            <w:r>
              <w:rPr>
                <w:rFonts w:ascii="Arial" w:cs="Arial" w:eastAsia="Arial" w:hAnsi="Arial"/>
                <w:sz w:val="16"/>
                <w:szCs w:val="16"/>
                <w:color w:val="auto"/>
              </w:rPr>
              <w:t>$4,502 and $4,527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(874,491)</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(719,688)</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Acquisitions of utility systems, net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(45,303)</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(104,383)</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Net proceeds from the sale of utility systems and other assets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634</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451</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cash flows used in investing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(918,709)</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(823,069)</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Customers' advances and contributions in aid of construction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13,151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10,732</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Repayments of customers' advances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(5,222)</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(1,726)</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Net proceeds (repayments) of short-term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(96,668)</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148,235</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Proceeds from long-term debt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681,203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944,882</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Repayments of long-term debt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(570,634)</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(521,792)</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Change in cash overdraft position</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(9,006)</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(64,326)</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12,061</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12,421</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Proceeds from issuance of common stock from at-the-market sale agreement</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322,983</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Proceeds from exercised stock options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229</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Repurchase of common stock</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line="175" w:lineRule="exact"/>
              <w:rPr>
                <w:sz w:val="20"/>
                <w:szCs w:val="20"/>
                <w:color w:val="auto"/>
              </w:rPr>
            </w:pPr>
            <w:r>
              <w:rPr>
                <w:rFonts w:ascii="Arial" w:cs="Arial" w:eastAsia="Arial" w:hAnsi="Arial"/>
                <w:sz w:val="16"/>
                <w:szCs w:val="16"/>
                <w:color w:val="auto"/>
              </w:rPr>
              <w:t>(3,955)</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176"/>
        </w:trPr>
        <w:tc>
          <w:tcPr>
            <w:tcW w:w="8280" w:type="dxa"/>
            <w:vAlign w:val="bottom"/>
          </w:tcPr>
          <w:p>
            <w:pPr>
              <w:ind w:left="120"/>
              <w:spacing w:after="0" w:line="175" w:lineRule="exact"/>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(232,916)</w:t>
            </w:r>
          </w:p>
        </w:tc>
        <w:tc>
          <w:tcPr>
            <w:tcW w:w="420" w:type="dxa"/>
            <w:vAlign w:val="bottom"/>
          </w:tcPr>
          <w:p>
            <w:pPr>
              <w:spacing w:after="0"/>
              <w:rPr>
                <w:sz w:val="15"/>
                <w:szCs w:val="15"/>
                <w:color w:val="auto"/>
              </w:rPr>
            </w:pP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(213,354)</w:t>
            </w: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cash flows from financing activities</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111,247</w:t>
            </w:r>
          </w:p>
        </w:tc>
        <w:tc>
          <w:tcPr>
            <w:tcW w:w="1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316,709</w:t>
            </w: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change in cash and cash equivalents</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(2,893)</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12,799</w:t>
            </w:r>
          </w:p>
        </w:tc>
        <w:tc>
          <w:tcPr>
            <w:tcW w:w="0" w:type="dxa"/>
            <w:vAlign w:val="bottom"/>
          </w:tcPr>
          <w:p>
            <w:pPr>
              <w:spacing w:after="0"/>
              <w:rPr>
                <w:sz w:val="1"/>
                <w:szCs w:val="1"/>
                <w:color w:val="auto"/>
              </w:rPr>
            </w:pPr>
          </w:p>
        </w:tc>
      </w:tr>
      <w:tr>
        <w:trPr>
          <w:trHeight w:val="175"/>
        </w:trPr>
        <w:tc>
          <w:tcPr>
            <w:tcW w:w="828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11,398</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10,567</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8,505</w:t>
            </w:r>
          </w:p>
        </w:tc>
        <w:tc>
          <w:tcPr>
            <w:tcW w:w="1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23,366</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Non-cash investing activities: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2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520" w:type="dxa"/>
            <w:vAlign w:val="bottom"/>
            <w:gridSpan w:val="2"/>
            <w:shd w:val="clear" w:color="auto" w:fill="CCEEFF"/>
          </w:tcPr>
          <w:p>
            <w:pPr>
              <w:jc w:val="right"/>
              <w:ind w:right="124"/>
              <w:spacing w:after="0" w:line="175" w:lineRule="exact"/>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106,150</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97,777</w:t>
            </w:r>
          </w:p>
        </w:tc>
        <w:tc>
          <w:tcPr>
            <w:tcW w:w="0" w:type="dxa"/>
            <w:vAlign w:val="bottom"/>
          </w:tcPr>
          <w:p>
            <w:pPr>
              <w:spacing w:after="0"/>
              <w:rPr>
                <w:sz w:val="1"/>
                <w:szCs w:val="1"/>
                <w:color w:val="auto"/>
              </w:rPr>
            </w:pPr>
          </w:p>
        </w:tc>
      </w:tr>
      <w:tr>
        <w:trPr>
          <w:trHeight w:val="206"/>
        </w:trPr>
        <w:tc>
          <w:tcPr>
            <w:tcW w:w="8280" w:type="dxa"/>
            <w:vAlign w:val="bottom"/>
          </w:tcPr>
          <w:p>
            <w:pPr>
              <w:ind w:left="120"/>
              <w:spacing w:after="0"/>
              <w:rPr>
                <w:sz w:val="20"/>
                <w:szCs w:val="20"/>
                <w:color w:val="auto"/>
              </w:rPr>
            </w:pPr>
            <w:r>
              <w:rPr>
                <w:rFonts w:ascii="Arial" w:cs="Arial" w:eastAsia="Arial" w:hAnsi="Arial"/>
                <w:sz w:val="16"/>
                <w:szCs w:val="16"/>
                <w:color w:val="auto"/>
              </w:rPr>
              <w:t>Non-cash utility property contributions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36,913</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21,736</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u w:val="single" w:color="auto"/>
          <w:color w:val="0563C1"/>
        </w:rPr>
        <w:t>Table of Contents</w:t>
      </w:r>
    </w:p>
    <w:p>
      <w:pPr>
        <w:jc w:val="center"/>
        <w:spacing w:after="0" w:line="230" w:lineRule="auto"/>
        <w:rPr>
          <w:sz w:val="20"/>
          <w:szCs w:val="20"/>
          <w:color w:val="auto"/>
        </w:rPr>
      </w:pPr>
      <w:r>
        <w:rPr>
          <w:rFonts w:ascii="Arial" w:cs="Arial" w:eastAsia="Arial" w:hAnsi="Arial"/>
          <w:sz w:val="22"/>
          <w:szCs w:val="22"/>
          <w:color w:val="auto"/>
        </w:rPr>
        <w:t>ESSENTIAL UTILITIES, INC. AND SUBSIDIARIES</w:t>
      </w:r>
    </w:p>
    <w:p>
      <w:pPr>
        <w:jc w:val="center"/>
        <w:ind w:right="-5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5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59"/>
        <w:spacing w:after="0"/>
        <w:rPr>
          <w:sz w:val="20"/>
          <w:szCs w:val="20"/>
          <w:color w:val="auto"/>
        </w:rPr>
      </w:pPr>
      <w:r>
        <w:rPr>
          <w:rFonts w:ascii="Arial" w:cs="Arial" w:eastAsia="Arial" w:hAnsi="Arial"/>
          <w:sz w:val="22"/>
          <w:szCs w:val="22"/>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99" w:lineRule="exact"/>
        <w:rPr>
          <w:sz w:val="20"/>
          <w:szCs w:val="20"/>
          <w:color w:val="auto"/>
        </w:rPr>
      </w:pPr>
    </w:p>
    <w:p>
      <w:pPr>
        <w:ind w:right="80"/>
        <w:spacing w:after="0" w:line="261" w:lineRule="auto"/>
        <w:rPr>
          <w:sz w:val="20"/>
          <w:szCs w:val="20"/>
          <w:color w:val="auto"/>
        </w:rPr>
      </w:pPr>
      <w:r>
        <w:rPr>
          <w:rFonts w:ascii="Arial" w:cs="Arial" w:eastAsia="Arial" w:hAnsi="Arial"/>
          <w:sz w:val="19"/>
          <w:szCs w:val="19"/>
          <w:color w:val="auto"/>
        </w:rPr>
        <w:t>The accompanying unaudited consolidated balance sheets and statements of capitalization of Essential Utilities, Inc. and subsidiaries (collectively, the “Company”, “we”, “us” or “our”) at September 30, 2023, the unaudited consolidated statements of operations and comprehensive income for the three and nine months ended September 30, 2023, and the unaudited consolidated statements of cash flows and of equity for the nine months ended September 30, 2023 and 2022,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2022.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73"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rising interest rates. As these continue to evolve, future events and effects related to these conditions cannot be determined with precision. Accordingly, actual amounts or future results can differ materially from those estimates that the Company includes currently in its consolidated financial statements, summary of significant accounting policies, and notes.</w:t>
      </w:r>
    </w:p>
    <w:p>
      <w:pPr>
        <w:spacing w:after="0" w:line="171"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center"/>
              <w:ind w:right="80"/>
              <w:spacing w:after="0"/>
              <w:rPr>
                <w:sz w:val="20"/>
                <w:szCs w:val="20"/>
                <w:color w:val="auto"/>
              </w:rPr>
            </w:pPr>
            <w:r>
              <w:rPr>
                <w:rFonts w:ascii="Arial" w:cs="Arial" w:eastAsia="Arial" w:hAnsi="Arial"/>
                <w:sz w:val="14"/>
                <w:szCs w:val="14"/>
                <w:color w:val="auto"/>
                <w:w w:val="93"/>
              </w:rPr>
              <w:t>Three Months Ended</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color w:val="auto"/>
              </w:rPr>
              <w:t>September 30, 2023</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color w:val="auto"/>
                <w:w w:val="91"/>
              </w:rPr>
              <w:t>September 30, 2022</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7" w:lineRule="exact"/>
              <w:rPr>
                <w:sz w:val="20"/>
                <w:szCs w:val="20"/>
                <w:color w:val="auto"/>
              </w:rPr>
            </w:pPr>
            <w:r>
              <w:rPr>
                <w:rFonts w:ascii="Arial" w:cs="Arial" w:eastAsia="Arial" w:hAnsi="Arial"/>
                <w:sz w:val="14"/>
                <w:szCs w:val="14"/>
                <w:color w:val="auto"/>
                <w:w w:val="93"/>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w w:val="94"/>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spacing w:after="0" w:line="137" w:lineRule="exact"/>
              <w:rPr>
                <w:sz w:val="20"/>
                <w:szCs w:val="20"/>
                <w:color w:val="auto"/>
              </w:rPr>
            </w:pPr>
            <w:r>
              <w:rPr>
                <w:rFonts w:ascii="Arial" w:cs="Arial" w:eastAsia="Arial" w:hAnsi="Arial"/>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w w:val="90"/>
              </w:rPr>
              <w:t>Other Revenues</w:t>
            </w:r>
          </w:p>
        </w:tc>
        <w:tc>
          <w:tcPr>
            <w:tcW w:w="0" w:type="dxa"/>
            <w:vAlign w:val="bottom"/>
          </w:tcPr>
          <w:p>
            <w:pPr>
              <w:spacing w:after="0"/>
              <w:rPr>
                <w:sz w:val="1"/>
                <w:szCs w:val="1"/>
                <w:color w:val="auto"/>
              </w:rPr>
            </w:pPr>
          </w:p>
        </w:tc>
      </w:tr>
      <w:tr>
        <w:trPr>
          <w:trHeight w:val="167"/>
        </w:trPr>
        <w:tc>
          <w:tcPr>
            <w:tcW w:w="284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173,331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36,096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46,501</w:t>
            </w:r>
          </w:p>
        </w:tc>
        <w:tc>
          <w:tcPr>
            <w:tcW w:w="4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173,798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32,806</w:t>
            </w: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65,631</w:t>
            </w:r>
          </w:p>
        </w:tc>
        <w:tc>
          <w:tcPr>
            <w:tcW w:w="4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49,699</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9,396</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9,577</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49,026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15,180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Fire protection</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10,350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9,934</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Industrial</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9,438</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353</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9,291</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990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Gas transportation &amp; storage</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26,636</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26,824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Other water</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15,549</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11,920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wastewater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Other utility</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11,731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2,898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11,096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56"/>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258,367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48,819</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94,798</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2,898</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253,969</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44,216</w:t>
            </w: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119,721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Alternative revenue program</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669</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Other and eliminations</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13,076</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4"/>
                <w:szCs w:val="14"/>
                <w:color w:val="auto"/>
              </w:rPr>
              <w:t>Consolidated</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258,801</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48,892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94,798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255,183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44,276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119,721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15,438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4"/>
                <w:szCs w:val="14"/>
                <w:color w:val="auto"/>
              </w:rPr>
              <w:t>Nine Months Ended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jc w:val="center"/>
              <w:ind w:right="60"/>
              <w:spacing w:after="0"/>
              <w:rPr>
                <w:sz w:val="20"/>
                <w:szCs w:val="20"/>
                <w:color w:val="auto"/>
              </w:rPr>
            </w:pPr>
            <w:r>
              <w:rPr>
                <w:rFonts w:ascii="Arial" w:cs="Arial" w:eastAsia="Arial" w:hAnsi="Arial"/>
                <w:sz w:val="14"/>
                <w:szCs w:val="14"/>
                <w:color w:val="auto"/>
                <w:w w:val="94"/>
              </w:rPr>
              <w:t>Nine Months Ended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color w:val="auto"/>
              </w:rPr>
              <w:t>September 30, 2023</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color w:val="auto"/>
                <w:w w:val="91"/>
              </w:rPr>
              <w:t>September 30, 2022</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line="137"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1"/>
                <w:szCs w:val="11"/>
                <w:color w:val="auto"/>
              </w:rPr>
            </w:pPr>
          </w:p>
        </w:tc>
        <w:tc>
          <w:tcPr>
            <w:tcW w:w="9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Wastewater</w:t>
            </w:r>
          </w:p>
        </w:tc>
        <w:tc>
          <w:tcPr>
            <w:tcW w:w="100" w:type="dxa"/>
            <w:vAlign w:val="bottom"/>
          </w:tcPr>
          <w:p>
            <w:pPr>
              <w:spacing w:after="0"/>
              <w:rPr>
                <w:sz w:val="11"/>
                <w:szCs w:val="11"/>
                <w:color w:val="auto"/>
              </w:rPr>
            </w:pPr>
          </w:p>
        </w:tc>
        <w:tc>
          <w:tcPr>
            <w:tcW w:w="940" w:type="dxa"/>
            <w:vAlign w:val="bottom"/>
            <w:gridSpan w:val="2"/>
          </w:tcPr>
          <w:p>
            <w:pPr>
              <w:jc w:val="right"/>
              <w:ind w:right="220"/>
              <w:spacing w:after="0" w:line="137" w:lineRule="exact"/>
              <w:rPr>
                <w:sz w:val="20"/>
                <w:szCs w:val="20"/>
                <w:color w:val="auto"/>
              </w:rPr>
            </w:pPr>
            <w:r>
              <w:rPr>
                <w:rFonts w:ascii="Arial" w:cs="Arial" w:eastAsia="Arial" w:hAnsi="Arial"/>
                <w:sz w:val="14"/>
                <w:szCs w:val="14"/>
                <w:color w:val="auto"/>
                <w:w w:val="93"/>
              </w:rPr>
              <w:t>Natural Gas</w:t>
            </w:r>
          </w:p>
        </w:tc>
        <w:tc>
          <w:tcPr>
            <w:tcW w:w="6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w w:val="94"/>
              </w:rPr>
              <w:t>Other Revenues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420"/>
              <w:spacing w:after="0" w:line="137"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1"/>
                <w:szCs w:val="11"/>
                <w:color w:val="auto"/>
              </w:rPr>
            </w:pPr>
          </w:p>
        </w:tc>
        <w:tc>
          <w:tcPr>
            <w:tcW w:w="860" w:type="dxa"/>
            <w:vAlign w:val="bottom"/>
            <w:gridSpan w:val="2"/>
          </w:tcPr>
          <w:p>
            <w:pPr>
              <w:spacing w:after="0" w:line="137" w:lineRule="exact"/>
              <w:rPr>
                <w:sz w:val="20"/>
                <w:szCs w:val="20"/>
                <w:color w:val="auto"/>
              </w:rPr>
            </w:pPr>
            <w:r>
              <w:rPr>
                <w:rFonts w:ascii="Arial" w:cs="Arial" w:eastAsia="Arial" w:hAnsi="Arial"/>
                <w:sz w:val="14"/>
                <w:szCs w:val="14"/>
                <w:color w:val="auto"/>
              </w:rPr>
              <w:t>Wastewater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auto"/>
                <w:w w:val="90"/>
              </w:rPr>
              <w:t>Other Revenues</w:t>
            </w: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Revenues from contracts with customers: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Residential</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487,704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103,632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415,207</w:t>
            </w:r>
          </w:p>
        </w:tc>
        <w:tc>
          <w:tcPr>
            <w:tcW w:w="4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454,628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89,954</w:t>
            </w:r>
          </w:p>
        </w:tc>
        <w:tc>
          <w:tcPr>
            <w:tcW w:w="14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446,679</w:t>
            </w:r>
          </w:p>
        </w:tc>
        <w:tc>
          <w:tcPr>
            <w:tcW w:w="4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137,427</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26,643</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91,031</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125,171</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21,807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91,073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Fire protection</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30,794</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28,674</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Industrial</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25,584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2,613</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24,076</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Gas transportation &amp; storage</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129,151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146,571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water</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36,310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45,170</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ind w:left="120"/>
              <w:spacing w:after="0"/>
              <w:rPr>
                <w:sz w:val="20"/>
                <w:szCs w:val="20"/>
                <w:color w:val="auto"/>
              </w:rPr>
            </w:pPr>
            <w:r>
              <w:rPr>
                <w:rFonts w:ascii="Arial" w:cs="Arial" w:eastAsia="Arial" w:hAnsi="Arial"/>
                <w:sz w:val="14"/>
                <w:szCs w:val="14"/>
                <w:color w:val="auto"/>
              </w:rPr>
              <w:t>Other wastewater</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8,291</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8,180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utility</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35,653</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46,162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8,602</w:t>
            </w:r>
          </w:p>
        </w:tc>
        <w:tc>
          <w:tcPr>
            <w:tcW w:w="0" w:type="dxa"/>
            <w:vAlign w:val="bottom"/>
          </w:tcPr>
          <w:p>
            <w:pPr>
              <w:spacing w:after="0"/>
              <w:rPr>
                <w:sz w:val="1"/>
                <w:szCs w:val="1"/>
                <w:color w:val="auto"/>
              </w:rPr>
            </w:pPr>
          </w:p>
        </w:tc>
      </w:tr>
      <w:tr>
        <w:trPr>
          <w:trHeight w:val="155"/>
        </w:trPr>
        <w:tc>
          <w:tcPr>
            <w:tcW w:w="2840" w:type="dxa"/>
            <w:vAlign w:val="bottom"/>
          </w:tcPr>
          <w:p>
            <w:pPr>
              <w:spacing w:after="0" w:line="155" w:lineRule="exact"/>
              <w:rPr>
                <w:sz w:val="20"/>
                <w:szCs w:val="20"/>
                <w:color w:val="auto"/>
              </w:rPr>
            </w:pPr>
            <w:r>
              <w:rPr>
                <w:rFonts w:ascii="Arial" w:cs="Arial" w:eastAsia="Arial" w:hAnsi="Arial"/>
                <w:sz w:val="14"/>
                <w:szCs w:val="14"/>
                <w:color w:val="auto"/>
              </w:rPr>
              <w:t>Revenues from contracts with customers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717,819</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140,153</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673,655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11,706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677,719</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121,183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734,274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8,602</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Alternative revenue program</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1,603</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1,421</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2,393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Arial" w:cs="Arial" w:eastAsia="Arial" w:hAnsi="Arial"/>
                <w:sz w:val="14"/>
                <w:szCs w:val="14"/>
                <w:color w:val="auto"/>
              </w:rPr>
              <w:t>Other and eliminations</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27,766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38,606</w:t>
            </w: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Consolidated</w:t>
            </w: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719,422</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140,435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675,076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39,472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680,112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121,055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734,274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47,208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jc w:val="both"/>
        <w:ind w:right="40"/>
        <w:spacing w:after="0" w:line="239" w:lineRule="auto"/>
        <w:rPr>
          <w:sz w:val="20"/>
          <w:szCs w:val="20"/>
          <w:color w:val="auto"/>
        </w:rPr>
      </w:pPr>
      <w:r>
        <w:rPr>
          <w:rFonts w:ascii="Arial" w:cs="Arial" w:eastAsia="Arial" w:hAnsi="Arial"/>
          <w:sz w:val="21"/>
          <w:szCs w:val="21"/>
          <w:color w:val="auto"/>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750 customers in Texas for $3,321. Additionally, in July 2023, the Company completed their acquisition of a portion of the water and wastewater utility assets of the Village of Frankfort, an Illinois municipality, which serves approximately 1,400 customers for $1,424.</w:t>
      </w:r>
    </w:p>
    <w:p>
      <w:pPr>
        <w:spacing w:after="0" w:line="202"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In June 2023, the Company acquired the wastewater utility assets of Union Rome, Ohio, which serves approximately 4,300 customers for a cash purchase price of $25,547.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In March 2023, the Company acquired the North Heidelberg Sewer Company in Berks County, Pennsylvania, which serves 273 customer connections for a cash purchase price of $136.</w:t>
      </w:r>
    </w:p>
    <w:p>
      <w:pPr>
        <w:spacing w:after="0" w:line="198"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In November 2022, the Company acquired certain water utility assets of Oak Brook, Illinois, which serve 2,037 customers for a cash purchase price of $12,500.</w:t>
      </w:r>
    </w:p>
    <w:p>
      <w:pPr>
        <w:spacing w:after="0" w:line="18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The Company is currently waiting to see if the Supreme Court will grant allocatur. Management believes the final resolution of this matter is not expected to have a material adverse effect on the Company’s financial position, results of operations, or cash flows.</w:t>
      </w:r>
    </w:p>
    <w:p>
      <w:pPr>
        <w:spacing w:after="0" w:line="184" w:lineRule="exact"/>
        <w:rPr>
          <w:sz w:val="20"/>
          <w:szCs w:val="20"/>
          <w:color w:val="auto"/>
        </w:rPr>
      </w:pPr>
    </w:p>
    <w:p>
      <w:pPr>
        <w:jc w:val="both"/>
        <w:ind w:right="440"/>
        <w:spacing w:after="0" w:line="231" w:lineRule="auto"/>
        <w:rPr>
          <w:sz w:val="20"/>
          <w:szCs w:val="20"/>
          <w:color w:val="auto"/>
        </w:rPr>
      </w:pPr>
      <w:r>
        <w:rPr>
          <w:rFonts w:ascii="Arial" w:cs="Arial" w:eastAsia="Arial" w:hAnsi="Arial"/>
          <w:sz w:val="22"/>
          <w:szCs w:val="22"/>
          <w:color w:val="auto"/>
        </w:rPr>
        <w:t>In March 2022, the Company acquired the wastewater system of Lower Makefield Township, which serves 11,323 customer connections in Lower Makefield, Falls and Middletown townships, and Yardley Borough, Bucks County, Pennsylvania, for a cash purchase price of $53,000.</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20"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In September 2023, the Company entered into a purchase agreement to acquire Greenville Municipal Water Authority’s water system in Greenville, Pennsylvania which serves approximately 3,000 customers for $18,000.</w:t>
      </w:r>
    </w:p>
    <w:p>
      <w:pPr>
        <w:spacing w:after="0" w:line="185" w:lineRule="exact"/>
        <w:rPr>
          <w:sz w:val="20"/>
          <w:szCs w:val="20"/>
          <w:color w:val="auto"/>
        </w:rPr>
      </w:pPr>
    </w:p>
    <w:p>
      <w:pPr>
        <w:ind w:right="720"/>
        <w:spacing w:after="0" w:line="328" w:lineRule="auto"/>
        <w:rPr>
          <w:sz w:val="20"/>
          <w:szCs w:val="20"/>
          <w:color w:val="auto"/>
        </w:rPr>
      </w:pPr>
      <w:r>
        <w:rPr>
          <w:rFonts w:ascii="Arial" w:cs="Arial" w:eastAsia="Arial" w:hAnsi="Arial"/>
          <w:sz w:val="19"/>
          <w:szCs w:val="19"/>
          <w:color w:val="auto"/>
        </w:rPr>
        <w:t>In June 2023, the Company entered into a purchase agreement to acquire Westfield HOA wastewater assets, which serves approximately 225 customers within Westfield Homeowners Subdivision in Glenview, Illinois for $50.</w:t>
      </w:r>
    </w:p>
    <w:p>
      <w:pPr>
        <w:spacing w:after="0" w:line="51"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5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5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240"/>
        <w:spacing w:after="0" w:line="260" w:lineRule="auto"/>
        <w:rPr>
          <w:sz w:val="20"/>
          <w:szCs w:val="20"/>
          <w:color w:val="auto"/>
        </w:rPr>
      </w:pPr>
      <w:r>
        <w:rPr>
          <w:rFonts w:ascii="Arial" w:cs="Arial" w:eastAsia="Arial" w:hAnsi="Arial"/>
          <w:sz w:val="21"/>
          <w:szCs w:val="21"/>
          <w:color w:val="auto"/>
        </w:rPr>
        <w:t>In October 2021, the Company entered into a purchase agreement to acquire the wastewater utility assets of the City of Beaver Falls, Pennsylvania which consists of approximately 7,600 equivalent retail customers for $41,250.</w:t>
      </w:r>
    </w:p>
    <w:p>
      <w:pPr>
        <w:spacing w:after="0" w:line="179"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2024. Closing for our utility acquisitions are subject to the timing of the respective regulatory approval processes.</w:t>
      </w:r>
    </w:p>
    <w:p>
      <w:pPr>
        <w:spacing w:after="0" w:line="189"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In January 2021, the Company entered into a purchase agreement to acquire the wastewater utility system assets of Willistown Township, Pennsylvania, which consist of approximately 2,300 customers, for $17,500. On April 14, 2023, the Willistown Township supervisors exercised their right to terminate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DELCORA Purchase Agreement</w:t>
      </w:r>
    </w:p>
    <w:p>
      <w:pPr>
        <w:spacing w:after="0" w:line="22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did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DELCORA if it so chooses, but the purchase agreement must be upheld regardless of who is operating the system. The case was remanded back to the trial court for the entry of an order consistent with the Commonwealth Court’s opinion. This order was issued on September 8, 2022 (“Remand Order”). Since then, the County has challenged the Remand Order through two separate actions described in the below bullet points. The effect of those proceedings has resulted in the Remand Order being on appeal to the Commonwealth Court. Argument has not yet been scheduled by the Commonwealth Court on the appeal.</w:t>
      </w:r>
    </w:p>
    <w:p>
      <w:pPr>
        <w:spacing w:after="0" w:line="200" w:lineRule="exact"/>
        <w:rPr>
          <w:sz w:val="20"/>
          <w:szCs w:val="20"/>
          <w:color w:val="auto"/>
        </w:rPr>
      </w:pPr>
    </w:p>
    <w:p>
      <w:pPr>
        <w:spacing w:after="0" w:line="212" w:lineRule="exact"/>
        <w:rPr>
          <w:sz w:val="20"/>
          <w:szCs w:val="20"/>
          <w:color w:val="auto"/>
        </w:rPr>
      </w:pPr>
    </w:p>
    <w:p>
      <w:pPr>
        <w:ind w:left="660"/>
        <w:spacing w:after="0" w:line="260" w:lineRule="auto"/>
        <w:rPr>
          <w:sz w:val="20"/>
          <w:szCs w:val="20"/>
          <w:color w:val="auto"/>
        </w:rPr>
      </w:pPr>
      <w:r>
        <w:rPr>
          <w:rFonts w:ascii="Arial" w:cs="Arial" w:eastAsia="Arial" w:hAnsi="Arial"/>
          <w:sz w:val="19"/>
          <w:szCs w:val="19"/>
          <w:color w:val="auto"/>
        </w:rPr>
        <w:t>First, Delaware County filed an Application for Determination of Finality (“Application”) on October 13, 2022, with the Delaware County Court of Common Pleas. The Company filed its opposition to the Application on October 27, 2022, and on November 2, 2022, the Delaware County Court of Common Pleas denied Delaware County’s Application indicating that its previous order already constituted a final order that addressed the claims of all parties. On December 2, 2022, following the denial of its Application, Delaware County filed a Petition for Permission to Appeal (“Petition”) the Remand Order in the Commonwealth Court of Pennsylvania. On December 16, 2022, the Company filed an Answer in</w:t>
      </w:r>
    </w:p>
    <w:p>
      <w:pPr>
        <w:spacing w:after="0" w:line="2" w:lineRule="exact"/>
        <w:rPr>
          <w:sz w:val="20"/>
          <w:szCs w:val="20"/>
          <w:color w:val="auto"/>
        </w:rPr>
      </w:pPr>
    </w:p>
    <w:p>
      <w:pPr>
        <w:jc w:val="center"/>
        <w:ind w:left="440" w:right="540"/>
        <w:spacing w:after="0" w:line="230" w:lineRule="auto"/>
        <w:rPr>
          <w:sz w:val="20"/>
          <w:szCs w:val="20"/>
          <w:color w:val="auto"/>
        </w:rPr>
      </w:pPr>
      <w:r>
        <w:rPr>
          <w:rFonts w:ascii="Arial" w:cs="Arial" w:eastAsia="Arial" w:hAnsi="Arial"/>
          <w:sz w:val="22"/>
          <w:szCs w:val="22"/>
          <w:color w:val="auto"/>
        </w:rPr>
        <w:t>opposition to the Petition. The Commonwealth Court issued an Order denying the County’s Petition on February 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4" w:name="page15"/>
    <w:bookmarkEnd w:id="1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ind w:left="660" w:right="120"/>
        <w:spacing w:after="0" w:line="244" w:lineRule="auto"/>
        <w:rPr>
          <w:sz w:val="20"/>
          <w:szCs w:val="20"/>
          <w:color w:val="auto"/>
        </w:rPr>
      </w:pPr>
      <w:r>
        <w:rPr>
          <w:rFonts w:ascii="Arial" w:cs="Arial" w:eastAsia="Arial" w:hAnsi="Arial"/>
          <w:sz w:val="21"/>
          <w:szCs w:val="21"/>
          <w:color w:val="auto"/>
        </w:rPr>
        <w:t>2023. The County filed an Application for Reconsideration of the Commonwealth Court’s February 2023 Order, which the Commonwealth Court granted on April 4, 2023. In that April 4, 2023 Order, the Commonwealth Court construed the Petition as a Notice of Appeal and has initiated a briefing schedule for this appeal.</w:t>
      </w:r>
    </w:p>
    <w:p>
      <w:pPr>
        <w:spacing w:after="0" w:line="195" w:lineRule="exact"/>
        <w:rPr>
          <w:sz w:val="20"/>
          <w:szCs w:val="20"/>
          <w:color w:val="auto"/>
        </w:rPr>
      </w:pPr>
    </w:p>
    <w:p>
      <w:pPr>
        <w:ind w:left="660" w:right="40"/>
        <w:spacing w:after="0" w:line="236" w:lineRule="auto"/>
        <w:rPr>
          <w:sz w:val="20"/>
          <w:szCs w:val="20"/>
          <w:color w:val="auto"/>
        </w:rPr>
      </w:pPr>
      <w:r>
        <w:rPr>
          <w:rFonts w:ascii="Arial" w:cs="Arial" w:eastAsia="Arial" w:hAnsi="Arial"/>
          <w:sz w:val="21"/>
          <w:szCs w:val="21"/>
          <w:color w:val="auto"/>
        </w:rPr>
        <w:t>Second, on November 2, 2022, Delaware County filed a Notice of Appeal (“Notice of Appeal”) from the Remand Order with the Delaware County Court of Common Pleas. On December 2, 2022, the Delaware County Court of Common Pleas issued an Opinion concluding that the County Court did not err in issuing the Remand Order. On January 13, 2023, Delaware County filed an Application in Commonwealth Court seeking confirmation of briefing deadlines with respect to the Notice of Appeal. In response, by Order dated January 24, 2023, the Commonwealth Court stated that “the record received from the Court of Common Pleas of Delaware County is currently under review for finality. A briefing schedule will be issued upon completion of this review.” The Company filed an Application to quash the County’s Appeal on February 7, 2023. On April 4, 2023, the Commonwealth Court granted the Company’s Application and quashed the appeal.</w:t>
      </w:r>
    </w:p>
    <w:p>
      <w:pPr>
        <w:spacing w:after="0" w:line="185"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On January 25, 2023, DELCORA filed in the Delaware Court of Common Pleas a complaint for Declaratory Judgment against the Company and Delaware County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 The Company filed preliminary objections to DELCORA’s complaint, which were scheduled for a hearing on October 12, 2023. However, prior to the scheduled hearing, the Court notified the parties that the hearing was canceled and would be re-listed after the parties receive the benefit of the Commonwealth Court’s decision on the appeal addressed above.</w:t>
      </w:r>
    </w:p>
    <w:p>
      <w:pPr>
        <w:spacing w:after="0" w:line="200" w:lineRule="exact"/>
        <w:rPr>
          <w:sz w:val="20"/>
          <w:szCs w:val="20"/>
          <w:color w:val="auto"/>
        </w:rPr>
      </w:pPr>
    </w:p>
    <w:p>
      <w:pPr>
        <w:spacing w:after="0" w:line="205"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Meanwhile, the administrative law judges (“ALJ”) in the regulatory approval process recommended that the Company’s application to acquire DELCORA be denied, and subsequently, the Company provided exceptions to the recommended decision. On March 30, 2021, the Pennsylvania Public Utility Commission (“PUC”) ruled that the case be remanded back to the Office of Administrative Law Judge and vacated the original administrative law judges’ recommended decision (“2021 Order”). This 2021 Order was also appealed to the Commonwealth Court by Delaware County on April 29, 2021. A decision was issued by the Commonwealth Court on September 12, 2022, which dismissed the appeal of the County.</w:t>
      </w:r>
    </w:p>
    <w:p>
      <w:pPr>
        <w:spacing w:after="0" w:line="203" w:lineRule="exact"/>
        <w:rPr>
          <w:sz w:val="20"/>
          <w:szCs w:val="20"/>
          <w:color w:val="auto"/>
        </w:rPr>
      </w:pPr>
    </w:p>
    <w:p>
      <w:pPr>
        <w:ind w:right="140"/>
        <w:spacing w:after="0" w:line="226" w:lineRule="auto"/>
        <w:rPr>
          <w:sz w:val="20"/>
          <w:szCs w:val="20"/>
          <w:color w:val="auto"/>
        </w:rPr>
      </w:pPr>
      <w:r>
        <w:rPr>
          <w:rFonts w:ascii="Arial" w:cs="Arial" w:eastAsia="Arial" w:hAnsi="Arial"/>
          <w:sz w:val="22"/>
          <w:szCs w:val="22"/>
          <w:color w:val="auto"/>
        </w:rPr>
        <w:t>After the PUC issued the 2021 Order, on April 16, 2021, the ALJ issued an order staying the proceeding until the Delaware County Court lawsuit is final and unappealable. On March 25, 2022, the Company sent a letter notifying the PUC of the March 3, 2022, Commonwealth Court decision (that originated in Delaware County Court of Common Pleas) and requested that the PUC move forward with processing the application. On July 14, 2022, the Commission moved to lift the stay imposed by the ALJ, and required the ALJ to establish a schedule on remand for the proceeding. The ALJ established a procedural schedule for the remand proceeding.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340"/>
        <w:spacing w:after="0" w:line="277" w:lineRule="auto"/>
        <w:rPr>
          <w:sz w:val="20"/>
          <w:szCs w:val="20"/>
          <w:color w:val="auto"/>
        </w:rPr>
      </w:pPr>
      <w:r>
        <w:rPr>
          <w:rFonts w:ascii="Arial" w:cs="Arial" w:eastAsia="Arial" w:hAnsi="Arial"/>
          <w:sz w:val="19"/>
          <w:szCs w:val="19"/>
          <w:color w:val="auto"/>
        </w:rPr>
        <w:t>On August 17, 2022, Receiver for the City of Chester filed suit in Delaware County Common Pleas Court against DELCORA premised upon the claimed reversionary interest of the City in some of DELCORA’s assets. The Company intervened in that matter on October 19, 2022 and on March 27, 2023 filed preliminary objections. Following a hearing on the Company’s preliminary objections on August 28, 2023, the Receiver for the City of Chester discontinued the case without prejudice.</w:t>
      </w:r>
    </w:p>
    <w:p>
      <w:pPr>
        <w:spacing w:after="0" w:line="152"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On January 26, 2023, several parties involved in the PUC case filed a joint motion for stay based on DELCORA’s filing of the January 25, 2023 Complaint for Declaratory Judgment and referenced the City of Chester’s bankruptcy filing in which the City of Chester has asserted reversionary contract interests regarding some of DELCORA’s wastewater assets. On February 6, 2023, the ALJ stayed the PUC DELCORA application proceedings again.</w:t>
      </w:r>
    </w:p>
    <w:p>
      <w:pPr>
        <w:spacing w:after="0" w:line="201"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On May 23, 2023, the Bankruptcy Court issued an order in the City of Chester’s bankruptcy filing staying the PUC proceedings until relief from the stay is granted by the Bankruptcy Court. The Company appealed the Bankruptcy Court stay order to the United States District Court for the Eastern District of Pennsylvania on June 6, 2023. The Company filed its brief on August 7, 2023, to which the City responded on September 6, 2023. The Company filed its Reply brief on September 20, 2023, and we are awaiting the Court to determine whether oral argument will be scheduled or a decision rendered based solely on the briefing.</w:t>
      </w:r>
    </w:p>
    <w:p>
      <w:pPr>
        <w:spacing w:after="0" w:line="157" w:lineRule="exact"/>
        <w:rPr>
          <w:sz w:val="20"/>
          <w:szCs w:val="20"/>
          <w:color w:val="auto"/>
        </w:rPr>
      </w:pPr>
    </w:p>
    <w:p>
      <w:pPr>
        <w:ind w:right="80"/>
        <w:spacing w:after="0" w:line="237" w:lineRule="auto"/>
        <w:rPr>
          <w:sz w:val="20"/>
          <w:szCs w:val="20"/>
          <w:color w:val="auto"/>
        </w:rPr>
      </w:pPr>
      <w:r>
        <w:rPr>
          <w:rFonts w:ascii="Arial" w:cs="Arial" w:eastAsia="Arial" w:hAnsi="Arial"/>
          <w:sz w:val="21"/>
          <w:szCs w:val="21"/>
          <w:color w:val="auto"/>
        </w:rPr>
        <w:t>On June 16, 2023, the Company filed a Complaint against DELCORA in the Delaware County Court of Common Pleas requesting a declaratory judgment and injunctive relief regarding breach of the Asset Purchase Agreement in acting outside the ordinary course of business by attempting to enter into a new agreement with Philadelphia Water Department (“PWD”) for the treatment of wastewater without the Company’s consent. DELCORA filed an answer, new matter and counterclaim against the Company, alleging that the Company has tortiously interfered with DELCORA’s contract with the PWD. The Company filed preliminary objections to the counterclaim, and DELCORA filed an amended counterclaim. The Company filed preliminary objections to the amended counterclaim, and on October 9, 2023, DELCORA filed a second amended counterclaim, to which the Company filed preliminary objections.</w:t>
      </w:r>
    </w:p>
    <w:p>
      <w:pPr>
        <w:spacing w:after="0" w:line="198"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the timing of the above-described regulatory approval process and on-going litigation.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Assets Held for Sale and Dispositions</w:t>
      </w:r>
    </w:p>
    <w:p>
      <w:pPr>
        <w:spacing w:after="0" w:line="212"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On December 31, 2022, the Company entered into a definitive agreement with Hope Gas, Inc. for the sale of its regulated natural gas utility assets in West Virginia, which served approximately 13,000 customers or about 2% of the Company’s regulated natural gas customers (“Peoples Gas West Virginia”). The Peoples Gas West Virginia sale closed on October 1, 2023 for an estimated purchase price of $39,965, subject to working capital and other adjustments. The sale of Peoples Gas West Virginia had no major effect on the Company’s operations and did not meet the requirements to be classified as a discontinued operation. The assets and liabilities of Peoples Gas West Virginia were reported as held for sale in the accompanying consolidated balance sheet, carried at the lower of its carrying amount or fair value less costs to sell, and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2"/>
          </w:tcPr>
          <w:p>
            <w:pPr>
              <w:ind w:left="60"/>
              <w:spacing w:after="0"/>
              <w:rPr>
                <w:sz w:val="20"/>
                <w:szCs w:val="20"/>
                <w:color w:val="auto"/>
              </w:rPr>
            </w:pPr>
            <w:r>
              <w:rPr>
                <w:rFonts w:ascii="Arial" w:cs="Arial" w:eastAsia="Arial" w:hAnsi="Arial"/>
                <w:sz w:val="20"/>
                <w:szCs w:val="20"/>
                <w:color w:val="auto"/>
              </w:rPr>
              <w:t>September 30, 2023</w:t>
            </w:r>
          </w:p>
        </w:tc>
        <w:tc>
          <w:tcPr>
            <w:tcW w:w="200" w:type="dxa"/>
            <w:vAlign w:val="bottom"/>
          </w:tcPr>
          <w:p>
            <w:pPr>
              <w:spacing w:after="0"/>
              <w:rPr>
                <w:sz w:val="21"/>
                <w:szCs w:val="21"/>
                <w:color w:val="auto"/>
              </w:rPr>
            </w:pPr>
          </w:p>
        </w:tc>
        <w:tc>
          <w:tcPr>
            <w:tcW w:w="1940" w:type="dxa"/>
            <w:vAlign w:val="bottom"/>
          </w:tcPr>
          <w:p>
            <w:pPr>
              <w:jc w:val="right"/>
              <w:ind w:right="181"/>
              <w:spacing w:after="0"/>
              <w:rPr>
                <w:sz w:val="20"/>
                <w:szCs w:val="20"/>
                <w:color w:val="auto"/>
              </w:rPr>
            </w:pPr>
            <w:r>
              <w:rPr>
                <w:rFonts w:ascii="Arial" w:cs="Arial" w:eastAsia="Arial" w:hAnsi="Arial"/>
                <w:sz w:val="20"/>
                <w:szCs w:val="20"/>
                <w:color w:val="auto"/>
                <w:w w:val="93"/>
              </w:rPr>
              <w:t>December 31, 2022</w:t>
            </w:r>
          </w:p>
        </w:tc>
      </w:tr>
      <w:tr>
        <w:trPr>
          <w:trHeight w:val="209"/>
        </w:trPr>
        <w:tc>
          <w:tcPr>
            <w:tcW w:w="6840" w:type="dxa"/>
            <w:vAlign w:val="bottom"/>
            <w:tcBorders>
              <w:top w:val="single" w:sz="8" w:color="CCEEFF"/>
            </w:tcBorders>
            <w:shd w:val="clear" w:color="auto" w:fill="CCEEFF"/>
          </w:tcPr>
          <w:p>
            <w:pPr>
              <w:spacing w:after="0" w:line="209" w:lineRule="exact"/>
              <w:rPr>
                <w:sz w:val="20"/>
                <w:szCs w:val="20"/>
                <w:color w:val="auto"/>
              </w:rPr>
            </w:pPr>
            <w:r>
              <w:rPr>
                <w:rFonts w:ascii="Arial" w:cs="Arial" w:eastAsia="Arial" w:hAnsi="Arial"/>
                <w:sz w:val="20"/>
                <w:szCs w:val="20"/>
                <w:color w:val="auto"/>
              </w:rPr>
              <w:t>Inventory - gas stored</w:t>
            </w:r>
          </w:p>
        </w:tc>
        <w:tc>
          <w:tcPr>
            <w:tcW w:w="1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880" w:type="dxa"/>
            <w:vAlign w:val="bottom"/>
            <w:tcBorders>
              <w:top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rPr>
              <w:t>1,197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2,807</w:t>
            </w: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Other current assets</w:t>
            </w:r>
          </w:p>
        </w:tc>
        <w:tc>
          <w:tcPr>
            <w:tcW w:w="160" w:type="dxa"/>
            <w:vAlign w:val="bottom"/>
          </w:tcPr>
          <w:p>
            <w:pPr>
              <w:spacing w:after="0"/>
              <w:rPr>
                <w:sz w:val="18"/>
                <w:szCs w:val="18"/>
                <w:color w:val="auto"/>
              </w:rPr>
            </w:pPr>
          </w:p>
        </w:tc>
        <w:tc>
          <w:tcPr>
            <w:tcW w:w="1880" w:type="dxa"/>
            <w:vAlign w:val="bottom"/>
          </w:tcPr>
          <w:p>
            <w:pPr>
              <w:jc w:val="right"/>
              <w:ind w:right="1"/>
              <w:spacing w:after="0" w:line="216" w:lineRule="exact"/>
              <w:rPr>
                <w:sz w:val="20"/>
                <w:szCs w:val="20"/>
                <w:color w:val="auto"/>
              </w:rPr>
            </w:pPr>
            <w:r>
              <w:rPr>
                <w:rFonts w:ascii="Arial" w:cs="Arial" w:eastAsia="Arial" w:hAnsi="Arial"/>
                <w:sz w:val="20"/>
                <w:szCs w:val="20"/>
                <w:color w:val="auto"/>
              </w:rPr>
              <w:t>1,334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3,284</w:t>
            </w: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Regulatory assets</w:t>
            </w: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Arial" w:cs="Arial" w:eastAsia="Arial" w:hAnsi="Arial"/>
                <w:sz w:val="20"/>
                <w:szCs w:val="20"/>
                <w:color w:val="auto"/>
              </w:rPr>
              <w:t>4,930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5,076</w:t>
            </w:r>
          </w:p>
        </w:tc>
      </w:tr>
      <w:tr>
        <w:trPr>
          <w:trHeight w:val="249"/>
        </w:trPr>
        <w:tc>
          <w:tcPr>
            <w:tcW w:w="6840" w:type="dxa"/>
            <w:vAlign w:val="bottom"/>
            <w:tcBorders>
              <w:bottom w:val="single" w:sz="8" w:color="CCEEFF"/>
            </w:tcBorders>
          </w:tcPr>
          <w:p>
            <w:pPr>
              <w:ind w:left="120"/>
              <w:spacing w:after="0" w:line="209" w:lineRule="exact"/>
              <w:rPr>
                <w:sz w:val="20"/>
                <w:szCs w:val="20"/>
                <w:color w:val="auto"/>
              </w:rPr>
            </w:pPr>
            <w:r>
              <w:rPr>
                <w:rFonts w:ascii="Arial" w:cs="Arial" w:eastAsia="Arial" w:hAnsi="Arial"/>
                <w:sz w:val="20"/>
                <w:szCs w:val="20"/>
                <w:color w:val="auto"/>
              </w:rPr>
              <w:t>Current assets held for sale</w:t>
            </w:r>
          </w:p>
        </w:tc>
        <w:tc>
          <w:tcPr>
            <w:tcW w:w="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8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7,461</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9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11,167</w:t>
            </w:r>
          </w:p>
        </w:tc>
      </w:tr>
      <w:tr>
        <w:trPr>
          <w:trHeight w:val="197"/>
        </w:trPr>
        <w:tc>
          <w:tcPr>
            <w:tcW w:w="6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Property, plant and equipment, net</w:t>
            </w:r>
          </w:p>
        </w:tc>
        <w:tc>
          <w:tcPr>
            <w:tcW w:w="160" w:type="dxa"/>
            <w:vAlign w:val="bottom"/>
          </w:tcPr>
          <w:p>
            <w:pPr>
              <w:spacing w:after="0"/>
              <w:rPr>
                <w:sz w:val="18"/>
                <w:szCs w:val="18"/>
                <w:color w:val="auto"/>
              </w:rPr>
            </w:pPr>
          </w:p>
        </w:tc>
        <w:tc>
          <w:tcPr>
            <w:tcW w:w="1880" w:type="dxa"/>
            <w:vAlign w:val="bottom"/>
          </w:tcPr>
          <w:p>
            <w:pPr>
              <w:jc w:val="right"/>
              <w:ind w:right="1"/>
              <w:spacing w:after="0" w:line="216" w:lineRule="exact"/>
              <w:rPr>
                <w:sz w:val="20"/>
                <w:szCs w:val="20"/>
                <w:color w:val="auto"/>
              </w:rPr>
            </w:pPr>
            <w:r>
              <w:rPr>
                <w:rFonts w:ascii="Arial" w:cs="Arial" w:eastAsia="Arial" w:hAnsi="Arial"/>
                <w:sz w:val="20"/>
                <w:szCs w:val="20"/>
                <w:color w:val="auto"/>
              </w:rPr>
              <w:t>35,232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30,267</w:t>
            </w: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Regulatory assets and other</w:t>
            </w: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Arial" w:cs="Arial" w:eastAsia="Arial" w:hAnsi="Arial"/>
                <w:sz w:val="20"/>
                <w:szCs w:val="20"/>
                <w:color w:val="auto"/>
              </w:rPr>
              <w:t>2,095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1,857</w:t>
            </w:r>
          </w:p>
        </w:tc>
      </w:tr>
      <w:tr>
        <w:trPr>
          <w:trHeight w:val="249"/>
        </w:trPr>
        <w:tc>
          <w:tcPr>
            <w:tcW w:w="6840" w:type="dxa"/>
            <w:vAlign w:val="bottom"/>
            <w:tcBorders>
              <w:bottom w:val="single" w:sz="8" w:color="CCEEFF"/>
            </w:tcBorders>
          </w:tcPr>
          <w:p>
            <w:pPr>
              <w:ind w:left="120"/>
              <w:spacing w:after="0" w:line="209" w:lineRule="exact"/>
              <w:rPr>
                <w:sz w:val="20"/>
                <w:szCs w:val="20"/>
                <w:color w:val="auto"/>
              </w:rPr>
            </w:pPr>
            <w:r>
              <w:rPr>
                <w:rFonts w:ascii="Arial" w:cs="Arial" w:eastAsia="Arial" w:hAnsi="Arial"/>
                <w:sz w:val="20"/>
                <w:szCs w:val="20"/>
                <w:color w:val="auto"/>
              </w:rPr>
              <w:t>Non-current assets held for sale</w:t>
            </w:r>
          </w:p>
        </w:tc>
        <w:tc>
          <w:tcPr>
            <w:tcW w:w="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8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37,327</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9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32,124</w:t>
            </w:r>
          </w:p>
        </w:tc>
      </w:tr>
      <w:tr>
        <w:trPr>
          <w:trHeight w:val="197"/>
        </w:trPr>
        <w:tc>
          <w:tcPr>
            <w:tcW w:w="6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56"/>
        </w:trPr>
        <w:tc>
          <w:tcPr>
            <w:tcW w:w="684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Current liabilities related to assets held for sale</w:t>
            </w:r>
          </w:p>
        </w:tc>
        <w:tc>
          <w:tcPr>
            <w:tcW w:w="1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w w:val="71"/>
              </w:rPr>
              <w:t>$</w:t>
            </w:r>
          </w:p>
        </w:tc>
        <w:tc>
          <w:tcPr>
            <w:tcW w:w="1880" w:type="dxa"/>
            <w:vAlign w:val="bottom"/>
            <w:tcBorders>
              <w:bottom w:val="single" w:sz="8" w:color="auto"/>
            </w:tcBorders>
          </w:tcPr>
          <w:p>
            <w:pPr>
              <w:jc w:val="right"/>
              <w:ind w:right="1"/>
              <w:spacing w:after="0" w:line="216" w:lineRule="exact"/>
              <w:rPr>
                <w:sz w:val="20"/>
                <w:szCs w:val="20"/>
                <w:color w:val="auto"/>
              </w:rPr>
            </w:pPr>
            <w:r>
              <w:rPr>
                <w:rFonts w:ascii="Arial" w:cs="Arial" w:eastAsia="Arial" w:hAnsi="Arial"/>
                <w:sz w:val="20"/>
                <w:szCs w:val="20"/>
                <w:color w:val="auto"/>
              </w:rPr>
              <w:t>2,669</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
              <w:spacing w:after="0" w:line="216" w:lineRule="exact"/>
              <w:rPr>
                <w:sz w:val="20"/>
                <w:szCs w:val="20"/>
                <w:color w:val="auto"/>
              </w:rPr>
            </w:pPr>
            <w:r>
              <w:rPr>
                <w:rFonts w:ascii="Arial" w:cs="Arial" w:eastAsia="Arial" w:hAnsi="Arial"/>
                <w:sz w:val="20"/>
                <w:szCs w:val="20"/>
                <w:color w:val="auto"/>
                <w:w w:val="71"/>
              </w:rPr>
              <w:t>$</w:t>
            </w:r>
          </w:p>
        </w:tc>
        <w:tc>
          <w:tcPr>
            <w:tcW w:w="19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3,263</w:t>
            </w:r>
          </w:p>
        </w:tc>
      </w:tr>
      <w:tr>
        <w:trPr>
          <w:trHeight w:val="197"/>
        </w:trPr>
        <w:tc>
          <w:tcPr>
            <w:tcW w:w="6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Regulatory liabilities</w:t>
            </w:r>
          </w:p>
        </w:tc>
        <w:tc>
          <w:tcPr>
            <w:tcW w:w="160" w:type="dxa"/>
            <w:vAlign w:val="bottom"/>
          </w:tcPr>
          <w:p>
            <w:pPr>
              <w:spacing w:after="0"/>
              <w:rPr>
                <w:sz w:val="18"/>
                <w:szCs w:val="18"/>
                <w:color w:val="auto"/>
              </w:rPr>
            </w:pPr>
          </w:p>
        </w:tc>
        <w:tc>
          <w:tcPr>
            <w:tcW w:w="1880" w:type="dxa"/>
            <w:vAlign w:val="bottom"/>
          </w:tcPr>
          <w:p>
            <w:pPr>
              <w:jc w:val="right"/>
              <w:ind w:right="1"/>
              <w:spacing w:after="0" w:line="216" w:lineRule="exact"/>
              <w:rPr>
                <w:sz w:val="20"/>
                <w:szCs w:val="20"/>
                <w:color w:val="auto"/>
              </w:rPr>
            </w:pPr>
            <w:r>
              <w:rPr>
                <w:rFonts w:ascii="Arial" w:cs="Arial" w:eastAsia="Arial" w:hAnsi="Arial"/>
                <w:sz w:val="20"/>
                <w:szCs w:val="20"/>
                <w:color w:val="auto"/>
              </w:rPr>
              <w:t>509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649</w:t>
            </w: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1"/>
              <w:spacing w:after="0" w:line="216" w:lineRule="exact"/>
              <w:rPr>
                <w:sz w:val="20"/>
                <w:szCs w:val="20"/>
                <w:color w:val="auto"/>
              </w:rPr>
            </w:pPr>
            <w:r>
              <w:rPr>
                <w:rFonts w:ascii="Arial" w:cs="Arial" w:eastAsia="Arial" w:hAnsi="Arial"/>
                <w:sz w:val="20"/>
                <w:szCs w:val="20"/>
                <w:color w:val="auto"/>
              </w:rPr>
              <w:t>249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20"/>
                <w:szCs w:val="20"/>
                <w:color w:val="auto"/>
              </w:rPr>
              <w:t>325</w:t>
            </w:r>
          </w:p>
        </w:tc>
      </w:tr>
      <w:tr>
        <w:trPr>
          <w:trHeight w:val="210"/>
        </w:trPr>
        <w:tc>
          <w:tcPr>
            <w:tcW w:w="6840" w:type="dxa"/>
            <w:vAlign w:val="bottom"/>
          </w:tcPr>
          <w:p>
            <w:pPr>
              <w:spacing w:after="0" w:line="209" w:lineRule="exact"/>
              <w:rPr>
                <w:sz w:val="20"/>
                <w:szCs w:val="20"/>
                <w:color w:val="auto"/>
              </w:rPr>
            </w:pPr>
            <w:r>
              <w:rPr>
                <w:rFonts w:ascii="Arial" w:cs="Arial" w:eastAsia="Arial" w:hAnsi="Arial"/>
                <w:sz w:val="20"/>
                <w:szCs w:val="20"/>
                <w:color w:val="auto"/>
              </w:rPr>
              <w:t>Non-current liabilities related to assets held for sale</w:t>
            </w:r>
          </w:p>
        </w:tc>
        <w:tc>
          <w:tcPr>
            <w:tcW w:w="1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w w:val="71"/>
              </w:rPr>
              <w:t>$</w:t>
            </w:r>
          </w:p>
        </w:tc>
        <w:tc>
          <w:tcPr>
            <w:tcW w:w="188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rPr>
              <w:t>758</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9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974</w:t>
            </w:r>
          </w:p>
        </w:tc>
      </w:tr>
      <w:tr>
        <w:trPr>
          <w:trHeight w:val="20"/>
        </w:trPr>
        <w:tc>
          <w:tcPr>
            <w:tcW w:w="6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40"/>
        <w:spacing w:after="0" w:line="272" w:lineRule="auto"/>
        <w:rPr>
          <w:sz w:val="20"/>
          <w:szCs w:val="20"/>
          <w:color w:val="auto"/>
        </w:rPr>
      </w:pPr>
      <w:r>
        <w:rPr>
          <w:rFonts w:ascii="Arial" w:cs="Arial" w:eastAsia="Arial" w:hAnsi="Arial"/>
          <w:sz w:val="19"/>
          <w:szCs w:val="19"/>
          <w:color w:val="auto"/>
        </w:rPr>
        <w:t>In October 2023, the Company entered into an agreement to sell its interest in three non-utility local microgrid and distributed energy projects for $165,000. Balances associated with these projects are included in deferred charges and other assets, net, in the consolidated balance sheets as of September 30, 2023, and December 31, 2022. The sale is subject to various closing conditions and regulatory approvals and is expected to be completed in late 2023 or early 2024.</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Regulated Natural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Regulated Water</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Gas</w:t>
            </w:r>
          </w:p>
        </w:tc>
        <w:tc>
          <w:tcPr>
            <w:tcW w:w="18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w w:val="95"/>
              </w:rPr>
              <w:t>Consolidated</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2,277,447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2,340,792</w:t>
            </w: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Reclassification to utility plant acquisition adjustment</w:t>
            </w:r>
          </w:p>
        </w:tc>
        <w:tc>
          <w:tcPr>
            <w:tcW w:w="1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196"/>
        </w:trPr>
        <w:tc>
          <w:tcPr>
            <w:tcW w:w="5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September 30, 2023</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2,277,447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2,340,661</w:t>
            </w: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7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7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jc w:val="both"/>
        <w:ind w:right="38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201"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According to our normal schedule, we will be performing our annual goodwill impairment test during the fourth quarter for our Regulated Water, Regulated Natural Gas, and Other reporting units.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At-the-Market Offering</w:t>
      </w:r>
    </w:p>
    <w:p>
      <w:pPr>
        <w:spacing w:after="0" w:line="206" w:lineRule="exact"/>
        <w:rPr>
          <w:sz w:val="20"/>
          <w:szCs w:val="20"/>
          <w:color w:val="auto"/>
        </w:rPr>
      </w:pPr>
    </w:p>
    <w:p>
      <w:pPr>
        <w:jc w:val="both"/>
        <w:ind w:right="200"/>
        <w:spacing w:after="0" w:line="263" w:lineRule="auto"/>
        <w:rPr>
          <w:sz w:val="20"/>
          <w:szCs w:val="20"/>
          <w:color w:val="auto"/>
        </w:rPr>
      </w:pPr>
      <w:r>
        <w:rPr>
          <w:rFonts w:ascii="Arial" w:cs="Arial" w:eastAsia="Arial" w:hAnsi="Arial"/>
          <w:sz w:val="19"/>
          <w:szCs w:val="19"/>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issued 1,321,994 shares of common stock under the ATM for proceeds of $63,040, net of expenses. During the three and nine months ended September 30, 2023, the Company sold 8,539,711 and 8,938,839 shares of common stock, in exchange for net proceeds of $303,689 and $322,983, respectively, under the ATM. As of September 30, 2023, approximately $110,000 remained available for sale under the ATM.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Units</w:t>
      </w:r>
    </w:p>
    <w:p>
      <w:pPr>
        <w:spacing w:after="0" w:line="206"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$50.00 per unit. This issuance was part of the permanent financing to close the Peoples Gas Acquisition. Each Unit consisted of a prepaid stock purchase contract and an amortizing note, each issued by the Company. The amortizing notes had an initial principal amount of $8.62909, or $119,081 in aggregate, and yielded interest at a rate of 3.00% per year, and paid equal quarterly per unit cash installments of $0.75 per amortizing note (except for the July 30, 2019 installment payment, which was $0.80833 per amortizing note), that constituted a payment of interest and a partial repayment of principal. This cash payment in the aggregate was equivalent to 6.00% per year with respect to each $50.00 stated amount of the Units. The amortizing notes represented unsecured senior obligations of the Company.</w:t>
      </w:r>
    </w:p>
    <w:p>
      <w:pPr>
        <w:spacing w:after="0" w:line="17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Certain holders of the tangible equity units had early settled their prepaid stock purchase contracts prior to the due date, and, in exchange, the Company issued shares of its common stock. During April 2022, 981,919 stock purchase contracts were early settled by the holders of the contracts,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8" w:name="page19"/>
    <w:bookmarkEnd w:id="18"/>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jc w:val="both"/>
        <w:ind w:right="60"/>
        <w:spacing w:after="0" w:line="290" w:lineRule="auto"/>
        <w:rPr>
          <w:sz w:val="20"/>
          <w:szCs w:val="20"/>
          <w:color w:val="auto"/>
        </w:rPr>
      </w:pPr>
      <w:r>
        <w:rPr>
          <w:rFonts w:ascii="Arial" w:cs="Arial" w:eastAsia="Arial" w:hAnsi="Arial"/>
          <w:sz w:val="19"/>
          <w:szCs w:val="19"/>
          <w:color w:val="auto"/>
        </w:rPr>
        <w:t>In August 2023, the Company’s subsidiary, Aqua Pennsylvania, issued $225,000 in aggregate principal amount of first mortgage bonds. The bonds consisted of $175,000 of 5.48% first mortgage bonds due in 2053; and $50,000 of 5.56% first mortgage bonds due in 2061. The proceeds from these bonds were used to repay existing indebtedness and for general corporate purposes.</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On June 29, 2023, Aqua Pennsylvania and Peoples Natural Gas Companies amended the terms of their respective $100,000 and $300,000, 364-day revolving credit agreements, as follows: (1) extended the maturity dates to June 27, 2024; and (2) updated the adjustment on the Bloomberg Short-Term Bank Yield Index (BSBY) Rate.</w:t>
      </w:r>
    </w:p>
    <w:p>
      <w:pPr>
        <w:spacing w:after="0" w:line="199" w:lineRule="exact"/>
        <w:rPr>
          <w:sz w:val="20"/>
          <w:szCs w:val="20"/>
          <w:color w:val="auto"/>
        </w:rPr>
      </w:pPr>
    </w:p>
    <w:p>
      <w:pPr>
        <w:ind w:right="260"/>
        <w:spacing w:after="0" w:line="231" w:lineRule="auto"/>
        <w:rPr>
          <w:sz w:val="20"/>
          <w:szCs w:val="20"/>
          <w:color w:val="auto"/>
        </w:rPr>
      </w:pPr>
      <w:r>
        <w:rPr>
          <w:rFonts w:ascii="Arial" w:cs="Arial" w:eastAsia="Arial" w:hAnsi="Arial"/>
          <w:sz w:val="22"/>
          <w:szCs w:val="22"/>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201" w:lineRule="exact"/>
        <w:rPr>
          <w:sz w:val="20"/>
          <w:szCs w:val="20"/>
          <w:color w:val="auto"/>
        </w:rPr>
      </w:pPr>
    </w:p>
    <w:p>
      <w:pPr>
        <w:ind w:right="180"/>
        <w:spacing w:after="0" w:line="239" w:lineRule="auto"/>
        <w:rPr>
          <w:sz w:val="20"/>
          <w:szCs w:val="20"/>
          <w:color w:val="auto"/>
        </w:rPr>
      </w:pPr>
      <w:r>
        <w:rPr>
          <w:rFonts w:ascii="Arial" w:cs="Arial" w:eastAsia="Arial" w:hAnsi="Arial"/>
          <w:sz w:val="21"/>
          <w:szCs w:val="21"/>
          <w:color w:val="auto"/>
        </w:rPr>
        <w:t>On May 20, 2022, the Company issued $500,000 of long-term debt (the “Senior Notes”), less expenses of $5,815, due in 2052 with an interest rate of 5.30%. The Company used the net proceeds from the issuance of Senior Notes to (1) to repay $49,700 of borrowings under Aqua Pennsylvania’s 364-day revolving credit facility and $410,000 of borrowings under the Company’s existing five year unsecured revolving credit facility, and (2) for general corporate purposes.</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On December 14, 2022, the Company entered into a five year $1,000,000 unsecured revolving credit facility, which replaced the Company’s prior five year $1,000,000 unsecured revolving credit facility. The Company’s new unsecured revolving credit facility was used to repay all indebtedness and fees under our prior unsecured revolving credit facility, and for other general corporate purposes. The facility includes a $100,000 sublimit for daily demand loan. Funds borrowed under this facility are classified as long-term debt and are used to provide working capital as well as support for letters of credit for insurance policies and other financing arrangements. As of September 30, 2023, the Company has the following sublimits and available capacity under the credit facility: $100,000 letter of credit sublimit, $82,664 of letters of credit available capacity, $0 borrowed under the swing-line commitment, $100,000 was available for borrowing under the swing-line commitment, $635,664 available for borrowing and $347,000 of funds borrowed under the agreement.</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26" w:lineRule="exact"/>
        <w:rPr>
          <w:sz w:val="20"/>
          <w:szCs w:val="20"/>
          <w:color w:val="auto"/>
        </w:rPr>
      </w:pPr>
    </w:p>
    <w:p>
      <w:pPr>
        <w:ind w:right="440"/>
        <w:spacing w:after="0" w:line="277" w:lineRule="auto"/>
        <w:rPr>
          <w:sz w:val="20"/>
          <w:szCs w:val="20"/>
          <w:color w:val="auto"/>
        </w:rPr>
      </w:pPr>
      <w:r>
        <w:rPr>
          <w:rFonts w:ascii="Arial" w:cs="Arial" w:eastAsia="Arial" w:hAnsi="Arial"/>
          <w:sz w:val="19"/>
          <w:szCs w:val="19"/>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nine months ended September 30, 2023 and 2022.</w:t>
      </w:r>
    </w:p>
    <w:p>
      <w:pPr>
        <w:spacing w:after="0" w:line="152" w:lineRule="exact"/>
        <w:rPr>
          <w:sz w:val="20"/>
          <w:szCs w:val="20"/>
          <w:color w:val="auto"/>
        </w:rPr>
      </w:pPr>
    </w:p>
    <w:p>
      <w:pPr>
        <w:ind w:right="20"/>
        <w:spacing w:after="0" w:line="225" w:lineRule="auto"/>
        <w:rPr>
          <w:sz w:val="20"/>
          <w:szCs w:val="20"/>
          <w:color w:val="auto"/>
        </w:rPr>
      </w:pPr>
      <w:r>
        <w:rPr>
          <w:rFonts w:ascii="Arial" w:cs="Arial" w:eastAsia="Arial" w:hAnsi="Arial"/>
          <w:sz w:val="22"/>
          <w:szCs w:val="22"/>
          <w:color w:val="auto"/>
        </w:rPr>
        <w:t>The fair value of loans payable is determined based on its carrying amount and utilizing Level 1 methods and assumptions. As of September 30, 2023 and December 31, 2022, the carrying amount of the Company’s loans payable was $131,832 and $228,500, respectively, which equates to their estimated fair value. The fair value of cash and cash equivalents, is determined based on Level 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methods and assumptions. As of September 30, 2023 and December 31, 2022, the carrying amounts of the Company's cash and cash equivalents was $8,505 and $11,398,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September 30, 2023 and December 31, 2022, the carrying amount of these securities was $26,297 and $24,962, respectively, which equates to their fair value, and is reported in the consolidated balance sheet in deferred charges and other assets.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 on equity securities held in conjunction with our non-qualified pension plan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248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1780" w:type="dxa"/>
            <w:vAlign w:val="bottom"/>
            <w:gridSpan w:val="4"/>
          </w:tcPr>
          <w:p>
            <w:pPr>
              <w:jc w:val="right"/>
              <w:ind w:right="15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18"/>
                <w:szCs w:val="18"/>
                <w:color w:val="auto"/>
              </w:rPr>
            </w:pPr>
          </w:p>
        </w:tc>
        <w:tc>
          <w:tcPr>
            <w:tcW w:w="248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8"/>
                <w:szCs w:val="18"/>
                <w:color w:val="auto"/>
              </w:rPr>
            </w:pPr>
          </w:p>
        </w:tc>
        <w:tc>
          <w:tcPr>
            <w:tcW w:w="1780" w:type="dxa"/>
            <w:vAlign w:val="bottom"/>
            <w:gridSpan w:val="4"/>
          </w:tcPr>
          <w:p>
            <w:pPr>
              <w:jc w:val="right"/>
              <w:ind w:right="3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recognized during the period on equity securities</w:t>
            </w: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175"/>
        </w:trPr>
        <w:tc>
          <w:tcPr>
            <w:tcW w:w="6820" w:type="dxa"/>
            <w:vAlign w:val="bottom"/>
          </w:tcPr>
          <w:p>
            <w:pPr>
              <w:spacing w:after="0" w:line="175" w:lineRule="exact"/>
              <w:rPr>
                <w:sz w:val="20"/>
                <w:szCs w:val="20"/>
                <w:color w:val="auto"/>
              </w:rPr>
            </w:pPr>
            <w:r>
              <w:rPr>
                <w:rFonts w:ascii="Arial" w:cs="Arial" w:eastAsia="Arial" w:hAnsi="Arial"/>
                <w:sz w:val="18"/>
                <w:szCs w:val="18"/>
                <w:color w:val="auto"/>
              </w:rPr>
              <w:t>Less: net gain / loss recognized during the period on equity securities sold during the</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period</w:t>
            </w: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82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Unrealized gain (loss) recognized during the reporting period on equity securities still held</w:t>
            </w:r>
          </w:p>
        </w:tc>
        <w:tc>
          <w:tcPr>
            <w:tcW w:w="720" w:type="dxa"/>
            <w:vAlign w:val="bottom"/>
            <w:vMerge w:val="restart"/>
            <w:shd w:val="clear" w:color="auto" w:fill="CCEEFF"/>
          </w:tcPr>
          <w:p>
            <w:pPr>
              <w:jc w:val="right"/>
              <w:ind w:right="557"/>
              <w:spacing w:after="0"/>
              <w:rPr>
                <w:sz w:val="20"/>
                <w:szCs w:val="20"/>
                <w:color w:val="auto"/>
              </w:rPr>
            </w:pPr>
            <w:r>
              <w:rPr>
                <w:rFonts w:ascii="Arial" w:cs="Arial" w:eastAsia="Arial" w:hAnsi="Arial"/>
                <w:sz w:val="15"/>
                <w:szCs w:val="15"/>
                <w:color w:val="auto"/>
                <w:w w:val="71"/>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155</w:t>
            </w:r>
          </w:p>
        </w:tc>
        <w:tc>
          <w:tcPr>
            <w:tcW w:w="2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at the reporting date</w:t>
            </w:r>
          </w:p>
        </w:tc>
        <w:tc>
          <w:tcPr>
            <w:tcW w:w="7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40" w:type="dxa"/>
            <w:vAlign w:val="bottom"/>
          </w:tcPr>
          <w:p>
            <w:pPr>
              <w:jc w:val="right"/>
              <w:ind w:right="792"/>
              <w:spacing w:after="0"/>
              <w:rPr>
                <w:sz w:val="20"/>
                <w:szCs w:val="20"/>
                <w:color w:val="auto"/>
              </w:rPr>
            </w:pPr>
            <w:r>
              <w:rPr>
                <w:rFonts w:ascii="Arial" w:cs="Arial" w:eastAsia="Arial" w:hAnsi="Arial"/>
                <w:sz w:val="22"/>
                <w:szCs w:val="22"/>
                <w:color w:val="auto"/>
              </w:rPr>
              <w:t>September 30,</w:t>
            </w: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47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2023</w:t>
            </w:r>
          </w:p>
        </w:tc>
        <w:tc>
          <w:tcPr>
            <w:tcW w:w="3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2022</w:t>
            </w:r>
          </w:p>
        </w:tc>
      </w:tr>
      <w:tr>
        <w:trPr>
          <w:trHeight w:val="223"/>
        </w:trPr>
        <w:tc>
          <w:tcPr>
            <w:tcW w:w="47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6,719,873</w:t>
            </w:r>
          </w:p>
        </w:tc>
        <w:tc>
          <w:tcPr>
            <w:tcW w:w="3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6,617,395</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Estimated fair value</w:t>
            </w:r>
          </w:p>
        </w:tc>
        <w:tc>
          <w:tcPr>
            <w:tcW w:w="5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22"/>
                <w:szCs w:val="22"/>
                <w:color w:val="auto"/>
              </w:rPr>
              <w:t>5,300,219</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5,528,131</w:t>
            </w:r>
          </w:p>
        </w:tc>
      </w:tr>
    </w:tbl>
    <w:p>
      <w:pPr>
        <w:spacing w:after="0" w:line="190"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98" w:lineRule="exact"/>
        <w:rPr>
          <w:sz w:val="20"/>
          <w:szCs w:val="20"/>
          <w:color w:val="auto"/>
        </w:rPr>
      </w:pPr>
    </w:p>
    <w:p>
      <w:pPr>
        <w:ind w:right="40"/>
        <w:spacing w:after="0" w:line="226" w:lineRule="auto"/>
        <w:rPr>
          <w:sz w:val="20"/>
          <w:szCs w:val="20"/>
          <w:color w:val="auto"/>
        </w:rPr>
      </w:pPr>
      <w:r>
        <w:rPr>
          <w:rFonts w:ascii="Arial" w:cs="Arial" w:eastAsia="Arial" w:hAnsi="Arial"/>
          <w:sz w:val="22"/>
          <w:szCs w:val="22"/>
          <w:color w:val="auto"/>
        </w:rPr>
        <w:t>The Company’s customers’ advances for construction have a carrying value of $129,139 as of September 30, 2023, and $114,732 as of December 31, 2022.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20" w:type="dxa"/>
            <w:vAlign w:val="bottom"/>
          </w:tcPr>
          <w:p>
            <w:pPr>
              <w:spacing w:after="0"/>
              <w:rPr>
                <w:sz w:val="21"/>
                <w:szCs w:val="21"/>
                <w:color w:val="auto"/>
              </w:rPr>
            </w:pPr>
          </w:p>
        </w:tc>
        <w:tc>
          <w:tcPr>
            <w:tcW w:w="2740" w:type="dxa"/>
            <w:vAlign w:val="bottom"/>
            <w:gridSpan w:val="4"/>
          </w:tcPr>
          <w:p>
            <w:pPr>
              <w:jc w:val="center"/>
              <w:ind w:right="200"/>
              <w:spacing w:after="0"/>
              <w:rPr>
                <w:sz w:val="20"/>
                <w:szCs w:val="20"/>
                <w:color w:val="auto"/>
              </w:rPr>
            </w:pPr>
            <w:r>
              <w:rPr>
                <w:rFonts w:ascii="Arial" w:cs="Arial" w:eastAsia="Arial" w:hAnsi="Arial"/>
                <w:sz w:val="22"/>
                <w:szCs w:val="22"/>
                <w:color w:val="auto"/>
                <w:w w:val="88"/>
              </w:rPr>
              <w:t>Three Months Ended</w:t>
            </w:r>
          </w:p>
        </w:tc>
        <w:tc>
          <w:tcPr>
            <w:tcW w:w="2480" w:type="dxa"/>
            <w:vAlign w:val="bottom"/>
            <w:gridSpan w:val="3"/>
          </w:tcPr>
          <w:p>
            <w:pPr>
              <w:jc w:val="right"/>
              <w:ind w:right="252"/>
              <w:spacing w:after="0"/>
              <w:rPr>
                <w:sz w:val="20"/>
                <w:szCs w:val="20"/>
                <w:color w:val="auto"/>
              </w:rPr>
            </w:pPr>
            <w:r>
              <w:rPr>
                <w:rFonts w:ascii="Arial" w:cs="Arial" w:eastAsia="Arial" w:hAnsi="Arial"/>
                <w:sz w:val="22"/>
                <w:szCs w:val="22"/>
                <w:color w:val="auto"/>
              </w:rPr>
              <w:t>Nine Months Ended</w:t>
            </w:r>
          </w:p>
        </w:tc>
      </w:tr>
      <w:tr>
        <w:trPr>
          <w:trHeight w:val="251"/>
        </w:trPr>
        <w:tc>
          <w:tcPr>
            <w:tcW w:w="6020" w:type="dxa"/>
            <w:vAlign w:val="bottom"/>
          </w:tcPr>
          <w:p>
            <w:pPr>
              <w:spacing w:after="0"/>
              <w:rPr>
                <w:sz w:val="21"/>
                <w:szCs w:val="21"/>
                <w:color w:val="auto"/>
              </w:rPr>
            </w:pPr>
          </w:p>
        </w:tc>
        <w:tc>
          <w:tcPr>
            <w:tcW w:w="2740" w:type="dxa"/>
            <w:vAlign w:val="bottom"/>
            <w:gridSpan w:val="4"/>
          </w:tcPr>
          <w:p>
            <w:pPr>
              <w:jc w:val="center"/>
              <w:ind w:right="180"/>
              <w:spacing w:after="0" w:line="251" w:lineRule="exact"/>
              <w:rPr>
                <w:sz w:val="20"/>
                <w:szCs w:val="20"/>
                <w:color w:val="auto"/>
              </w:rPr>
            </w:pPr>
            <w:r>
              <w:rPr>
                <w:rFonts w:ascii="Arial" w:cs="Arial" w:eastAsia="Arial" w:hAnsi="Arial"/>
                <w:sz w:val="22"/>
                <w:szCs w:val="22"/>
                <w:color w:val="auto"/>
                <w:w w:val="85"/>
              </w:rPr>
              <w:t>September 30,</w:t>
            </w:r>
          </w:p>
        </w:tc>
        <w:tc>
          <w:tcPr>
            <w:tcW w:w="2480" w:type="dxa"/>
            <w:vAlign w:val="bottom"/>
            <w:gridSpan w:val="3"/>
          </w:tcPr>
          <w:p>
            <w:pPr>
              <w:jc w:val="right"/>
              <w:ind w:right="512"/>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60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92"/>
              <w:spacing w:after="0" w:line="223" w:lineRule="exact"/>
              <w:rPr>
                <w:sz w:val="20"/>
                <w:szCs w:val="20"/>
                <w:color w:val="auto"/>
              </w:rPr>
            </w:pPr>
            <w:r>
              <w:rPr>
                <w:rFonts w:ascii="Arial" w:cs="Arial" w:eastAsia="Arial" w:hAnsi="Arial"/>
                <w:sz w:val="22"/>
                <w:szCs w:val="22"/>
                <w:color w:val="auto"/>
              </w:rPr>
              <w:t>2022</w:t>
            </w:r>
          </w:p>
        </w:tc>
        <w:tc>
          <w:tcPr>
            <w:tcW w:w="2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272"/>
              <w:spacing w:after="0" w:line="223" w:lineRule="exact"/>
              <w:rPr>
                <w:sz w:val="20"/>
                <w:szCs w:val="20"/>
                <w:color w:val="auto"/>
              </w:rPr>
            </w:pPr>
            <w:r>
              <w:rPr>
                <w:rFonts w:ascii="Arial" w:cs="Arial" w:eastAsia="Arial" w:hAnsi="Arial"/>
                <w:sz w:val="22"/>
                <w:szCs w:val="22"/>
                <w:color w:val="auto"/>
              </w:rPr>
              <w:t>2022</w:t>
            </w:r>
          </w:p>
        </w:tc>
      </w:tr>
      <w:tr>
        <w:trPr>
          <w:trHeight w:val="188"/>
        </w:trPr>
        <w:tc>
          <w:tcPr>
            <w:tcW w:w="60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Average common shares outstanding during the period for basic</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64"/>
        </w:trPr>
        <w:tc>
          <w:tcPr>
            <w:tcW w:w="6020" w:type="dxa"/>
            <w:vAlign w:val="bottom"/>
            <w:shd w:val="clear" w:color="auto" w:fill="CCEEFF"/>
          </w:tcPr>
          <w:p>
            <w:pPr>
              <w:spacing w:after="0"/>
              <w:rPr>
                <w:sz w:val="20"/>
                <w:szCs w:val="20"/>
                <w:color w:val="auto"/>
              </w:rPr>
            </w:pPr>
            <w:r>
              <w:rPr>
                <w:rFonts w:ascii="Arial" w:cs="Arial" w:eastAsia="Arial" w:hAnsi="Arial"/>
                <w:sz w:val="22"/>
                <w:szCs w:val="22"/>
                <w:color w:val="auto"/>
              </w:rPr>
              <w:t>computation</w:t>
            </w:r>
          </w:p>
        </w:tc>
        <w:tc>
          <w:tcPr>
            <w:tcW w:w="1100" w:type="dxa"/>
            <w:vAlign w:val="bottom"/>
            <w:shd w:val="clear" w:color="auto" w:fill="CCEEFF"/>
          </w:tcPr>
          <w:p>
            <w:pPr>
              <w:ind w:left="340"/>
              <w:spacing w:after="0"/>
              <w:rPr>
                <w:sz w:val="20"/>
                <w:szCs w:val="20"/>
                <w:color w:val="auto"/>
              </w:rPr>
            </w:pPr>
            <w:r>
              <w:rPr>
                <w:rFonts w:ascii="Arial" w:cs="Arial" w:eastAsia="Arial" w:hAnsi="Arial"/>
                <w:sz w:val="22"/>
                <w:szCs w:val="22"/>
                <w:color w:val="auto"/>
                <w:w w:val="93"/>
              </w:rPr>
              <w:t>266,767</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262,213</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ind w:left="340"/>
              <w:spacing w:after="0"/>
              <w:rPr>
                <w:sz w:val="20"/>
                <w:szCs w:val="20"/>
                <w:color w:val="auto"/>
              </w:rPr>
            </w:pPr>
            <w:r>
              <w:rPr>
                <w:rFonts w:ascii="Arial" w:cs="Arial" w:eastAsia="Arial" w:hAnsi="Arial"/>
                <w:sz w:val="22"/>
                <w:szCs w:val="22"/>
                <w:color w:val="auto"/>
                <w:w w:val="93"/>
              </w:rPr>
              <w:t>265,135</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262,089</w:t>
            </w:r>
          </w:p>
        </w:tc>
      </w:tr>
      <w:tr>
        <w:trPr>
          <w:trHeight w:val="230"/>
        </w:trPr>
        <w:tc>
          <w:tcPr>
            <w:tcW w:w="6020" w:type="dxa"/>
            <w:vAlign w:val="bottom"/>
          </w:tcPr>
          <w:p>
            <w:pPr>
              <w:spacing w:after="0" w:line="229" w:lineRule="exact"/>
              <w:rPr>
                <w:sz w:val="20"/>
                <w:szCs w:val="20"/>
                <w:color w:val="auto"/>
              </w:rPr>
            </w:pPr>
            <w:r>
              <w:rPr>
                <w:rFonts w:ascii="Arial" w:cs="Arial" w:eastAsia="Arial" w:hAnsi="Arial"/>
                <w:sz w:val="22"/>
                <w:szCs w:val="22"/>
                <w:color w:val="auto"/>
              </w:rPr>
              <w:t>Effect of dilutive securities: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0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409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541</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553</w:t>
            </w: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552</w:t>
            </w:r>
          </w:p>
        </w:tc>
      </w:tr>
      <w:tr>
        <w:trPr>
          <w:trHeight w:val="188"/>
        </w:trPr>
        <w:tc>
          <w:tcPr>
            <w:tcW w:w="6020" w:type="dxa"/>
            <w:vAlign w:val="bottom"/>
          </w:tcPr>
          <w:p>
            <w:pPr>
              <w:spacing w:after="0" w:line="188" w:lineRule="exact"/>
              <w:rPr>
                <w:sz w:val="20"/>
                <w:szCs w:val="20"/>
                <w:color w:val="auto"/>
              </w:rPr>
            </w:pPr>
            <w:r>
              <w:rPr>
                <w:rFonts w:ascii="Arial" w:cs="Arial" w:eastAsia="Arial" w:hAnsi="Arial"/>
                <w:sz w:val="21"/>
                <w:szCs w:val="21"/>
                <w:color w:val="auto"/>
                <w:w w:val="98"/>
              </w:rPr>
              <w:t>Average common shares outstanding during the period for diluted</w:t>
            </w: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51"/>
        </w:trPr>
        <w:tc>
          <w:tcPr>
            <w:tcW w:w="6020" w:type="dxa"/>
            <w:vAlign w:val="bottom"/>
          </w:tcPr>
          <w:p>
            <w:pPr>
              <w:spacing w:after="0" w:line="251" w:lineRule="exact"/>
              <w:rPr>
                <w:sz w:val="20"/>
                <w:szCs w:val="20"/>
                <w:color w:val="auto"/>
              </w:rPr>
            </w:pPr>
            <w:r>
              <w:rPr>
                <w:rFonts w:ascii="Arial" w:cs="Arial" w:eastAsia="Arial" w:hAnsi="Arial"/>
                <w:sz w:val="22"/>
                <w:szCs w:val="22"/>
                <w:color w:val="auto"/>
              </w:rPr>
              <w:t>computation</w:t>
            </w:r>
          </w:p>
        </w:tc>
        <w:tc>
          <w:tcPr>
            <w:tcW w:w="1100" w:type="dxa"/>
            <w:vAlign w:val="bottom"/>
            <w:tcBorders>
              <w:bottom w:val="single" w:sz="8" w:color="auto"/>
            </w:tcBorders>
          </w:tcPr>
          <w:p>
            <w:pPr>
              <w:ind w:left="340"/>
              <w:spacing w:after="0" w:line="251" w:lineRule="exact"/>
              <w:rPr>
                <w:sz w:val="20"/>
                <w:szCs w:val="20"/>
                <w:color w:val="auto"/>
              </w:rPr>
            </w:pPr>
            <w:r>
              <w:rPr>
                <w:rFonts w:ascii="Arial" w:cs="Arial" w:eastAsia="Arial" w:hAnsi="Arial"/>
                <w:sz w:val="22"/>
                <w:szCs w:val="22"/>
                <w:color w:val="auto"/>
                <w:w w:val="93"/>
              </w:rPr>
              <w:t>267,176</w:t>
            </w:r>
          </w:p>
        </w:tc>
        <w:tc>
          <w:tcPr>
            <w:tcW w:w="200" w:type="dxa"/>
            <w:vAlign w:val="bottom"/>
          </w:tcPr>
          <w:p>
            <w:pPr>
              <w:spacing w:after="0"/>
              <w:rPr>
                <w:sz w:val="21"/>
                <w:szCs w:val="21"/>
                <w:color w:val="auto"/>
              </w:rPr>
            </w:pPr>
          </w:p>
        </w:tc>
        <w:tc>
          <w:tcPr>
            <w:tcW w:w="12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262,754</w:t>
            </w:r>
          </w:p>
        </w:tc>
        <w:tc>
          <w:tcPr>
            <w:tcW w:w="200" w:type="dxa"/>
            <w:vAlign w:val="bottom"/>
          </w:tcPr>
          <w:p>
            <w:pPr>
              <w:spacing w:after="0"/>
              <w:rPr>
                <w:sz w:val="21"/>
                <w:szCs w:val="21"/>
                <w:color w:val="auto"/>
              </w:rPr>
            </w:pPr>
          </w:p>
        </w:tc>
        <w:tc>
          <w:tcPr>
            <w:tcW w:w="1100" w:type="dxa"/>
            <w:vAlign w:val="bottom"/>
            <w:tcBorders>
              <w:bottom w:val="single" w:sz="8" w:color="auto"/>
            </w:tcBorders>
          </w:tcPr>
          <w:p>
            <w:pPr>
              <w:ind w:left="340"/>
              <w:spacing w:after="0" w:line="251" w:lineRule="exact"/>
              <w:rPr>
                <w:sz w:val="20"/>
                <w:szCs w:val="20"/>
                <w:color w:val="auto"/>
              </w:rPr>
            </w:pPr>
            <w:r>
              <w:rPr>
                <w:rFonts w:ascii="Arial" w:cs="Arial" w:eastAsia="Arial" w:hAnsi="Arial"/>
                <w:sz w:val="22"/>
                <w:szCs w:val="22"/>
                <w:color w:val="auto"/>
                <w:w w:val="93"/>
              </w:rPr>
              <w:t>265,688</w:t>
            </w:r>
          </w:p>
        </w:tc>
        <w:tc>
          <w:tcPr>
            <w:tcW w:w="200" w:type="dxa"/>
            <w:vAlign w:val="bottom"/>
          </w:tcPr>
          <w:p>
            <w:pPr>
              <w:spacing w:after="0"/>
              <w:rPr>
                <w:sz w:val="21"/>
                <w:szCs w:val="21"/>
                <w:color w:val="auto"/>
              </w:rPr>
            </w:pPr>
          </w:p>
        </w:tc>
        <w:tc>
          <w:tcPr>
            <w:tcW w:w="118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262,641</w:t>
            </w: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00"/>
        <w:spacing w:after="0" w:line="243" w:lineRule="auto"/>
        <w:rPr>
          <w:sz w:val="20"/>
          <w:szCs w:val="20"/>
          <w:color w:val="auto"/>
        </w:rPr>
      </w:pPr>
      <w:r>
        <w:rPr>
          <w:rFonts w:ascii="Arial" w:cs="Arial" w:eastAsia="Arial" w:hAnsi="Arial"/>
          <w:sz w:val="21"/>
          <w:szCs w:val="21"/>
          <w:color w:val="auto"/>
        </w:rPr>
        <w:t>Based on the minimum number of shares to be issued upon settlement of the stock purchase contracts issued in April 2019 under the tangible equity units, the average common shares outstanding for basic computation for the three and nine months ended September 30, 2022 includes the weighted-average impact of 0 and 3,920,087 shares, respectively. On May 2, 2022, all of the remaining stock purchase contracts under the tangible equity units were mandatorily settled.</w:t>
      </w:r>
    </w:p>
    <w:p>
      <w:pPr>
        <w:spacing w:after="0" w:line="183" w:lineRule="exact"/>
        <w:rPr>
          <w:sz w:val="20"/>
          <w:szCs w:val="20"/>
          <w:color w:val="auto"/>
        </w:rPr>
      </w:pPr>
    </w:p>
    <w:p>
      <w:pPr>
        <w:jc w:val="both"/>
        <w:ind w:right="240"/>
        <w:spacing w:after="0" w:line="277" w:lineRule="auto"/>
        <w:rPr>
          <w:sz w:val="20"/>
          <w:szCs w:val="20"/>
          <w:color w:val="auto"/>
        </w:rPr>
      </w:pPr>
      <w:r>
        <w:rPr>
          <w:rFonts w:ascii="Arial" w:cs="Arial" w:eastAsia="Arial" w:hAnsi="Arial"/>
          <w:sz w:val="19"/>
          <w:szCs w:val="19"/>
          <w:color w:val="auto"/>
        </w:rPr>
        <w:t>The number of outstanding employee stock options that were not included in the diluted earnings per share calculation because the effect would have been anti-dilutive was: 150,062 for the three and nine months ended September 30, 2023; and 81,729 for the three and nine months ended September 30, 2022. Additionally, the dilutive effect of performance share units and restricted share units granted are included in the Company’s calculation of diluted net income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September 30, 2023, 1,533,338 shares were still available for issuance under the Plan. No further grants may be made under the Company’s 2004 Equity Compensation Plan.</w:t>
      </w:r>
    </w:p>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21"/>
          <w:szCs w:val="21"/>
          <w:b w:val="1"/>
          <w:bCs w:val="1"/>
          <w:i w:val="1"/>
          <w:iCs w:val="1"/>
          <w:color w:val="auto"/>
        </w:rPr>
        <w:t xml:space="preserve">Performance Share Units </w:t>
      </w:r>
      <w:r>
        <w:rPr>
          <w:rFonts w:ascii="Arial" w:cs="Arial" w:eastAsia="Arial" w:hAnsi="Arial"/>
          <w:sz w:val="21"/>
          <w:szCs w:val="21"/>
          <w:color w:val="auto"/>
        </w:rPr>
        <w:t>– A performance share unit (“PSU”) represents the right to receive a share of the Company’s common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5"/>
          </w:tcPr>
          <w:p>
            <w:pPr>
              <w:jc w:val="center"/>
              <w:ind w:left="512"/>
              <w:spacing w:after="0"/>
              <w:rPr>
                <w:sz w:val="20"/>
                <w:szCs w:val="20"/>
                <w:color w:val="auto"/>
              </w:rPr>
            </w:pPr>
            <w:r>
              <w:rPr>
                <w:rFonts w:ascii="Arial" w:cs="Arial" w:eastAsia="Arial" w:hAnsi="Arial"/>
                <w:sz w:val="22"/>
                <w:szCs w:val="22"/>
                <w:color w:val="auto"/>
                <w:w w:val="88"/>
              </w:rPr>
              <w:t>Three Months Ended</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40" w:type="dxa"/>
            <w:vAlign w:val="bottom"/>
            <w:gridSpan w:val="4"/>
          </w:tcPr>
          <w:p>
            <w:pPr>
              <w:jc w:val="right"/>
              <w:ind w:right="532"/>
              <w:spacing w:after="0"/>
              <w:rPr>
                <w:sz w:val="20"/>
                <w:szCs w:val="20"/>
                <w:color w:val="auto"/>
              </w:rPr>
            </w:pPr>
            <w:r>
              <w:rPr>
                <w:rFonts w:ascii="Arial" w:cs="Arial" w:eastAsia="Arial" w:hAnsi="Arial"/>
                <w:sz w:val="22"/>
                <w:szCs w:val="22"/>
                <w:color w:val="auto"/>
              </w:rPr>
              <w:t>Nine Months Ended</w:t>
            </w:r>
          </w:p>
        </w:tc>
      </w:tr>
      <w:tr>
        <w:trPr>
          <w:trHeight w:val="251"/>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right="340"/>
              <w:spacing w:after="0" w:line="251" w:lineRule="exact"/>
              <w:rPr>
                <w:sz w:val="20"/>
                <w:szCs w:val="20"/>
                <w:color w:val="auto"/>
              </w:rPr>
            </w:pPr>
            <w:r>
              <w:rPr>
                <w:rFonts w:ascii="Arial" w:cs="Arial" w:eastAsia="Arial" w:hAnsi="Arial"/>
                <w:sz w:val="22"/>
                <w:szCs w:val="22"/>
                <w:color w:val="auto"/>
                <w:w w:val="87"/>
              </w:rPr>
              <w:t>September 30,</w:t>
            </w:r>
          </w:p>
        </w:tc>
        <w:tc>
          <w:tcPr>
            <w:tcW w:w="6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2"/>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4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2"/>
                <w:szCs w:val="22"/>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432"/>
              <w:spacing w:after="0" w:line="223" w:lineRule="exact"/>
              <w:rPr>
                <w:sz w:val="20"/>
                <w:szCs w:val="20"/>
                <w:color w:val="auto"/>
              </w:rPr>
            </w:pPr>
            <w:r>
              <w:rPr>
                <w:rFonts w:ascii="Arial" w:cs="Arial" w:eastAsia="Arial" w:hAnsi="Arial"/>
                <w:sz w:val="22"/>
                <w:szCs w:val="22"/>
                <w:color w:val="auto"/>
              </w:rPr>
              <w:t>2022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92"/>
              <w:spacing w:after="0" w:line="223" w:lineRule="exact"/>
              <w:rPr>
                <w:sz w:val="20"/>
                <w:szCs w:val="20"/>
                <w:color w:val="auto"/>
              </w:rPr>
            </w:pPr>
            <w:r>
              <w:rPr>
                <w:rFonts w:ascii="Arial" w:cs="Arial" w:eastAsia="Arial" w:hAnsi="Arial"/>
                <w:sz w:val="22"/>
                <w:szCs w:val="22"/>
                <w:color w:val="auto"/>
              </w:rPr>
              <w:t>2023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92"/>
              <w:spacing w:after="0" w:line="223" w:lineRule="exact"/>
              <w:rPr>
                <w:sz w:val="20"/>
                <w:szCs w:val="20"/>
                <w:color w:val="auto"/>
              </w:rPr>
            </w:pPr>
            <w:r>
              <w:rPr>
                <w:rFonts w:ascii="Arial" w:cs="Arial" w:eastAsia="Arial" w:hAnsi="Arial"/>
                <w:sz w:val="22"/>
                <w:szCs w:val="22"/>
                <w:color w:val="auto"/>
              </w:rPr>
              <w:t>2022</w:t>
            </w:r>
          </w:p>
        </w:tc>
      </w:tr>
      <w:tr>
        <w:trPr>
          <w:trHeight w:val="188"/>
        </w:trPr>
        <w:tc>
          <w:tcPr>
            <w:tcW w:w="45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64"/>
        </w:trPr>
        <w:tc>
          <w:tcPr>
            <w:tcW w:w="450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1240" w:type="dxa"/>
            <w:vAlign w:val="bottom"/>
            <w:gridSpan w:val="2"/>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w w:val="87"/>
              </w:rPr>
              <w:t>1,039</w:t>
            </w: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8"/>
              </w:rPr>
              <w:t>1,676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5,444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5,018</w:t>
            </w:r>
          </w:p>
        </w:tc>
      </w:tr>
      <w:tr>
        <w:trPr>
          <w:trHeight w:val="274"/>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22"/>
                <w:szCs w:val="22"/>
                <w:color w:val="auto"/>
              </w:rPr>
              <w:t>260</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309</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2"/>
                <w:szCs w:val="22"/>
                <w:color w:val="auto"/>
              </w:rPr>
              <w:t>1,364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1,261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nine months ended September 30,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22"/>
                <w:szCs w:val="22"/>
                <w:color w:val="auto"/>
                <w:w w:val="91"/>
              </w:rPr>
              <w:t>Number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5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72"/>
              <w:spacing w:after="0" w:line="229" w:lineRule="exact"/>
              <w:rPr>
                <w:sz w:val="20"/>
                <w:szCs w:val="20"/>
                <w:color w:val="auto"/>
              </w:rPr>
            </w:pPr>
            <w:r>
              <w:rPr>
                <w:rFonts w:ascii="Arial" w:cs="Arial" w:eastAsia="Arial" w:hAnsi="Arial"/>
                <w:sz w:val="22"/>
                <w:szCs w:val="22"/>
                <w:color w:val="auto"/>
                <w:w w:val="87"/>
              </w:rPr>
              <w:t>Average</w:t>
            </w:r>
          </w:p>
        </w:tc>
        <w:tc>
          <w:tcPr>
            <w:tcW w:w="0" w:type="dxa"/>
            <w:vAlign w:val="bottom"/>
          </w:tcPr>
          <w:p>
            <w:pPr>
              <w:spacing w:after="0"/>
              <w:rPr>
                <w:sz w:val="1"/>
                <w:szCs w:val="1"/>
                <w:color w:val="auto"/>
              </w:rPr>
            </w:pPr>
          </w:p>
        </w:tc>
      </w:tr>
      <w:tr>
        <w:trPr>
          <w:trHeight w:val="251"/>
        </w:trPr>
        <w:tc>
          <w:tcPr>
            <w:tcW w:w="470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8"/>
              </w:rPr>
              <w:t>Share Units</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3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556,462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42.77</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488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162,030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45.06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Performance criteria adjustment</w:t>
            </w:r>
          </w:p>
        </w:tc>
        <w:tc>
          <w:tcPr>
            <w:tcW w:w="488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(14,805)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43.36</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Arial" w:cs="Arial" w:eastAsia="Arial" w:hAnsi="Arial"/>
                <w:sz w:val="22"/>
                <w:szCs w:val="22"/>
                <w:color w:val="auto"/>
              </w:rPr>
              <w:t>Actual vested</w:t>
            </w:r>
          </w:p>
        </w:tc>
        <w:tc>
          <w:tcPr>
            <w:tcW w:w="488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(168,549)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53.77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488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(12,513)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44.10</w:t>
            </w:r>
          </w:p>
        </w:tc>
        <w:tc>
          <w:tcPr>
            <w:tcW w:w="0" w:type="dxa"/>
            <w:vAlign w:val="bottom"/>
          </w:tcPr>
          <w:p>
            <w:pPr>
              <w:spacing w:after="0"/>
              <w:rPr>
                <w:sz w:val="1"/>
                <w:szCs w:val="1"/>
                <w:color w:val="auto"/>
              </w:rPr>
            </w:pPr>
          </w:p>
        </w:tc>
      </w:tr>
      <w:tr>
        <w:trPr>
          <w:trHeight w:val="223"/>
        </w:trPr>
        <w:tc>
          <w:tcPr>
            <w:tcW w:w="4700" w:type="dxa"/>
            <w:vAlign w:val="bottom"/>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33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522,625</w:t>
            </w:r>
          </w:p>
        </w:tc>
        <w:tc>
          <w:tcPr>
            <w:tcW w:w="4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w:t>
            </w:r>
          </w:p>
        </w:tc>
        <w:tc>
          <w:tcPr>
            <w:tcW w:w="1260" w:type="dxa"/>
            <w:vAlign w:val="bottom"/>
          </w:tcPr>
          <w:p>
            <w:pPr>
              <w:jc w:val="right"/>
              <w:spacing w:after="0" w:line="223" w:lineRule="exact"/>
              <w:rPr>
                <w:sz w:val="20"/>
                <w:szCs w:val="20"/>
                <w:color w:val="auto"/>
              </w:rPr>
            </w:pPr>
            <w:r>
              <w:rPr>
                <w:rFonts w:ascii="Arial" w:cs="Arial" w:eastAsia="Arial" w:hAnsi="Arial"/>
                <w:sz w:val="22"/>
                <w:szCs w:val="22"/>
                <w:color w:val="auto"/>
              </w:rPr>
              <w:t>39.88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60" w:type="dxa"/>
            <w:vAlign w:val="bottom"/>
            <w:vMerge w:val="restart"/>
          </w:tcPr>
          <w:p>
            <w:pPr>
              <w:jc w:val="right"/>
              <w:ind w:right="2212"/>
              <w:spacing w:after="0"/>
              <w:rPr>
                <w:sz w:val="20"/>
                <w:szCs w:val="20"/>
                <w:color w:val="auto"/>
              </w:rPr>
            </w:pPr>
            <w:r>
              <w:rPr>
                <w:rFonts w:ascii="Arial" w:cs="Arial" w:eastAsia="Arial" w:hAnsi="Arial"/>
                <w:sz w:val="22"/>
                <w:szCs w:val="22"/>
                <w:color w:val="auto"/>
              </w:rPr>
              <w:t>21</w:t>
            </w: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47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7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nine months ended September 30, 2023 and 2022 was $45.06 and $42.31,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1"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b w:val="1"/>
          <w:bCs w:val="1"/>
          <w:i w:val="1"/>
          <w:iCs w:val="1"/>
          <w:color w:val="auto"/>
        </w:rPr>
        <w:t xml:space="preserve">Restricted Stock Units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restricted stock unit (“RSU”) represents the right to receive a share of the Company’s common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400" w:type="dxa"/>
            <w:vAlign w:val="bottom"/>
            <w:gridSpan w:val="4"/>
          </w:tcPr>
          <w:p>
            <w:pPr>
              <w:jc w:val="center"/>
              <w:ind w:left="315"/>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gridSpan w:val="4"/>
          </w:tcPr>
          <w:p>
            <w:pPr>
              <w:jc w:val="center"/>
              <w:ind w:right="232"/>
              <w:spacing w:after="0"/>
              <w:rPr>
                <w:sz w:val="20"/>
                <w:szCs w:val="20"/>
                <w:color w:val="auto"/>
              </w:rPr>
            </w:pPr>
            <w:r>
              <w:rPr>
                <w:rFonts w:ascii="Arial" w:cs="Arial" w:eastAsia="Arial" w:hAnsi="Arial"/>
                <w:sz w:val="22"/>
                <w:szCs w:val="22"/>
                <w:color w:val="auto"/>
                <w:w w:val="90"/>
              </w:rPr>
              <w:t>Nine Months Ended</w:t>
            </w:r>
          </w:p>
        </w:tc>
      </w:tr>
      <w:tr>
        <w:trPr>
          <w:trHeight w:val="251"/>
        </w:trPr>
        <w:tc>
          <w:tcPr>
            <w:tcW w:w="4840" w:type="dxa"/>
            <w:vAlign w:val="bottom"/>
          </w:tcPr>
          <w:p>
            <w:pPr>
              <w:spacing w:after="0"/>
              <w:rPr>
                <w:sz w:val="21"/>
                <w:szCs w:val="21"/>
                <w:color w:val="auto"/>
              </w:rPr>
            </w:pPr>
          </w:p>
        </w:tc>
        <w:tc>
          <w:tcPr>
            <w:tcW w:w="2400" w:type="dxa"/>
            <w:vAlign w:val="bottom"/>
            <w:tcBorders>
              <w:bottom w:val="single" w:sz="8" w:color="auto"/>
            </w:tcBorders>
            <w:gridSpan w:val="4"/>
          </w:tcPr>
          <w:p>
            <w:pPr>
              <w:jc w:val="center"/>
              <w:ind w:left="315"/>
              <w:spacing w:after="0" w:line="251" w:lineRule="exact"/>
              <w:rPr>
                <w:sz w:val="20"/>
                <w:szCs w:val="20"/>
                <w:color w:val="auto"/>
              </w:rPr>
            </w:pPr>
            <w:r>
              <w:rPr>
                <w:rFonts w:ascii="Arial" w:cs="Arial" w:eastAsia="Arial" w:hAnsi="Arial"/>
                <w:sz w:val="22"/>
                <w:szCs w:val="22"/>
                <w:color w:val="auto"/>
                <w:w w:val="87"/>
              </w:rPr>
              <w:t>September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552"/>
              <w:spacing w:after="0" w:line="251" w:lineRule="exact"/>
              <w:rPr>
                <w:sz w:val="20"/>
                <w:szCs w:val="20"/>
                <w:color w:val="auto"/>
              </w:rPr>
            </w:pPr>
            <w:r>
              <w:rPr>
                <w:rFonts w:ascii="Arial" w:cs="Arial" w:eastAsia="Arial" w:hAnsi="Arial"/>
                <w:sz w:val="22"/>
                <w:szCs w:val="22"/>
                <w:color w:val="auto"/>
                <w:w w:val="85"/>
              </w:rPr>
              <w:t>September 30,</w:t>
            </w:r>
          </w:p>
        </w:tc>
        <w:tc>
          <w:tcPr>
            <w:tcW w:w="1020" w:type="dxa"/>
            <w:vAlign w:val="bottom"/>
            <w:tcBorders>
              <w:bottom w:val="single" w:sz="8" w:color="auto"/>
            </w:tcBorders>
          </w:tcPr>
          <w:p>
            <w:pPr>
              <w:spacing w:after="0"/>
              <w:rPr>
                <w:sz w:val="21"/>
                <w:szCs w:val="2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2023</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2022</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2"/>
              <w:spacing w:after="0" w:line="223" w:lineRule="exact"/>
              <w:rPr>
                <w:sz w:val="20"/>
                <w:szCs w:val="20"/>
                <w:color w:val="auto"/>
              </w:rPr>
            </w:pPr>
            <w:r>
              <w:rPr>
                <w:rFonts w:ascii="Arial" w:cs="Arial" w:eastAsia="Arial" w:hAnsi="Arial"/>
                <w:sz w:val="22"/>
                <w:szCs w:val="22"/>
                <w:color w:val="auto"/>
                <w:w w:val="89"/>
              </w:rPr>
              <w:t>2022</w:t>
            </w:r>
          </w:p>
        </w:tc>
      </w:tr>
      <w:tr>
        <w:trPr>
          <w:trHeight w:val="188"/>
        </w:trPr>
        <w:tc>
          <w:tcPr>
            <w:tcW w:w="484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64"/>
        </w:trPr>
        <w:tc>
          <w:tcPr>
            <w:tcW w:w="484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9"/>
                <w:szCs w:val="19"/>
                <w:color w:val="auto"/>
                <w:w w:val="75"/>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746</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2"/>
              <w:spacing w:after="0"/>
              <w:rPr>
                <w:sz w:val="20"/>
                <w:szCs w:val="20"/>
                <w:color w:val="auto"/>
              </w:rPr>
            </w:pPr>
            <w:r>
              <w:rPr>
                <w:rFonts w:ascii="Arial" w:cs="Arial" w:eastAsia="Arial" w:hAnsi="Arial"/>
                <w:sz w:val="22"/>
                <w:szCs w:val="22"/>
                <w:color w:val="auto"/>
                <w:w w:val="8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2"/>
              </w:rPr>
              <w:t>702</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2,186</w:t>
            </w:r>
          </w:p>
        </w:tc>
        <w:tc>
          <w:tcPr>
            <w:tcW w:w="2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9"/>
                <w:szCs w:val="19"/>
                <w:color w:val="auto"/>
                <w:w w:val="7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2,206</w:t>
            </w:r>
          </w:p>
        </w:tc>
      </w:tr>
      <w:tr>
        <w:trPr>
          <w:trHeight w:val="274"/>
        </w:trPr>
        <w:tc>
          <w:tcPr>
            <w:tcW w:w="4840" w:type="dxa"/>
            <w:vAlign w:val="bottom"/>
          </w:tcPr>
          <w:p>
            <w:pPr>
              <w:spacing w:after="0"/>
              <w:rPr>
                <w:sz w:val="20"/>
                <w:szCs w:val="20"/>
                <w:color w:val="auto"/>
              </w:rPr>
            </w:pPr>
            <w:r>
              <w:rPr>
                <w:rFonts w:ascii="Arial" w:cs="Arial" w:eastAsia="Arial" w:hAnsi="Arial"/>
                <w:sz w:val="22"/>
                <w:szCs w:val="22"/>
                <w:color w:val="auto"/>
              </w:rPr>
              <w:t>Income tax benefit</w:t>
            </w: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187</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126</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548</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554</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nine months ended September 30,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22"/>
                <w:szCs w:val="22"/>
                <w:color w:val="auto"/>
                <w:w w:val="89"/>
              </w:rPr>
              <w:t>Number</w:t>
            </w: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30"/>
        </w:trPr>
        <w:tc>
          <w:tcPr>
            <w:tcW w:w="7940" w:type="dxa"/>
            <w:vAlign w:val="bottom"/>
          </w:tcPr>
          <w:p>
            <w:pPr>
              <w:spacing w:after="0"/>
              <w:rPr>
                <w:sz w:val="19"/>
                <w:szCs w:val="19"/>
                <w:color w:val="auto"/>
              </w:rPr>
            </w:pPr>
          </w:p>
        </w:tc>
        <w:tc>
          <w:tcPr>
            <w:tcW w:w="1680" w:type="dxa"/>
            <w:vAlign w:val="bottom"/>
            <w:gridSpan w:val="2"/>
          </w:tcPr>
          <w:p>
            <w:pPr>
              <w:jc w:val="center"/>
              <w:ind w:right="220"/>
              <w:spacing w:after="0" w:line="229" w:lineRule="exact"/>
              <w:rPr>
                <w:sz w:val="20"/>
                <w:szCs w:val="20"/>
                <w:color w:val="auto"/>
              </w:rPr>
            </w:pPr>
            <w:r>
              <w:rPr>
                <w:rFonts w:ascii="Arial" w:cs="Arial" w:eastAsia="Arial" w:hAnsi="Arial"/>
                <w:sz w:val="22"/>
                <w:szCs w:val="22"/>
                <w:color w:val="auto"/>
                <w:w w:val="97"/>
              </w:rPr>
              <w:t>of</w:t>
            </w:r>
          </w:p>
        </w:tc>
        <w:tc>
          <w:tcPr>
            <w:tcW w:w="240" w:type="dxa"/>
            <w:vAlign w:val="bottom"/>
          </w:tcPr>
          <w:p>
            <w:pPr>
              <w:spacing w:after="0"/>
              <w:rPr>
                <w:sz w:val="19"/>
                <w:szCs w:val="19"/>
                <w:color w:val="auto"/>
              </w:rPr>
            </w:pPr>
          </w:p>
        </w:tc>
        <w:tc>
          <w:tcPr>
            <w:tcW w:w="138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Pr>
          <w:p>
            <w:pPr>
              <w:spacing w:after="0"/>
              <w:rPr>
                <w:sz w:val="21"/>
                <w:szCs w:val="21"/>
                <w:color w:val="auto"/>
              </w:rPr>
            </w:pPr>
          </w:p>
        </w:tc>
        <w:tc>
          <w:tcPr>
            <w:tcW w:w="1680" w:type="dxa"/>
            <w:vAlign w:val="bottom"/>
            <w:gridSpan w:val="2"/>
          </w:tcPr>
          <w:p>
            <w:pPr>
              <w:jc w:val="center"/>
              <w:ind w:right="220"/>
              <w:spacing w:after="0" w:line="251" w:lineRule="exact"/>
              <w:rPr>
                <w:sz w:val="20"/>
                <w:szCs w:val="20"/>
                <w:color w:val="auto"/>
              </w:rPr>
            </w:pPr>
            <w:r>
              <w:rPr>
                <w:rFonts w:ascii="Arial" w:cs="Arial" w:eastAsia="Arial" w:hAnsi="Arial"/>
                <w:sz w:val="22"/>
                <w:szCs w:val="22"/>
                <w:color w:val="auto"/>
                <w:w w:val="91"/>
              </w:rPr>
              <w:t>Stock Units</w:t>
            </w:r>
          </w:p>
        </w:tc>
        <w:tc>
          <w:tcPr>
            <w:tcW w:w="240" w:type="dxa"/>
            <w:vAlign w:val="bottom"/>
          </w:tcPr>
          <w:p>
            <w:pPr>
              <w:spacing w:after="0"/>
              <w:rPr>
                <w:sz w:val="21"/>
                <w:szCs w:val="21"/>
                <w:color w:val="auto"/>
              </w:rPr>
            </w:pPr>
          </w:p>
        </w:tc>
        <w:tc>
          <w:tcPr>
            <w:tcW w:w="1380" w:type="dxa"/>
            <w:vAlign w:val="bottom"/>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180,306</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45.94</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75,414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45.53</w:t>
            </w:r>
          </w:p>
        </w:tc>
      </w:tr>
      <w:tr>
        <w:trPr>
          <w:trHeight w:val="230"/>
        </w:trPr>
        <w:tc>
          <w:tcPr>
            <w:tcW w:w="79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Stock units vested and issued</w:t>
            </w:r>
          </w:p>
        </w:tc>
        <w:tc>
          <w:tcPr>
            <w:tcW w:w="168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(52,744)</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49.25</w:t>
            </w:r>
          </w:p>
        </w:tc>
      </w:tr>
      <w:tr>
        <w:trPr>
          <w:trHeight w:val="230"/>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Forfeited</w:t>
            </w:r>
          </w:p>
        </w:tc>
        <w:tc>
          <w:tcPr>
            <w:tcW w:w="168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(5,104)</w:t>
            </w: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45.54</w:t>
            </w:r>
          </w:p>
        </w:tc>
      </w:tr>
      <w:tr>
        <w:trPr>
          <w:trHeight w:val="223"/>
        </w:trPr>
        <w:tc>
          <w:tcPr>
            <w:tcW w:w="7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197,872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138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45.07</w:t>
            </w:r>
          </w:p>
        </w:tc>
      </w:tr>
      <w:tr>
        <w:trPr>
          <w:trHeight w:val="20"/>
        </w:trPr>
        <w:tc>
          <w:tcPr>
            <w:tcW w:w="7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6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nine months ended September 30, 2023 and 2022 was $45.53 and $45.10,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20" w:type="dxa"/>
            <w:vAlign w:val="bottom"/>
            <w:gridSpan w:val="4"/>
          </w:tcPr>
          <w:p>
            <w:pPr>
              <w:jc w:val="center"/>
              <w:ind w:left="29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4"/>
          </w:tcPr>
          <w:p>
            <w:pPr>
              <w:jc w:val="right"/>
              <w:ind w:right="432"/>
              <w:spacing w:after="0"/>
              <w:rPr>
                <w:sz w:val="20"/>
                <w:szCs w:val="20"/>
                <w:color w:val="auto"/>
              </w:rPr>
            </w:pPr>
            <w:r>
              <w:rPr>
                <w:rFonts w:ascii="Arial" w:cs="Arial" w:eastAsia="Arial" w:hAnsi="Arial"/>
                <w:sz w:val="22"/>
                <w:szCs w:val="22"/>
                <w:color w:val="auto"/>
              </w:rPr>
              <w:t>Nine Months Ended</w:t>
            </w:r>
          </w:p>
        </w:tc>
      </w:tr>
      <w:tr>
        <w:trPr>
          <w:trHeight w:val="251"/>
        </w:trPr>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20" w:type="dxa"/>
            <w:vAlign w:val="bottom"/>
            <w:tcBorders>
              <w:bottom w:val="single" w:sz="8" w:color="auto"/>
            </w:tcBorders>
            <w:gridSpan w:val="4"/>
          </w:tcPr>
          <w:p>
            <w:pPr>
              <w:jc w:val="center"/>
              <w:ind w:left="312"/>
              <w:spacing w:after="0" w:line="251" w:lineRule="exact"/>
              <w:rPr>
                <w:sz w:val="20"/>
                <w:szCs w:val="20"/>
                <w:color w:val="auto"/>
              </w:rPr>
            </w:pPr>
            <w:r>
              <w:rPr>
                <w:rFonts w:ascii="Arial" w:cs="Arial" w:eastAsia="Arial" w:hAnsi="Arial"/>
                <w:sz w:val="22"/>
                <w:szCs w:val="22"/>
                <w:color w:val="auto"/>
                <w:w w:val="85"/>
              </w:rPr>
              <w:t>September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592"/>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47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2023</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2022</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rPr>
              <w:t>2022</w:t>
            </w:r>
          </w:p>
        </w:tc>
      </w:tr>
      <w:tr>
        <w:trPr>
          <w:trHeight w:val="188"/>
        </w:trPr>
        <w:tc>
          <w:tcPr>
            <w:tcW w:w="478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rPr>
              <w:t>Stock-based compensation within operations and</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64"/>
        </w:trPr>
        <w:tc>
          <w:tcPr>
            <w:tcW w:w="478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1480" w:type="dxa"/>
            <w:vAlign w:val="bottom"/>
            <w:gridSpan w:val="2"/>
            <w:shd w:val="clear" w:color="auto" w:fill="CCEEFF"/>
          </w:tcPr>
          <w:p>
            <w:pPr>
              <w:jc w:val="right"/>
              <w:ind w:right="732"/>
              <w:spacing w:after="0"/>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181</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7"/>
              <w:spacing w:after="0"/>
              <w:rPr>
                <w:sz w:val="20"/>
                <w:szCs w:val="20"/>
                <w:color w:val="auto"/>
              </w:rPr>
            </w:pPr>
            <w:r>
              <w:rPr>
                <w:rFonts w:ascii="Arial" w:cs="Arial" w:eastAsia="Arial" w:hAnsi="Arial"/>
                <w:sz w:val="19"/>
                <w:szCs w:val="19"/>
                <w:color w:val="auto"/>
                <w:w w:val="7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2"/>
              </w:rPr>
              <w:t>139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380</w:t>
            </w:r>
          </w:p>
        </w:tc>
      </w:tr>
      <w:tr>
        <w:trPr>
          <w:trHeight w:val="274"/>
        </w:trPr>
        <w:tc>
          <w:tcPr>
            <w:tcW w:w="4780" w:type="dxa"/>
            <w:vAlign w:val="bottom"/>
          </w:tcPr>
          <w:p>
            <w:pPr>
              <w:spacing w:after="0"/>
              <w:rPr>
                <w:sz w:val="20"/>
                <w:szCs w:val="20"/>
                <w:color w:val="auto"/>
              </w:rPr>
            </w:pPr>
            <w:r>
              <w:rPr>
                <w:rFonts w:ascii="Arial" w:cs="Arial" w:eastAsia="Arial" w:hAnsi="Arial"/>
                <w:sz w:val="22"/>
                <w:szCs w:val="22"/>
                <w:color w:val="auto"/>
              </w:rPr>
              <w:t>Income tax benefit</w:t>
            </w: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45</w:t>
            </w: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26</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120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95</w:t>
            </w:r>
          </w:p>
        </w:tc>
      </w:tr>
    </w:tbl>
    <w:p>
      <w:pPr>
        <w:spacing w:after="0" w:line="163" w:lineRule="exact"/>
        <w:rPr>
          <w:sz w:val="20"/>
          <w:szCs w:val="20"/>
          <w:color w:val="auto"/>
        </w:rPr>
      </w:pPr>
    </w:p>
    <w:p>
      <w:pPr>
        <w:ind w:right="96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2023</w:t>
            </w: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ind w:right="1132"/>
              <w:spacing w:after="0"/>
              <w:rPr>
                <w:sz w:val="20"/>
                <w:szCs w:val="20"/>
                <w:color w:val="auto"/>
              </w:rPr>
            </w:pPr>
            <w:r>
              <w:rPr>
                <w:rFonts w:ascii="Arial" w:cs="Arial" w:eastAsia="Arial" w:hAnsi="Arial"/>
                <w:sz w:val="22"/>
                <w:szCs w:val="22"/>
                <w:color w:val="auto"/>
              </w:rPr>
              <w:t>2022</w:t>
            </w:r>
          </w:p>
        </w:tc>
      </w:tr>
      <w:tr>
        <w:trPr>
          <w:trHeight w:val="223"/>
        </w:trPr>
        <w:tc>
          <w:tcPr>
            <w:tcW w:w="50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Expected term (years)</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5.5</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5.5</w:t>
            </w:r>
          </w:p>
        </w:tc>
      </w:tr>
      <w:tr>
        <w:trPr>
          <w:trHeight w:val="230"/>
        </w:trPr>
        <w:tc>
          <w:tcPr>
            <w:tcW w:w="5000" w:type="dxa"/>
            <w:vAlign w:val="bottom"/>
          </w:tcPr>
          <w:p>
            <w:pPr>
              <w:spacing w:after="0" w:line="229" w:lineRule="exact"/>
              <w:rPr>
                <w:sz w:val="20"/>
                <w:szCs w:val="20"/>
                <w:color w:val="auto"/>
              </w:rPr>
            </w:pPr>
            <w:r>
              <w:rPr>
                <w:rFonts w:ascii="Arial" w:cs="Arial" w:eastAsia="Arial" w:hAnsi="Arial"/>
                <w:sz w:val="22"/>
                <w:szCs w:val="22"/>
                <w:color w:val="auto"/>
              </w:rPr>
              <w:t>Risk-free interest rate</w:t>
            </w:r>
          </w:p>
        </w:tc>
        <w:tc>
          <w:tcPr>
            <w:tcW w:w="196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2"/>
                <w:szCs w:val="22"/>
                <w:color w:val="auto"/>
              </w:rPr>
              <w:t>4.03%</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60" w:type="dxa"/>
            <w:vAlign w:val="bottom"/>
          </w:tcPr>
          <w:p>
            <w:pPr>
              <w:jc w:val="right"/>
              <w:spacing w:after="0" w:line="229" w:lineRule="exact"/>
              <w:rPr>
                <w:sz w:val="20"/>
                <w:szCs w:val="20"/>
                <w:color w:val="auto"/>
              </w:rPr>
            </w:pPr>
            <w:r>
              <w:rPr>
                <w:rFonts w:ascii="Arial" w:cs="Arial" w:eastAsia="Arial" w:hAnsi="Arial"/>
                <w:sz w:val="22"/>
                <w:szCs w:val="22"/>
                <w:color w:val="auto"/>
              </w:rPr>
              <w:t>1.92%</w:t>
            </w:r>
          </w:p>
        </w:tc>
      </w:tr>
      <w:tr>
        <w:trPr>
          <w:trHeight w:val="230"/>
        </w:trPr>
        <w:tc>
          <w:tcPr>
            <w:tcW w:w="50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volatility</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27.80%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26.50%</w:t>
            </w:r>
          </w:p>
        </w:tc>
      </w:tr>
      <w:tr>
        <w:trPr>
          <w:trHeight w:val="229"/>
        </w:trPr>
        <w:tc>
          <w:tcPr>
            <w:tcW w:w="5000" w:type="dxa"/>
            <w:vAlign w:val="bottom"/>
          </w:tcPr>
          <w:p>
            <w:pPr>
              <w:spacing w:after="0" w:line="229" w:lineRule="exact"/>
              <w:rPr>
                <w:sz w:val="20"/>
                <w:szCs w:val="20"/>
                <w:color w:val="auto"/>
              </w:rPr>
            </w:pPr>
            <w:r>
              <w:rPr>
                <w:rFonts w:ascii="Arial" w:cs="Arial" w:eastAsia="Arial" w:hAnsi="Arial"/>
                <w:sz w:val="22"/>
                <w:szCs w:val="22"/>
                <w:color w:val="auto"/>
              </w:rPr>
              <w:t>Dividend yield</w:t>
            </w:r>
          </w:p>
        </w:tc>
        <w:tc>
          <w:tcPr>
            <w:tcW w:w="1960" w:type="dxa"/>
            <w:vAlign w:val="bottom"/>
          </w:tcPr>
          <w:p>
            <w:pPr>
              <w:spacing w:after="0"/>
              <w:rPr>
                <w:sz w:val="19"/>
                <w:szCs w:val="19"/>
                <w:color w:val="auto"/>
              </w:rPr>
            </w:pPr>
          </w:p>
        </w:tc>
        <w:tc>
          <w:tcPr>
            <w:tcW w:w="980" w:type="dxa"/>
            <w:vAlign w:val="bottom"/>
          </w:tcPr>
          <w:p>
            <w:pPr>
              <w:jc w:val="right"/>
              <w:spacing w:after="0" w:line="229" w:lineRule="exact"/>
              <w:rPr>
                <w:sz w:val="20"/>
                <w:szCs w:val="20"/>
                <w:color w:val="auto"/>
              </w:rPr>
            </w:pPr>
            <w:r>
              <w:rPr>
                <w:rFonts w:ascii="Arial" w:cs="Arial" w:eastAsia="Arial" w:hAnsi="Arial"/>
                <w:sz w:val="22"/>
                <w:szCs w:val="22"/>
                <w:color w:val="auto"/>
              </w:rPr>
              <w:t>2.53%</w:t>
            </w: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60" w:type="dxa"/>
            <w:vAlign w:val="bottom"/>
          </w:tcPr>
          <w:p>
            <w:pPr>
              <w:jc w:val="right"/>
              <w:spacing w:after="0" w:line="229" w:lineRule="exact"/>
              <w:rPr>
                <w:sz w:val="20"/>
                <w:szCs w:val="20"/>
                <w:color w:val="auto"/>
              </w:rPr>
            </w:pPr>
            <w:r>
              <w:rPr>
                <w:rFonts w:ascii="Arial" w:cs="Arial" w:eastAsia="Arial" w:hAnsi="Arial"/>
                <w:sz w:val="22"/>
                <w:szCs w:val="22"/>
                <w:color w:val="auto"/>
              </w:rPr>
              <w:t>2.37%</w:t>
            </w:r>
          </w:p>
        </w:tc>
      </w:tr>
      <w:tr>
        <w:trPr>
          <w:trHeight w:val="230"/>
        </w:trPr>
        <w:tc>
          <w:tcPr>
            <w:tcW w:w="50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Grant date fair value per option</w:t>
            </w:r>
          </w:p>
        </w:tc>
        <w:tc>
          <w:tcPr>
            <w:tcW w:w="1960" w:type="dxa"/>
            <w:vAlign w:val="bottom"/>
            <w:shd w:val="clear" w:color="auto" w:fill="CCEEFF"/>
          </w:tcPr>
          <w:p>
            <w:pPr>
              <w:jc w:val="right"/>
              <w:ind w:right="1732"/>
              <w:spacing w:after="0" w:line="229" w:lineRule="exact"/>
              <w:rPr>
                <w:sz w:val="20"/>
                <w:szCs w:val="20"/>
                <w:color w:val="auto"/>
              </w:rPr>
            </w:pPr>
            <w:r>
              <w:rPr>
                <w:rFonts w:ascii="Arial" w:cs="Arial" w:eastAsia="Arial" w:hAnsi="Arial"/>
                <w:sz w:val="22"/>
                <w:szCs w:val="22"/>
                <w:color w:val="auto"/>
                <w:w w:val="81"/>
              </w:rPr>
              <w:t>$</w:t>
            </w:r>
          </w:p>
        </w:tc>
        <w:tc>
          <w:tcPr>
            <w:tcW w:w="9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11.37</w:t>
            </w:r>
          </w:p>
        </w:tc>
        <w:tc>
          <w:tcPr>
            <w:tcW w:w="1040" w:type="dxa"/>
            <w:vAlign w:val="bottom"/>
            <w:gridSpan w:val="2"/>
            <w:shd w:val="clear" w:color="auto" w:fill="CCEEFF"/>
          </w:tcPr>
          <w:p>
            <w:pPr>
              <w:jc w:val="right"/>
              <w:ind w:right="560"/>
              <w:spacing w:after="0" w:line="229" w:lineRule="exact"/>
              <w:rPr>
                <w:sz w:val="20"/>
                <w:szCs w:val="20"/>
                <w:color w:val="auto"/>
              </w:rPr>
            </w:pPr>
            <w:r>
              <w:rPr>
                <w:rFonts w:ascii="Arial" w:cs="Arial" w:eastAsia="Arial" w:hAnsi="Arial"/>
                <w:sz w:val="22"/>
                <w:szCs w:val="22"/>
                <w:color w:val="auto"/>
              </w:rPr>
              <w:t>$</w:t>
            </w:r>
          </w:p>
        </w:tc>
        <w:tc>
          <w:tcPr>
            <w:tcW w:w="2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9.34</w:t>
            </w:r>
          </w:p>
        </w:tc>
      </w:tr>
    </w:tbl>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nine months ended September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color w:val="auto"/>
                <w:w w:val="88"/>
              </w:rPr>
              <w:t>Weighted</w:t>
            </w:r>
          </w:p>
        </w:tc>
        <w:tc>
          <w:tcPr>
            <w:tcW w:w="132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line="229" w:lineRule="exact"/>
              <w:rPr>
                <w:sz w:val="20"/>
                <w:szCs w:val="20"/>
                <w:color w:val="auto"/>
              </w:rPr>
            </w:pPr>
            <w:r>
              <w:rPr>
                <w:rFonts w:ascii="Arial" w:cs="Arial" w:eastAsia="Arial" w:hAnsi="Arial"/>
                <w:sz w:val="22"/>
                <w:szCs w:val="22"/>
                <w:color w:val="auto"/>
                <w:w w:val="87"/>
              </w:rPr>
              <w:t>Average</w:t>
            </w:r>
          </w:p>
        </w:tc>
        <w:tc>
          <w:tcPr>
            <w:tcW w:w="1320" w:type="dxa"/>
            <w:vAlign w:val="bottom"/>
          </w:tcPr>
          <w:p>
            <w:pPr>
              <w:jc w:val="center"/>
              <w:spacing w:after="0" w:line="229" w:lineRule="exact"/>
              <w:rPr>
                <w:sz w:val="20"/>
                <w:szCs w:val="20"/>
                <w:color w:val="auto"/>
              </w:rPr>
            </w:pPr>
            <w:r>
              <w:rPr>
                <w:rFonts w:ascii="Arial" w:cs="Arial" w:eastAsia="Arial" w:hAnsi="Arial"/>
                <w:sz w:val="22"/>
                <w:szCs w:val="22"/>
                <w:color w:val="auto"/>
                <w:w w:val="87"/>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240"/>
              <w:spacing w:after="0" w:line="229" w:lineRule="exact"/>
              <w:rPr>
                <w:sz w:val="20"/>
                <w:szCs w:val="20"/>
                <w:color w:val="auto"/>
              </w:rPr>
            </w:pPr>
            <w:r>
              <w:rPr>
                <w:rFonts w:ascii="Arial" w:cs="Arial" w:eastAsia="Arial" w:hAnsi="Arial"/>
                <w:sz w:val="22"/>
                <w:szCs w:val="22"/>
                <w:color w:val="auto"/>
                <w:w w:val="88"/>
              </w:rPr>
              <w:t>Aggregate</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80"/>
              <w:spacing w:after="0" w:line="229" w:lineRule="exact"/>
              <w:rPr>
                <w:sz w:val="20"/>
                <w:szCs w:val="20"/>
                <w:color w:val="auto"/>
              </w:rPr>
            </w:pPr>
            <w:r>
              <w:rPr>
                <w:rFonts w:ascii="Arial" w:cs="Arial" w:eastAsia="Arial" w:hAnsi="Arial"/>
                <w:sz w:val="22"/>
                <w:szCs w:val="22"/>
                <w:color w:val="auto"/>
                <w:w w:val="87"/>
              </w:rPr>
              <w:t>Exercise</w:t>
            </w:r>
          </w:p>
        </w:tc>
        <w:tc>
          <w:tcPr>
            <w:tcW w:w="1320" w:type="dxa"/>
            <w:vAlign w:val="bottom"/>
          </w:tcPr>
          <w:p>
            <w:pPr>
              <w:jc w:val="center"/>
              <w:spacing w:after="0" w:line="229" w:lineRule="exact"/>
              <w:rPr>
                <w:sz w:val="20"/>
                <w:szCs w:val="20"/>
                <w:color w:val="auto"/>
              </w:rPr>
            </w:pPr>
            <w:r>
              <w:rPr>
                <w:rFonts w:ascii="Arial" w:cs="Arial" w:eastAsia="Arial" w:hAnsi="Arial"/>
                <w:sz w:val="22"/>
                <w:szCs w:val="22"/>
                <w:color w:val="auto"/>
                <w:w w:val="91"/>
              </w:rPr>
              <w:t>Remaining</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center"/>
              <w:ind w:right="260"/>
              <w:spacing w:after="0" w:line="229" w:lineRule="exact"/>
              <w:rPr>
                <w:sz w:val="20"/>
                <w:szCs w:val="20"/>
                <w:color w:val="auto"/>
              </w:rPr>
            </w:pPr>
            <w:r>
              <w:rPr>
                <w:rFonts w:ascii="Arial" w:cs="Arial" w:eastAsia="Arial" w:hAnsi="Arial"/>
                <w:sz w:val="22"/>
                <w:szCs w:val="22"/>
                <w:color w:val="auto"/>
                <w:w w:val="94"/>
              </w:rPr>
              <w:t>Intrinsic</w:t>
            </w:r>
          </w:p>
        </w:tc>
        <w:tc>
          <w:tcPr>
            <w:tcW w:w="0" w:type="dxa"/>
            <w:vAlign w:val="bottom"/>
          </w:tcPr>
          <w:p>
            <w:pPr>
              <w:spacing w:after="0"/>
              <w:rPr>
                <w:sz w:val="1"/>
                <w:szCs w:val="1"/>
                <w:color w:val="auto"/>
              </w:rPr>
            </w:pPr>
          </w:p>
        </w:tc>
      </w:tr>
      <w:tr>
        <w:trPr>
          <w:trHeight w:val="251"/>
        </w:trPr>
        <w:tc>
          <w:tcPr>
            <w:tcW w:w="5000" w:type="dxa"/>
            <w:vAlign w:val="bottom"/>
          </w:tcPr>
          <w:p>
            <w:pPr>
              <w:spacing w:after="0"/>
              <w:rPr>
                <w:sz w:val="21"/>
                <w:szCs w:val="21"/>
                <w:color w:val="auto"/>
              </w:rPr>
            </w:pPr>
          </w:p>
        </w:tc>
        <w:tc>
          <w:tcPr>
            <w:tcW w:w="1460" w:type="dxa"/>
            <w:vAlign w:val="bottom"/>
            <w:gridSpan w:val="2"/>
          </w:tcPr>
          <w:p>
            <w:pPr>
              <w:ind w:left="400"/>
              <w:spacing w:after="0" w:line="251" w:lineRule="exact"/>
              <w:rPr>
                <w:sz w:val="20"/>
                <w:szCs w:val="20"/>
                <w:color w:val="auto"/>
              </w:rPr>
            </w:pPr>
            <w:r>
              <w:rPr>
                <w:rFonts w:ascii="Arial" w:cs="Arial" w:eastAsia="Arial" w:hAnsi="Arial"/>
                <w:sz w:val="22"/>
                <w:szCs w:val="22"/>
                <w:color w:val="auto"/>
              </w:rPr>
              <w:t>Shares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00"/>
              <w:spacing w:after="0" w:line="251" w:lineRule="exact"/>
              <w:rPr>
                <w:sz w:val="20"/>
                <w:szCs w:val="20"/>
                <w:color w:val="auto"/>
              </w:rPr>
            </w:pPr>
            <w:r>
              <w:rPr>
                <w:rFonts w:ascii="Arial" w:cs="Arial" w:eastAsia="Arial" w:hAnsi="Arial"/>
                <w:sz w:val="22"/>
                <w:szCs w:val="22"/>
                <w:color w:val="auto"/>
                <w:w w:val="87"/>
              </w:rPr>
              <w:t>Price</w:t>
            </w:r>
          </w:p>
        </w:tc>
        <w:tc>
          <w:tcPr>
            <w:tcW w:w="132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260"/>
              <w:spacing w:after="0" w:line="251" w:lineRule="exact"/>
              <w:rPr>
                <w:sz w:val="20"/>
                <w:szCs w:val="20"/>
                <w:color w:val="auto"/>
              </w:rPr>
            </w:pPr>
            <w:r>
              <w:rPr>
                <w:rFonts w:ascii="Arial" w:cs="Arial" w:eastAsia="Arial" w:hAnsi="Arial"/>
                <w:sz w:val="22"/>
                <w:szCs w:val="22"/>
                <w:color w:val="auto"/>
                <w:w w:val="85"/>
              </w:rPr>
              <w:t>Value</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820,061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36.29</w:t>
            </w:r>
          </w:p>
        </w:tc>
        <w:tc>
          <w:tcPr>
            <w:tcW w:w="2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74,632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45.39</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45.31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(664)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35.20</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(6,553)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34.98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line="223" w:lineRule="exact"/>
              <w:rPr>
                <w:sz w:val="20"/>
                <w:szCs w:val="20"/>
                <w:color w:val="auto"/>
              </w:rPr>
            </w:pPr>
            <w:r>
              <w:rPr>
                <w:rFonts w:ascii="Arial" w:cs="Arial" w:eastAsia="Arial" w:hAnsi="Arial"/>
                <w:sz w:val="22"/>
                <w:szCs w:val="22"/>
                <w:color w:val="auto"/>
              </w:rPr>
              <w:t>Outstanding at end of period</w:t>
            </w:r>
          </w:p>
        </w:tc>
        <w:tc>
          <w:tcPr>
            <w:tcW w:w="1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885,400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37.04</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5.8</w:t>
            </w:r>
          </w:p>
        </w:tc>
        <w:tc>
          <w:tcPr>
            <w:tcW w:w="420" w:type="dxa"/>
            <w:vAlign w:val="bottom"/>
            <w:tcBorders>
              <w:bottom w:val="single" w:sz="8" w:color="auto"/>
            </w:tcBorders>
            <w:gridSpan w:val="2"/>
          </w:tcPr>
          <w:p>
            <w:pPr>
              <w:jc w:val="right"/>
              <w:ind w:right="120"/>
              <w:spacing w:after="0" w:line="223" w:lineRule="exact"/>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460" w:type="dxa"/>
            <w:vAlign w:val="bottom"/>
            <w:tcBorders>
              <w:bottom w:val="single" w:sz="8" w:color="auto"/>
            </w:tcBorders>
            <w:gridSpan w:val="2"/>
            <w:shd w:val="clear" w:color="auto" w:fill="CCEEFF"/>
          </w:tcPr>
          <w:p>
            <w:pPr>
              <w:jc w:val="right"/>
              <w:ind w:right="100"/>
              <w:spacing w:after="0" w:line="229" w:lineRule="exact"/>
              <w:rPr>
                <w:sz w:val="20"/>
                <w:szCs w:val="20"/>
                <w:color w:val="auto"/>
              </w:rPr>
            </w:pPr>
            <w:r>
              <w:rPr>
                <w:rFonts w:ascii="Arial" w:cs="Arial" w:eastAsia="Arial" w:hAnsi="Arial"/>
                <w:sz w:val="22"/>
                <w:szCs w:val="22"/>
                <w:color w:val="auto"/>
              </w:rPr>
              <w:t>762,586</w:t>
            </w:r>
          </w:p>
        </w:tc>
        <w:tc>
          <w:tcPr>
            <w:tcW w:w="280" w:type="dxa"/>
            <w:vAlign w:val="bottom"/>
            <w:tcBorders>
              <w:bottom w:val="single" w:sz="8" w:color="auto"/>
            </w:tcBorders>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35.72</w:t>
            </w:r>
          </w:p>
        </w:tc>
        <w:tc>
          <w:tcPr>
            <w:tcW w:w="13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5.3</w:t>
            </w:r>
          </w:p>
        </w:tc>
        <w:tc>
          <w:tcPr>
            <w:tcW w:w="420" w:type="dxa"/>
            <w:vAlign w:val="bottom"/>
            <w:tcBorders>
              <w:bottom w:val="single" w:sz="8" w:color="auto"/>
            </w:tcBorders>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206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20" w:type="dxa"/>
            <w:vAlign w:val="bottom"/>
            <w:gridSpan w:val="4"/>
          </w:tcPr>
          <w:p>
            <w:pPr>
              <w:jc w:val="center"/>
              <w:ind w:right="292"/>
              <w:spacing w:after="0"/>
              <w:rPr>
                <w:sz w:val="20"/>
                <w:szCs w:val="20"/>
                <w:color w:val="auto"/>
              </w:rPr>
            </w:pPr>
            <w:r>
              <w:rPr>
                <w:rFonts w:ascii="Arial" w:cs="Arial" w:eastAsia="Arial" w:hAnsi="Arial"/>
                <w:sz w:val="22"/>
                <w:szCs w:val="22"/>
                <w:color w:val="auto"/>
                <w:w w:val="89"/>
              </w:rPr>
              <w:t>Three Months Ended</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5"/>
          </w:tcPr>
          <w:p>
            <w:pPr>
              <w:jc w:val="right"/>
              <w:ind w:right="572"/>
              <w:spacing w:after="0"/>
              <w:rPr>
                <w:sz w:val="20"/>
                <w:szCs w:val="20"/>
                <w:color w:val="auto"/>
              </w:rPr>
            </w:pPr>
            <w:r>
              <w:rPr>
                <w:rFonts w:ascii="Arial" w:cs="Arial" w:eastAsia="Arial" w:hAnsi="Arial"/>
                <w:sz w:val="22"/>
                <w:szCs w:val="22"/>
                <w:color w:val="auto"/>
              </w:rPr>
              <w:t>Nine Months Ended</w:t>
            </w:r>
          </w:p>
        </w:tc>
      </w:tr>
      <w:tr>
        <w:trPr>
          <w:trHeight w:val="251"/>
        </w:trPr>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ind w:left="432"/>
              <w:spacing w:after="0" w:line="251" w:lineRule="exact"/>
              <w:rPr>
                <w:sz w:val="20"/>
                <w:szCs w:val="20"/>
                <w:color w:val="auto"/>
              </w:rPr>
            </w:pPr>
            <w:r>
              <w:rPr>
                <w:rFonts w:ascii="Arial" w:cs="Arial" w:eastAsia="Arial" w:hAnsi="Arial"/>
                <w:sz w:val="22"/>
                <w:szCs w:val="22"/>
                <w:color w:val="auto"/>
                <w:w w:val="85"/>
              </w:rPr>
              <w:t>September 30,</w:t>
            </w:r>
          </w:p>
        </w:tc>
        <w:tc>
          <w:tcPr>
            <w:tcW w:w="9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812"/>
              <w:spacing w:after="0" w:line="251" w:lineRule="exact"/>
              <w:rPr>
                <w:sz w:val="20"/>
                <w:szCs w:val="20"/>
                <w:color w:val="auto"/>
              </w:rPr>
            </w:pPr>
            <w:r>
              <w:rPr>
                <w:rFonts w:ascii="Arial" w:cs="Arial" w:eastAsia="Arial" w:hAnsi="Arial"/>
                <w:sz w:val="22"/>
                <w:szCs w:val="22"/>
                <w:color w:val="auto"/>
              </w:rPr>
              <w:t>September 30,</w:t>
            </w:r>
          </w:p>
        </w:tc>
      </w:tr>
      <w:tr>
        <w:trPr>
          <w:trHeight w:val="223"/>
        </w:trPr>
        <w:tc>
          <w:tcPr>
            <w:tcW w:w="44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line="223" w:lineRule="exact"/>
              <w:rPr>
                <w:sz w:val="20"/>
                <w:szCs w:val="20"/>
                <w:color w:val="auto"/>
              </w:rPr>
            </w:pPr>
            <w:r>
              <w:rPr>
                <w:rFonts w:ascii="Arial" w:cs="Arial" w:eastAsia="Arial" w:hAnsi="Arial"/>
                <w:sz w:val="22"/>
                <w:szCs w:val="22"/>
                <w:color w:val="auto"/>
              </w:rPr>
              <w:t>2022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line="223" w:lineRule="exact"/>
              <w:rPr>
                <w:sz w:val="20"/>
                <w:szCs w:val="20"/>
                <w:color w:val="auto"/>
              </w:rPr>
            </w:pPr>
            <w:r>
              <w:rPr>
                <w:rFonts w:ascii="Arial" w:cs="Arial" w:eastAsia="Arial" w:hAnsi="Arial"/>
                <w:sz w:val="22"/>
                <w:szCs w:val="22"/>
                <w:color w:val="auto"/>
              </w:rPr>
              <w:t>2023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2022</w:t>
            </w:r>
          </w:p>
        </w:tc>
      </w:tr>
      <w:tr>
        <w:trPr>
          <w:trHeight w:val="188"/>
        </w:trPr>
        <w:tc>
          <w:tcPr>
            <w:tcW w:w="442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6"/>
              </w:rPr>
              <w:t>Stock-based compensation within operations and</w:t>
            </w: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64"/>
        </w:trPr>
        <w:tc>
          <w:tcPr>
            <w:tcW w:w="442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22"/>
                <w:szCs w:val="22"/>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8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37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w:t>
            </w:r>
          </w:p>
        </w:tc>
      </w:tr>
      <w:tr>
        <w:trPr>
          <w:trHeight w:val="208"/>
        </w:trPr>
        <w:tc>
          <w:tcPr>
            <w:tcW w:w="4420" w:type="dxa"/>
            <w:vAlign w:val="bottom"/>
          </w:tcPr>
          <w:p>
            <w:pPr>
              <w:spacing w:after="0" w:line="208" w:lineRule="exact"/>
              <w:rPr>
                <w:sz w:val="20"/>
                <w:szCs w:val="20"/>
                <w:color w:val="auto"/>
              </w:rPr>
            </w:pPr>
            <w:r>
              <w:rPr>
                <w:rFonts w:ascii="Arial" w:cs="Arial" w:eastAsia="Arial" w:hAnsi="Arial"/>
                <w:sz w:val="22"/>
                <w:szCs w:val="22"/>
                <w:color w:val="auto"/>
              </w:rPr>
              <w:t>Income tax benefit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jc w:val="right"/>
              <w:spacing w:after="0" w:line="208" w:lineRule="exact"/>
              <w:rPr>
                <w:sz w:val="20"/>
                <w:szCs w:val="20"/>
                <w:color w:val="auto"/>
              </w:rPr>
            </w:pPr>
            <w:r>
              <w:rPr>
                <w:rFonts w:ascii="Arial" w:cs="Arial" w:eastAsia="Arial" w:hAnsi="Arial"/>
                <w:sz w:val="22"/>
                <w:szCs w:val="22"/>
                <w:color w:val="auto"/>
              </w:rPr>
              <w:t>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Arial" w:cs="Arial" w:eastAsia="Arial" w:hAnsi="Arial"/>
                <w:sz w:val="22"/>
                <w:szCs w:val="22"/>
                <w:color w:val="auto"/>
              </w:rPr>
              <w:t>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00"/>
              <w:spacing w:after="0" w:line="208" w:lineRule="exact"/>
              <w:rPr>
                <w:sz w:val="20"/>
                <w:szCs w:val="20"/>
                <w:color w:val="auto"/>
              </w:rPr>
            </w:pPr>
            <w:r>
              <w:rPr>
                <w:rFonts w:ascii="Arial" w:cs="Arial" w:eastAsia="Arial" w:hAnsi="Arial"/>
                <w:sz w:val="22"/>
                <w:szCs w:val="22"/>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Arial" w:cs="Arial" w:eastAsia="Arial" w:hAnsi="Arial"/>
                <w:sz w:val="22"/>
                <w:szCs w:val="22"/>
                <w:color w:val="auto"/>
              </w:rPr>
              <w:t>11</w:t>
            </w:r>
          </w:p>
        </w:tc>
      </w:tr>
      <w:tr>
        <w:trPr>
          <w:trHeight w:val="274"/>
        </w:trPr>
        <w:tc>
          <w:tcPr>
            <w:tcW w:w="4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ind w:right="572"/>
              <w:spacing w:after="0"/>
              <w:rPr>
                <w:sz w:val="20"/>
                <w:szCs w:val="20"/>
                <w:color w:val="auto"/>
              </w:rPr>
            </w:pPr>
            <w:r>
              <w:rPr>
                <w:rFonts w:ascii="Arial" w:cs="Arial" w:eastAsia="Arial" w:hAnsi="Arial"/>
                <w:sz w:val="22"/>
                <w:szCs w:val="22"/>
                <w:color w:val="auto"/>
              </w:rPr>
              <w:t>24</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307"/>
        </w:trPr>
        <w:tc>
          <w:tcPr>
            <w:tcW w:w="4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nine months ended September 30,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60" w:type="dxa"/>
            <w:vAlign w:val="bottom"/>
          </w:tcPr>
          <w:p>
            <w:pPr>
              <w:spacing w:after="0"/>
              <w:rPr>
                <w:sz w:val="21"/>
                <w:szCs w:val="21"/>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22"/>
                <w:szCs w:val="22"/>
                <w:color w:val="auto"/>
                <w:w w:val="91"/>
              </w:rPr>
              <w:t>Number</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29"/>
        </w:trPr>
        <w:tc>
          <w:tcPr>
            <w:tcW w:w="7260" w:type="dxa"/>
            <w:vAlign w:val="bottom"/>
          </w:tcPr>
          <w:p>
            <w:pPr>
              <w:spacing w:after="0"/>
              <w:rPr>
                <w:sz w:val="19"/>
                <w:szCs w:val="19"/>
                <w:color w:val="auto"/>
              </w:rPr>
            </w:pPr>
          </w:p>
        </w:tc>
        <w:tc>
          <w:tcPr>
            <w:tcW w:w="2000" w:type="dxa"/>
            <w:vAlign w:val="bottom"/>
            <w:gridSpan w:val="2"/>
          </w:tcPr>
          <w:p>
            <w:pPr>
              <w:jc w:val="center"/>
              <w:ind w:right="260"/>
              <w:spacing w:after="0" w:line="229" w:lineRule="exact"/>
              <w:rPr>
                <w:sz w:val="20"/>
                <w:szCs w:val="20"/>
                <w:color w:val="auto"/>
              </w:rPr>
            </w:pPr>
            <w:r>
              <w:rPr>
                <w:rFonts w:ascii="Arial" w:cs="Arial" w:eastAsia="Arial" w:hAnsi="Arial"/>
                <w:sz w:val="22"/>
                <w:szCs w:val="22"/>
                <w:color w:val="auto"/>
                <w:w w:val="97"/>
              </w:rPr>
              <w:t>of</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center"/>
              <w:ind w:right="212"/>
              <w:spacing w:after="0" w:line="229" w:lineRule="exact"/>
              <w:rPr>
                <w:sz w:val="20"/>
                <w:szCs w:val="20"/>
                <w:color w:val="auto"/>
              </w:rPr>
            </w:pPr>
            <w:r>
              <w:rPr>
                <w:rFonts w:ascii="Arial" w:cs="Arial" w:eastAsia="Arial" w:hAnsi="Arial"/>
                <w:sz w:val="22"/>
                <w:szCs w:val="22"/>
                <w:color w:val="auto"/>
                <w:w w:val="85"/>
              </w:rPr>
              <w:t>Average</w:t>
            </w:r>
          </w:p>
        </w:tc>
      </w:tr>
      <w:tr>
        <w:trPr>
          <w:trHeight w:val="251"/>
        </w:trPr>
        <w:tc>
          <w:tcPr>
            <w:tcW w:w="7260" w:type="dxa"/>
            <w:vAlign w:val="bottom"/>
          </w:tcPr>
          <w:p>
            <w:pPr>
              <w:spacing w:after="0"/>
              <w:rPr>
                <w:sz w:val="21"/>
                <w:szCs w:val="21"/>
                <w:color w:val="auto"/>
              </w:rPr>
            </w:pPr>
          </w:p>
        </w:tc>
        <w:tc>
          <w:tcPr>
            <w:tcW w:w="2000" w:type="dxa"/>
            <w:vAlign w:val="bottom"/>
            <w:gridSpan w:val="2"/>
          </w:tcPr>
          <w:p>
            <w:pPr>
              <w:jc w:val="center"/>
              <w:ind w:right="280"/>
              <w:spacing w:after="0" w:line="251" w:lineRule="exact"/>
              <w:rPr>
                <w:sz w:val="20"/>
                <w:szCs w:val="20"/>
                <w:color w:val="auto"/>
              </w:rPr>
            </w:pPr>
            <w:r>
              <w:rPr>
                <w:rFonts w:ascii="Arial" w:cs="Arial" w:eastAsia="Arial" w:hAnsi="Arial"/>
                <w:sz w:val="22"/>
                <w:szCs w:val="22"/>
                <w:color w:val="auto"/>
                <w:w w:val="80"/>
              </w:rPr>
              <w:t>Shares</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1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1,170</w:t>
            </w:r>
          </w:p>
        </w:tc>
        <w:tc>
          <w:tcPr>
            <w:tcW w:w="2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42.75</w:t>
            </w:r>
          </w:p>
        </w:tc>
      </w:tr>
      <w:tr>
        <w:trPr>
          <w:trHeight w:val="230"/>
        </w:trPr>
        <w:tc>
          <w:tcPr>
            <w:tcW w:w="726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72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r>
      <w:tr>
        <w:trPr>
          <w:trHeight w:val="229"/>
        </w:trPr>
        <w:tc>
          <w:tcPr>
            <w:tcW w:w="726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7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(1,170)</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(42.75)</w:t>
            </w:r>
          </w:p>
        </w:tc>
      </w:tr>
      <w:tr>
        <w:trPr>
          <w:trHeight w:val="223"/>
        </w:trPr>
        <w:tc>
          <w:tcPr>
            <w:tcW w:w="726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17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400"/>
        <w:spacing w:after="0" w:line="236" w:lineRule="auto"/>
        <w:rPr>
          <w:sz w:val="20"/>
          <w:szCs w:val="20"/>
          <w:color w:val="auto"/>
        </w:rPr>
      </w:pPr>
      <w:r>
        <w:rPr>
          <w:rFonts w:ascii="Arial" w:cs="Arial" w:eastAsia="Arial" w:hAnsi="Arial"/>
          <w:sz w:val="22"/>
          <w:szCs w:val="22"/>
          <w:color w:val="auto"/>
        </w:rPr>
        <w:t>The weighted-average fair value at the date of the grant for restricted stock awards granted during the nine months ended September 30, 2022 was $42.75. There were no restricted stock awards granted during the nine months ended September 30, 2023.</w:t>
      </w:r>
    </w:p>
    <w:p>
      <w:pPr>
        <w:spacing w:after="0" w:line="185"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Three Months Ended</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center"/>
              <w:ind w:right="252"/>
              <w:spacing w:after="0"/>
              <w:rPr>
                <w:sz w:val="20"/>
                <w:szCs w:val="20"/>
                <w:color w:val="auto"/>
              </w:rPr>
            </w:pPr>
            <w:r>
              <w:rPr>
                <w:rFonts w:ascii="Arial" w:cs="Arial" w:eastAsia="Arial" w:hAnsi="Arial"/>
                <w:sz w:val="22"/>
                <w:szCs w:val="22"/>
                <w:color w:val="auto"/>
                <w:w w:val="90"/>
              </w:rPr>
              <w:t>Nine Months Ended</w:t>
            </w:r>
          </w:p>
        </w:tc>
      </w:tr>
      <w:tr>
        <w:trPr>
          <w:trHeight w:val="251"/>
        </w:trPr>
        <w:tc>
          <w:tcPr>
            <w:tcW w:w="4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00" w:type="dxa"/>
            <w:vAlign w:val="bottom"/>
            <w:tcBorders>
              <w:bottom w:val="single" w:sz="8" w:color="auto"/>
            </w:tcBorders>
            <w:gridSpan w:val="4"/>
          </w:tcPr>
          <w:p>
            <w:pPr>
              <w:jc w:val="center"/>
              <w:ind w:left="332"/>
              <w:spacing w:after="0" w:line="251" w:lineRule="exact"/>
              <w:rPr>
                <w:sz w:val="20"/>
                <w:szCs w:val="20"/>
                <w:color w:val="auto"/>
              </w:rPr>
            </w:pPr>
            <w:r>
              <w:rPr>
                <w:rFonts w:ascii="Arial" w:cs="Arial" w:eastAsia="Arial" w:hAnsi="Arial"/>
                <w:sz w:val="22"/>
                <w:szCs w:val="22"/>
                <w:color w:val="auto"/>
                <w:w w:val="87"/>
              </w:rPr>
              <w:t>September 30,</w:t>
            </w:r>
          </w:p>
        </w:tc>
        <w:tc>
          <w:tcPr>
            <w:tcW w:w="4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jc w:val="center"/>
              <w:ind w:left="572"/>
              <w:spacing w:after="0" w:line="251" w:lineRule="exact"/>
              <w:rPr>
                <w:sz w:val="20"/>
                <w:szCs w:val="20"/>
                <w:color w:val="auto"/>
              </w:rPr>
            </w:pPr>
            <w:r>
              <w:rPr>
                <w:rFonts w:ascii="Arial" w:cs="Arial" w:eastAsia="Arial" w:hAnsi="Arial"/>
                <w:sz w:val="22"/>
                <w:szCs w:val="22"/>
                <w:color w:val="auto"/>
                <w:w w:val="87"/>
              </w:rPr>
              <w:t>September 30,</w:t>
            </w:r>
          </w:p>
        </w:tc>
        <w:tc>
          <w:tcPr>
            <w:tcW w:w="1040" w:type="dxa"/>
            <w:vAlign w:val="bottom"/>
            <w:tcBorders>
              <w:bottom w:val="single" w:sz="8" w:color="auto"/>
            </w:tcBorders>
          </w:tcPr>
          <w:p>
            <w:pPr>
              <w:spacing w:after="0"/>
              <w:rPr>
                <w:sz w:val="21"/>
                <w:szCs w:val="21"/>
                <w:color w:val="auto"/>
              </w:rPr>
            </w:pPr>
          </w:p>
        </w:tc>
      </w:tr>
      <w:tr>
        <w:trPr>
          <w:trHeight w:val="223"/>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72"/>
              <w:spacing w:after="0" w:line="223" w:lineRule="exact"/>
              <w:rPr>
                <w:sz w:val="20"/>
                <w:szCs w:val="20"/>
                <w:color w:val="auto"/>
              </w:rPr>
            </w:pPr>
            <w:r>
              <w:rPr>
                <w:rFonts w:ascii="Arial" w:cs="Arial" w:eastAsia="Arial" w:hAnsi="Arial"/>
                <w:sz w:val="22"/>
                <w:szCs w:val="22"/>
                <w:color w:val="auto"/>
              </w:rPr>
              <w:t>2023</w:t>
            </w:r>
          </w:p>
        </w:tc>
        <w:tc>
          <w:tcPr>
            <w:tcW w:w="1440" w:type="dxa"/>
            <w:vAlign w:val="bottom"/>
            <w:gridSpan w:val="3"/>
          </w:tcPr>
          <w:p>
            <w:pPr>
              <w:jc w:val="right"/>
              <w:ind w:right="40"/>
              <w:spacing w:after="0" w:line="223" w:lineRule="exact"/>
              <w:rPr>
                <w:sz w:val="20"/>
                <w:szCs w:val="20"/>
                <w:color w:val="auto"/>
              </w:rPr>
            </w:pPr>
            <w:r>
              <w:rPr>
                <w:rFonts w:ascii="Arial" w:cs="Arial" w:eastAsia="Arial" w:hAnsi="Arial"/>
                <w:sz w:val="22"/>
                <w:szCs w:val="22"/>
                <w:color w:val="auto"/>
              </w:rPr>
              <w:t>2022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92"/>
              <w:spacing w:after="0" w:line="223" w:lineRule="exact"/>
              <w:rPr>
                <w:sz w:val="20"/>
                <w:szCs w:val="20"/>
                <w:color w:val="auto"/>
              </w:rPr>
            </w:pPr>
            <w:r>
              <w:rPr>
                <w:rFonts w:ascii="Arial" w:cs="Arial" w:eastAsia="Arial" w:hAnsi="Arial"/>
                <w:sz w:val="22"/>
                <w:szCs w:val="22"/>
                <w:color w:val="auto"/>
              </w:rPr>
              <w:t>2023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ind w:right="472"/>
              <w:spacing w:after="0" w:line="223" w:lineRule="exact"/>
              <w:rPr>
                <w:sz w:val="20"/>
                <w:szCs w:val="20"/>
                <w:color w:val="auto"/>
              </w:rPr>
            </w:pPr>
            <w:r>
              <w:rPr>
                <w:rFonts w:ascii="Arial" w:cs="Arial" w:eastAsia="Arial" w:hAnsi="Arial"/>
                <w:sz w:val="22"/>
                <w:szCs w:val="22"/>
                <w:color w:val="auto"/>
                <w:w w:val="89"/>
              </w:rPr>
              <w:t>2022</w:t>
            </w:r>
          </w:p>
        </w:tc>
      </w:tr>
      <w:tr>
        <w:trPr>
          <w:trHeight w:val="202"/>
        </w:trPr>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22"/>
                <w:szCs w:val="22"/>
                <w:color w:val="auto"/>
                <w:w w:val="92"/>
              </w:rPr>
              <w:t>Stock-based compensation within operations and</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51"/>
        </w:trPr>
        <w:tc>
          <w:tcPr>
            <w:tcW w:w="44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60" w:type="dxa"/>
            <w:vAlign w:val="bottom"/>
            <w:gridSpan w:val="2"/>
            <w:shd w:val="clear" w:color="auto" w:fill="CCEEFF"/>
          </w:tcPr>
          <w:p>
            <w:pPr>
              <w:jc w:val="right"/>
              <w:ind w:right="832"/>
              <w:spacing w:after="0" w:line="251" w:lineRule="exact"/>
              <w:rPr>
                <w:sz w:val="20"/>
                <w:szCs w:val="20"/>
                <w:color w:val="auto"/>
              </w:rPr>
            </w:pPr>
            <w:r>
              <w:rPr>
                <w:rFonts w:ascii="Arial" w:cs="Arial" w:eastAsia="Arial" w:hAnsi="Arial"/>
                <w:sz w:val="22"/>
                <w:szCs w:val="22"/>
                <w:color w:val="auto"/>
              </w:rPr>
              <w:t>$</w:t>
            </w:r>
          </w:p>
        </w:tc>
        <w:tc>
          <w:tcPr>
            <w:tcW w:w="1440" w:type="dxa"/>
            <w:vAlign w:val="bottom"/>
            <w:gridSpan w:val="3"/>
            <w:shd w:val="clear" w:color="auto" w:fill="CCEEFF"/>
          </w:tcPr>
          <w:p>
            <w:pPr>
              <w:ind w:left="200"/>
              <w:spacing w:after="0" w:line="251" w:lineRule="exact"/>
              <w:rPr>
                <w:sz w:val="20"/>
                <w:szCs w:val="20"/>
                <w:color w:val="auto"/>
              </w:rPr>
            </w:pPr>
            <w:r>
              <w:rPr>
                <w:rFonts w:ascii="Arial" w:cs="Arial" w:eastAsia="Arial" w:hAnsi="Arial"/>
                <w:sz w:val="22"/>
                <w:szCs w:val="22"/>
                <w:color w:val="auto"/>
              </w:rPr>
              <w:t>-  $</w:t>
            </w:r>
          </w:p>
        </w:tc>
        <w:tc>
          <w:tcPr>
            <w:tcW w:w="4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165</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46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780</w:t>
            </w:r>
          </w:p>
        </w:tc>
        <w:tc>
          <w:tcPr>
            <w:tcW w:w="560" w:type="dxa"/>
            <w:vAlign w:val="bottom"/>
            <w:shd w:val="clear" w:color="auto" w:fill="CCEEFF"/>
          </w:tcPr>
          <w:p>
            <w:pPr>
              <w:jc w:val="right"/>
              <w:ind w:right="332"/>
              <w:spacing w:after="0" w:line="251"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522</w:t>
            </w:r>
          </w:p>
        </w:tc>
      </w:tr>
      <w:tr>
        <w:trPr>
          <w:trHeight w:val="274"/>
        </w:trPr>
        <w:tc>
          <w:tcPr>
            <w:tcW w:w="4460" w:type="dxa"/>
            <w:vAlign w:val="bottom"/>
          </w:tcPr>
          <w:p>
            <w:pPr>
              <w:spacing w:after="0"/>
              <w:rPr>
                <w:sz w:val="20"/>
                <w:szCs w:val="20"/>
                <w:color w:val="auto"/>
              </w:rPr>
            </w:pPr>
            <w:r>
              <w:rPr>
                <w:rFonts w:ascii="Arial" w:cs="Arial" w:eastAsia="Arial" w:hAnsi="Arial"/>
                <w:sz w:val="22"/>
                <w:szCs w:val="22"/>
                <w:color w:val="auto"/>
              </w:rPr>
              <w:t>Income tax benefit</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ind w:left="20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22"/>
                <w:szCs w:val="22"/>
                <w:color w:val="auto"/>
              </w:rPr>
              <w:t>219</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151</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There were no stock awards granted during the three months ended 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nine months ended September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jc w:val="center"/>
              <w:ind w:right="232"/>
              <w:spacing w:after="0"/>
              <w:rPr>
                <w:sz w:val="20"/>
                <w:szCs w:val="20"/>
                <w:color w:val="auto"/>
              </w:rPr>
            </w:pPr>
            <w:r>
              <w:rPr>
                <w:rFonts w:ascii="Arial" w:cs="Arial" w:eastAsia="Arial" w:hAnsi="Arial"/>
                <w:sz w:val="22"/>
                <w:szCs w:val="22"/>
                <w:color w:val="auto"/>
                <w:w w:val="90"/>
              </w:rPr>
              <w:t>Weighted</w:t>
            </w:r>
          </w:p>
        </w:tc>
      </w:tr>
      <w:tr>
        <w:trPr>
          <w:trHeight w:val="230"/>
        </w:trPr>
        <w:tc>
          <w:tcPr>
            <w:tcW w:w="7140" w:type="dxa"/>
            <w:vAlign w:val="bottom"/>
          </w:tcPr>
          <w:p>
            <w:pPr>
              <w:spacing w:after="0"/>
              <w:rPr>
                <w:sz w:val="19"/>
                <w:szCs w:val="19"/>
                <w:color w:val="auto"/>
              </w:rPr>
            </w:pPr>
          </w:p>
        </w:tc>
        <w:tc>
          <w:tcPr>
            <w:tcW w:w="1820" w:type="dxa"/>
            <w:vAlign w:val="bottom"/>
          </w:tcPr>
          <w:p>
            <w:pPr>
              <w:jc w:val="center"/>
              <w:spacing w:after="0" w:line="229"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ind w:right="232"/>
              <w:spacing w:after="0" w:line="229" w:lineRule="exact"/>
              <w:rPr>
                <w:sz w:val="20"/>
                <w:szCs w:val="20"/>
                <w:color w:val="auto"/>
              </w:rPr>
            </w:pPr>
            <w:r>
              <w:rPr>
                <w:rFonts w:ascii="Arial" w:cs="Arial" w:eastAsia="Arial" w:hAnsi="Arial"/>
                <w:sz w:val="22"/>
                <w:szCs w:val="22"/>
                <w:color w:val="auto"/>
                <w:w w:val="87"/>
              </w:rPr>
              <w:t>Average</w:t>
            </w:r>
          </w:p>
        </w:tc>
      </w:tr>
      <w:tr>
        <w:trPr>
          <w:trHeight w:val="251"/>
        </w:trPr>
        <w:tc>
          <w:tcPr>
            <w:tcW w:w="7140" w:type="dxa"/>
            <w:vAlign w:val="bottom"/>
            <w:tcBorders>
              <w:bottom w:val="single" w:sz="8" w:color="CCEEFF"/>
            </w:tcBorders>
          </w:tcPr>
          <w:p>
            <w:pPr>
              <w:spacing w:after="0"/>
              <w:rPr>
                <w:sz w:val="21"/>
                <w:szCs w:val="21"/>
                <w:color w:val="auto"/>
              </w:rPr>
            </w:pPr>
          </w:p>
        </w:tc>
        <w:tc>
          <w:tcPr>
            <w:tcW w:w="182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9"/>
              </w:rPr>
              <w:t>Stock Awards</w:t>
            </w:r>
          </w:p>
        </w:tc>
        <w:tc>
          <w:tcPr>
            <w:tcW w:w="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32"/>
              <w:spacing w:after="0" w:line="251" w:lineRule="exact"/>
              <w:rPr>
                <w:sz w:val="20"/>
                <w:szCs w:val="20"/>
                <w:color w:val="auto"/>
              </w:rPr>
            </w:pPr>
            <w:r>
              <w:rPr>
                <w:rFonts w:ascii="Arial" w:cs="Arial" w:eastAsia="Arial" w:hAnsi="Arial"/>
                <w:sz w:val="22"/>
                <w:szCs w:val="22"/>
                <w:color w:val="auto"/>
                <w:w w:val="87"/>
              </w:rPr>
              <w:t>Fair Value</w:t>
            </w:r>
          </w:p>
        </w:tc>
      </w:tr>
      <w:tr>
        <w:trPr>
          <w:trHeight w:val="223"/>
        </w:trPr>
        <w:tc>
          <w:tcPr>
            <w:tcW w:w="71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20" w:type="dxa"/>
            <w:vAlign w:val="bottom"/>
          </w:tcPr>
          <w:p>
            <w:pPr>
              <w:jc w:val="right"/>
              <w:spacing w:after="0" w:line="229" w:lineRule="exact"/>
              <w:rPr>
                <w:sz w:val="20"/>
                <w:szCs w:val="20"/>
                <w:color w:val="auto"/>
              </w:rPr>
            </w:pPr>
            <w:r>
              <w:rPr>
                <w:rFonts w:ascii="Arial" w:cs="Arial" w:eastAsia="Arial" w:hAnsi="Arial"/>
                <w:sz w:val="22"/>
                <w:szCs w:val="22"/>
                <w:color w:val="auto"/>
              </w:rPr>
              <w:t>18,676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9" w:lineRule="exact"/>
              <w:rPr>
                <w:sz w:val="20"/>
                <w:szCs w:val="20"/>
                <w:color w:val="auto"/>
              </w:rPr>
            </w:pPr>
            <w:r>
              <w:rPr>
                <w:rFonts w:ascii="Arial" w:cs="Arial" w:eastAsia="Arial" w:hAnsi="Arial"/>
                <w:sz w:val="22"/>
                <w:szCs w:val="22"/>
                <w:color w:val="auto"/>
              </w:rPr>
              <w:t>41.78</w:t>
            </w:r>
          </w:p>
        </w:tc>
      </w:tr>
      <w:tr>
        <w:trPr>
          <w:trHeight w:val="229"/>
        </w:trPr>
        <w:tc>
          <w:tcPr>
            <w:tcW w:w="71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8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(18,676)</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(41.78)</w:t>
            </w:r>
          </w:p>
        </w:tc>
      </w:tr>
      <w:tr>
        <w:trPr>
          <w:trHeight w:val="223"/>
        </w:trPr>
        <w:tc>
          <w:tcPr>
            <w:tcW w:w="714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The weighted-average fair value at the date of grant for stock awards granted during the nine months ended September 30, 2023 and 2022 was $41.78 and $46.40,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22"/>
          <w:szCs w:val="22"/>
          <w:color w:val="auto"/>
        </w:rPr>
        <w:t>The Company maintains a qualified defined benefit pension plan (the “Pension Plan”), a nonqualified pension plan, and other postretirement benefit plans for certain of its employees.</w:t>
      </w:r>
    </w:p>
    <w:p>
      <w:pPr>
        <w:spacing w:after="0" w:line="198" w:lineRule="exact"/>
        <w:rPr>
          <w:sz w:val="20"/>
          <w:szCs w:val="20"/>
          <w:color w:val="auto"/>
        </w:rPr>
      </w:pPr>
    </w:p>
    <w:p>
      <w:pPr>
        <w:ind w:right="1000"/>
        <w:spacing w:after="0" w:line="239" w:lineRule="auto"/>
        <w:rPr>
          <w:sz w:val="20"/>
          <w:szCs w:val="20"/>
          <w:color w:val="auto"/>
        </w:rPr>
      </w:pPr>
      <w:r>
        <w:rPr>
          <w:rFonts w:ascii="Arial" w:cs="Arial" w:eastAsia="Arial" w:hAnsi="Arial"/>
          <w:sz w:val="22"/>
          <w:szCs w:val="22"/>
          <w:color w:val="auto"/>
        </w:rPr>
        <w:t>The following tables provide the components of net periodic benefit cost (credit) for the Company’s pension and other postretirement benefit plans: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center"/>
              <w:ind w:right="212"/>
              <w:spacing w:after="0"/>
              <w:rPr>
                <w:sz w:val="20"/>
                <w:szCs w:val="20"/>
                <w:color w:val="auto"/>
              </w:rPr>
            </w:pPr>
            <w:r>
              <w:rPr>
                <w:rFonts w:ascii="Arial" w:cs="Arial" w:eastAsia="Arial" w:hAnsi="Arial"/>
                <w:sz w:val="22"/>
                <w:szCs w:val="22"/>
                <w:color w:val="auto"/>
                <w:w w:val="88"/>
              </w:rPr>
              <w:t>Pension Benefits</w:t>
            </w: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66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right"/>
              <w:ind w:right="752"/>
              <w:spacing w:after="0" w:line="202" w:lineRule="exact"/>
              <w:rPr>
                <w:sz w:val="20"/>
                <w:szCs w:val="20"/>
                <w:color w:val="auto"/>
              </w:rPr>
            </w:pPr>
            <w:r>
              <w:rPr>
                <w:rFonts w:ascii="Arial" w:cs="Arial" w:eastAsia="Arial" w:hAnsi="Arial"/>
                <w:sz w:val="22"/>
                <w:szCs w:val="22"/>
                <w:color w:val="auto"/>
              </w:rPr>
              <w:t>Nine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right"/>
              <w:spacing w:after="0" w:line="251" w:lineRule="exact"/>
              <w:rPr>
                <w:sz w:val="20"/>
                <w:szCs w:val="20"/>
                <w:color w:val="auto"/>
              </w:rPr>
            </w:pPr>
            <w:r>
              <w:rPr>
                <w:rFonts w:ascii="Arial" w:cs="Arial" w:eastAsia="Arial" w:hAnsi="Arial"/>
                <w:sz w:val="22"/>
                <w:szCs w:val="22"/>
                <w:color w:val="auto"/>
              </w:rPr>
              <w:t>September 30,</w:t>
            </w: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85"/>
              </w:rPr>
              <w:t>2022</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w w:val="93"/>
              </w:rPr>
              <w:t>2022</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1,201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2,121</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4,309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3,202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12,926</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9,605</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(5,673)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(5,895)</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(17,018)</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(17,684)</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134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513</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402</w:t>
            </w:r>
          </w:p>
        </w:tc>
        <w:tc>
          <w:tcPr>
            <w:tcW w:w="20" w:type="dxa"/>
            <w:vAlign w:val="bottom"/>
          </w:tcPr>
          <w:p>
            <w:pPr>
              <w:spacing w:after="0"/>
              <w:rPr>
                <w:sz w:val="19"/>
                <w:szCs w:val="19"/>
                <w:color w:val="auto"/>
              </w:rPr>
            </w:pPr>
          </w:p>
        </w:tc>
      </w:tr>
      <w:tr>
        <w:trPr>
          <w:trHeight w:val="229"/>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435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2,428</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1,306</w:t>
            </w:r>
          </w:p>
        </w:tc>
        <w:tc>
          <w:tcPr>
            <w:tcW w:w="20" w:type="dxa"/>
            <w:vAlign w:val="bottom"/>
          </w:tcPr>
          <w:p>
            <w:pPr>
              <w:spacing w:after="0"/>
              <w:rPr>
                <w:sz w:val="19"/>
                <w:szCs w:val="19"/>
                <w:color w:val="auto"/>
              </w:rPr>
            </w:pPr>
          </w:p>
        </w:tc>
      </w:tr>
      <w:tr>
        <w:trPr>
          <w:trHeight w:val="223"/>
        </w:trPr>
        <w:tc>
          <w:tcPr>
            <w:tcW w:w="4440" w:type="dxa"/>
            <w:vAlign w:val="bottom"/>
          </w:tcPr>
          <w:p>
            <w:pPr>
              <w:spacing w:after="0" w:line="223" w:lineRule="exact"/>
              <w:rPr>
                <w:sz w:val="20"/>
                <w:szCs w:val="20"/>
                <w:color w:val="auto"/>
              </w:rPr>
            </w:pPr>
            <w:r>
              <w:rPr>
                <w:rFonts w:ascii="Arial" w:cs="Arial" w:eastAsia="Arial" w:hAnsi="Arial"/>
                <w:sz w:val="22"/>
                <w:szCs w:val="22"/>
                <w:color w:val="auto"/>
              </w:rPr>
              <w:t>Net periodic benefit cost (credit)</w:t>
            </w:r>
          </w:p>
        </w:tc>
        <w:tc>
          <w:tcPr>
            <w:tcW w:w="340" w:type="dxa"/>
            <w:vAlign w:val="bottom"/>
            <w:tcBorders>
              <w:bottom w:val="single" w:sz="8" w:color="auto"/>
            </w:tcBorders>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(1,417)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50</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(4,250)</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8"/>
        </w:trPr>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2"/>
                <w:szCs w:val="22"/>
                <w:color w:val="auto"/>
                <w:w w:val="90"/>
              </w:rPr>
              <w:t>Other</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4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jc w:val="center"/>
              <w:ind w:right="232"/>
              <w:spacing w:after="0" w:line="251" w:lineRule="exact"/>
              <w:rPr>
                <w:sz w:val="20"/>
                <w:szCs w:val="20"/>
                <w:color w:val="auto"/>
              </w:rPr>
            </w:pPr>
            <w:r>
              <w:rPr>
                <w:rFonts w:ascii="Arial" w:cs="Arial" w:eastAsia="Arial" w:hAnsi="Arial"/>
                <w:sz w:val="22"/>
                <w:szCs w:val="22"/>
                <w:color w:val="auto"/>
                <w:w w:val="89"/>
              </w:rPr>
              <w:t>Postretirement Benefits</w:t>
            </w: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6"/>
          </w:tcPr>
          <w:p>
            <w:pPr>
              <w:jc w:val="right"/>
              <w:ind w:right="54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4"/>
          </w:tcPr>
          <w:p>
            <w:pPr>
              <w:jc w:val="center"/>
              <w:ind w:right="112"/>
              <w:spacing w:after="0" w:line="202" w:lineRule="exact"/>
              <w:rPr>
                <w:sz w:val="20"/>
                <w:szCs w:val="20"/>
                <w:color w:val="auto"/>
              </w:rPr>
            </w:pPr>
            <w:r>
              <w:rPr>
                <w:rFonts w:ascii="Arial" w:cs="Arial" w:eastAsia="Arial" w:hAnsi="Arial"/>
                <w:sz w:val="22"/>
                <w:szCs w:val="22"/>
                <w:color w:val="auto"/>
                <w:w w:val="90"/>
              </w:rPr>
              <w:t>Nine Months Ended</w:t>
            </w:r>
          </w:p>
        </w:tc>
        <w:tc>
          <w:tcPr>
            <w:tcW w:w="20" w:type="dxa"/>
            <w:vAlign w:val="bottom"/>
          </w:tcPr>
          <w:p>
            <w:pPr>
              <w:spacing w:after="0"/>
              <w:rPr>
                <w:sz w:val="17"/>
                <w:szCs w:val="17"/>
                <w:color w:val="auto"/>
              </w:rPr>
            </w:pPr>
          </w:p>
        </w:tc>
      </w:tr>
      <w:tr>
        <w:trPr>
          <w:trHeight w:val="251"/>
        </w:trPr>
        <w:tc>
          <w:tcPr>
            <w:tcW w:w="4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6"/>
          </w:tcPr>
          <w:p>
            <w:pPr>
              <w:jc w:val="right"/>
              <w:ind w:right="820"/>
              <w:spacing w:after="0" w:line="251" w:lineRule="exact"/>
              <w:rPr>
                <w:sz w:val="20"/>
                <w:szCs w:val="20"/>
                <w:color w:val="auto"/>
              </w:rPr>
            </w:pPr>
            <w:r>
              <w:rPr>
                <w:rFonts w:ascii="Arial" w:cs="Arial" w:eastAsia="Arial" w:hAnsi="Arial"/>
                <w:sz w:val="22"/>
                <w:szCs w:val="22"/>
                <w:color w:val="auto"/>
              </w:rPr>
              <w:t>September 30,</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20" w:type="dxa"/>
            <w:vAlign w:val="bottom"/>
            <w:gridSpan w:val="5"/>
          </w:tcPr>
          <w:p>
            <w:pPr>
              <w:jc w:val="center"/>
              <w:ind w:right="240"/>
              <w:spacing w:after="0" w:line="251" w:lineRule="exact"/>
              <w:rPr>
                <w:sz w:val="20"/>
                <w:szCs w:val="20"/>
                <w:color w:val="auto"/>
              </w:rPr>
            </w:pPr>
            <w:r>
              <w:rPr>
                <w:rFonts w:ascii="Arial" w:cs="Arial" w:eastAsia="Arial" w:hAnsi="Arial"/>
                <w:sz w:val="22"/>
                <w:szCs w:val="22"/>
                <w:color w:val="auto"/>
                <w:w w:val="87"/>
              </w:rPr>
              <w:t>September 30,</w:t>
            </w:r>
          </w:p>
        </w:tc>
      </w:tr>
      <w:tr>
        <w:trPr>
          <w:trHeight w:val="223"/>
        </w:trPr>
        <w:tc>
          <w:tcPr>
            <w:tcW w:w="44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85"/>
              </w:rPr>
              <w:t>2022</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w w:val="93"/>
              </w:rPr>
              <w:t>2022</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40" w:type="dxa"/>
            <w:vAlign w:val="bottom"/>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478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1,011</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1,433</w:t>
            </w:r>
          </w:p>
        </w:tc>
        <w:tc>
          <w:tcPr>
            <w:tcW w:w="20" w:type="dxa"/>
            <w:vAlign w:val="bottom"/>
          </w:tcPr>
          <w:p>
            <w:pPr>
              <w:spacing w:after="0"/>
              <w:rPr>
                <w:sz w:val="19"/>
                <w:szCs w:val="19"/>
                <w:color w:val="auto"/>
              </w:rPr>
            </w:pPr>
          </w:p>
        </w:tc>
      </w:tr>
      <w:tr>
        <w:trPr>
          <w:trHeight w:val="229"/>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4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842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3,357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2,527</w:t>
            </w:r>
          </w:p>
        </w:tc>
        <w:tc>
          <w:tcPr>
            <w:tcW w:w="20" w:type="dxa"/>
            <w:vAlign w:val="bottom"/>
          </w:tcPr>
          <w:p>
            <w:pPr>
              <w:spacing w:after="0"/>
              <w:rPr>
                <w:sz w:val="19"/>
                <w:szCs w:val="19"/>
                <w:color w:val="auto"/>
              </w:rPr>
            </w:pPr>
          </w:p>
        </w:tc>
      </w:tr>
      <w:tr>
        <w:trPr>
          <w:trHeight w:val="230"/>
        </w:trPr>
        <w:tc>
          <w:tcPr>
            <w:tcW w:w="44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(1,093)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line="229" w:lineRule="exact"/>
              <w:rPr>
                <w:sz w:val="20"/>
                <w:szCs w:val="20"/>
                <w:color w:val="auto"/>
              </w:rPr>
            </w:pPr>
            <w:r>
              <w:rPr>
                <w:rFonts w:ascii="Arial" w:cs="Arial" w:eastAsia="Arial" w:hAnsi="Arial"/>
                <w:sz w:val="22"/>
                <w:szCs w:val="22"/>
                <w:color w:val="auto"/>
              </w:rPr>
              <w:t>(1,142)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(3,279)</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(3,376)</w:t>
            </w:r>
          </w:p>
        </w:tc>
        <w:tc>
          <w:tcPr>
            <w:tcW w:w="20" w:type="dxa"/>
            <w:vAlign w:val="bottom"/>
          </w:tcPr>
          <w:p>
            <w:pPr>
              <w:spacing w:after="0"/>
              <w:rPr>
                <w:sz w:val="19"/>
                <w:szCs w:val="19"/>
                <w:color w:val="auto"/>
              </w:rPr>
            </w:pP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(329)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60"/>
              <w:spacing w:after="0" w:line="229" w:lineRule="exact"/>
              <w:rPr>
                <w:sz w:val="20"/>
                <w:szCs w:val="20"/>
                <w:color w:val="auto"/>
              </w:rPr>
            </w:pPr>
            <w:r>
              <w:rPr>
                <w:rFonts w:ascii="Arial" w:cs="Arial" w:eastAsia="Arial" w:hAnsi="Arial"/>
                <w:sz w:val="22"/>
                <w:szCs w:val="22"/>
                <w:color w:val="auto"/>
              </w:rPr>
              <w:t>(334)</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line="229" w:lineRule="exact"/>
              <w:rPr>
                <w:sz w:val="20"/>
                <w:szCs w:val="20"/>
                <w:color w:val="auto"/>
              </w:rPr>
            </w:pPr>
            <w:r>
              <w:rPr>
                <w:rFonts w:ascii="Arial" w:cs="Arial" w:eastAsia="Arial" w:hAnsi="Arial"/>
                <w:sz w:val="22"/>
                <w:szCs w:val="22"/>
                <w:color w:val="auto"/>
              </w:rPr>
              <w:t>(988)</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(1,002)</w:t>
            </w:r>
          </w:p>
        </w:tc>
        <w:tc>
          <w:tcPr>
            <w:tcW w:w="20" w:type="dxa"/>
            <w:vAlign w:val="bottom"/>
          </w:tcPr>
          <w:p>
            <w:pPr>
              <w:spacing w:after="0"/>
              <w:rPr>
                <w:sz w:val="19"/>
                <w:szCs w:val="19"/>
                <w:color w:val="auto"/>
              </w:rPr>
            </w:pPr>
          </w:p>
        </w:tc>
      </w:tr>
      <w:tr>
        <w:trPr>
          <w:trHeight w:val="223"/>
        </w:trPr>
        <w:tc>
          <w:tcPr>
            <w:tcW w:w="44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periodic benefit cost (credit)</w:t>
            </w:r>
          </w:p>
        </w:tc>
        <w:tc>
          <w:tcPr>
            <w:tcW w:w="340" w:type="dxa"/>
            <w:vAlign w:val="bottom"/>
            <w:tcBorders>
              <w:top w:val="single" w:sz="8" w:color="auto"/>
              <w:bottom w:val="single" w:sz="8" w:color="auto"/>
            </w:tcBorders>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9"/>
                <w:szCs w:val="19"/>
                <w:color w:val="auto"/>
                <w:w w:val="75"/>
              </w:rPr>
              <w:t>$</w:t>
            </w:r>
          </w:p>
        </w:tc>
        <w:tc>
          <w:tcPr>
            <w:tcW w:w="8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(156)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center"/>
              <w:ind w:right="232"/>
              <w:spacing w:after="0" w:line="223" w:lineRule="exact"/>
              <w:rPr>
                <w:sz w:val="20"/>
                <w:szCs w:val="20"/>
                <w:color w:val="auto"/>
              </w:rPr>
            </w:pPr>
            <w:r>
              <w:rPr>
                <w:rFonts w:ascii="Arial" w:cs="Arial" w:eastAsia="Arial" w:hAnsi="Arial"/>
                <w:sz w:val="22"/>
                <w:szCs w:val="22"/>
                <w:color w:val="auto"/>
                <w:w w:val="81"/>
              </w:rPr>
              <w:t>$</w:t>
            </w:r>
          </w:p>
        </w:tc>
        <w:tc>
          <w:tcPr>
            <w:tcW w:w="11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(418)</w:t>
            </w:r>
          </w:p>
        </w:tc>
        <w:tc>
          <w:tcPr>
            <w:tcW w:w="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net periodic benefit cost (credit)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(credit) other than service cost in the consolidated statements of operations and comprehensive income on the line item “Other”.</w:t>
      </w:r>
    </w:p>
    <w:p>
      <w:pPr>
        <w:spacing w:after="0" w:line="152"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There were $20,343 in cash contributions made to the Pension Plan during the nine months ended September 30, 2023, which completed the Company’s expected cash contributions for the year.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jc w:val="both"/>
        <w:ind w:right="240"/>
        <w:spacing w:after="0" w:line="225" w:lineRule="auto"/>
        <w:rPr>
          <w:sz w:val="20"/>
          <w:szCs w:val="20"/>
          <w:color w:val="auto"/>
        </w:rPr>
      </w:pPr>
      <w:r>
        <w:rPr>
          <w:rFonts w:ascii="Arial" w:cs="Arial" w:eastAsia="Arial" w:hAnsi="Arial"/>
          <w:sz w:val="22"/>
          <w:szCs w:val="22"/>
          <w:color w:val="auto"/>
        </w:rPr>
        <w:t>On September 28, 2023, the Company’s regulated water and wastewater operating subsidiary in Texas, Aqua Texas, received a final order from the Public Utility Commission of Texas approving infrastructure rehabilitation surcharges designed to increase revenues by $8,388 annually. The rates authorized on March 28, 2023 and implemented on an interim basis effective April 1, 2023 did not change with the final order.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60"/>
        <w:spacing w:after="0" w:line="260" w:lineRule="auto"/>
        <w:rPr>
          <w:sz w:val="20"/>
          <w:szCs w:val="20"/>
          <w:color w:val="auto"/>
        </w:rPr>
      </w:pPr>
      <w:r>
        <w:rPr>
          <w:rFonts w:ascii="Arial" w:cs="Arial" w:eastAsia="Arial" w:hAnsi="Arial"/>
          <w:sz w:val="21"/>
          <w:szCs w:val="21"/>
          <w:color w:val="auto"/>
        </w:rPr>
        <w:t>On July 27, 2023, the Company’s regulated water and wastewater operating subsidiary in Virginia, Aqua Virginia, filed an application with the State Corporation Commission designed to increase revenues by $6,911 annually.</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 then an additional $3,743 and $4,130 in the second and third years, respectively. In February 2023, the Company had implemented interim rates, based on an estimate of the final outcome of the order, and no refunds or additional billings are required for the difference between interim and final approved rates.</w:t>
      </w:r>
    </w:p>
    <w:p>
      <w:pPr>
        <w:spacing w:after="0" w:line="170" w:lineRule="exact"/>
        <w:rPr>
          <w:sz w:val="20"/>
          <w:szCs w:val="20"/>
          <w:color w:val="auto"/>
        </w:rPr>
      </w:pPr>
    </w:p>
    <w:p>
      <w:pPr>
        <w:ind w:right="180"/>
        <w:spacing w:after="0" w:line="225" w:lineRule="auto"/>
        <w:rPr>
          <w:sz w:val="20"/>
          <w:szCs w:val="20"/>
          <w:color w:val="auto"/>
        </w:rPr>
      </w:pPr>
      <w:r>
        <w:rPr>
          <w:rFonts w:ascii="Arial" w:cs="Arial" w:eastAsia="Arial" w:hAnsi="Arial"/>
          <w:sz w:val="22"/>
          <w:szCs w:val="22"/>
          <w:color w:val="auto"/>
        </w:rPr>
        <w:t>In January 2023, the Company’s two water utility operating divisions in Ohio that are regulated by local regulatory authorities implemented base rate increases designed to increase total operating revenues on an annual basis by $1,569. Further, one of the Company’s wastewater divisions in Indiana implemented a base rate increase designed to increase operating revenues on an annual basis by $134. Lastly, during the first nine months of 2023, the Company implemented infrastructure rehabilitation surcharges designed to increase total operating revenues on an annual basis by $5,022 in its water and wastewater utility operating divisions in Pennsylvania, New Jersey, and Illinois and by $21,272 in its natural gas operating divisions in Kentucky and Pennsylvania.</w:t>
      </w:r>
    </w:p>
    <w:p>
      <w:pPr>
        <w:spacing w:after="0" w:line="203" w:lineRule="exact"/>
        <w:rPr>
          <w:sz w:val="20"/>
          <w:szCs w:val="20"/>
          <w:color w:val="auto"/>
        </w:rPr>
      </w:pPr>
    </w:p>
    <w:p>
      <w:pPr>
        <w:ind w:right="580"/>
        <w:spacing w:after="0" w:line="239" w:lineRule="auto"/>
        <w:rPr>
          <w:sz w:val="20"/>
          <w:szCs w:val="20"/>
          <w:color w:val="auto"/>
        </w:rPr>
      </w:pPr>
      <w:r>
        <w:rPr>
          <w:rFonts w:ascii="Arial" w:cs="Arial" w:eastAsia="Arial" w:hAnsi="Arial"/>
          <w:sz w:val="22"/>
          <w:szCs w:val="22"/>
          <w:color w:val="auto"/>
        </w:rPr>
        <w:t>On December 30, 2022, our regulated water and wastewater utility operating divisions in Ohio filed an application with the Public Utilities Commission of Ohio designed to increase rates by $9,816 annually.</w:t>
      </w:r>
    </w:p>
    <w:p>
      <w:pPr>
        <w:spacing w:after="0" w:line="185"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On September 21, 2022, our regulated water and wastewater utility operating divisions in Ohio received an order from the Public Utilities Commission of Ohio designed to increase operating revenues by $5,483 annually. New rates for water and sewer service went into effect on September 21, 2022.</w:t>
      </w:r>
    </w:p>
    <w:p>
      <w:pPr>
        <w:spacing w:after="0" w:line="199"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base rates increased by $104,721 since the last base rate increase and DSIC was reset to zero.</w:t>
      </w:r>
    </w:p>
    <w:p>
      <w:pPr>
        <w:spacing w:after="0" w:line="157"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jc w:val="center"/>
              <w:ind w:right="540"/>
              <w:spacing w:after="0"/>
              <w:rPr>
                <w:sz w:val="20"/>
                <w:szCs w:val="20"/>
                <w:color w:val="auto"/>
              </w:rPr>
            </w:pPr>
            <w:r>
              <w:rPr>
                <w:rFonts w:ascii="Arial" w:cs="Arial" w:eastAsia="Arial" w:hAnsi="Arial"/>
                <w:sz w:val="22"/>
                <w:szCs w:val="22"/>
                <w:color w:val="auto"/>
                <w:w w:val="88"/>
              </w:rPr>
              <w:t>Three Months Ended</w:t>
            </w:r>
          </w:p>
        </w:tc>
        <w:tc>
          <w:tcPr>
            <w:tcW w:w="360" w:type="dxa"/>
            <w:vAlign w:val="bottom"/>
          </w:tcPr>
          <w:p>
            <w:pPr>
              <w:spacing w:after="0"/>
              <w:rPr>
                <w:sz w:val="21"/>
                <w:szCs w:val="21"/>
                <w:color w:val="auto"/>
              </w:rPr>
            </w:pPr>
          </w:p>
        </w:tc>
        <w:tc>
          <w:tcPr>
            <w:tcW w:w="3100" w:type="dxa"/>
            <w:vAlign w:val="bottom"/>
            <w:gridSpan w:val="4"/>
          </w:tcPr>
          <w:p>
            <w:pPr>
              <w:jc w:val="right"/>
              <w:ind w:right="752"/>
              <w:spacing w:after="0"/>
              <w:rPr>
                <w:sz w:val="20"/>
                <w:szCs w:val="20"/>
                <w:color w:val="auto"/>
              </w:rPr>
            </w:pPr>
            <w:r>
              <w:rPr>
                <w:rFonts w:ascii="Arial" w:cs="Arial" w:eastAsia="Arial" w:hAnsi="Arial"/>
                <w:sz w:val="22"/>
                <w:szCs w:val="22"/>
                <w:color w:val="auto"/>
              </w:rPr>
              <w:t>Nine Months Ended</w:t>
            </w:r>
          </w:p>
        </w:tc>
      </w:tr>
      <w:tr>
        <w:trPr>
          <w:trHeight w:val="251"/>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0" w:type="dxa"/>
            <w:vAlign w:val="bottom"/>
            <w:gridSpan w:val="5"/>
          </w:tcPr>
          <w:p>
            <w:pPr>
              <w:jc w:val="center"/>
              <w:ind w:right="540"/>
              <w:spacing w:after="0" w:line="251" w:lineRule="exact"/>
              <w:rPr>
                <w:sz w:val="20"/>
                <w:szCs w:val="20"/>
                <w:color w:val="auto"/>
              </w:rPr>
            </w:pPr>
            <w:r>
              <w:rPr>
                <w:rFonts w:ascii="Arial" w:cs="Arial" w:eastAsia="Arial" w:hAnsi="Arial"/>
                <w:sz w:val="22"/>
                <w:szCs w:val="22"/>
                <w:color w:val="auto"/>
                <w:w w:val="87"/>
              </w:rPr>
              <w:t>September 30,</w:t>
            </w:r>
          </w:p>
        </w:tc>
        <w:tc>
          <w:tcPr>
            <w:tcW w:w="360" w:type="dxa"/>
            <w:vAlign w:val="bottom"/>
          </w:tcPr>
          <w:p>
            <w:pPr>
              <w:spacing w:after="0"/>
              <w:rPr>
                <w:sz w:val="21"/>
                <w:szCs w:val="21"/>
                <w:color w:val="auto"/>
              </w:rPr>
            </w:pPr>
          </w:p>
        </w:tc>
        <w:tc>
          <w:tcPr>
            <w:tcW w:w="2040" w:type="dxa"/>
            <w:vAlign w:val="bottom"/>
            <w:gridSpan w:val="3"/>
          </w:tcPr>
          <w:p>
            <w:pPr>
              <w:jc w:val="right"/>
              <w:spacing w:after="0" w:line="251" w:lineRule="exact"/>
              <w:rPr>
                <w:sz w:val="20"/>
                <w:szCs w:val="20"/>
                <w:color w:val="auto"/>
              </w:rPr>
            </w:pPr>
            <w:r>
              <w:rPr>
                <w:rFonts w:ascii="Arial" w:cs="Arial" w:eastAsia="Arial" w:hAnsi="Arial"/>
                <w:sz w:val="22"/>
                <w:szCs w:val="22"/>
                <w:color w:val="auto"/>
              </w:rPr>
              <w:t>September 30,</w:t>
            </w:r>
          </w:p>
        </w:tc>
        <w:tc>
          <w:tcPr>
            <w:tcW w:w="1060" w:type="dxa"/>
            <w:vAlign w:val="bottom"/>
          </w:tcPr>
          <w:p>
            <w:pPr>
              <w:spacing w:after="0"/>
              <w:rPr>
                <w:sz w:val="21"/>
                <w:szCs w:val="2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2"/>
              <w:spacing w:after="0" w:line="223" w:lineRule="exact"/>
              <w:rPr>
                <w:sz w:val="20"/>
                <w:szCs w:val="20"/>
                <w:color w:val="auto"/>
              </w:rPr>
            </w:pPr>
            <w:r>
              <w:rPr>
                <w:rFonts w:ascii="Arial" w:cs="Arial" w:eastAsia="Arial" w:hAnsi="Arial"/>
                <w:sz w:val="22"/>
                <w:szCs w:val="22"/>
                <w:color w:val="auto"/>
              </w:rPr>
              <w:t>2022</w:t>
            </w:r>
          </w:p>
        </w:tc>
        <w:tc>
          <w:tcPr>
            <w:tcW w:w="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w w:val="89"/>
              </w:rPr>
              <w:t>2022</w:t>
            </w:r>
          </w:p>
        </w:tc>
      </w:tr>
      <w:tr>
        <w:trPr>
          <w:trHeight w:val="223"/>
        </w:trPr>
        <w:tc>
          <w:tcPr>
            <w:tcW w:w="44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300" w:type="dxa"/>
            <w:vAlign w:val="bottom"/>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7,402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8,545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23,937</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24,798</w:t>
            </w:r>
          </w:p>
        </w:tc>
      </w:tr>
      <w:tr>
        <w:trPr>
          <w:trHeight w:val="230"/>
        </w:trPr>
        <w:tc>
          <w:tcPr>
            <w:tcW w:w="448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3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5,456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4,371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13,661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12,484</w:t>
            </w:r>
          </w:p>
        </w:tc>
      </w:tr>
      <w:tr>
        <w:trPr>
          <w:trHeight w:val="229"/>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Payroll</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4,901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4,695</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16,468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16,133</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3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2"/>
                <w:szCs w:val="22"/>
                <w:color w:val="auto"/>
              </w:rPr>
              <w:t>2,146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line="229" w:lineRule="exact"/>
              <w:rPr>
                <w:sz w:val="20"/>
                <w:szCs w:val="20"/>
                <w:color w:val="auto"/>
              </w:rPr>
            </w:pPr>
            <w:r>
              <w:rPr>
                <w:rFonts w:ascii="Arial" w:cs="Arial" w:eastAsia="Arial" w:hAnsi="Arial"/>
                <w:sz w:val="22"/>
                <w:szCs w:val="22"/>
                <w:color w:val="auto"/>
              </w:rPr>
              <w:t>1,486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5,544</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2"/>
                <w:szCs w:val="22"/>
                <w:color w:val="auto"/>
              </w:rPr>
              <w:t>5,063</w:t>
            </w:r>
          </w:p>
        </w:tc>
      </w:tr>
      <w:tr>
        <w:trPr>
          <w:trHeight w:val="230"/>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3,320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2,824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4,967</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6,147</w:t>
            </w:r>
          </w:p>
        </w:tc>
      </w:tr>
      <w:tr>
        <w:trPr>
          <w:trHeight w:val="229"/>
        </w:trPr>
        <w:tc>
          <w:tcPr>
            <w:tcW w:w="4480" w:type="dxa"/>
            <w:vAlign w:val="bottom"/>
            <w:tcBorders>
              <w:bottom w:val="single" w:sz="8" w:color="CCEEFF"/>
            </w:tcBorders>
          </w:tcPr>
          <w:p>
            <w:pPr>
              <w:spacing w:after="0" w:line="229" w:lineRule="exact"/>
              <w:rPr>
                <w:sz w:val="20"/>
                <w:szCs w:val="20"/>
                <w:color w:val="auto"/>
              </w:rPr>
            </w:pPr>
            <w:r>
              <w:rPr>
                <w:rFonts w:ascii="Arial" w:cs="Arial" w:eastAsia="Arial" w:hAnsi="Arial"/>
                <w:sz w:val="22"/>
                <w:szCs w:val="22"/>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982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704</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2,856</w:t>
            </w:r>
          </w:p>
        </w:tc>
        <w:tc>
          <w:tcPr>
            <w:tcW w:w="2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2,727</w:t>
            </w:r>
          </w:p>
        </w:tc>
      </w:tr>
      <w:tr>
        <w:trPr>
          <w:trHeight w:val="223"/>
        </w:trPr>
        <w:tc>
          <w:tcPr>
            <w:tcW w:w="448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taxes other than income</w:t>
            </w: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9"/>
                <w:szCs w:val="19"/>
                <w:color w:val="auto"/>
                <w:w w:val="75"/>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24,207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92"/>
              <w:spacing w:after="0" w:line="223" w:lineRule="exact"/>
              <w:rPr>
                <w:sz w:val="20"/>
                <w:szCs w:val="20"/>
                <w:color w:val="auto"/>
              </w:rPr>
            </w:pPr>
            <w:r>
              <w:rPr>
                <w:rFonts w:ascii="Arial" w:cs="Arial" w:eastAsia="Arial" w:hAnsi="Arial"/>
                <w:sz w:val="22"/>
                <w:szCs w:val="22"/>
                <w:color w:val="auto"/>
                <w:w w:val="81"/>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22,625</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32"/>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67,433</w:t>
            </w:r>
          </w:p>
        </w:tc>
        <w:tc>
          <w:tcPr>
            <w:tcW w:w="2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9"/>
                <w:szCs w:val="19"/>
                <w:color w:val="auto"/>
                <w:w w:val="75"/>
              </w:rPr>
              <w:t>$</w:t>
            </w:r>
          </w:p>
        </w:tc>
        <w:tc>
          <w:tcPr>
            <w:tcW w:w="10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67,352</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4"/>
                <w:szCs w:val="14"/>
                <w:color w:val="auto"/>
                <w:w w:val="91"/>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w w:val="91"/>
              </w:rPr>
              <w:t>September 30, 2023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September 30, 2022</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7" w:lineRule="exact"/>
              <w:rPr>
                <w:sz w:val="20"/>
                <w:szCs w:val="20"/>
                <w:color w:val="auto"/>
              </w:rPr>
            </w:pPr>
            <w:r>
              <w:rPr>
                <w:rFonts w:ascii="Arial" w:cs="Arial" w:eastAsia="Arial" w:hAnsi="Arial"/>
                <w:sz w:val="14"/>
                <w:szCs w:val="14"/>
                <w:color w:val="auto"/>
                <w:w w:val="90"/>
              </w:rPr>
              <w:t>Regulated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w w:val="97"/>
              </w:rPr>
              <w:t>Regulated</w:t>
            </w:r>
          </w:p>
        </w:tc>
        <w:tc>
          <w:tcPr>
            <w:tcW w:w="160" w:type="dxa"/>
            <w:vAlign w:val="bottom"/>
          </w:tcPr>
          <w:p>
            <w:pPr>
              <w:spacing w:after="0"/>
              <w:rPr>
                <w:sz w:val="11"/>
                <w:szCs w:val="11"/>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Water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310,591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94,798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5,866</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411,255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301,335</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ind w:left="360"/>
              <w:spacing w:after="0" w:line="155" w:lineRule="exact"/>
              <w:rPr>
                <w:sz w:val="20"/>
                <w:szCs w:val="20"/>
                <w:color w:val="auto"/>
              </w:rPr>
            </w:pPr>
            <w:r>
              <w:rPr>
                <w:rFonts w:ascii="Arial" w:cs="Arial" w:eastAsia="Arial" w:hAnsi="Arial"/>
                <w:sz w:val="14"/>
                <w:szCs w:val="14"/>
                <w:color w:val="auto"/>
                <w:w w:val="86"/>
              </w:rPr>
              <w:t>118,985</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14,298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434,618</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98,695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(1,683)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94,854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51,850</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4,657</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151,361</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Purchased gas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41,124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10,917</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52,041</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54,695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31,141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86,035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51,522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30,295</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82,730</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 (a)</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17,376</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27,762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20,323</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10,893</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58,978</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(5,161)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(651)</w:t>
            </w: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(5,812)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19,182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(12,734)</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(1,651)</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99,916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(10,064)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80,076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98,586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(17,133)</w:t>
            </w:r>
          </w:p>
        </w:tc>
        <w:tc>
          <w:tcPr>
            <w:tcW w:w="1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(12,815)</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68,638</w:t>
            </w:r>
          </w:p>
        </w:tc>
        <w:tc>
          <w:tcPr>
            <w:tcW w:w="0" w:type="dxa"/>
            <w:vAlign w:val="bottom"/>
          </w:tcPr>
          <w:p>
            <w:pPr>
              <w:spacing w:after="0"/>
              <w:rPr>
                <w:sz w:val="1"/>
                <w:szCs w:val="1"/>
                <w:color w:val="auto"/>
              </w:rPr>
            </w:pPr>
          </w:p>
        </w:tc>
      </w:tr>
      <w:tr>
        <w:trPr>
          <w:trHeight w:val="285"/>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4"/>
                <w:szCs w:val="14"/>
                <w:color w:val="auto"/>
                <w:w w:val="94"/>
              </w:rPr>
              <w:t>Nine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5"/>
          </w:tcPr>
          <w:p>
            <w:pPr>
              <w:ind w:left="360"/>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w w:val="91"/>
              </w:rPr>
              <w:t>September 30, 2023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September 30, 2022</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60"/>
              <w:spacing w:after="0" w:line="137" w:lineRule="exact"/>
              <w:rPr>
                <w:sz w:val="20"/>
                <w:szCs w:val="20"/>
                <w:color w:val="auto"/>
              </w:rPr>
            </w:pPr>
            <w:r>
              <w:rPr>
                <w:rFonts w:ascii="Arial" w:cs="Arial" w:eastAsia="Arial" w:hAnsi="Arial"/>
                <w:sz w:val="14"/>
                <w:szCs w:val="14"/>
                <w:color w:val="auto"/>
              </w:rPr>
              <w:t>Regulated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color w:val="auto"/>
              </w:rPr>
              <w:t>Consolidated</w:t>
            </w: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7" w:lineRule="exact"/>
              <w:rPr>
                <w:sz w:val="20"/>
                <w:szCs w:val="20"/>
                <w:color w:val="auto"/>
              </w:rPr>
            </w:pPr>
            <w:r>
              <w:rPr>
                <w:rFonts w:ascii="Arial" w:cs="Arial" w:eastAsia="Arial" w:hAnsi="Arial"/>
                <w:sz w:val="14"/>
                <w:szCs w:val="14"/>
                <w:color w:val="auto"/>
                <w:w w:val="90"/>
              </w:rPr>
              <w:t>Regulated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340"/>
              <w:spacing w:after="0" w:line="137" w:lineRule="exact"/>
              <w:rPr>
                <w:sz w:val="20"/>
                <w:szCs w:val="20"/>
                <w:color w:val="auto"/>
              </w:rPr>
            </w:pPr>
            <w:r>
              <w:rPr>
                <w:rFonts w:ascii="Arial" w:cs="Arial" w:eastAsia="Arial" w:hAnsi="Arial"/>
                <w:sz w:val="14"/>
                <w:szCs w:val="14"/>
                <w:color w:val="auto"/>
                <w:w w:val="97"/>
              </w:rPr>
              <w:t>Regulated</w:t>
            </w:r>
          </w:p>
        </w:tc>
        <w:tc>
          <w:tcPr>
            <w:tcW w:w="160" w:type="dxa"/>
            <w:vAlign w:val="bottom"/>
          </w:tcPr>
          <w:p>
            <w:pPr>
              <w:spacing w:after="0"/>
              <w:rPr>
                <w:sz w:val="11"/>
                <w:szCs w:val="11"/>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1"/>
                <w:szCs w:val="11"/>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color w:val="auto"/>
              </w:rPr>
              <w:t>Water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Natural Gas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Water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Operating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871,563</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675,076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27,766</w:t>
            </w: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1,574,405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809,888</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ind w:left="360"/>
              <w:spacing w:after="0" w:line="155" w:lineRule="exact"/>
              <w:rPr>
                <w:sz w:val="20"/>
                <w:szCs w:val="20"/>
                <w:color w:val="auto"/>
              </w:rPr>
            </w:pPr>
            <w:r>
              <w:rPr>
                <w:rFonts w:ascii="Arial" w:cs="Arial" w:eastAsia="Arial" w:hAnsi="Arial"/>
                <w:sz w:val="14"/>
                <w:szCs w:val="14"/>
                <w:color w:val="auto"/>
                <w:w w:val="86"/>
              </w:rPr>
              <w:t>731,897</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40,864</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1,582,649</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274,724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(4,474)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418,520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273,757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156,209</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428,923</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Purchased gas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314,838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321,822</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354,896</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161,393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93,457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255,490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150,498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89,130</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240,252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 (a)</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91,103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82,920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60,146</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166,402</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(12,529)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(15,657)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(2,145)</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(17,802)</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40,528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(44,378)</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267,345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127,400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(31,967)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362,778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235,471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133,831</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(18,997)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350,305</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493,851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377,562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3,078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874,491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382,853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335,738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719,688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60" w:firstLine="8"/>
        <w:spacing w:after="0"/>
        <w:tabs>
          <w:tab w:leader="none" w:pos="163"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80" w:type="dxa"/>
            <w:vAlign w:val="bottom"/>
          </w:tcPr>
          <w:p>
            <w:pPr>
              <w:jc w:val="right"/>
              <w:ind w:right="752"/>
              <w:spacing w:after="0"/>
              <w:rPr>
                <w:sz w:val="20"/>
                <w:szCs w:val="20"/>
                <w:color w:val="auto"/>
              </w:rPr>
            </w:pPr>
            <w:r>
              <w:rPr>
                <w:rFonts w:ascii="Arial" w:cs="Arial" w:eastAsia="Arial" w:hAnsi="Arial"/>
                <w:sz w:val="22"/>
                <w:szCs w:val="22"/>
                <w:color w:val="auto"/>
              </w:rPr>
              <w:t>September 30,</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60" w:type="dxa"/>
            <w:vAlign w:val="bottom"/>
          </w:tcPr>
          <w:p>
            <w:pPr>
              <w:jc w:val="right"/>
              <w:ind w:right="832"/>
              <w:spacing w:after="0"/>
              <w:rPr>
                <w:sz w:val="20"/>
                <w:szCs w:val="20"/>
                <w:color w:val="auto"/>
              </w:rPr>
            </w:pPr>
            <w:r>
              <w:rPr>
                <w:rFonts w:ascii="Arial" w:cs="Arial" w:eastAsia="Arial" w:hAnsi="Arial"/>
                <w:sz w:val="22"/>
                <w:szCs w:val="22"/>
                <w:color w:val="auto"/>
              </w:rPr>
              <w:t>December 31,</w:t>
            </w:r>
          </w:p>
        </w:tc>
      </w:tr>
      <w:tr>
        <w:trPr>
          <w:trHeight w:val="251"/>
        </w:trPr>
        <w:tc>
          <w:tcPr>
            <w:tcW w:w="34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right"/>
              <w:ind w:right="1172"/>
              <w:spacing w:after="0" w:line="251" w:lineRule="exact"/>
              <w:rPr>
                <w:sz w:val="20"/>
                <w:szCs w:val="20"/>
                <w:color w:val="auto"/>
              </w:rPr>
            </w:pPr>
            <w:r>
              <w:rPr>
                <w:rFonts w:ascii="Arial" w:cs="Arial" w:eastAsia="Arial" w:hAnsi="Arial"/>
                <w:sz w:val="22"/>
                <w:szCs w:val="22"/>
                <w:color w:val="auto"/>
              </w:rPr>
              <w:t>2023</w:t>
            </w:r>
          </w:p>
        </w:tc>
        <w:tc>
          <w:tcPr>
            <w:tcW w:w="3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1212"/>
              <w:spacing w:after="0" w:line="251" w:lineRule="exact"/>
              <w:rPr>
                <w:sz w:val="20"/>
                <w:szCs w:val="20"/>
                <w:color w:val="auto"/>
              </w:rPr>
            </w:pPr>
            <w:r>
              <w:rPr>
                <w:rFonts w:ascii="Arial" w:cs="Arial" w:eastAsia="Arial" w:hAnsi="Arial"/>
                <w:sz w:val="22"/>
                <w:szCs w:val="22"/>
                <w:color w:val="auto"/>
              </w:rPr>
              <w:t>2022</w:t>
            </w:r>
          </w:p>
        </w:tc>
      </w:tr>
      <w:tr>
        <w:trPr>
          <w:trHeight w:val="223"/>
        </w:trPr>
        <w:tc>
          <w:tcPr>
            <w:tcW w:w="34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assets:</w:t>
            </w: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30"/>
        </w:trPr>
        <w:tc>
          <w:tcPr>
            <w:tcW w:w="3420" w:type="dxa"/>
            <w:vAlign w:val="bottom"/>
          </w:tcPr>
          <w:p>
            <w:pPr>
              <w:ind w:left="120"/>
              <w:spacing w:after="0" w:line="229" w:lineRule="exact"/>
              <w:rPr>
                <w:sz w:val="20"/>
                <w:szCs w:val="20"/>
                <w:color w:val="auto"/>
              </w:rPr>
            </w:pPr>
            <w:r>
              <w:rPr>
                <w:rFonts w:ascii="Arial" w:cs="Arial" w:eastAsia="Arial" w:hAnsi="Arial"/>
                <w:sz w:val="22"/>
                <w:szCs w:val="22"/>
                <w:color w:val="auto"/>
              </w:rPr>
              <w:t>Regulated water</w:t>
            </w:r>
          </w:p>
        </w:tc>
        <w:tc>
          <w:tcPr>
            <w:tcW w:w="1920" w:type="dxa"/>
            <w:vAlign w:val="bottom"/>
            <w:gridSpan w:val="2"/>
          </w:tcPr>
          <w:p>
            <w:pPr>
              <w:jc w:val="right"/>
              <w:ind w:right="283"/>
              <w:spacing w:after="0" w:line="229" w:lineRule="exact"/>
              <w:rPr>
                <w:sz w:val="20"/>
                <w:szCs w:val="20"/>
                <w:color w:val="auto"/>
              </w:rPr>
            </w:pPr>
            <w:r>
              <w:rPr>
                <w:rFonts w:ascii="Arial" w:cs="Arial" w:eastAsia="Arial" w:hAnsi="Arial"/>
                <w:sz w:val="22"/>
                <w:szCs w:val="22"/>
                <w:color w:val="auto"/>
              </w:rPr>
              <w:t>$</w:t>
            </w:r>
          </w:p>
        </w:tc>
        <w:tc>
          <w:tcPr>
            <w:tcW w:w="2480" w:type="dxa"/>
            <w:vAlign w:val="bottom"/>
          </w:tcPr>
          <w:p>
            <w:pPr>
              <w:jc w:val="right"/>
              <w:spacing w:after="0" w:line="229" w:lineRule="exact"/>
              <w:rPr>
                <w:sz w:val="20"/>
                <w:szCs w:val="20"/>
                <w:color w:val="auto"/>
              </w:rPr>
            </w:pPr>
            <w:r>
              <w:rPr>
                <w:rFonts w:ascii="Arial" w:cs="Arial" w:eastAsia="Arial" w:hAnsi="Arial"/>
                <w:sz w:val="22"/>
                <w:szCs w:val="22"/>
                <w:color w:val="auto"/>
              </w:rPr>
              <w:t>9,331,307</w:t>
            </w:r>
          </w:p>
        </w:tc>
        <w:tc>
          <w:tcPr>
            <w:tcW w:w="860" w:type="dxa"/>
            <w:vAlign w:val="bottom"/>
            <w:gridSpan w:val="2"/>
          </w:tcPr>
          <w:p>
            <w:pPr>
              <w:jc w:val="right"/>
              <w:ind w:right="312"/>
              <w:spacing w:after="0" w:line="229" w:lineRule="exact"/>
              <w:rPr>
                <w:sz w:val="20"/>
                <w:szCs w:val="20"/>
                <w:color w:val="auto"/>
              </w:rPr>
            </w:pPr>
            <w:r>
              <w:rPr>
                <w:rFonts w:ascii="Arial" w:cs="Arial" w:eastAsia="Arial" w:hAnsi="Arial"/>
                <w:sz w:val="22"/>
                <w:szCs w:val="22"/>
                <w:color w:val="auto"/>
              </w:rPr>
              <w:t>$</w:t>
            </w:r>
          </w:p>
        </w:tc>
        <w:tc>
          <w:tcPr>
            <w:tcW w:w="2560" w:type="dxa"/>
            <w:vAlign w:val="bottom"/>
          </w:tcPr>
          <w:p>
            <w:pPr>
              <w:jc w:val="right"/>
              <w:spacing w:after="0" w:line="229" w:lineRule="exact"/>
              <w:rPr>
                <w:sz w:val="20"/>
                <w:szCs w:val="20"/>
                <w:color w:val="auto"/>
              </w:rPr>
            </w:pPr>
            <w:r>
              <w:rPr>
                <w:rFonts w:ascii="Arial" w:cs="Arial" w:eastAsia="Arial" w:hAnsi="Arial"/>
                <w:sz w:val="22"/>
                <w:szCs w:val="22"/>
                <w:color w:val="auto"/>
              </w:rPr>
              <w:t>8,792,633</w:t>
            </w:r>
          </w:p>
        </w:tc>
      </w:tr>
      <w:tr>
        <w:trPr>
          <w:trHeight w:val="230"/>
        </w:trPr>
        <w:tc>
          <w:tcPr>
            <w:tcW w:w="34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6,691,622</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6,528,654</w:t>
            </w:r>
          </w:p>
        </w:tc>
      </w:tr>
      <w:tr>
        <w:trPr>
          <w:trHeight w:val="229"/>
        </w:trPr>
        <w:tc>
          <w:tcPr>
            <w:tcW w:w="342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Other</w:t>
            </w:r>
          </w:p>
        </w:tc>
        <w:tc>
          <w:tcPr>
            <w:tcW w:w="14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409,864</w:t>
            </w:r>
          </w:p>
        </w:tc>
        <w:tc>
          <w:tcPr>
            <w:tcW w:w="3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397,820</w:t>
            </w:r>
          </w:p>
        </w:tc>
      </w:tr>
      <w:tr>
        <w:trPr>
          <w:trHeight w:val="223"/>
        </w:trPr>
        <w:tc>
          <w:tcPr>
            <w:tcW w:w="3420" w:type="dxa"/>
            <w:vAlign w:val="bottom"/>
            <w:tcBorders>
              <w:bottom w:val="single" w:sz="8" w:color="CCEEFF"/>
            </w:tcBorders>
            <w:shd w:val="clear" w:color="auto" w:fill="CCEEFF"/>
          </w:tcPr>
          <w:p>
            <w:pPr>
              <w:ind w:left="120"/>
              <w:spacing w:after="0" w:line="223" w:lineRule="exact"/>
              <w:rPr>
                <w:sz w:val="20"/>
                <w:szCs w:val="20"/>
                <w:color w:val="auto"/>
              </w:rPr>
            </w:pPr>
            <w:r>
              <w:rPr>
                <w:rFonts w:ascii="Arial" w:cs="Arial" w:eastAsia="Arial" w:hAnsi="Arial"/>
                <w:sz w:val="22"/>
                <w:szCs w:val="22"/>
                <w:color w:val="auto"/>
              </w:rPr>
              <w:t>Consolidated</w:t>
            </w:r>
          </w:p>
        </w:tc>
        <w:tc>
          <w:tcPr>
            <w:tcW w:w="14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9"/>
                <w:szCs w:val="19"/>
                <w:color w:val="auto"/>
                <w:w w:val="75"/>
              </w:rPr>
              <w:t>$</w:t>
            </w:r>
          </w:p>
        </w:tc>
        <w:tc>
          <w:tcPr>
            <w:tcW w:w="24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16,432,793</w:t>
            </w:r>
          </w:p>
        </w:tc>
        <w:tc>
          <w:tcPr>
            <w:tcW w:w="3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12"/>
              <w:spacing w:after="0" w:line="223" w:lineRule="exact"/>
              <w:rPr>
                <w:sz w:val="20"/>
                <w:szCs w:val="20"/>
                <w:color w:val="auto"/>
              </w:rPr>
            </w:pPr>
            <w:r>
              <w:rPr>
                <w:rFonts w:ascii="Arial" w:cs="Arial" w:eastAsia="Arial" w:hAnsi="Arial"/>
                <w:sz w:val="22"/>
                <w:szCs w:val="22"/>
                <w:color w:val="auto"/>
                <w:w w:val="81"/>
              </w:rPr>
              <w:t>$</w:t>
            </w:r>
          </w:p>
        </w:tc>
        <w:tc>
          <w:tcPr>
            <w:tcW w:w="25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15,719,107</w:t>
            </w:r>
          </w:p>
        </w:tc>
      </w:tr>
      <w:tr>
        <w:trPr>
          <w:trHeight w:val="20"/>
        </w:trPr>
        <w:tc>
          <w:tcPr>
            <w:tcW w:w="3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26"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September 30, 2023, the aggregate amount of $19,063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September 30, 2023, estimates that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approximately $1,410 of the amount accrued for these matters are probable of recovery through insurance, which amount is also reported in the Company’s consolidated balance sheet as deferred charges and other assets, net.</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During the third quarter of 2023, an amount was accrued for the penalty and other fees that will be paid as a result of a conditional settlement that was reached with the regulators. The settlement is the subject of court approval.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During the third quarter of 2022, the Company established an accrual for the amount of loss asserted in the complaint that we determined to be probable and estimable of being incurred. The Company is vigorously defending against this claim.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200" w:lineRule="exact"/>
        <w:rPr>
          <w:sz w:val="20"/>
          <w:szCs w:val="20"/>
          <w:color w:val="auto"/>
        </w:rPr>
      </w:pPr>
    </w:p>
    <w:p>
      <w:pPr>
        <w:spacing w:after="0" w:line="204" w:lineRule="exact"/>
        <w:rPr>
          <w:sz w:val="20"/>
          <w:szCs w:val="20"/>
          <w:color w:val="auto"/>
        </w:rPr>
      </w:pPr>
    </w:p>
    <w:p>
      <w:pPr>
        <w:ind w:right="300"/>
        <w:spacing w:after="0" w:line="290" w:lineRule="auto"/>
        <w:rPr>
          <w:sz w:val="20"/>
          <w:szCs w:val="20"/>
          <w:color w:val="auto"/>
        </w:rPr>
      </w:pPr>
      <w:r>
        <w:rPr>
          <w:rFonts w:ascii="Arial" w:cs="Arial" w:eastAsia="Arial" w:hAnsi="Arial"/>
          <w:sz w:val="19"/>
          <w:szCs w:val="19"/>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53"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$1,846 at September 30, 2023 and represents a reserve for unpaid claim costs, including an estimate for the cost of incurred but not reported claims.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1" w:name="page32"/>
    <w:bookmarkEnd w:id="3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5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59"/>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The Company’s effective tax rate was (4.9)% and (10.9)% for the three and nine months ended September 30, 2023, respectively. The Company’s effective tax rate was 6.5% and (1.3)% for the three and nine months ended September 30, 2022, respectively. The decreases in the effective tax rate for the third quarter and nine months ended September 30, 2023 are primarily attributed to the increase in income tax benefits associated with the tax deduction for qualifying infrastructure. In determining its interim tax provision, the Company reflects its estimated permanent and flow-through tax differences for the taxable year. The Company uses the flow-through method to account for the tax deduction for qualifying utility infrastructure at its regulated Pennsylvania and New Jersey subsidiaries.</w:t>
      </w:r>
    </w:p>
    <w:p>
      <w:pPr>
        <w:spacing w:after="0" w:line="187"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statutory Federal tax rate is 21.0% for the nine months ended September 30, 2023 and 2022. For states with a corporate net income tax, the state corporate net income tax rates range from 2.5% to 9.99% for all periods presented. 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in the year ended December 31, 2022, a reduction to our deferred tax liabilities of $244,537 with a corresponding reduction primarily to our regulatory assets.</w:t>
      </w:r>
    </w:p>
    <w:p>
      <w:pPr>
        <w:spacing w:after="0" w:line="159"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is evaluating the safe harbor and intends to adopt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as the accounting treatment is expected to be determined in the next rate case.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adopted this guidance effective January 1, 2023, and will apply it prospectively to business combinations occurring on or after that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32" w:name="page33"/>
    <w:bookmarkEnd w:id="32"/>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202" w:lineRule="exact"/>
        <w:rPr>
          <w:sz w:val="20"/>
          <w:szCs w:val="20"/>
          <w:color w:val="auto"/>
        </w:rPr>
      </w:pPr>
    </w:p>
    <w:p>
      <w:pPr>
        <w:jc w:val="center"/>
        <w:ind w:right="40"/>
        <w:spacing w:after="0" w:line="282" w:lineRule="auto"/>
        <w:rPr>
          <w:sz w:val="20"/>
          <w:szCs w:val="20"/>
          <w:color w:val="auto"/>
        </w:rPr>
      </w:pPr>
      <w:r>
        <w:rPr>
          <w:rFonts w:ascii="Arial" w:cs="Arial" w:eastAsia="Arial" w:hAnsi="Arial"/>
          <w:sz w:val="19"/>
          <w:szCs w:val="19"/>
          <w:color w:val="auto"/>
        </w:rPr>
        <w:t>MANAGEMENT’S DISCUSSION AND ANALYSIS OF FINANCIAL CONDITION AND RESULTS OF OPERATIONS (In thousands of dollars, except per share amounts)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changes in capital requirements and funding, our ability to close acquisitions, changes to the capital markets, the COVID-19 pandemic, and our ability to assimilate acquired operations, as well as those risks, uncertainties and other factors discussed in our Annual Report on Form 10-K for the fiscal year ended December 31, 2022, and the Form 10-Q for the quarter ended March 31, 2023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Information</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21"/>
          <w:szCs w:val="21"/>
          <w:color w:val="auto"/>
        </w:rPr>
        <w:t>Essential Utilities, Inc. (“we”, “us”, “our” or the “Company”), a Pennsylvania corporation, is the holding company for regulated utilities providing water, wastewater, or natural gas services to an estimated 5.5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3" w:name="page34"/>
    <w:bookmarkEnd w:id="33"/>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On March 16, 2020, we completed the Peoples Gas Acquisition, a natural gas distribution utility, expanding the Company’s regulated utility business to include natural gas.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During the fourth quarter of 2022, the Company signed an agreement to sell its regulated natural gas utility assets in West Virginia, which represented approximately two percent of the Company’s regulated natural gas customers. The sale closed on October 1, 2023 for an estimated purchase price of $39,965, subject to working capital and other adjustments. In October 2023, the Company entered into an agreement to sell its interest in three non-utility local microgrid and distributed energy projects. The sale is expected to be completed in late 2023 or early 2024. These transactions are consistent with the Company’s long-term strategy of focusing on its core business and will allow the Company to prioritize the growth of its utilities in states where it has scale. The Company intends to use the proceeds from these transactions to finance its capital expenditures and water and wastewater acquisitions, in place of external funding from equity and debt issuances.</w:t>
      </w:r>
    </w:p>
    <w:p>
      <w:pPr>
        <w:spacing w:after="0" w:line="163" w:lineRule="exact"/>
        <w:rPr>
          <w:sz w:val="20"/>
          <w:szCs w:val="20"/>
          <w:color w:val="auto"/>
        </w:rPr>
      </w:pPr>
    </w:p>
    <w:p>
      <w:pPr>
        <w:ind w:right="60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Recent Developments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Macroeconomic Factors</w:t>
      </w:r>
    </w:p>
    <w:p>
      <w:pPr>
        <w:spacing w:after="0" w:line="206" w:lineRule="exact"/>
        <w:rPr>
          <w:sz w:val="20"/>
          <w:szCs w:val="20"/>
          <w:color w:val="auto"/>
        </w:rPr>
      </w:pPr>
    </w:p>
    <w:p>
      <w:pPr>
        <w:ind w:right="40"/>
        <w:spacing w:after="0" w:line="237" w:lineRule="auto"/>
        <w:rPr>
          <w:sz w:val="20"/>
          <w:szCs w:val="20"/>
          <w:color w:val="auto"/>
        </w:rPr>
      </w:pPr>
      <w:r>
        <w:rPr>
          <w:rFonts w:ascii="Arial" w:cs="Arial" w:eastAsia="Arial" w:hAnsi="Arial"/>
          <w:sz w:val="21"/>
          <w:szCs w:val="21"/>
          <w:color w:val="auto"/>
        </w:rPr>
        <w:t>Macroeconomic factors and uncertainties continue to affect the overall business climate as well as our business. Inflation, higher interest rates, higher insurance costs due to market conditions, and supply chain pressures resulted in an increase in our operating and capital spending requirements in 2022 and 2023 to date, which we expect to continue through the remainder of 2023 and into 2024.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Environmental Compliance</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100"/>
        <w:spacing w:after="0" w:line="229" w:lineRule="auto"/>
        <w:rPr>
          <w:sz w:val="20"/>
          <w:szCs w:val="20"/>
          <w:color w:val="auto"/>
        </w:rPr>
      </w:pPr>
      <w:r>
        <w:rPr>
          <w:rFonts w:ascii="Arial" w:cs="Arial" w:eastAsia="Arial" w:hAnsi="Arial"/>
          <w:sz w:val="22"/>
          <w:szCs w:val="22"/>
          <w:color w:val="auto"/>
        </w:rPr>
        <w:t>On March 14, 2023, the U.S. Environmental Protection Agency (“EPA”) announced the proposed National Primary Drinking Water Regulation (“NPDWR”) for the treatment of six per- and polyfluoroalkyl substances or compounds (“PFAS”). The Company submitted comments on the NPDWR, which would establish legally enforceable levels for PFAS in drinking water. It is expected that the EPA will finalize the regulation by the end of 2023 or early 2024. The Company will be provided a three-year window to comply with the NPDWR, and the Safe Drinking Water Act allows for an additional potential for a two-year extension at the state level (the “Compliance Period”).</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We expect that the regulation, once finalized, will result in changes to or addition of certain treatment processes that will require increased capital expenditures and operating expenses. The Company performed its initial analysis of the NPDWR and estimates an investment of approximately $450,000 of capital expenditures to install additional treatment facilities over the Compliance Period in order to comply with the proposed NPDWR. Additionally, the Company estimates annual operating expenses of approximately five percent of the installed capital expenditures, in today’s dollars, related to testing, treatment, and disposal. These are preliminary estimates and actual capital expenditures and expenses may differ based upon a variety of factors, including supply chain issues and a site-by-site analysis. 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 The Company is also monitoring ongoing litigation and settlement activity with manufacturers of PFAS in these proceedings, including deadlines set in the multi-district litigation on December 4, 2023 and December 11, 2023 for water utilities, including the Company, to opt out of proposed class action settlements with certain of such manufacturers. For more information, see Part II, Item 1—Legal Proceedings.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20" w:lineRule="exact"/>
        <w:rPr>
          <w:sz w:val="20"/>
          <w:szCs w:val="20"/>
          <w:color w:val="auto"/>
        </w:rPr>
      </w:pPr>
    </w:p>
    <w:p>
      <w:pPr>
        <w:ind w:right="160"/>
        <w:spacing w:after="0" w:line="232" w:lineRule="auto"/>
        <w:rPr>
          <w:sz w:val="20"/>
          <w:szCs w:val="20"/>
          <w:color w:val="auto"/>
        </w:rPr>
      </w:pPr>
      <w:r>
        <w:rPr>
          <w:rFonts w:ascii="Arial" w:cs="Arial" w:eastAsia="Arial" w:hAnsi="Arial"/>
          <w:sz w:val="21"/>
          <w:szCs w:val="21"/>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$804,569 for the first nine months of 2023, compared to $519,159 for the first nine months of 2022. The net change in working capital and other assets and liabilities resulted in an increase in cash from operations of $221,419 for the first nine months of 2023 compared to a decrease of $64,120 for the first nine months of 2022. The change in working capital in 2023 was primarily driven by the year over year decrease in accounts receivable, unbilled revenues and deferred purchased gas cost balances, and most significantly in gas inventory, as a result of lower gas prices in the current period as compared with the prior period for our Regulated Natural Gas segment.</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21"/>
          <w:szCs w:val="21"/>
          <w:color w:val="auto"/>
        </w:rPr>
        <w:t>During the first nine months of 2023, we incurred $874,491 of capital expenditures, expended $45,303 for the acquisition of a wastewater utility system, issued $681,203 of long-term debt, repaid short-term debt, and made sinking fund contributions and other long-term debt repayments in aggregate of $667,302.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were used for capital expenditures, repayment of existing indebtedness, general corporate purposes, and acquisitions. Cash flows used in financing activities were higher during the first nine months of 2023 principally as a result of a greater amount for the paydown of loans payable associated with the financing of inventory.</w:t>
      </w:r>
    </w:p>
    <w:p>
      <w:pPr>
        <w:spacing w:after="0" w:line="198" w:lineRule="exact"/>
        <w:rPr>
          <w:sz w:val="20"/>
          <w:szCs w:val="20"/>
          <w:color w:val="auto"/>
        </w:rPr>
      </w:pPr>
    </w:p>
    <w:p>
      <w:pPr>
        <w:jc w:val="both"/>
        <w:ind w:right="40"/>
        <w:spacing w:after="0" w:line="282" w:lineRule="auto"/>
        <w:rPr>
          <w:sz w:val="20"/>
          <w:szCs w:val="20"/>
          <w:color w:val="auto"/>
        </w:rPr>
      </w:pPr>
      <w:r>
        <w:rPr>
          <w:rFonts w:ascii="Arial" w:cs="Arial" w:eastAsia="Arial" w:hAnsi="Arial"/>
          <w:sz w:val="19"/>
          <w:szCs w:val="19"/>
          <w:color w:val="auto"/>
        </w:rPr>
        <w:t>In August 2023, the Company’s subsidiary, Aqua Pennsylvania, issued $225,000 in aggregate principal amount of first mortgage bonds. The bonds consisted of $175,000 of 5.48% first mortgage bonds due in 2053; and $50,000 of 5.56% first mortgage bonds due in 2061. The proceeds from these bonds were used to repay existing indebtedness and for general corporate purposes.</w:t>
      </w:r>
    </w:p>
    <w:p>
      <w:pPr>
        <w:spacing w:after="0" w:line="161" w:lineRule="exact"/>
        <w:rPr>
          <w:sz w:val="20"/>
          <w:szCs w:val="20"/>
          <w:color w:val="auto"/>
        </w:rPr>
      </w:pPr>
    </w:p>
    <w:p>
      <w:pPr>
        <w:ind w:right="280"/>
        <w:spacing w:after="0" w:line="231" w:lineRule="auto"/>
        <w:rPr>
          <w:sz w:val="20"/>
          <w:szCs w:val="20"/>
          <w:color w:val="auto"/>
        </w:rPr>
      </w:pPr>
      <w:r>
        <w:rPr>
          <w:rFonts w:ascii="Arial" w:cs="Arial" w:eastAsia="Arial" w:hAnsi="Arial"/>
          <w:sz w:val="22"/>
          <w:szCs w:val="22"/>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201"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As of December 31, 2022, the Company had issued 1,321,994 shares of common stock for net proceeds of $63,040 under the ATM. During the three and nine months ended September 30, 2023, the Company sold 8,539,711 and 8,938,839 shares of common stock, in exchange for net proceeds of $303,689 and $322,983, respectively, under the ATM. As of September 30, 2023, approximately $110,000 remained available for sale under the ATM. The Company used the net proceeds from the sales of shares through the ATM for working capital, capital expenditures, water and wastewater utility acquisitions, and repaying outstanding indebtedness.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66"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At September 30, 2023, we had $8,505 of cash and cash equivalents compared to $11,398 at December 31, 2022. During the first nine months of 2023, we used the proceeds from long-term debt and the issuance of common stock, as well as internally generated funds to fund the cash requirements discussed above and to pay dividends.</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At September 30, 2023 our $1,000,000 unsecured revolving credit facility, which expires in December 2027, had $635,664 available for borrowing. Additionally, at September 30, 2023, we had short-term lines of credit of $435,500, primarily used for working capital, of which $303,668 was available for borrowing. On June 29, 2023, Aqua Pennsylvania and Peoples Natural Gas Companies amended the terms of its respective $100,000 and $300,000 364-day revolving credit agreements by extending the maturity dates to June 27, 2024 and updated the adjustment on the Bloomberg Short-Term Bank Yield Index (BSBY) floating rate. Our short-term lines of credit of $435,500 are subject to renewal on an annual basis. Although we believe we will be able to renew these facilities, there is no assurance that they will be renewed, or what the terms of any such renewal will be.</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As of September 30, 2023, our credit ratings remained at investment grade levels. On July 12, 2023, S&amp;P affirmed an A issuer credit rating for the Company, Aqua Pennsylvania, and Peoples Natural Gas Companies, and revised its outlook from stable to negative for the companies, citing weakening financial measures as a result of inflationary pressures and our significant capital spending.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August 29, 2023, Moody’s Investors Service (“Moody’s”) affirmed the Company’s senior unsecured notes rating of Baa2 and stable outlook; and, affirmed Peoples Natural Gas Companies’ senior secured notes rating of Baa1 and revised its outlook from stable to negative.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Consolidated financial and operational highlights for the periods ended September 30, 2023 and 2022 are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color w:val="auto"/>
                <w:w w:val="99"/>
              </w:rPr>
              <w:t>Three Months Ended September 30,</w:t>
            </w:r>
          </w:p>
        </w:tc>
        <w:tc>
          <w:tcPr>
            <w:tcW w:w="100" w:type="dxa"/>
            <w:vAlign w:val="bottom"/>
          </w:tcPr>
          <w:p>
            <w:pPr>
              <w:spacing w:after="0"/>
              <w:rPr>
                <w:sz w:val="17"/>
                <w:szCs w:val="17"/>
                <w:color w:val="auto"/>
              </w:rPr>
            </w:pPr>
          </w:p>
        </w:tc>
        <w:tc>
          <w:tcPr>
            <w:tcW w:w="2700" w:type="dxa"/>
            <w:vAlign w:val="bottom"/>
            <w:gridSpan w:val="4"/>
          </w:tcPr>
          <w:p>
            <w:pPr>
              <w:jc w:val="right"/>
              <w:ind w:right="50"/>
              <w:spacing w:after="0"/>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3"/>
        </w:trPr>
        <w:tc>
          <w:tcPr>
            <w:tcW w:w="53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411,255</w:t>
            </w: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434,618</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1,574,405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1,582,649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147,018</w:t>
            </w:r>
          </w:p>
        </w:tc>
        <w:tc>
          <w:tcPr>
            <w:tcW w:w="2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151,361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418,520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428,923</w:t>
            </w:r>
          </w:p>
        </w:tc>
        <w:tc>
          <w:tcPr>
            <w:tcW w:w="0" w:type="dxa"/>
            <w:vAlign w:val="bottom"/>
          </w:tcPr>
          <w:p>
            <w:pPr>
              <w:spacing w:after="0"/>
              <w:rPr>
                <w:sz w:val="1"/>
                <w:szCs w:val="1"/>
                <w:color w:val="auto"/>
              </w:rPr>
            </w:pPr>
          </w:p>
        </w:tc>
      </w:tr>
      <w:tr>
        <w:trPr>
          <w:trHeight w:val="169"/>
        </w:trPr>
        <w:tc>
          <w:tcPr>
            <w:tcW w:w="5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Purchased gas</w:t>
            </w: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16,590</w:t>
            </w:r>
          </w:p>
        </w:tc>
        <w:tc>
          <w:tcPr>
            <w:tcW w:w="2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52,041</w:t>
            </w: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314,838</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354,896</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8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80,076</w:t>
            </w:r>
          </w:p>
        </w:tc>
        <w:tc>
          <w:tcPr>
            <w:tcW w:w="20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68,638</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362,778</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350,305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Operating Statistics</w:t>
            </w:r>
          </w:p>
        </w:tc>
        <w:tc>
          <w:tcPr>
            <w:tcW w:w="1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Selected operating results as a percentage of operating revenues:</w:t>
            </w:r>
          </w:p>
        </w:tc>
        <w:tc>
          <w:tcPr>
            <w:tcW w:w="16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9"/>
        </w:trPr>
        <w:tc>
          <w:tcPr>
            <w:tcW w:w="528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680" w:type="dxa"/>
            <w:vAlign w:val="bottom"/>
          </w:tcPr>
          <w:p>
            <w:pPr>
              <w:jc w:val="center"/>
              <w:spacing w:after="0" w:line="189" w:lineRule="exact"/>
              <w:rPr>
                <w:sz w:val="20"/>
                <w:szCs w:val="20"/>
                <w:color w:val="auto"/>
              </w:rPr>
            </w:pPr>
            <w:r>
              <w:rPr>
                <w:rFonts w:ascii="Arial" w:cs="Arial" w:eastAsia="Arial" w:hAnsi="Arial"/>
                <w:sz w:val="18"/>
                <w:szCs w:val="18"/>
                <w:color w:val="auto"/>
                <w:w w:val="90"/>
              </w:rPr>
              <w:t>35.7%</w:t>
            </w:r>
          </w:p>
        </w:tc>
        <w:tc>
          <w:tcPr>
            <w:tcW w:w="15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0"/>
              </w:rPr>
              <w:t>34.8%</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3"/>
              </w:rPr>
              <w:t>26.6%</w:t>
            </w:r>
          </w:p>
        </w:tc>
        <w:tc>
          <w:tcPr>
            <w:tcW w:w="128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0"/>
              </w:rPr>
              <w:t>27.1%</w:t>
            </w:r>
          </w:p>
        </w:tc>
      </w:tr>
      <w:tr>
        <w:trPr>
          <w:trHeight w:val="189"/>
        </w:trPr>
        <w:tc>
          <w:tcPr>
            <w:tcW w:w="52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Purchased gas</w:t>
            </w: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4.0%</w:t>
            </w:r>
          </w:p>
        </w:tc>
        <w:tc>
          <w:tcPr>
            <w:tcW w:w="152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0"/>
              </w:rPr>
              <w:t>12.0%</w:t>
            </w:r>
          </w:p>
        </w:tc>
        <w:tc>
          <w:tcPr>
            <w:tcW w:w="1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20.0%</w:t>
            </w:r>
          </w:p>
        </w:tc>
        <w:tc>
          <w:tcPr>
            <w:tcW w:w="1280" w:type="dxa"/>
            <w:vAlign w:val="bottom"/>
            <w:shd w:val="clear" w:color="auto" w:fill="CCEEFF"/>
          </w:tcPr>
          <w:p>
            <w:pPr>
              <w:jc w:val="center"/>
              <w:ind w:left="130"/>
              <w:spacing w:after="0" w:line="189" w:lineRule="exact"/>
              <w:rPr>
                <w:sz w:val="20"/>
                <w:szCs w:val="20"/>
                <w:color w:val="auto"/>
              </w:rPr>
            </w:pPr>
            <w:r>
              <w:rPr>
                <w:rFonts w:ascii="Arial" w:cs="Arial" w:eastAsia="Arial" w:hAnsi="Arial"/>
                <w:sz w:val="18"/>
                <w:szCs w:val="18"/>
                <w:color w:val="auto"/>
                <w:w w:val="90"/>
              </w:rPr>
              <w:t>22.4%</w:t>
            </w:r>
          </w:p>
        </w:tc>
      </w:tr>
      <w:tr>
        <w:trPr>
          <w:trHeight w:val="189"/>
        </w:trPr>
        <w:tc>
          <w:tcPr>
            <w:tcW w:w="528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center"/>
              <w:spacing w:after="0" w:line="189" w:lineRule="exact"/>
              <w:rPr>
                <w:sz w:val="20"/>
                <w:szCs w:val="20"/>
                <w:color w:val="auto"/>
              </w:rPr>
            </w:pPr>
            <w:r>
              <w:rPr>
                <w:rFonts w:ascii="Arial" w:cs="Arial" w:eastAsia="Arial" w:hAnsi="Arial"/>
                <w:sz w:val="18"/>
                <w:szCs w:val="18"/>
                <w:color w:val="auto"/>
                <w:w w:val="90"/>
              </w:rPr>
              <w:t>20.9%</w:t>
            </w:r>
          </w:p>
        </w:tc>
        <w:tc>
          <w:tcPr>
            <w:tcW w:w="15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0"/>
              </w:rPr>
              <w:t>19.0%</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3"/>
              </w:rPr>
              <w:t>16.2%</w:t>
            </w:r>
          </w:p>
        </w:tc>
        <w:tc>
          <w:tcPr>
            <w:tcW w:w="128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0"/>
              </w:rPr>
              <w:t>15.2%</w:t>
            </w:r>
          </w:p>
        </w:tc>
      </w:tr>
      <w:tr>
        <w:trPr>
          <w:trHeight w:val="189"/>
        </w:trPr>
        <w:tc>
          <w:tcPr>
            <w:tcW w:w="52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5.9%</w:t>
            </w:r>
          </w:p>
        </w:tc>
        <w:tc>
          <w:tcPr>
            <w:tcW w:w="152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2"/>
              </w:rPr>
              <w:t>5.2%</w:t>
            </w:r>
          </w:p>
        </w:tc>
        <w:tc>
          <w:tcPr>
            <w:tcW w:w="1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4.3%</w:t>
            </w:r>
          </w:p>
        </w:tc>
        <w:tc>
          <w:tcPr>
            <w:tcW w:w="1280" w:type="dxa"/>
            <w:vAlign w:val="bottom"/>
            <w:shd w:val="clear" w:color="auto" w:fill="CCEEFF"/>
          </w:tcPr>
          <w:p>
            <w:pPr>
              <w:jc w:val="center"/>
              <w:ind w:left="130"/>
              <w:spacing w:after="0" w:line="189" w:lineRule="exact"/>
              <w:rPr>
                <w:sz w:val="20"/>
                <w:szCs w:val="20"/>
                <w:color w:val="auto"/>
              </w:rPr>
            </w:pPr>
            <w:r>
              <w:rPr>
                <w:rFonts w:ascii="Arial" w:cs="Arial" w:eastAsia="Arial" w:hAnsi="Arial"/>
                <w:sz w:val="18"/>
                <w:szCs w:val="18"/>
                <w:color w:val="auto"/>
                <w:w w:val="92"/>
              </w:rPr>
              <w:t>4.3%</w:t>
            </w:r>
          </w:p>
        </w:tc>
      </w:tr>
      <w:tr>
        <w:trPr>
          <w:trHeight w:val="189"/>
        </w:trPr>
        <w:tc>
          <w:tcPr>
            <w:tcW w:w="528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1680" w:type="dxa"/>
            <w:vAlign w:val="bottom"/>
          </w:tcPr>
          <w:p>
            <w:pPr>
              <w:jc w:val="center"/>
              <w:spacing w:after="0" w:line="189" w:lineRule="exact"/>
              <w:rPr>
                <w:sz w:val="20"/>
                <w:szCs w:val="20"/>
                <w:color w:val="auto"/>
              </w:rPr>
            </w:pPr>
            <w:r>
              <w:rPr>
                <w:rFonts w:ascii="Arial" w:cs="Arial" w:eastAsia="Arial" w:hAnsi="Arial"/>
                <w:sz w:val="18"/>
                <w:szCs w:val="18"/>
                <w:color w:val="auto"/>
                <w:w w:val="90"/>
              </w:rPr>
              <w:t>16.4%</w:t>
            </w:r>
          </w:p>
        </w:tc>
        <w:tc>
          <w:tcPr>
            <w:tcW w:w="15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0"/>
              </w:rPr>
              <w:t>13.6%</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3"/>
              </w:rPr>
              <w:t>13.2%</w:t>
            </w:r>
          </w:p>
        </w:tc>
        <w:tc>
          <w:tcPr>
            <w:tcW w:w="128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90"/>
              </w:rPr>
              <w:t>10.5%</w:t>
            </w:r>
          </w:p>
        </w:tc>
      </w:tr>
      <w:tr>
        <w:trPr>
          <w:trHeight w:val="189"/>
        </w:trPr>
        <w:tc>
          <w:tcPr>
            <w:tcW w:w="52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19.5%</w:t>
            </w:r>
          </w:p>
        </w:tc>
        <w:tc>
          <w:tcPr>
            <w:tcW w:w="152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0"/>
              </w:rPr>
              <w:t>15.8%</w:t>
            </w:r>
          </w:p>
        </w:tc>
        <w:tc>
          <w:tcPr>
            <w:tcW w:w="1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23.0%</w:t>
            </w:r>
          </w:p>
        </w:tc>
        <w:tc>
          <w:tcPr>
            <w:tcW w:w="1280" w:type="dxa"/>
            <w:vAlign w:val="bottom"/>
            <w:shd w:val="clear" w:color="auto" w:fill="CCEEFF"/>
          </w:tcPr>
          <w:p>
            <w:pPr>
              <w:jc w:val="center"/>
              <w:ind w:left="130"/>
              <w:spacing w:after="0" w:line="189" w:lineRule="exact"/>
              <w:rPr>
                <w:sz w:val="20"/>
                <w:szCs w:val="20"/>
                <w:color w:val="auto"/>
              </w:rPr>
            </w:pPr>
            <w:r>
              <w:rPr>
                <w:rFonts w:ascii="Arial" w:cs="Arial" w:eastAsia="Arial" w:hAnsi="Arial"/>
                <w:sz w:val="18"/>
                <w:szCs w:val="18"/>
                <w:color w:val="auto"/>
                <w:w w:val="90"/>
              </w:rPr>
              <w:t>22.1%</w:t>
            </w:r>
          </w:p>
        </w:tc>
      </w:tr>
      <w:tr>
        <w:trPr>
          <w:trHeight w:val="189"/>
        </w:trPr>
        <w:tc>
          <w:tcPr>
            <w:tcW w:w="5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16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-4.9%</w:t>
            </w:r>
          </w:p>
        </w:tc>
        <w:tc>
          <w:tcPr>
            <w:tcW w:w="1520" w:type="dxa"/>
            <w:vAlign w:val="bottom"/>
            <w:shd w:val="clear" w:color="auto" w:fill="CCEEFF"/>
          </w:tcPr>
          <w:p>
            <w:pPr>
              <w:jc w:val="center"/>
              <w:ind w:left="10"/>
              <w:spacing w:after="0" w:line="189" w:lineRule="exact"/>
              <w:rPr>
                <w:sz w:val="20"/>
                <w:szCs w:val="20"/>
                <w:color w:val="auto"/>
              </w:rPr>
            </w:pPr>
            <w:r>
              <w:rPr>
                <w:rFonts w:ascii="Arial" w:cs="Arial" w:eastAsia="Arial" w:hAnsi="Arial"/>
                <w:sz w:val="18"/>
                <w:szCs w:val="18"/>
                <w:color w:val="auto"/>
                <w:w w:val="92"/>
              </w:rPr>
              <w:t>6.5%</w:t>
            </w:r>
          </w:p>
        </w:tc>
        <w:tc>
          <w:tcPr>
            <w:tcW w:w="14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-10.9%</w:t>
            </w:r>
          </w:p>
        </w:tc>
        <w:tc>
          <w:tcPr>
            <w:tcW w:w="1280" w:type="dxa"/>
            <w:vAlign w:val="bottom"/>
            <w:shd w:val="clear" w:color="auto" w:fill="CCEEFF"/>
          </w:tcPr>
          <w:p>
            <w:pPr>
              <w:jc w:val="center"/>
              <w:ind w:left="110"/>
              <w:spacing w:after="0" w:line="189" w:lineRule="exact"/>
              <w:rPr>
                <w:sz w:val="20"/>
                <w:szCs w:val="20"/>
                <w:color w:val="auto"/>
              </w:rPr>
            </w:pPr>
            <w:r>
              <w:rPr>
                <w:rFonts w:ascii="Arial" w:cs="Arial" w:eastAsia="Arial" w:hAnsi="Arial"/>
                <w:sz w:val="18"/>
                <w:szCs w:val="18"/>
                <w:color w:val="auto"/>
                <w:w w:val="93"/>
              </w:rPr>
              <w:t>-1.3%</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September 30, 2023 compared with three months ended September 30, 2022</w:t>
      </w:r>
    </w:p>
    <w:p>
      <w:pPr>
        <w:spacing w:after="0" w:line="220"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Consolidated operating revenues decreased by $23,363 or 5.4% as compared to the same period in 2022. Revenues from our Regulated Water segment increased by $9,256. Revenues from our Regulated Natural Gas segment and Other business segment decreased by $24,187 and $8,432, respectively. A detailed discussion of the factors contributing to the changes in segment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expense decreased by $4,343 or 2.9%, primarily due to:</w:t>
      </w:r>
    </w:p>
    <w:p>
      <w:pPr>
        <w:spacing w:after="0" w:line="206" w:lineRule="exact"/>
        <w:rPr>
          <w:sz w:val="20"/>
          <w:szCs w:val="20"/>
          <w:color w:val="auto"/>
        </w:rPr>
      </w:pPr>
    </w:p>
    <w:p>
      <w:pPr>
        <w:ind w:left="340" w:right="340"/>
        <w:spacing w:after="0" w:line="232" w:lineRule="auto"/>
        <w:rPr>
          <w:sz w:val="20"/>
          <w:szCs w:val="20"/>
          <w:color w:val="auto"/>
        </w:rPr>
      </w:pPr>
      <w:r>
        <w:rPr>
          <w:rFonts w:ascii="Arial" w:cs="Arial" w:eastAsia="Arial" w:hAnsi="Arial"/>
          <w:sz w:val="22"/>
          <w:szCs w:val="22"/>
          <w:color w:val="auto"/>
        </w:rPr>
        <w:t>decrease in customer assistance surcharge costs of $2,044 in our Regulated Natural Gas segment, which has an equivalent offsetting amount in revenues;</w:t>
      </w:r>
    </w:p>
    <w:p>
      <w:pPr>
        <w:spacing w:after="0" w:line="1" w:lineRule="exact"/>
        <w:rPr>
          <w:sz w:val="20"/>
          <w:szCs w:val="20"/>
          <w:color w:val="auto"/>
        </w:rPr>
      </w:pPr>
    </w:p>
    <w:p>
      <w:pPr>
        <w:ind w:left="340" w:right="460"/>
        <w:spacing w:after="0" w:line="217" w:lineRule="auto"/>
        <w:rPr>
          <w:sz w:val="20"/>
          <w:szCs w:val="20"/>
          <w:color w:val="auto"/>
        </w:rPr>
      </w:pPr>
      <w:r>
        <w:rPr>
          <w:rFonts w:ascii="Arial" w:cs="Arial" w:eastAsia="Arial" w:hAnsi="Arial"/>
          <w:sz w:val="22"/>
          <w:szCs w:val="22"/>
          <w:color w:val="auto"/>
        </w:rPr>
        <w:t>decrease in insurance expense of $2,824, which is the result of a lower reserve for claims expense, partially offset by the increase in insurance premiums in 2023;</w:t>
      </w:r>
    </w:p>
    <w:p>
      <w:pPr>
        <w:spacing w:after="0" w:line="1" w:lineRule="exact"/>
        <w:rPr>
          <w:sz w:val="20"/>
          <w:szCs w:val="20"/>
          <w:color w:val="auto"/>
        </w:rPr>
      </w:pPr>
    </w:p>
    <w:p>
      <w:pPr>
        <w:ind w:left="340" w:right="240"/>
        <w:spacing w:after="0" w:line="259" w:lineRule="auto"/>
        <w:rPr>
          <w:sz w:val="20"/>
          <w:szCs w:val="20"/>
          <w:color w:val="auto"/>
        </w:rPr>
      </w:pPr>
      <w:r>
        <w:rPr>
          <w:rFonts w:ascii="Arial" w:cs="Arial" w:eastAsia="Arial" w:hAnsi="Arial"/>
          <w:sz w:val="19"/>
          <w:szCs w:val="19"/>
          <w:color w:val="auto"/>
        </w:rPr>
        <w:t>decrease in employee related costs of $6,267, primarily due to the one-time incentive compensation provided to employees during the third quarter of 2022 and increased capitalization in 2023 as a result of greater capital spend; offset by</w:t>
      </w:r>
    </w:p>
    <w:p>
      <w:pPr>
        <w:ind w:left="340" w:right="260"/>
        <w:spacing w:after="0" w:line="217" w:lineRule="auto"/>
        <w:rPr>
          <w:sz w:val="20"/>
          <w:szCs w:val="20"/>
          <w:color w:val="auto"/>
        </w:rPr>
      </w:pPr>
      <w:r>
        <w:rPr>
          <w:rFonts w:ascii="Arial" w:cs="Arial" w:eastAsia="Arial" w:hAnsi="Arial"/>
          <w:sz w:val="22"/>
          <w:szCs w:val="22"/>
          <w:color w:val="auto"/>
        </w:rPr>
        <w:t>an increase in production costs for water and wastewater operations of $3,212, primarily due to higher chemical prices and increased purchased water costs;</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increase in legal expenses of $1,490;</w:t>
      </w:r>
    </w:p>
    <w:p>
      <w:pPr>
        <w:ind w:left="340" w:right="14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$1,704; and,</w:t>
      </w:r>
    </w:p>
    <w:p>
      <w:pPr>
        <w:spacing w:after="0" w:line="1" w:lineRule="exact"/>
        <w:rPr>
          <w:sz w:val="20"/>
          <w:szCs w:val="20"/>
          <w:color w:val="auto"/>
        </w:rPr>
      </w:pPr>
    </w:p>
    <w:p>
      <w:pPr>
        <w:ind w:left="340" w:right="480"/>
        <w:spacing w:after="0" w:line="293" w:lineRule="auto"/>
        <w:rPr>
          <w:sz w:val="20"/>
          <w:szCs w:val="20"/>
          <w:color w:val="auto"/>
        </w:rPr>
      </w:pPr>
      <w:r>
        <w:rPr>
          <w:rFonts w:ascii="Arial" w:cs="Arial" w:eastAsia="Arial" w:hAnsi="Arial"/>
          <w:sz w:val="19"/>
          <w:szCs w:val="19"/>
          <w:color w:val="auto"/>
        </w:rPr>
        <w:t>expenses of $135, associated with remediating an advisory for some of our water utility customers served by our Illinois subsidiary. We expect the expenses associated with remediating the advisory to continue through 2023.</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Purchased gas decreased by $35,451 or 68.1%. Purchased gas represents the cost of gas sold by Peoples, which for the regulated gas business has a corresponding offset in revenue. The expense decreased primarily due to lower average cost of gas withdrawn from storage or purchased on the spot market during the third quarter of 2023 as compared to the same period in the prior year.</w:t>
      </w:r>
    </w:p>
    <w:p>
      <w:pPr>
        <w:spacing w:after="0" w:line="161"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Depreciation and amortization expense increased by $3,305 or 4.0% principally due to continued capital expenditures to expand and improve our utility facilities and our acquisitions of new utility systems.</w:t>
      </w:r>
    </w:p>
    <w:p>
      <w:pPr>
        <w:spacing w:after="0" w:line="185"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Taxes other than income taxes increased by $1,582 or 7.0% largely due to the increase in gross receipts taxes in our Regulated Natural Gas business.</w:t>
      </w:r>
    </w:p>
    <w:p>
      <w:pPr>
        <w:spacing w:after="0" w:line="185" w:lineRule="exact"/>
        <w:rPr>
          <w:sz w:val="20"/>
          <w:szCs w:val="20"/>
          <w:color w:val="auto"/>
        </w:rPr>
      </w:pPr>
    </w:p>
    <w:p>
      <w:pPr>
        <w:ind w:right="280"/>
        <w:spacing w:after="0" w:line="236" w:lineRule="auto"/>
        <w:rPr>
          <w:sz w:val="20"/>
          <w:szCs w:val="20"/>
          <w:color w:val="auto"/>
        </w:rPr>
      </w:pPr>
      <w:r>
        <w:rPr>
          <w:rFonts w:ascii="Arial" w:cs="Arial" w:eastAsia="Arial" w:hAnsi="Arial"/>
          <w:sz w:val="22"/>
          <w:szCs w:val="22"/>
          <w:b w:val="1"/>
          <w:bCs w:val="1"/>
          <w:i w:val="1"/>
          <w:iCs w:val="1"/>
          <w:color w:val="auto"/>
        </w:rPr>
        <w:t xml:space="preserve">Other expense, net </w:t>
      </w:r>
      <w:r>
        <w:rPr>
          <w:rFonts w:ascii="Arial" w:cs="Arial" w:eastAsia="Arial" w:hAnsi="Arial"/>
          <w:sz w:val="22"/>
          <w:szCs w:val="22"/>
          <w:color w:val="auto"/>
        </w:rPr>
        <w:t>- Interest expense, net of interest income increased by $8,670 or 14.7% for the quarter primarily due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increase in average borrowings and higher interest rates on our revolving lines of credit and our 2022 and 2023 long term borrowings.</w:t>
      </w:r>
    </w:p>
    <w:p>
      <w:pPr>
        <w:spacing w:after="0" w:line="185" w:lineRule="exact"/>
        <w:rPr>
          <w:sz w:val="20"/>
          <w:szCs w:val="20"/>
          <w:color w:val="auto"/>
        </w:rPr>
      </w:pPr>
    </w:p>
    <w:p>
      <w:pPr>
        <w:jc w:val="both"/>
        <w:ind w:right="40"/>
        <w:spacing w:after="0" w:line="236" w:lineRule="auto"/>
        <w:rPr>
          <w:sz w:val="20"/>
          <w:szCs w:val="20"/>
          <w:color w:val="auto"/>
        </w:rPr>
      </w:pPr>
      <w:r>
        <w:rPr>
          <w:rFonts w:ascii="Arial" w:cs="Arial" w:eastAsia="Arial" w:hAnsi="Arial"/>
          <w:sz w:val="22"/>
          <w:szCs w:val="22"/>
          <w:b w:val="1"/>
          <w:bCs w:val="1"/>
          <w:i w:val="1"/>
          <w:iCs w:val="1"/>
          <w:color w:val="auto"/>
        </w:rPr>
        <w:t xml:space="preserve">Income tax benefit </w:t>
      </w:r>
      <w:r>
        <w:rPr>
          <w:rFonts w:ascii="Arial" w:cs="Arial" w:eastAsia="Arial" w:hAnsi="Arial"/>
          <w:sz w:val="22"/>
          <w:szCs w:val="22"/>
          <w:color w:val="auto"/>
        </w:rPr>
        <w:t>- Our effective income tax rate was (4.9)% and 6.5% in the third quarter of 2023 and 2022, respectively.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decrease in the effective tax rate is primarily attributed to an increase in our income tax benefit associated with the tax deduction for qualifying infrastructure in our Regulated Natural Gas segment.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Nine months ended September 30, 2023 compared with nine months ended September 30, 2022</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Consolidated operating revenues decreased by $8,244 or 0.5% for the nine months ended September 30, 2023, as compared to the same period in 2022. Revenues from our Regulated Water segment increased by $61,675. Revenues from our Regulated Natural Gas segment and Other business segment decreased by $56,821 and $13,098, respectively. A detailed discussion of the factors contributing to the changes in segment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decreased by $10,403 or 2.4%, primarily due to:</w:t>
      </w:r>
    </w:p>
    <w:p>
      <w:pPr>
        <w:spacing w:after="0" w:line="206" w:lineRule="exact"/>
        <w:rPr>
          <w:sz w:val="20"/>
          <w:szCs w:val="20"/>
          <w:color w:val="auto"/>
        </w:rPr>
      </w:pPr>
    </w:p>
    <w:p>
      <w:pPr>
        <w:ind w:left="340" w:right="380"/>
        <w:spacing w:after="0" w:line="232" w:lineRule="auto"/>
        <w:rPr>
          <w:sz w:val="20"/>
          <w:szCs w:val="20"/>
          <w:color w:val="auto"/>
        </w:rPr>
      </w:pPr>
      <w:r>
        <w:rPr>
          <w:rFonts w:ascii="Arial" w:cs="Arial" w:eastAsia="Arial" w:hAnsi="Arial"/>
          <w:sz w:val="22"/>
          <w:szCs w:val="22"/>
          <w:color w:val="auto"/>
        </w:rPr>
        <w:t>decrease in customer assistance surcharge costs of $7,344 in our Regulated Natural Gas segment, which has an equivalent offsetting amount in revenues;</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2"/>
          <w:szCs w:val="22"/>
          <w:color w:val="auto"/>
        </w:rPr>
        <w:t>decrease in bad debt expense of $1,498 in our Regulated Natural Gas Segment;</w:t>
      </w:r>
    </w:p>
    <w:p>
      <w:pPr>
        <w:ind w:left="340" w:right="400"/>
        <w:spacing w:after="0" w:line="234" w:lineRule="auto"/>
        <w:rPr>
          <w:sz w:val="20"/>
          <w:szCs w:val="20"/>
          <w:color w:val="auto"/>
        </w:rPr>
      </w:pPr>
      <w:r>
        <w:rPr>
          <w:rFonts w:ascii="Arial" w:cs="Arial" w:eastAsia="Arial" w:hAnsi="Arial"/>
          <w:sz w:val="21"/>
          <w:szCs w:val="21"/>
          <w:color w:val="auto"/>
        </w:rPr>
        <w:t>decrease in outside services, maintenance expenses, and other operating expenses of $7,836, primarily due to lower water main break activity and higher capitalization as a result of greater capital spend during the period;</w:t>
      </w:r>
    </w:p>
    <w:p>
      <w:pPr>
        <w:spacing w:after="0" w:line="1" w:lineRule="exact"/>
        <w:rPr>
          <w:sz w:val="20"/>
          <w:szCs w:val="20"/>
          <w:color w:val="auto"/>
        </w:rPr>
      </w:pPr>
    </w:p>
    <w:p>
      <w:pPr>
        <w:ind w:left="340" w:right="380"/>
        <w:spacing w:after="0" w:line="217" w:lineRule="auto"/>
        <w:rPr>
          <w:sz w:val="20"/>
          <w:szCs w:val="20"/>
          <w:color w:val="auto"/>
        </w:rPr>
      </w:pPr>
      <w:r>
        <w:rPr>
          <w:rFonts w:ascii="Arial" w:cs="Arial" w:eastAsia="Arial" w:hAnsi="Arial"/>
          <w:sz w:val="22"/>
          <w:szCs w:val="22"/>
          <w:color w:val="auto"/>
        </w:rPr>
        <w:t>decrease in employee related costs of $4,832, primarily due to lower post-retirement benefit costs, higher capitalization in 2023 due to greater capital spend, and one-time incentive compensation in 2022;</w:t>
      </w:r>
    </w:p>
    <w:p>
      <w:pPr>
        <w:spacing w:after="0" w:line="1" w:lineRule="exact"/>
        <w:rPr>
          <w:sz w:val="20"/>
          <w:szCs w:val="20"/>
          <w:color w:val="auto"/>
        </w:rPr>
      </w:pPr>
    </w:p>
    <w:p>
      <w:pPr>
        <w:ind w:left="340" w:right="420"/>
        <w:spacing w:after="0" w:line="224" w:lineRule="auto"/>
        <w:rPr>
          <w:sz w:val="20"/>
          <w:szCs w:val="20"/>
          <w:color w:val="auto"/>
        </w:rPr>
      </w:pPr>
      <w:r>
        <w:rPr>
          <w:rFonts w:ascii="Arial" w:cs="Arial" w:eastAsia="Arial" w:hAnsi="Arial"/>
          <w:sz w:val="22"/>
          <w:szCs w:val="22"/>
          <w:color w:val="auto"/>
        </w:rPr>
        <w:t>decrease in insurance expense of $4,231 due to lower claims reserve expense, partially offset by the increase in insurance premiums in 2023;</w:t>
      </w:r>
    </w:p>
    <w:p>
      <w:pPr>
        <w:ind w:left="340" w:right="200"/>
        <w:spacing w:after="0" w:line="217" w:lineRule="auto"/>
        <w:rPr>
          <w:sz w:val="20"/>
          <w:szCs w:val="20"/>
          <w:color w:val="auto"/>
        </w:rPr>
      </w:pPr>
      <w:r>
        <w:rPr>
          <w:rFonts w:ascii="Arial" w:cs="Arial" w:eastAsia="Arial" w:hAnsi="Arial"/>
          <w:sz w:val="22"/>
          <w:szCs w:val="22"/>
          <w:color w:val="auto"/>
        </w:rPr>
        <w:t>an asset impairment charge recognized in the first quarter of 2022 of $1,801 to write down a portion of the right of use asset of our Regulated Natural Gas segment’s office space to fair value; offset by</w:t>
      </w:r>
    </w:p>
    <w:p>
      <w:pPr>
        <w:spacing w:after="0" w:line="1" w:lineRule="exact"/>
        <w:rPr>
          <w:sz w:val="20"/>
          <w:szCs w:val="20"/>
          <w:color w:val="auto"/>
        </w:rPr>
      </w:pPr>
    </w:p>
    <w:p>
      <w:pPr>
        <w:ind w:left="340" w:right="2960"/>
        <w:spacing w:after="0" w:line="224" w:lineRule="auto"/>
        <w:rPr>
          <w:sz w:val="20"/>
          <w:szCs w:val="20"/>
          <w:color w:val="auto"/>
        </w:rPr>
      </w:pPr>
      <w:r>
        <w:rPr>
          <w:rFonts w:ascii="Arial" w:cs="Arial" w:eastAsia="Arial" w:hAnsi="Arial"/>
          <w:sz w:val="22"/>
          <w:szCs w:val="22"/>
          <w:color w:val="auto"/>
        </w:rPr>
        <w:t>increase in materials and supplies expense in our Regulated Natural Gas segment of $2,152; increase in legal expenses of $2,308;</w:t>
      </w:r>
    </w:p>
    <w:p>
      <w:pPr>
        <w:ind w:left="340" w:right="460"/>
        <w:spacing w:after="0" w:line="217" w:lineRule="auto"/>
        <w:rPr>
          <w:sz w:val="20"/>
          <w:szCs w:val="20"/>
          <w:color w:val="auto"/>
        </w:rPr>
      </w:pPr>
      <w:r>
        <w:rPr>
          <w:rFonts w:ascii="Arial" w:cs="Arial" w:eastAsia="Arial" w:hAnsi="Arial"/>
          <w:sz w:val="22"/>
          <w:szCs w:val="22"/>
          <w:color w:val="auto"/>
        </w:rPr>
        <w:t>increase in production costs for water and wastewater operations of $10,534, primarily due to higher chemical prices and increased purchased water costs;</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additional operating costs associated with acquired water and wastewater utility systems of $4,298; and,</w:t>
      </w:r>
    </w:p>
    <w:p>
      <w:pPr>
        <w:ind w:left="340" w:right="520"/>
        <w:spacing w:after="0" w:line="293" w:lineRule="auto"/>
        <w:rPr>
          <w:sz w:val="20"/>
          <w:szCs w:val="20"/>
          <w:color w:val="auto"/>
        </w:rPr>
      </w:pPr>
      <w:r>
        <w:rPr>
          <w:rFonts w:ascii="Arial" w:cs="Arial" w:eastAsia="Arial" w:hAnsi="Arial"/>
          <w:sz w:val="19"/>
          <w:szCs w:val="19"/>
          <w:color w:val="auto"/>
        </w:rPr>
        <w:t>expenses of $408, associated with remediating an advisory for some of our water utility customers served by our Illinois subsidiary. We expect the expenses associated with remediating the advisory to continue through 2023.</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Purchased gas decreased by $40,058 or 11.3%. Purchased gas represents the cost of gas sold by Peoples for the regulated and non-regulated gas business and has a corresponding offset in revenue. The decrease is the result of lower gas usage during the first nine months of 2023 offset by the impact of the higher average cost of gas withdrawn from storage during the first quarter of 2023.</w:t>
      </w:r>
    </w:p>
    <w:p>
      <w:pPr>
        <w:spacing w:after="0" w:line="201"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Depreciation and amortization expense increased by $15,238 or 6.3% principally due to continued capital expenditures to expand and improve our utility facilities and our acquisitions of new utility systems.</w:t>
      </w:r>
    </w:p>
    <w:p>
      <w:pPr>
        <w:spacing w:after="0" w:line="198" w:lineRule="exact"/>
        <w:rPr>
          <w:sz w:val="20"/>
          <w:szCs w:val="20"/>
          <w:color w:val="auto"/>
        </w:rPr>
      </w:pPr>
    </w:p>
    <w:p>
      <w:pPr>
        <w:ind w:right="320"/>
        <w:spacing w:after="0" w:line="313" w:lineRule="auto"/>
        <w:rPr>
          <w:sz w:val="20"/>
          <w:szCs w:val="20"/>
          <w:color w:val="auto"/>
        </w:rPr>
      </w:pPr>
      <w:r>
        <w:rPr>
          <w:rFonts w:ascii="Arial" w:cs="Arial" w:eastAsia="Arial" w:hAnsi="Arial"/>
          <w:sz w:val="19"/>
          <w:szCs w:val="19"/>
          <w:color w:val="auto"/>
        </w:rPr>
        <w:t>Interest expense, net of interest income, increased by $41,307 or 24.8% for the period primarily due to the increase in average borrowings and higher interest rates on our revolving lines of credit and our 2022 and 2023 long term borrowings.</w:t>
      </w:r>
    </w:p>
    <w:p>
      <w:pPr>
        <w:spacing w:after="0" w:line="119"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Allowance for funds used during construction (“AFUDC”) decreased by $3,235 or by 18.2% due to the decrease in the average balance of utility plant construction work in progress, to which AFUDC is applied.</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Other income, inclusive of loss/gain on sale of assets, decreased by $1,158 or by 34.6% compared to the same period in the prior year. During the first nine months of 2023, there were lower credits recognized from postretirement benefits as compared with the same period in the prior year.</w:t>
      </w:r>
    </w:p>
    <w:p>
      <w:pPr>
        <w:spacing w:after="0" w:line="186"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Our effective income tax rate was (10.9)% in the first nine months of 2023 and (1.3)% in the first nine months of 2022. The decrease in the effective tax rate is primarily attributed to an increase in our income tax benefit associated with the tax deduction for qualifying infrastructure in our Regulated Natural Gas segment.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Segment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Water Segment</w:t>
      </w:r>
    </w:p>
    <w:p>
      <w:pPr>
        <w:spacing w:after="0" w:line="220" w:lineRule="exact"/>
        <w:rPr>
          <w:sz w:val="20"/>
          <w:szCs w:val="20"/>
          <w:color w:val="auto"/>
        </w:rPr>
      </w:pPr>
    </w:p>
    <w:p>
      <w:pPr>
        <w:ind w:right="140"/>
        <w:spacing w:after="0" w:line="231"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present selected operating results and statistics for our Regulated Water segment for the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September 30, 2023 and 2022:</w:t>
      </w:r>
    </w:p>
    <w:tbl>
      <w:tblPr>
        <w:tblLayout w:type="fixed"/>
        <w:tblInd w:w="0" w:type="dxa"/>
        <w:tblCellMar>
          <w:top w:w="0" w:type="dxa"/>
          <w:left w:w="0" w:type="dxa"/>
          <w:bottom w:w="0" w:type="dxa"/>
          <w:right w:w="0" w:type="dxa"/>
        </w:tblCellMar>
      </w:tblPr>
      <w:tr>
        <w:trPr>
          <w:trHeight w:val="201"/>
        </w:trPr>
        <w:tc>
          <w:tcPr>
            <w:tcW w:w="5700" w:type="dxa"/>
            <w:vAlign w:val="bottom"/>
          </w:tcPr>
          <w:p>
            <w:pPr>
              <w:spacing w:after="0"/>
              <w:rPr>
                <w:sz w:val="17"/>
                <w:szCs w:val="17"/>
                <w:color w:val="auto"/>
              </w:rPr>
            </w:pPr>
          </w:p>
        </w:tc>
        <w:tc>
          <w:tcPr>
            <w:tcW w:w="2760" w:type="dxa"/>
            <w:vAlign w:val="bottom"/>
            <w:tcBorders>
              <w:bottom w:val="single" w:sz="8" w:color="auto"/>
            </w:tcBorders>
            <w:gridSpan w:val="5"/>
          </w:tcPr>
          <w:p>
            <w:pPr>
              <w:jc w:val="right"/>
              <w:spacing w:after="0" w:line="201" w:lineRule="exact"/>
              <w:rPr>
                <w:sz w:val="20"/>
                <w:szCs w:val="20"/>
                <w:color w:val="auto"/>
              </w:rPr>
            </w:pPr>
            <w:r>
              <w:rPr>
                <w:rFonts w:ascii="Arial" w:cs="Arial" w:eastAsia="Arial" w:hAnsi="Arial"/>
                <w:sz w:val="18"/>
                <w:szCs w:val="18"/>
                <w:color w:val="auto"/>
                <w:w w:val="91"/>
              </w:rPr>
              <w:t>Three Months Ended September 30,</w:t>
            </w:r>
          </w:p>
        </w:tc>
        <w:tc>
          <w:tcPr>
            <w:tcW w:w="180" w:type="dxa"/>
            <w:vAlign w:val="bottom"/>
          </w:tcPr>
          <w:p>
            <w:pPr>
              <w:spacing w:after="0"/>
              <w:rPr>
                <w:sz w:val="17"/>
                <w:szCs w:val="17"/>
                <w:color w:val="auto"/>
              </w:rPr>
            </w:pPr>
          </w:p>
        </w:tc>
        <w:tc>
          <w:tcPr>
            <w:tcW w:w="2600" w:type="dxa"/>
            <w:vAlign w:val="bottom"/>
            <w:tcBorders>
              <w:bottom w:val="single" w:sz="8" w:color="auto"/>
            </w:tcBorders>
            <w:gridSpan w:val="5"/>
          </w:tcPr>
          <w:p>
            <w:pPr>
              <w:jc w:val="right"/>
              <w:spacing w:after="0" w:line="201" w:lineRule="exact"/>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310,591</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301,335</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871,563</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809,888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98,695</w:t>
            </w:r>
          </w:p>
        </w:tc>
        <w:tc>
          <w:tcPr>
            <w:tcW w:w="2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94,854</w:t>
            </w:r>
          </w:p>
        </w:tc>
        <w:tc>
          <w:tcPr>
            <w:tcW w:w="18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jc w:val="right"/>
              <w:ind w:right="123"/>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274,724</w:t>
            </w:r>
          </w:p>
        </w:tc>
        <w:tc>
          <w:tcPr>
            <w:tcW w:w="2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273,757</w:t>
            </w:r>
          </w:p>
        </w:tc>
        <w:tc>
          <w:tcPr>
            <w:tcW w:w="0" w:type="dxa"/>
            <w:vAlign w:val="bottom"/>
          </w:tcPr>
          <w:p>
            <w:pPr>
              <w:spacing w:after="0"/>
              <w:rPr>
                <w:sz w:val="1"/>
                <w:szCs w:val="1"/>
                <w:color w:val="auto"/>
              </w:rPr>
            </w:pPr>
          </w:p>
        </w:tc>
      </w:tr>
      <w:tr>
        <w:trPr>
          <w:trHeight w:val="169"/>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Segment net income</w:t>
            </w:r>
          </w:p>
        </w:tc>
        <w:tc>
          <w:tcPr>
            <w:tcW w:w="320" w:type="dxa"/>
            <w:vAlign w:val="bottom"/>
            <w:tcBorders>
              <w:bottom w:val="single" w:sz="8" w:color="auto"/>
            </w:tcBorders>
            <w:shd w:val="clear" w:color="auto" w:fill="CCEEFF"/>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99,916</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98,586</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3"/>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267,345</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235,471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Statistics</w:t>
            </w:r>
          </w:p>
        </w:tc>
        <w:tc>
          <w:tcPr>
            <w:tcW w:w="1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8"/>
                <w:szCs w:val="18"/>
                <w:color w:val="auto"/>
              </w:rPr>
              <w:t>Selected operating results as a percentage of operating revenues:</w:t>
            </w:r>
          </w:p>
        </w:tc>
        <w:tc>
          <w:tcPr>
            <w:tcW w:w="1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31.8%</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31.5%</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31.5%</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0"/>
              </w:rPr>
              <w:t>33.8%</w:t>
            </w:r>
          </w:p>
        </w:tc>
      </w:tr>
      <w:tr>
        <w:trPr>
          <w:trHeight w:val="189"/>
        </w:trPr>
        <w:tc>
          <w:tcPr>
            <w:tcW w:w="550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90"/>
              </w:rPr>
              <w:t>17.6%</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3"/>
              </w:rPr>
              <w:t>17.1%</w:t>
            </w: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90"/>
              </w:rPr>
              <w:t>18.5%</w:t>
            </w:r>
          </w:p>
        </w:tc>
        <w:tc>
          <w:tcPr>
            <w:tcW w:w="114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0"/>
              </w:rPr>
              <w:t>18.6%</w:t>
            </w: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2"/>
              </w:rPr>
              <w:t>5.5%</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5.6%</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5.4%</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2"/>
              </w:rPr>
              <w:t>6.0%</w:t>
            </w:r>
          </w:p>
        </w:tc>
      </w:tr>
      <w:tr>
        <w:trPr>
          <w:trHeight w:val="189"/>
        </w:trPr>
        <w:tc>
          <w:tcPr>
            <w:tcW w:w="550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18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92"/>
              </w:rPr>
              <w:t>9.9%</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87"/>
              </w:rPr>
              <w:t>9.2%</w:t>
            </w: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90"/>
              </w:rPr>
              <w:t>10.5%</w:t>
            </w:r>
          </w:p>
        </w:tc>
        <w:tc>
          <w:tcPr>
            <w:tcW w:w="114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0"/>
              </w:rPr>
              <w:t>10.2%</w:t>
            </w:r>
          </w:p>
        </w:tc>
      </w:tr>
      <w:tr>
        <w:trPr>
          <w:trHeight w:val="189"/>
        </w:trPr>
        <w:tc>
          <w:tcPr>
            <w:tcW w:w="55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Segment net income</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32.2%</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32.7%</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30.7%</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0"/>
              </w:rPr>
              <w:t>29.1%</w:t>
            </w:r>
          </w:p>
        </w:tc>
      </w:tr>
      <w:tr>
        <w:trPr>
          <w:trHeight w:val="189"/>
        </w:trPr>
        <w:tc>
          <w:tcPr>
            <w:tcW w:w="5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13.9%</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16.3%</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14.6%</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0"/>
              </w:rPr>
              <w:t>14.7%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September 30, 2023 compared with three months ended September 30, 2022</w:t>
      </w:r>
    </w:p>
    <w:p>
      <w:pPr>
        <w:spacing w:after="0" w:line="206"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Revenues from our Regulated Water segment increased by $9,256 or 3.1% for the third quarter of 2023 as compared to the same period in 2022, mainly due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an increase in water and wastewater rates, including infrastructure rehabilitation surcharges, of $9,723;</w:t>
      </w:r>
    </w:p>
    <w:p>
      <w:pPr>
        <w:ind w:left="340" w:right="440"/>
        <w:spacing w:after="0" w:line="224" w:lineRule="auto"/>
        <w:rPr>
          <w:sz w:val="20"/>
          <w:szCs w:val="20"/>
          <w:color w:val="auto"/>
        </w:rPr>
      </w:pPr>
      <w:r>
        <w:rPr>
          <w:rFonts w:ascii="Arial" w:cs="Arial" w:eastAsia="Arial" w:hAnsi="Arial"/>
          <w:sz w:val="22"/>
          <w:szCs w:val="22"/>
          <w:color w:val="auto"/>
        </w:rPr>
        <w:t>additional water and wastewater revenues of $3,219 associated with a larger customer base due to utility acquisitions and organic growth; offset by</w:t>
      </w:r>
    </w:p>
    <w:p>
      <w:pPr>
        <w:spacing w:after="0"/>
        <w:rPr>
          <w:sz w:val="20"/>
          <w:szCs w:val="20"/>
          <w:color w:val="auto"/>
        </w:rPr>
      </w:pPr>
      <w:r>
        <w:rPr>
          <w:rFonts w:ascii="Arial" w:cs="Arial" w:eastAsia="Arial" w:hAnsi="Arial"/>
          <w:sz w:val="22"/>
          <w:szCs w:val="22"/>
          <w:color w:val="auto"/>
        </w:rPr>
        <w:t>decrease in volume consumption of $5,671 as a result of wetter weather conditions in the third quarter of 2023.</w:t>
      </w:r>
    </w:p>
    <w:p>
      <w:pPr>
        <w:spacing w:after="0" w:line="18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Operations and maintenance expense for the three months ended September 30, 2023 increased by $3,841 or 4.0% primarily due to the following:</w:t>
      </w:r>
    </w:p>
    <w:p>
      <w:pPr>
        <w:spacing w:after="0" w:line="175" w:lineRule="exact"/>
        <w:rPr>
          <w:sz w:val="20"/>
          <w:szCs w:val="20"/>
          <w:color w:val="auto"/>
        </w:rPr>
      </w:pPr>
    </w:p>
    <w:p>
      <w:pPr>
        <w:ind w:left="340" w:right="560"/>
        <w:spacing w:after="0" w:line="232" w:lineRule="auto"/>
        <w:rPr>
          <w:sz w:val="20"/>
          <w:szCs w:val="20"/>
          <w:color w:val="auto"/>
        </w:rPr>
      </w:pPr>
      <w:r>
        <w:rPr>
          <w:rFonts w:ascii="Arial" w:cs="Arial" w:eastAsia="Arial" w:hAnsi="Arial"/>
          <w:sz w:val="22"/>
          <w:szCs w:val="22"/>
          <w:color w:val="auto"/>
        </w:rPr>
        <w:t>increase in production costs for water and wastewater operations of $3,212, primarily due to higher chemical prices and increased purchased water costs;</w:t>
      </w:r>
    </w:p>
    <w:p>
      <w:pPr>
        <w:spacing w:after="0" w:line="1" w:lineRule="exact"/>
        <w:rPr>
          <w:sz w:val="20"/>
          <w:szCs w:val="20"/>
          <w:color w:val="auto"/>
        </w:rPr>
      </w:pPr>
    </w:p>
    <w:p>
      <w:pPr>
        <w:ind w:left="340" w:right="18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$1,704; increase in insurance expense of $1,018 due to higher insurance premiums in 2023;</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2"/>
          <w:szCs w:val="22"/>
          <w:color w:val="auto"/>
        </w:rPr>
        <w:t>increase in bad debt expense of $1,307; offset by</w:t>
      </w:r>
    </w:p>
    <w:p>
      <w:pPr>
        <w:spacing w:after="0"/>
        <w:rPr>
          <w:sz w:val="20"/>
          <w:szCs w:val="20"/>
          <w:color w:val="auto"/>
        </w:rPr>
      </w:pPr>
      <w:r>
        <w:rPr>
          <w:rFonts w:ascii="Arial" w:cs="Arial" w:eastAsia="Arial" w:hAnsi="Arial"/>
          <w:sz w:val="19"/>
          <w:szCs w:val="19"/>
          <w:color w:val="auto"/>
        </w:rPr>
        <w:t>decrease in employee related costs of $3,429, primarily due to lower post-retirement benefit costs, higher capitalization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2023 due to greater capital spend, and one-time incentive compensation in 2022; and,</w:t>
      </w:r>
    </w:p>
    <w:p>
      <w:pPr>
        <w:ind w:left="552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500"/>
        <w:spacing w:after="0" w:line="313" w:lineRule="auto"/>
        <w:rPr>
          <w:sz w:val="20"/>
          <w:szCs w:val="20"/>
          <w:color w:val="auto"/>
        </w:rPr>
      </w:pPr>
      <w:r>
        <w:rPr>
          <w:rFonts w:ascii="Arial" w:cs="Arial" w:eastAsia="Arial" w:hAnsi="Arial"/>
          <w:sz w:val="19"/>
          <w:szCs w:val="19"/>
          <w:color w:val="auto"/>
        </w:rPr>
        <w:t>expenses of $135, associated with remediating an advisory for some of our water utility customers served by our Illinois subsidiary. We expect the expenses associated with remediating the advisory to continue through 2023.</w:t>
      </w:r>
    </w:p>
    <w:p>
      <w:pPr>
        <w:spacing w:after="0" w:line="119"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Depreciation and amortization increased by $3,173 or 6.2% primarily due to continued capital investment to expand and improve our utility facilities and our acquisitions of new utility systems.</w:t>
      </w:r>
    </w:p>
    <w:p>
      <w:pPr>
        <w:spacing w:after="0" w:line="17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b w:val="1"/>
          <w:bCs w:val="1"/>
          <w:i w:val="1"/>
          <w:iCs w:val="1"/>
          <w:color w:val="auto"/>
        </w:rPr>
        <w:t xml:space="preserve">Other expense, net </w:t>
      </w:r>
      <w:r>
        <w:rPr>
          <w:rFonts w:ascii="Arial" w:cs="Arial" w:eastAsia="Arial" w:hAnsi="Arial"/>
          <w:sz w:val="22"/>
          <w:szCs w:val="22"/>
          <w:color w:val="auto"/>
        </w:rPr>
        <w:t>– Interest expense, net, increased by $3,105 or 11.2% for the quarter primarily due to an increase in average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borrowings and increased borrowing costs.</w:t>
      </w:r>
    </w:p>
    <w:p>
      <w:pPr>
        <w:spacing w:after="0" w:line="175"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color w:val="auto"/>
        </w:rPr>
        <w:t>AFUDC decreased by $518 or by 10.0% due to the decrease in the average balance of utility plant construction work in progress, to which AFUDC is applied.</w:t>
      </w:r>
    </w:p>
    <w:p>
      <w:pPr>
        <w:spacing w:after="0" w:line="19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Other income, inclusive of loss/gain on sale of other assets, decreased by $84 or by 3.8% primarily due to lower net pension and post-retirement non-service benefit during the third quarter of 2023 compared to 2022.</w:t>
      </w:r>
    </w:p>
    <w:p>
      <w:pPr>
        <w:spacing w:after="0" w:line="188" w:lineRule="exact"/>
        <w:rPr>
          <w:sz w:val="20"/>
          <w:szCs w:val="20"/>
          <w:color w:val="auto"/>
        </w:rPr>
      </w:pPr>
    </w:p>
    <w:p>
      <w:pPr>
        <w:jc w:val="both"/>
        <w:ind w:right="60"/>
        <w:spacing w:after="0" w:line="231" w:lineRule="auto"/>
        <w:rPr>
          <w:sz w:val="20"/>
          <w:szCs w:val="20"/>
          <w:color w:val="auto"/>
        </w:rPr>
      </w:pPr>
      <w:r>
        <w:rPr>
          <w:rFonts w:ascii="Arial" w:cs="Arial" w:eastAsia="Arial" w:hAnsi="Arial"/>
          <w:sz w:val="22"/>
          <w:szCs w:val="22"/>
          <w:b w:val="1"/>
          <w:bCs w:val="1"/>
          <w:i w:val="1"/>
          <w:iCs w:val="1"/>
          <w:color w:val="auto"/>
        </w:rPr>
        <w:t xml:space="preserve">Provision for income tax </w:t>
      </w:r>
      <w:r>
        <w:rPr>
          <w:rFonts w:ascii="Arial" w:cs="Arial" w:eastAsia="Arial" w:hAnsi="Arial"/>
          <w:sz w:val="22"/>
          <w:szCs w:val="22"/>
          <w:color w:val="auto"/>
        </w:rPr>
        <w:t>– Our effective income tax rate for our Regulated Water Segment was an expense of 13.9% in the third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of 2023, compared to an expense of 16.3% in the third quarter of 2022. The decrease in the effective tax rate is primarily the result of changes in the jurisdictional earnings mix.</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Nine months ended September 30, 2023 compared with nine months ended September 30, 2022</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Revenues increased by $61,675 or 7.6% for the first nine months of 2023 as compared to the same period in 2022, mainly due to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an increase in water and wastewater rates, including infrastructure rehabilitation surcharges, of $48,720;</w:t>
      </w:r>
    </w:p>
    <w:p>
      <w:pPr>
        <w:ind w:left="340" w:right="320"/>
        <w:spacing w:after="0" w:line="224" w:lineRule="auto"/>
        <w:rPr>
          <w:sz w:val="20"/>
          <w:szCs w:val="20"/>
          <w:color w:val="auto"/>
        </w:rPr>
      </w:pPr>
      <w:r>
        <w:rPr>
          <w:rFonts w:ascii="Arial" w:cs="Arial" w:eastAsia="Arial" w:hAnsi="Arial"/>
          <w:sz w:val="22"/>
          <w:szCs w:val="22"/>
          <w:color w:val="auto"/>
        </w:rPr>
        <w:t>additional water and wastewater revenues of $11,069 associated with a larger customer base due to utility acquisitions and organic growth;</w:t>
      </w:r>
    </w:p>
    <w:p>
      <w:pPr>
        <w:ind w:left="340"/>
        <w:spacing w:after="0" w:line="217" w:lineRule="auto"/>
        <w:rPr>
          <w:sz w:val="20"/>
          <w:szCs w:val="20"/>
          <w:color w:val="auto"/>
        </w:rPr>
      </w:pPr>
      <w:r>
        <w:rPr>
          <w:rFonts w:ascii="Arial" w:cs="Arial" w:eastAsia="Arial" w:hAnsi="Arial"/>
          <w:sz w:val="22"/>
          <w:szCs w:val="22"/>
          <w:color w:val="auto"/>
        </w:rPr>
        <w:t>increase in non-utility revenue of $6,000, primarily due to higher developer fees earned during the first quarter of 2023; offset by</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decrease in volume consumption of $4,135 as a result of wetter weather conditions in 2023.</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Operations and maintenance expense for the nine months ended September 30, 2023 increased by $967 or 0.4% primarily due to the following:</w:t>
      </w:r>
    </w:p>
    <w:p>
      <w:pPr>
        <w:spacing w:after="0" w:line="185" w:lineRule="exact"/>
        <w:rPr>
          <w:sz w:val="20"/>
          <w:szCs w:val="20"/>
          <w:color w:val="auto"/>
        </w:rPr>
      </w:pPr>
    </w:p>
    <w:p>
      <w:pPr>
        <w:ind w:left="340" w:right="400"/>
        <w:spacing w:after="0" w:line="232" w:lineRule="auto"/>
        <w:rPr>
          <w:sz w:val="20"/>
          <w:szCs w:val="20"/>
          <w:color w:val="auto"/>
        </w:rPr>
      </w:pPr>
      <w:r>
        <w:rPr>
          <w:rFonts w:ascii="Arial" w:cs="Arial" w:eastAsia="Arial" w:hAnsi="Arial"/>
          <w:sz w:val="22"/>
          <w:szCs w:val="22"/>
          <w:color w:val="auto"/>
        </w:rPr>
        <w:t>increase in production costs for water and wastewater operations of $10,580, primarily due to higher chemical prices and increased purchased water costs;</w:t>
      </w:r>
    </w:p>
    <w:p>
      <w:pPr>
        <w:spacing w:after="0" w:line="1" w:lineRule="exact"/>
        <w:rPr>
          <w:sz w:val="20"/>
          <w:szCs w:val="20"/>
          <w:color w:val="auto"/>
        </w:rPr>
      </w:pPr>
    </w:p>
    <w:p>
      <w:pPr>
        <w:ind w:left="340" w:right="120"/>
        <w:spacing w:after="0" w:line="224"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$4,298; increase in legal fees of $1,326; offset by</w:t>
      </w:r>
    </w:p>
    <w:p>
      <w:pPr>
        <w:ind w:left="340" w:right="320"/>
        <w:spacing w:after="0" w:line="217" w:lineRule="auto"/>
        <w:rPr>
          <w:sz w:val="20"/>
          <w:szCs w:val="20"/>
          <w:color w:val="auto"/>
        </w:rPr>
      </w:pPr>
      <w:r>
        <w:rPr>
          <w:rFonts w:ascii="Arial" w:cs="Arial" w:eastAsia="Arial" w:hAnsi="Arial"/>
          <w:sz w:val="22"/>
          <w:szCs w:val="22"/>
          <w:color w:val="auto"/>
        </w:rPr>
        <w:t>decrease in employee related costs of $8,865, primarily due to lower post-retirement benefit costs, higher capitalization in 2023 due to greater capital spend, and one-time incentive compensation in 2022;</w:t>
      </w:r>
    </w:p>
    <w:p>
      <w:pPr>
        <w:spacing w:after="0" w:line="1" w:lineRule="exact"/>
        <w:rPr>
          <w:sz w:val="20"/>
          <w:szCs w:val="20"/>
          <w:color w:val="auto"/>
        </w:rPr>
      </w:pPr>
    </w:p>
    <w:p>
      <w:pPr>
        <w:ind w:left="340" w:right="440"/>
        <w:spacing w:after="0" w:line="234" w:lineRule="auto"/>
        <w:rPr>
          <w:sz w:val="20"/>
          <w:szCs w:val="20"/>
          <w:color w:val="auto"/>
        </w:rPr>
      </w:pPr>
      <w:r>
        <w:rPr>
          <w:rFonts w:ascii="Arial" w:cs="Arial" w:eastAsia="Arial" w:hAnsi="Arial"/>
          <w:sz w:val="21"/>
          <w:szCs w:val="21"/>
          <w:color w:val="auto"/>
        </w:rPr>
        <w:t>lower outside services, maintenance expenses and other operating expenses of $6,435 primarily due to lower water main break activity and higher capitalization as a result of greater capital spend during the period; and</w:t>
      </w:r>
    </w:p>
    <w:p>
      <w:pPr>
        <w:spacing w:after="0" w:line="1" w:lineRule="exact"/>
        <w:rPr>
          <w:sz w:val="20"/>
          <w:szCs w:val="20"/>
          <w:color w:val="auto"/>
        </w:rPr>
      </w:pPr>
    </w:p>
    <w:p>
      <w:pPr>
        <w:ind w:left="340" w:right="460"/>
        <w:spacing w:after="0" w:line="293" w:lineRule="auto"/>
        <w:rPr>
          <w:sz w:val="20"/>
          <w:szCs w:val="20"/>
          <w:color w:val="auto"/>
        </w:rPr>
      </w:pPr>
      <w:r>
        <w:rPr>
          <w:rFonts w:ascii="Arial" w:cs="Arial" w:eastAsia="Arial" w:hAnsi="Arial"/>
          <w:sz w:val="19"/>
          <w:szCs w:val="19"/>
          <w:color w:val="auto"/>
        </w:rPr>
        <w:t>expenses of $408, associated with remediating an advisory for some of our water utility customers served by our Illinois subsidiary. We expect the expenses associated with remediating the advisory to continue through 2023.</w:t>
      </w:r>
    </w:p>
    <w:p>
      <w:pPr>
        <w:spacing w:after="0" w:line="13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Depreciation and amortization increased by $10,895 or 7.2% primarily due to continued capital investment, offset by a change in the amortization of a regulated liability in 2022.</w:t>
      </w:r>
    </w:p>
    <w:p>
      <w:pPr>
        <w:spacing w:after="0" w:line="175" w:lineRule="exact"/>
        <w:rPr>
          <w:sz w:val="20"/>
          <w:szCs w:val="20"/>
          <w:color w:val="auto"/>
        </w:rPr>
      </w:pPr>
    </w:p>
    <w:p>
      <w:pPr>
        <w:ind w:right="720"/>
        <w:spacing w:after="0" w:line="239" w:lineRule="auto"/>
        <w:rPr>
          <w:sz w:val="20"/>
          <w:szCs w:val="20"/>
          <w:color w:val="auto"/>
        </w:rPr>
      </w:pPr>
      <w:r>
        <w:rPr>
          <w:rFonts w:ascii="Arial" w:cs="Arial" w:eastAsia="Arial" w:hAnsi="Arial"/>
          <w:sz w:val="22"/>
          <w:szCs w:val="22"/>
          <w:color w:val="auto"/>
        </w:rPr>
        <w:t>Interest expense, net, increased by $8,183 or 9.9% for the quarter primarily due to an increase in average borrowings and increased borrowing costs.</w:t>
      </w:r>
    </w:p>
    <w:p>
      <w:pPr>
        <w:spacing w:after="0" w:line="198"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AFUDC decreased by $3,128 or 20.0% due to the decrease in the average balance of utility plant construction work in progress, to which AFUDC is applied.</w:t>
      </w:r>
    </w:p>
    <w:p>
      <w:pPr>
        <w:spacing w:after="0" w:line="198" w:lineRule="exact"/>
        <w:rPr>
          <w:sz w:val="20"/>
          <w:szCs w:val="20"/>
          <w:color w:val="auto"/>
        </w:rPr>
      </w:pPr>
    </w:p>
    <w:p>
      <w:pPr>
        <w:ind w:right="620"/>
        <w:spacing w:after="0" w:line="239" w:lineRule="auto"/>
        <w:rPr>
          <w:sz w:val="20"/>
          <w:szCs w:val="20"/>
          <w:color w:val="auto"/>
        </w:rPr>
      </w:pPr>
      <w:r>
        <w:rPr>
          <w:rFonts w:ascii="Arial" w:cs="Arial" w:eastAsia="Arial" w:hAnsi="Arial"/>
          <w:sz w:val="22"/>
          <w:szCs w:val="22"/>
          <w:color w:val="auto"/>
        </w:rPr>
        <w:t>Our effective income tax rate for our Regulated Water Segment was an expense of 14.6% in the first nine months of 2023, compared to an expense of 14.7% in the first nine months of 2022.</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Natural Gas Segment</w:t>
      </w:r>
    </w:p>
    <w:p>
      <w:pPr>
        <w:spacing w:after="0" w:line="206"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4" w:name="page45"/>
    <w:bookmarkEnd w:id="44"/>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following tables present selected operating results and statistics for our Regulated Natural Gas segment, for the periods ended September 30, 2023 and 2022: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5"/>
          </w:tcPr>
          <w:p>
            <w:pPr>
              <w:jc w:val="center"/>
              <w:ind w:right="30"/>
              <w:spacing w:after="0"/>
              <w:rPr>
                <w:sz w:val="20"/>
                <w:szCs w:val="20"/>
                <w:color w:val="auto"/>
              </w:rPr>
            </w:pPr>
            <w:r>
              <w:rPr>
                <w:rFonts w:ascii="Arial" w:cs="Arial" w:eastAsia="Arial" w:hAnsi="Arial"/>
                <w:sz w:val="18"/>
                <w:szCs w:val="18"/>
                <w:color w:val="auto"/>
                <w:w w:val="89"/>
              </w:rPr>
              <w:t>Nine Months Ended September</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color w:val="auto"/>
                <w:w w:val="98"/>
              </w:rPr>
              <w:t>Three Months Ended September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5"/>
              </w:rPr>
              <w:t>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2023</w:t>
            </w:r>
          </w:p>
        </w:tc>
        <w:tc>
          <w:tcPr>
            <w:tcW w:w="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94,798</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118,985</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675,076</w:t>
            </w: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731,897</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50,006</w:t>
            </w:r>
          </w:p>
        </w:tc>
        <w:tc>
          <w:tcPr>
            <w:tcW w:w="24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51,850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148,270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156,209</w:t>
            </w:r>
          </w:p>
        </w:tc>
        <w:tc>
          <w:tcPr>
            <w:tcW w:w="0" w:type="dxa"/>
            <w:vAlign w:val="bottom"/>
          </w:tcPr>
          <w:p>
            <w:pPr>
              <w:spacing w:after="0"/>
              <w:rPr>
                <w:sz w:val="1"/>
                <w:szCs w:val="1"/>
                <w:color w:val="auto"/>
              </w:rPr>
            </w:pPr>
          </w:p>
        </w:tc>
      </w:tr>
      <w:tr>
        <w:trPr>
          <w:trHeight w:val="170"/>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Purchased gas</w:t>
            </w: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14,408</w:t>
            </w:r>
          </w:p>
        </w:tc>
        <w:tc>
          <w:tcPr>
            <w:tcW w:w="2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41,124</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295,929</w:t>
            </w: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321,822</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Segment net income (loss)</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(9,776)</w:t>
            </w:r>
          </w:p>
        </w:tc>
        <w:tc>
          <w:tcPr>
            <w:tcW w:w="24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(17,133)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127,400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133,831</w:t>
            </w: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Operating Statistics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Selected operating results as a percentage of operating revenues: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00" w:type="dxa"/>
            <w:vAlign w:val="bottom"/>
          </w:tcPr>
          <w:p>
            <w:pPr>
              <w:spacing w:after="0"/>
              <w:rPr>
                <w:sz w:val="16"/>
                <w:szCs w:val="16"/>
                <w:color w:val="auto"/>
              </w:rPr>
            </w:pPr>
          </w:p>
        </w:tc>
        <w:tc>
          <w:tcPr>
            <w:tcW w:w="130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3"/>
              </w:rPr>
              <w:t>52.8%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3"/>
              </w:rPr>
              <w:t>43.6%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0"/>
              </w:rPr>
              <w:t>22.0%</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0"/>
              </w:rPr>
              <w:t>21.3%</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Purchased gas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93"/>
              </w:rPr>
              <w:t>15.2%</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34.6%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0"/>
              </w:rPr>
              <w:t>43.8%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44.0%</w:t>
            </w: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6"/>
                <w:szCs w:val="16"/>
                <w:color w:val="auto"/>
              </w:rPr>
            </w:pPr>
          </w:p>
        </w:tc>
        <w:tc>
          <w:tcPr>
            <w:tcW w:w="130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3"/>
              </w:rPr>
              <w:t>32.8%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3"/>
              </w:rPr>
              <w:t>25.5%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0"/>
              </w:rPr>
              <w:t>13.8%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87"/>
              </w:rPr>
              <w:t>6.9%</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90"/>
              <w:spacing w:after="0" w:line="189" w:lineRule="exact"/>
              <w:rPr>
                <w:sz w:val="20"/>
                <w:szCs w:val="20"/>
                <w:color w:val="auto"/>
              </w:rPr>
            </w:pPr>
            <w:r>
              <w:rPr>
                <w:rFonts w:ascii="Arial" w:cs="Arial" w:eastAsia="Arial" w:hAnsi="Arial"/>
                <w:sz w:val="18"/>
                <w:szCs w:val="18"/>
                <w:color w:val="auto"/>
                <w:w w:val="87"/>
              </w:rPr>
              <w:t>2.6%</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2.3%</w:t>
            </w:r>
          </w:p>
        </w:tc>
        <w:tc>
          <w:tcPr>
            <w:tcW w:w="0" w:type="dxa"/>
            <w:vAlign w:val="bottom"/>
          </w:tcPr>
          <w:p>
            <w:pPr>
              <w:spacing w:after="0"/>
              <w:rPr>
                <w:sz w:val="1"/>
                <w:szCs w:val="1"/>
                <w:color w:val="auto"/>
              </w:rPr>
            </w:pPr>
          </w:p>
        </w:tc>
      </w:tr>
      <w:tr>
        <w:trPr>
          <w:trHeight w:val="189"/>
        </w:trPr>
        <w:tc>
          <w:tcPr>
            <w:tcW w:w="570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6"/>
                <w:szCs w:val="16"/>
                <w:color w:val="auto"/>
              </w:rPr>
            </w:pPr>
          </w:p>
        </w:tc>
        <w:tc>
          <w:tcPr>
            <w:tcW w:w="1300" w:type="dxa"/>
            <w:vAlign w:val="bottom"/>
          </w:tcPr>
          <w:p>
            <w:pPr>
              <w:jc w:val="center"/>
              <w:ind w:left="50"/>
              <w:spacing w:after="0" w:line="189" w:lineRule="exact"/>
              <w:rPr>
                <w:sz w:val="20"/>
                <w:szCs w:val="20"/>
                <w:color w:val="auto"/>
              </w:rPr>
            </w:pPr>
            <w:r>
              <w:rPr>
                <w:rFonts w:ascii="Arial" w:cs="Arial" w:eastAsia="Arial" w:hAnsi="Arial"/>
                <w:sz w:val="18"/>
                <w:szCs w:val="18"/>
                <w:color w:val="auto"/>
                <w:w w:val="93"/>
              </w:rPr>
              <w:t>20.5%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line="189" w:lineRule="exact"/>
              <w:rPr>
                <w:sz w:val="20"/>
                <w:szCs w:val="20"/>
                <w:color w:val="auto"/>
              </w:rPr>
            </w:pPr>
            <w:r>
              <w:rPr>
                <w:rFonts w:ascii="Arial" w:cs="Arial" w:eastAsia="Arial" w:hAnsi="Arial"/>
                <w:sz w:val="18"/>
                <w:szCs w:val="18"/>
                <w:color w:val="auto"/>
                <w:w w:val="93"/>
              </w:rPr>
              <w:t>17.1%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left="70"/>
              <w:spacing w:after="0" w:line="189" w:lineRule="exact"/>
              <w:rPr>
                <w:sz w:val="20"/>
                <w:szCs w:val="20"/>
                <w:color w:val="auto"/>
              </w:rPr>
            </w:pPr>
            <w:r>
              <w:rPr>
                <w:rFonts w:ascii="Arial" w:cs="Arial" w:eastAsia="Arial" w:hAnsi="Arial"/>
                <w:sz w:val="18"/>
                <w:szCs w:val="18"/>
                <w:color w:val="auto"/>
                <w:w w:val="90"/>
              </w:rPr>
              <w:t>10.1%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92"/>
              </w:rPr>
              <w:t>8.2%</w:t>
            </w: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Segment net income (loss)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91"/>
              </w:rPr>
              <w:t>-10.3%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-14.4%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70"/>
              <w:spacing w:after="0" w:line="189" w:lineRule="exact"/>
              <w:rPr>
                <w:sz w:val="20"/>
                <w:szCs w:val="20"/>
                <w:color w:val="auto"/>
              </w:rPr>
            </w:pPr>
            <w:r>
              <w:rPr>
                <w:rFonts w:ascii="Arial" w:cs="Arial" w:eastAsia="Arial" w:hAnsi="Arial"/>
                <w:sz w:val="18"/>
                <w:szCs w:val="18"/>
                <w:color w:val="auto"/>
                <w:w w:val="90"/>
              </w:rPr>
              <w:t>18.9%</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18.3%</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center"/>
              <w:ind w:left="50"/>
              <w:spacing w:after="0" w:line="189" w:lineRule="exact"/>
              <w:rPr>
                <w:sz w:val="20"/>
                <w:szCs w:val="20"/>
                <w:color w:val="auto"/>
              </w:rPr>
            </w:pPr>
            <w:r>
              <w:rPr>
                <w:rFonts w:ascii="Arial" w:cs="Arial" w:eastAsia="Arial" w:hAnsi="Arial"/>
                <w:sz w:val="18"/>
                <w:szCs w:val="18"/>
                <w:color w:val="auto"/>
                <w:w w:val="93"/>
              </w:rPr>
              <w:t>63.4%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42.6%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ind w:left="90"/>
              <w:spacing w:after="0" w:line="189" w:lineRule="exact"/>
              <w:rPr>
                <w:sz w:val="20"/>
                <w:szCs w:val="20"/>
                <w:color w:val="auto"/>
              </w:rPr>
            </w:pPr>
            <w:r>
              <w:rPr>
                <w:rFonts w:ascii="Arial" w:cs="Arial" w:eastAsia="Arial" w:hAnsi="Arial"/>
                <w:sz w:val="18"/>
                <w:szCs w:val="18"/>
                <w:color w:val="auto"/>
                <w:w w:val="89"/>
              </w:rPr>
              <w:t>-137.3%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-49.6%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September 30, 2023 compared with three months ended September 30,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decreased by $24,187 or by 20.3% due to:</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impact of lower gas cost of $26,716 during the quarter as compared to the prior period;</w:t>
      </w:r>
    </w:p>
    <w:p>
      <w:pPr>
        <w:ind w:left="340" w:right="1100"/>
        <w:spacing w:after="0" w:line="224" w:lineRule="auto"/>
        <w:rPr>
          <w:sz w:val="20"/>
          <w:szCs w:val="20"/>
          <w:color w:val="auto"/>
        </w:rPr>
      </w:pPr>
      <w:r>
        <w:rPr>
          <w:rFonts w:ascii="Arial" w:cs="Arial" w:eastAsia="Arial" w:hAnsi="Arial"/>
          <w:sz w:val="22"/>
          <w:szCs w:val="22"/>
          <w:color w:val="auto"/>
        </w:rPr>
        <w:t>decrease in customer assistance surcharge of $2,044, which has an equivalent offsetting amount in operations and maintenance expense; and offset by,</w:t>
      </w:r>
    </w:p>
    <w:p>
      <w:pPr>
        <w:spacing w:after="0"/>
        <w:rPr>
          <w:sz w:val="20"/>
          <w:szCs w:val="20"/>
          <w:color w:val="auto"/>
        </w:rPr>
      </w:pPr>
      <w:r>
        <w:rPr>
          <w:rFonts w:ascii="Arial" w:cs="Arial" w:eastAsia="Arial" w:hAnsi="Arial"/>
          <w:sz w:val="22"/>
          <w:szCs w:val="22"/>
          <w:color w:val="auto"/>
        </w:rPr>
        <w:t>an increase of $4,413 due to higher rates and other surcharges.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Operations and maintenance expense for the three months ended September 30, 2023 decreased by $1,844 or 3.6% primarily due to the following: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decrease in customer assistance surcharge costs of $2,044, which has an equivalent offsetting amount in revenues;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net decrease of $1,632 in labor and management fees, due to higher capitalization as a result of greater capital spend during</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2023 and one-time incentive compensation in 2022; offset by,</w:t>
      </w:r>
    </w:p>
    <w:p>
      <w:pPr>
        <w:spacing w:after="0" w:line="217" w:lineRule="auto"/>
        <w:rPr>
          <w:sz w:val="20"/>
          <w:szCs w:val="20"/>
          <w:color w:val="auto"/>
        </w:rPr>
      </w:pPr>
      <w:r>
        <w:rPr>
          <w:rFonts w:ascii="Arial" w:cs="Arial" w:eastAsia="Arial" w:hAnsi="Arial"/>
          <w:sz w:val="22"/>
          <w:szCs w:val="22"/>
          <w:color w:val="auto"/>
        </w:rPr>
        <w:t>increase in legal expenses of $1,143; and</w:t>
      </w:r>
    </w:p>
    <w:p>
      <w:pPr>
        <w:spacing w:after="0"/>
        <w:rPr>
          <w:sz w:val="20"/>
          <w:szCs w:val="20"/>
          <w:color w:val="auto"/>
        </w:rPr>
      </w:pPr>
      <w:r>
        <w:rPr>
          <w:rFonts w:ascii="Arial" w:cs="Arial" w:eastAsia="Arial" w:hAnsi="Arial"/>
          <w:sz w:val="22"/>
          <w:szCs w:val="22"/>
          <w:color w:val="auto"/>
        </w:rPr>
        <w:t>increase in materials and supplies expenses of $575.</w:t>
      </w:r>
    </w:p>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Fluctuations in the cost of purchased gas impact operating revenues on a dollar-for-dollar basis. Purchased gas decreased by $26,716 or 65.0%. The expense decreased primarily due to the lower average cost of gas withdrawn from storage or purchased on the spot market during the third quarter of 2023 as compared to the same period in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Depreciation and amortization increased by $846 or 2.8% primarily due to continued capital investment.</w:t>
      </w:r>
    </w:p>
    <w:p>
      <w:pPr>
        <w:spacing w:after="0" w:line="206"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color w:val="auto"/>
        </w:rPr>
        <w:t>Taxes other than income taxes increased by $1,509 or 29.7% due to higher gross receipts tax and public utility commission assessments this period as compared with the prior period.</w:t>
      </w:r>
    </w:p>
    <w:p>
      <w:pPr>
        <w:spacing w:after="0" w:line="198" w:lineRule="exact"/>
        <w:rPr>
          <w:sz w:val="20"/>
          <w:szCs w:val="20"/>
          <w:color w:val="auto"/>
        </w:rPr>
      </w:pPr>
    </w:p>
    <w:p>
      <w:pPr>
        <w:ind w:right="340"/>
        <w:spacing w:after="0" w:line="260" w:lineRule="auto"/>
        <w:rPr>
          <w:sz w:val="20"/>
          <w:szCs w:val="20"/>
          <w:color w:val="auto"/>
        </w:rPr>
      </w:pPr>
      <w:r>
        <w:rPr>
          <w:rFonts w:ascii="Arial" w:cs="Arial" w:eastAsia="Arial" w:hAnsi="Arial"/>
          <w:sz w:val="21"/>
          <w:szCs w:val="21"/>
          <w:b w:val="1"/>
          <w:bCs w:val="1"/>
          <w:i w:val="1"/>
          <w:iCs w:val="1"/>
          <w:color w:val="auto"/>
        </w:rPr>
        <w:t xml:space="preserve">Other expense, net </w:t>
      </w:r>
      <w:r>
        <w:rPr>
          <w:rFonts w:ascii="Arial" w:cs="Arial" w:eastAsia="Arial" w:hAnsi="Arial"/>
          <w:sz w:val="21"/>
          <w:szCs w:val="21"/>
          <w:color w:val="auto"/>
        </w:rPr>
        <w:t>– Interest expense, net, decreased by $918 or 4.5% due to lower interest on gas cost collections and lower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average borrowings compared to the third quarter of 2022, offset by increased interest rates.</w:t>
      </w:r>
    </w:p>
    <w:p>
      <w:pPr>
        <w:spacing w:after="0" w:line="179"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b w:val="1"/>
          <w:bCs w:val="1"/>
          <w:i w:val="1"/>
          <w:iCs w:val="1"/>
          <w:color w:val="auto"/>
        </w:rPr>
        <w:t xml:space="preserve">Income tax benefit </w:t>
      </w:r>
      <w:r>
        <w:rPr>
          <w:rFonts w:ascii="Arial" w:cs="Arial" w:eastAsia="Arial" w:hAnsi="Arial"/>
          <w:sz w:val="19"/>
          <w:szCs w:val="19"/>
          <w:color w:val="auto"/>
        </w:rPr>
        <w:t>– Our effective income tax rate was a benefit of 63.4% in the third quarter of 2023, compared to a benefit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42.6% in the third quarter of 2022. The change in the effective tax rate is primarily attributed to an increase in the income tax benefit associated with the tax deduction for qualifying infrastructure in our Regulated Natural Gas segment.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6" w:name="page47"/>
    <w:bookmarkEnd w:id="46"/>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Nine months ended September 30, 2023 compared with nine months ended September 30,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decreased by $56,821 or 7.8% due to:</w:t>
      </w:r>
    </w:p>
    <w:p>
      <w:pPr>
        <w:spacing w:after="0" w:line="206" w:lineRule="exact"/>
        <w:rPr>
          <w:sz w:val="20"/>
          <w:szCs w:val="20"/>
          <w:color w:val="auto"/>
        </w:rPr>
      </w:pPr>
    </w:p>
    <w:p>
      <w:pPr>
        <w:ind w:left="340" w:right="1340"/>
        <w:spacing w:after="0" w:line="232" w:lineRule="auto"/>
        <w:rPr>
          <w:sz w:val="20"/>
          <w:szCs w:val="20"/>
          <w:color w:val="auto"/>
        </w:rPr>
      </w:pPr>
      <w:r>
        <w:rPr>
          <w:rFonts w:ascii="Arial" w:cs="Arial" w:eastAsia="Arial" w:hAnsi="Arial"/>
          <w:sz w:val="22"/>
          <w:szCs w:val="22"/>
          <w:color w:val="auto"/>
        </w:rPr>
        <w:t>lower gas usage of $35,076, primarily due to warmer weather conditions in 2023 compared to the prior period; lower gas cost of $25,893;</w:t>
      </w:r>
    </w:p>
    <w:p>
      <w:pPr>
        <w:spacing w:after="0" w:line="1" w:lineRule="exact"/>
        <w:rPr>
          <w:sz w:val="20"/>
          <w:szCs w:val="20"/>
          <w:color w:val="auto"/>
        </w:rPr>
      </w:pPr>
    </w:p>
    <w:p>
      <w:pPr>
        <w:ind w:left="340" w:right="1100"/>
        <w:spacing w:after="0" w:line="217" w:lineRule="auto"/>
        <w:rPr>
          <w:sz w:val="20"/>
          <w:szCs w:val="20"/>
          <w:color w:val="auto"/>
        </w:rPr>
      </w:pPr>
      <w:r>
        <w:rPr>
          <w:rFonts w:ascii="Arial" w:cs="Arial" w:eastAsia="Arial" w:hAnsi="Arial"/>
          <w:sz w:val="22"/>
          <w:szCs w:val="22"/>
          <w:color w:val="auto"/>
        </w:rPr>
        <w:t>decrease in customer assistance surcharge of $7,344, which has an equivalent offsetting amount in operations and maintenance expense; and offset by,</w:t>
      </w:r>
    </w:p>
    <w:p>
      <w:pPr>
        <w:spacing w:after="0" w:line="1" w:lineRule="exact"/>
        <w:rPr>
          <w:sz w:val="20"/>
          <w:szCs w:val="20"/>
          <w:color w:val="auto"/>
        </w:rPr>
      </w:pPr>
    </w:p>
    <w:p>
      <w:pPr>
        <w:ind w:left="340" w:right="420"/>
        <w:spacing w:after="0" w:line="308" w:lineRule="auto"/>
        <w:rPr>
          <w:sz w:val="20"/>
          <w:szCs w:val="20"/>
          <w:color w:val="auto"/>
        </w:rPr>
      </w:pPr>
      <w:r>
        <w:rPr>
          <w:rFonts w:ascii="Arial" w:cs="Arial" w:eastAsia="Arial" w:hAnsi="Arial"/>
          <w:sz w:val="19"/>
          <w:szCs w:val="19"/>
          <w:color w:val="auto"/>
        </w:rPr>
        <w:t>an increase of $7,912 due to higher rates and other surcharges, largely resulting from the weather normalization charge in Kentucky and favorable merchant function charge rider in Pennsylvania during the first quarter of the year.</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nine months ended September 30, 2023, we experienced actual HDDs of 2,963 days, which was warmer by 17.8% than the actual HDDs of 3,606 days in the first nine months of 2022 for Pittsburgh, Pennsylvania, which we use as a proxy for our western Pennsylvania service territory. As a result, the operating revenue impact of the lower demand for gas volume was $35,076 and is largely attributed to the warmer weather experienced in 2023.</w:t>
      </w:r>
    </w:p>
    <w:p>
      <w:pPr>
        <w:spacing w:after="0" w:line="181"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Operations and maintenance expense for the nine months ended September 30, 2023 decreased by $7,939 or 5.1% primarily due to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decrease in customer assistance surcharge costs of $7,344, which has an equivalent offsetting amount in revenues;</w:t>
      </w:r>
    </w:p>
    <w:p>
      <w:pPr>
        <w:spacing w:after="0" w:line="6" w:lineRule="exact"/>
        <w:rPr>
          <w:sz w:val="20"/>
          <w:szCs w:val="20"/>
          <w:color w:val="auto"/>
        </w:rPr>
      </w:pPr>
    </w:p>
    <w:p>
      <w:pPr>
        <w:ind w:left="340" w:right="200"/>
        <w:spacing w:after="0" w:line="217" w:lineRule="auto"/>
        <w:rPr>
          <w:sz w:val="20"/>
          <w:szCs w:val="20"/>
          <w:color w:val="auto"/>
        </w:rPr>
      </w:pPr>
      <w:r>
        <w:rPr>
          <w:rFonts w:ascii="Arial" w:cs="Arial" w:eastAsia="Arial" w:hAnsi="Arial"/>
          <w:sz w:val="22"/>
          <w:szCs w:val="22"/>
          <w:color w:val="auto"/>
        </w:rPr>
        <w:t>an asset impairment charge recognized in the first quarter of 2022 of $1,801 to write down a portion of the right of use asset of our Regulated Natural Gas segment’s office space to fair value;</w:t>
      </w:r>
    </w:p>
    <w:p>
      <w:pPr>
        <w:spacing w:after="0" w:line="1" w:lineRule="exact"/>
        <w:rPr>
          <w:sz w:val="20"/>
          <w:szCs w:val="20"/>
          <w:color w:val="auto"/>
        </w:rPr>
      </w:pPr>
    </w:p>
    <w:p>
      <w:pPr>
        <w:ind w:left="340" w:right="5620"/>
        <w:spacing w:after="0" w:line="259" w:lineRule="auto"/>
        <w:rPr>
          <w:sz w:val="20"/>
          <w:szCs w:val="20"/>
          <w:color w:val="auto"/>
        </w:rPr>
      </w:pPr>
      <w:r>
        <w:rPr>
          <w:rFonts w:ascii="Arial" w:cs="Arial" w:eastAsia="Arial" w:hAnsi="Arial"/>
          <w:sz w:val="19"/>
          <w:szCs w:val="19"/>
          <w:color w:val="auto"/>
        </w:rPr>
        <w:t>decrease in insurance expense of $1,905 due to lower claims; decrease in bad debt expense of $1,560; offset by,</w:t>
      </w:r>
    </w:p>
    <w:p>
      <w:pPr>
        <w:ind w:left="340" w:right="6640"/>
        <w:spacing w:after="0" w:line="242" w:lineRule="auto"/>
        <w:rPr>
          <w:sz w:val="20"/>
          <w:szCs w:val="20"/>
          <w:color w:val="auto"/>
        </w:rPr>
      </w:pPr>
      <w:r>
        <w:rPr>
          <w:rFonts w:ascii="Arial" w:cs="Arial" w:eastAsia="Arial" w:hAnsi="Arial"/>
          <w:sz w:val="21"/>
          <w:szCs w:val="21"/>
          <w:color w:val="auto"/>
        </w:rPr>
        <w:t>increase in materials and supplies of $2,152; and, increase in legal expenses of $1,093.</w:t>
      </w:r>
    </w:p>
    <w:p>
      <w:pPr>
        <w:spacing w:after="0" w:line="197" w:lineRule="exact"/>
        <w:rPr>
          <w:sz w:val="20"/>
          <w:szCs w:val="20"/>
          <w:color w:val="auto"/>
        </w:rPr>
      </w:pPr>
    </w:p>
    <w:p>
      <w:pPr>
        <w:ind w:right="100"/>
        <w:spacing w:after="0" w:line="313" w:lineRule="auto"/>
        <w:rPr>
          <w:sz w:val="20"/>
          <w:szCs w:val="20"/>
          <w:color w:val="auto"/>
        </w:rPr>
      </w:pPr>
      <w:r>
        <w:rPr>
          <w:rFonts w:ascii="Arial" w:cs="Arial" w:eastAsia="Arial" w:hAnsi="Arial"/>
          <w:sz w:val="19"/>
          <w:szCs w:val="19"/>
          <w:color w:val="auto"/>
        </w:rPr>
        <w:t>Purchased gas decreased by $25,893 or 8.0%. The decrease is the result of lower gas usage during the first nine months of 2023, offset by the impact of the higher average cost of gas withdrawn from storage during the first quarter of 2023.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MANAGEMENT’S DISCUSSION AND ANALYSIS OF</w:t>
      </w:r>
    </w:p>
    <w:p>
      <w:pPr>
        <w:jc w:val="center"/>
        <w:ind w:right="-9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Depreciation and amortization increased by $4,327 or 4.9% primarily due to continued capital investment in pipe replacement.</w:t>
      </w:r>
    </w:p>
    <w:p>
      <w:pPr>
        <w:spacing w:after="0" w:line="254" w:lineRule="exact"/>
        <w:rPr>
          <w:sz w:val="20"/>
          <w:szCs w:val="20"/>
          <w:color w:val="auto"/>
        </w:rPr>
      </w:pPr>
    </w:p>
    <w:p>
      <w:pPr>
        <w:ind w:right="780"/>
        <w:spacing w:after="0" w:line="239" w:lineRule="auto"/>
        <w:rPr>
          <w:sz w:val="20"/>
          <w:szCs w:val="20"/>
          <w:color w:val="auto"/>
        </w:rPr>
      </w:pPr>
      <w:r>
        <w:rPr>
          <w:rFonts w:ascii="Arial" w:cs="Arial" w:eastAsia="Arial" w:hAnsi="Arial"/>
          <w:sz w:val="22"/>
          <w:szCs w:val="22"/>
          <w:color w:val="auto"/>
        </w:rPr>
        <w:t>Taxes other than income taxes increased by $814 or 4.8% due to higher gross receipts tax and public utility commission assessments during the current period as compared with the prior period.</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 net, increased by $7,748 or 12.9% due to increases in average borrowings and average interest rates.</w:t>
      </w:r>
    </w:p>
    <w:p>
      <w:pPr>
        <w:spacing w:after="0" w:line="24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Our effective income tax rate decreased significantly in 2023 as compared with 2022. The change in the effective tax rate is primarily attributed to the increase in the income tax benefit associated with the tax deduction for qualifying infrastructure in our Regulated Natural Gas segment.</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06" w:lineRule="exact"/>
        <w:rPr>
          <w:sz w:val="20"/>
          <w:szCs w:val="20"/>
          <w:color w:val="auto"/>
        </w:rPr>
      </w:pPr>
    </w:p>
    <w:p>
      <w:pPr>
        <w:ind w:right="1020"/>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16,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8" w:name="page49"/>
    <w:bookmarkEnd w:id="48"/>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2022, filed March 1, 2023, for additional information on 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ind w:right="760"/>
        <w:spacing w:after="0" w:line="313" w:lineRule="auto"/>
        <w:rPr>
          <w:sz w:val="20"/>
          <w:szCs w:val="20"/>
          <w:color w:val="auto"/>
        </w:rPr>
      </w:pPr>
      <w:r>
        <w:rPr>
          <w:rFonts w:ascii="Arial" w:cs="Arial" w:eastAsia="Arial" w:hAnsi="Arial"/>
          <w:sz w:val="19"/>
          <w:szCs w:val="19"/>
          <w:color w:val="auto"/>
        </w:rPr>
        <w:t>No change in our internal control over financial reporting occurred during the quarter ended September 30, 2023 that has materially affected, or is reasonably likely to materially affect, our internal control over financial reporting.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We are party to various legal proceedings in the ordinary course of business. Although the results of these legal proceedings cannot be predicted with certainty, besides the matter described below, there are no other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PFAS Litigation</w:t>
      </w:r>
    </w:p>
    <w:p>
      <w:pPr>
        <w:spacing w:after="0" w:line="8"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Several of the Company’s subsidiaries are parties to several lawsuits against manufacturers of certain PFAS for damages, contribution and reimbursement of costs incurred and continuing to be incurred to address the presence of such PFAS in public water supply systems owned and operated by these utility subsidiaries and throughout its service area. One such suit to which the Company is a party is a multi-district litigation (the “MDL”) lawsuit which commenced on December 7, 2018, in the United States District Court for the District of South Carolina. In August 2023, a potential class action settlement involving defendants The Chemours Company, Corteva, Inc., and DuPont de Nemours, Inc. to resolve claims brought in the MDL against them by public water systems, including the Company, and a similar class action settlement with defendant 3M Company received preliminary approval from the MDL court. The Company is monitoring and evaluating the ongoing litigation and settlement activity with the PFAS manufacturers for potential impacts to the various claims that the Company has asserted, including deadlines set in the MDL of December 4, 2023 and December 11, 2023 for water utilities, including the Company, to opt out of the proposed settlements.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2022, under “Part 1, Item 1A – Risk Factors” and in our Form 10-Q for the quarter ended March 31, 2023.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the Company’s purchases of its common stock for the quarter ended September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4200" w:type="dxa"/>
            <w:vAlign w:val="bottom"/>
            <w:gridSpan w:val="6"/>
          </w:tcPr>
          <w:p>
            <w:pPr>
              <w:ind w:left="20"/>
              <w:spacing w:after="0"/>
              <w:rPr>
                <w:sz w:val="20"/>
                <w:szCs w:val="20"/>
                <w:color w:val="auto"/>
              </w:rPr>
            </w:pPr>
            <w:r>
              <w:rPr>
                <w:rFonts w:ascii="Arial" w:cs="Arial" w:eastAsia="Arial" w:hAnsi="Arial"/>
                <w:sz w:val="22"/>
                <w:szCs w:val="22"/>
                <w:color w:val="auto"/>
              </w:rPr>
              <w:t>Issuer Purchases of Equity Securities</w:t>
            </w:r>
          </w:p>
        </w:tc>
        <w:tc>
          <w:tcPr>
            <w:tcW w:w="1840" w:type="dxa"/>
            <w:vAlign w:val="bottom"/>
            <w:gridSpan w:val="2"/>
            <w:vMerge w:val="restart"/>
          </w:tcPr>
          <w:p>
            <w:pPr>
              <w:jc w:val="right"/>
              <w:ind w:right="260"/>
              <w:spacing w:after="0"/>
              <w:rPr>
                <w:sz w:val="20"/>
                <w:szCs w:val="20"/>
                <w:color w:val="auto"/>
              </w:rPr>
            </w:pPr>
            <w:r>
              <w:rPr>
                <w:rFonts w:ascii="Arial" w:cs="Arial" w:eastAsia="Arial" w:hAnsi="Arial"/>
                <w:sz w:val="22"/>
                <w:szCs w:val="22"/>
                <w:color w:val="auto"/>
              </w:rPr>
              <w:t>Total</w:t>
            </w: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Shares</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Purchased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as Part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Publicly</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w w:val="85"/>
              </w:rPr>
              <w:t>Average</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Announced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of Shares</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9" w:lineRule="exact"/>
              <w:rPr>
                <w:sz w:val="20"/>
                <w:szCs w:val="20"/>
                <w:color w:val="auto"/>
              </w:rPr>
            </w:pPr>
            <w:r>
              <w:rPr>
                <w:rFonts w:ascii="Arial" w:cs="Arial" w:eastAsia="Arial" w:hAnsi="Arial"/>
                <w:sz w:val="22"/>
                <w:szCs w:val="22"/>
                <w:color w:val="auto"/>
              </w:rPr>
              <w:t>Price Paid</w:t>
            </w:r>
          </w:p>
        </w:tc>
        <w:tc>
          <w:tcPr>
            <w:tcW w:w="184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Plans or</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22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80" w:type="dxa"/>
            <w:vAlign w:val="bottom"/>
          </w:tcPr>
          <w:p>
            <w:pPr>
              <w:spacing w:after="0"/>
              <w:rPr>
                <w:sz w:val="19"/>
                <w:szCs w:val="19"/>
                <w:color w:val="auto"/>
              </w:rPr>
            </w:pPr>
          </w:p>
        </w:tc>
        <w:tc>
          <w:tcPr>
            <w:tcW w:w="150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rPr>
              <w:t>per Share</w:t>
            </w:r>
          </w:p>
        </w:tc>
        <w:tc>
          <w:tcPr>
            <w:tcW w:w="184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Programs</w:t>
            </w:r>
          </w:p>
        </w:tc>
        <w:tc>
          <w:tcPr>
            <w:tcW w:w="18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July 1-31, 2023</w:t>
            </w:r>
          </w:p>
        </w:tc>
        <w:tc>
          <w:tcPr>
            <w:tcW w:w="196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24</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52"/>
              <w:spacing w:after="0" w:line="210"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22"/>
                <w:szCs w:val="22"/>
                <w:color w:val="auto"/>
              </w:rPr>
              <w:t>39.67</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August 1-31, 2023</w:t>
            </w:r>
          </w:p>
        </w:tc>
        <w:tc>
          <w:tcPr>
            <w:tcW w:w="222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24</w:t>
            </w:r>
          </w:p>
        </w:tc>
        <w:tc>
          <w:tcPr>
            <w:tcW w:w="480" w:type="dxa"/>
            <w:vAlign w:val="bottom"/>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37.07</w:t>
            </w:r>
          </w:p>
        </w:tc>
        <w:tc>
          <w:tcPr>
            <w:tcW w:w="260" w:type="dxa"/>
            <w:vAlign w:val="bottom"/>
          </w:tcPr>
          <w:p>
            <w:pPr>
              <w:spacing w:after="0"/>
              <w:rPr>
                <w:sz w:val="19"/>
                <w:szCs w:val="19"/>
                <w:color w:val="auto"/>
              </w:rPr>
            </w:pPr>
          </w:p>
        </w:tc>
        <w:tc>
          <w:tcPr>
            <w:tcW w:w="158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spacing w:after="0" w:line="229" w:lineRule="exact"/>
              <w:rPr>
                <w:sz w:val="20"/>
                <w:szCs w:val="20"/>
                <w:color w:val="auto"/>
              </w:rPr>
            </w:pPr>
            <w:r>
              <w:rPr>
                <w:rFonts w:ascii="Arial" w:cs="Arial" w:eastAsia="Arial" w:hAnsi="Arial"/>
                <w:sz w:val="22"/>
                <w:szCs w:val="22"/>
                <w:color w:val="auto"/>
              </w:rPr>
              <w:t>September 1-30, 2023</w:t>
            </w:r>
          </w:p>
        </w:tc>
        <w:tc>
          <w:tcPr>
            <w:tcW w:w="2220" w:type="dxa"/>
            <w:vAlign w:val="bottom"/>
            <w:gridSpan w:val="2"/>
            <w:shd w:val="clear" w:color="auto" w:fill="CCEEFF"/>
          </w:tcPr>
          <w:p>
            <w:pPr>
              <w:jc w:val="right"/>
              <w:ind w:right="260"/>
              <w:spacing w:after="0" w:line="229" w:lineRule="exact"/>
              <w:rPr>
                <w:sz w:val="20"/>
                <w:szCs w:val="20"/>
                <w:color w:val="auto"/>
              </w:rPr>
            </w:pPr>
            <w:r>
              <w:rPr>
                <w:rFonts w:ascii="Arial" w:cs="Arial" w:eastAsia="Arial" w:hAnsi="Arial"/>
                <w:sz w:val="22"/>
                <w:szCs w:val="22"/>
                <w:color w:val="auto"/>
              </w:rPr>
              <w:t>-</w:t>
            </w:r>
          </w:p>
        </w:tc>
        <w:tc>
          <w:tcPr>
            <w:tcW w:w="480" w:type="dxa"/>
            <w:vAlign w:val="bottom"/>
            <w:shd w:val="clear" w:color="auto" w:fill="CCEEFF"/>
          </w:tcPr>
          <w:p>
            <w:pPr>
              <w:jc w:val="right"/>
              <w:ind w:right="252"/>
              <w:spacing w:after="0" w:line="229"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48</w:t>
            </w:r>
          </w:p>
        </w:tc>
        <w:tc>
          <w:tcPr>
            <w:tcW w:w="2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52"/>
              <w:spacing w:after="0" w:line="223" w:lineRule="exact"/>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gridSpan w:val="2"/>
          </w:tcPr>
          <w:p>
            <w:pPr>
              <w:jc w:val="right"/>
              <w:spacing w:after="0" w:line="223" w:lineRule="exact"/>
              <w:rPr>
                <w:sz w:val="20"/>
                <w:szCs w:val="20"/>
                <w:color w:val="auto"/>
              </w:rPr>
            </w:pPr>
            <w:r>
              <w:rPr>
                <w:rFonts w:ascii="Arial" w:cs="Arial" w:eastAsia="Arial" w:hAnsi="Arial"/>
                <w:sz w:val="22"/>
                <w:szCs w:val="22"/>
                <w:color w:val="auto"/>
              </w:rPr>
              <w:t>38.37</w:t>
            </w:r>
          </w:p>
        </w:tc>
        <w:tc>
          <w:tcPr>
            <w:tcW w:w="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120" w:hanging="328"/>
        <w:spacing w:after="0" w:line="277"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These amounts consist of 48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Item 5 - Other Information</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21"/>
          <w:szCs w:val="21"/>
          <w:color w:val="auto"/>
        </w:rPr>
        <w:t>During the quarter ended September 30, 2023,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080" w:type="dxa"/>
            <w:vAlign w:val="bottom"/>
            <w:gridSpan w:val="8"/>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w:t>
            </w:r>
          </w:p>
        </w:tc>
        <w:tc>
          <w:tcPr>
            <w:tcW w:w="9080" w:type="dxa"/>
            <w:vAlign w:val="bottom"/>
            <w:gridSpan w:val="8"/>
            <w:shd w:val="clear" w:color="auto" w:fill="CCEEFF"/>
          </w:tcPr>
          <w:p>
            <w:pPr>
              <w:spacing w:after="0" w:line="162" w:lineRule="exact"/>
              <w:rPr>
                <w:rFonts w:ascii="Arial" w:cs="Arial" w:eastAsia="Arial" w:hAnsi="Arial"/>
                <w:sz w:val="18"/>
                <w:szCs w:val="18"/>
                <w:color w:val="0563C1"/>
                <w:w w:val="93"/>
              </w:rPr>
            </w:pPr>
            <w:hyperlink r:id="rId63">
              <w:r>
                <w:rPr>
                  <w:rFonts w:ascii="Arial" w:cs="Arial" w:eastAsia="Arial" w:hAnsi="Arial"/>
                  <w:sz w:val="18"/>
                  <w:szCs w:val="18"/>
                  <w:color w:val="0563C1"/>
                  <w:w w:val="93"/>
                </w:rPr>
                <w:t>Amended and Restated Bylaws of Essential Utilities, Inc., effective October 25, 2023 (incorporated by reference to Exhibit</w:t>
              </w:r>
            </w:hyperlink>
          </w:p>
        </w:tc>
      </w:tr>
      <w:tr>
        <w:trPr>
          <w:trHeight w:val="189"/>
        </w:trPr>
        <w:tc>
          <w:tcPr>
            <w:tcW w:w="2160" w:type="dxa"/>
            <w:vAlign w:val="bottom"/>
            <w:tcBorders>
              <w:top w:val="single" w:sz="8" w:color="CCEEFF"/>
            </w:tcBorders>
            <w:shd w:val="clear" w:color="auto" w:fill="CCEEFF"/>
          </w:tcPr>
          <w:p>
            <w:pPr>
              <w:spacing w:after="0"/>
              <w:rPr>
                <w:sz w:val="16"/>
                <w:szCs w:val="16"/>
                <w:color w:val="auto"/>
              </w:rPr>
            </w:pPr>
          </w:p>
        </w:tc>
        <w:tc>
          <w:tcPr>
            <w:tcW w:w="8920" w:type="dxa"/>
            <w:vAlign w:val="bottom"/>
            <w:tcBorders>
              <w:top w:val="single" w:sz="8" w:color="0563C1"/>
            </w:tcBorders>
            <w:gridSpan w:val="7"/>
            <w:shd w:val="clear" w:color="auto" w:fill="CCEEFF"/>
          </w:tcPr>
          <w:p>
            <w:pPr>
              <w:spacing w:after="0" w:line="169" w:lineRule="exact"/>
              <w:rPr>
                <w:rFonts w:ascii="Arial" w:cs="Arial" w:eastAsia="Arial" w:hAnsi="Arial"/>
                <w:sz w:val="18"/>
                <w:szCs w:val="18"/>
                <w:color w:val="0563C1"/>
              </w:rPr>
            </w:pPr>
            <w:hyperlink r:id="rId63">
              <w:r>
                <w:rPr>
                  <w:rFonts w:ascii="Arial" w:cs="Arial" w:eastAsia="Arial" w:hAnsi="Arial"/>
                  <w:sz w:val="18"/>
                  <w:szCs w:val="18"/>
                  <w:color w:val="0563C1"/>
                </w:rPr>
                <w:t>3.</w:t>
              </w:r>
              <w:r>
                <w:rPr>
                  <w:rFonts w:ascii="Arial" w:cs="Arial" w:eastAsia="Arial" w:hAnsi="Arial"/>
                  <w:sz w:val="18"/>
                  <w:szCs w:val="18"/>
                  <w:u w:val="single" w:color="auto"/>
                  <w:color w:val="0563C1"/>
                </w:rPr>
                <w:t>2</w:t>
              </w:r>
              <w:r>
                <w:rPr>
                  <w:rFonts w:ascii="Arial" w:cs="Arial" w:eastAsia="Arial" w:hAnsi="Arial"/>
                  <w:sz w:val="18"/>
                  <w:szCs w:val="18"/>
                  <w:color w:val="0563C1"/>
                </w:rPr>
                <w:t xml:space="preserve"> to the Current Report on Form 8-K filed with the SEC on October 25, 2023)</w:t>
              </w:r>
            </w:hyperlink>
          </w:p>
        </w:tc>
        <w:tc>
          <w:tcPr>
            <w:tcW w:w="160" w:type="dxa"/>
            <w:vAlign w:val="bottom"/>
            <w:tcBorders>
              <w:top w:val="single" w:sz="8" w:color="CCEEFF"/>
            </w:tcBorders>
            <w:shd w:val="clear" w:color="auto" w:fill="CCEEFF"/>
          </w:tcPr>
          <w:p>
            <w:pPr>
              <w:spacing w:after="0"/>
              <w:rPr>
                <w:sz w:val="16"/>
                <w:szCs w:val="16"/>
                <w:color w:val="auto"/>
              </w:rPr>
            </w:pPr>
          </w:p>
        </w:tc>
      </w:tr>
      <w:tr>
        <w:trPr>
          <w:trHeight w:val="189"/>
        </w:trPr>
        <w:tc>
          <w:tcPr>
            <w:tcW w:w="2160" w:type="dxa"/>
            <w:vAlign w:val="bottom"/>
            <w:tcBorders>
              <w:top w:val="single" w:sz="8" w:color="CCEEFF"/>
            </w:tcBorders>
          </w:tcPr>
          <w:p>
            <w:pPr>
              <w:spacing w:after="0"/>
              <w:rPr>
                <w:sz w:val="16"/>
                <w:szCs w:val="16"/>
                <w:color w:val="auto"/>
              </w:rPr>
            </w:pPr>
          </w:p>
        </w:tc>
        <w:tc>
          <w:tcPr>
            <w:tcW w:w="5760" w:type="dxa"/>
            <w:vAlign w:val="bottom"/>
            <w:tcBorders>
              <w:top w:val="single" w:sz="8" w:color="0563C1"/>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7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10.1*</w:t>
            </w:r>
          </w:p>
        </w:tc>
        <w:tc>
          <w:tcPr>
            <w:tcW w:w="9080" w:type="dxa"/>
            <w:vAlign w:val="bottom"/>
            <w:gridSpan w:val="8"/>
            <w:shd w:val="clear" w:color="auto" w:fill="CCEEFF"/>
          </w:tcPr>
          <w:p>
            <w:pPr>
              <w:spacing w:after="0" w:line="162" w:lineRule="exact"/>
              <w:rPr>
                <w:sz w:val="20"/>
                <w:szCs w:val="20"/>
                <w:color w:val="auto"/>
              </w:rPr>
            </w:pPr>
            <w:r>
              <w:rPr>
                <w:rFonts w:ascii="Arial" w:cs="Arial" w:eastAsia="Arial" w:hAnsi="Arial"/>
                <w:sz w:val="18"/>
                <w:szCs w:val="18"/>
                <w:color w:val="0563C1"/>
              </w:rPr>
              <w:t>Bond Purchase Agreement, dated August 24, 2023, by and among Aqua Pennsylvania, Inc. and the Purchasers</w:t>
            </w:r>
          </w:p>
        </w:tc>
      </w:tr>
      <w:tr>
        <w:trPr>
          <w:trHeight w:val="189"/>
        </w:trPr>
        <w:tc>
          <w:tcPr>
            <w:tcW w:w="2160" w:type="dxa"/>
            <w:vAlign w:val="bottom"/>
            <w:tcBorders>
              <w:top w:val="single" w:sz="8" w:color="CCEEFF"/>
            </w:tcBorders>
          </w:tcPr>
          <w:p>
            <w:pPr>
              <w:spacing w:after="0"/>
              <w:rPr>
                <w:sz w:val="16"/>
                <w:szCs w:val="16"/>
                <w:color w:val="auto"/>
              </w:rPr>
            </w:pPr>
          </w:p>
        </w:tc>
        <w:tc>
          <w:tcPr>
            <w:tcW w:w="5760" w:type="dxa"/>
            <w:vAlign w:val="bottom"/>
            <w:tcBorders>
              <w:top w:val="single" w:sz="8" w:color="0563C1"/>
            </w:tcBorders>
          </w:tcPr>
          <w:p>
            <w:pPr>
              <w:spacing w:after="0"/>
              <w:rPr>
                <w:sz w:val="16"/>
                <w:szCs w:val="16"/>
                <w:color w:val="auto"/>
              </w:rPr>
            </w:pPr>
          </w:p>
        </w:tc>
        <w:tc>
          <w:tcPr>
            <w:tcW w:w="420" w:type="dxa"/>
            <w:vAlign w:val="bottom"/>
            <w:tcBorders>
              <w:top w:val="single" w:sz="8" w:color="0563C1"/>
            </w:tcBorders>
          </w:tcPr>
          <w:p>
            <w:pPr>
              <w:spacing w:after="0"/>
              <w:rPr>
                <w:sz w:val="16"/>
                <w:szCs w:val="16"/>
                <w:color w:val="auto"/>
              </w:rPr>
            </w:pPr>
          </w:p>
        </w:tc>
        <w:tc>
          <w:tcPr>
            <w:tcW w:w="60" w:type="dxa"/>
            <w:vAlign w:val="bottom"/>
            <w:tcBorders>
              <w:top w:val="single" w:sz="8" w:color="0563C1"/>
            </w:tcBorders>
          </w:tcPr>
          <w:p>
            <w:pPr>
              <w:spacing w:after="0"/>
              <w:rPr>
                <w:sz w:val="16"/>
                <w:szCs w:val="16"/>
                <w:color w:val="auto"/>
              </w:rPr>
            </w:pPr>
          </w:p>
        </w:tc>
        <w:tc>
          <w:tcPr>
            <w:tcW w:w="1720" w:type="dxa"/>
            <w:vAlign w:val="bottom"/>
            <w:tcBorders>
              <w:top w:val="single" w:sz="8" w:color="0563C1"/>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31.1*</w:t>
            </w:r>
          </w:p>
        </w:tc>
        <w:tc>
          <w:tcPr>
            <w:tcW w:w="9080" w:type="dxa"/>
            <w:vAlign w:val="bottom"/>
            <w:gridSpan w:val="8"/>
            <w:shd w:val="clear" w:color="auto" w:fill="CCEEFF"/>
          </w:tcPr>
          <w:p>
            <w:pPr>
              <w:spacing w:after="0" w:line="162" w:lineRule="exact"/>
              <w:rPr>
                <w:sz w:val="20"/>
                <w:szCs w:val="20"/>
                <w:color w:val="auto"/>
              </w:rPr>
            </w:pPr>
            <w:r>
              <w:rPr>
                <w:rFonts w:ascii="Arial" w:cs="Arial" w:eastAsia="Arial" w:hAnsi="Arial"/>
                <w:sz w:val="18"/>
                <w:szCs w:val="18"/>
                <w:color w:val="0563C1"/>
                <w:w w:val="95"/>
              </w:rPr>
              <w:t>Certification of Chief Executive Officer, filed pursuant to Rule 13a-14(a) under the Securities and Exchange Act of 1934</w:t>
            </w:r>
          </w:p>
        </w:tc>
      </w:tr>
      <w:tr>
        <w:trPr>
          <w:trHeight w:val="229"/>
        </w:trPr>
        <w:tc>
          <w:tcPr>
            <w:tcW w:w="2160" w:type="dxa"/>
            <w:vAlign w:val="bottom"/>
            <w:tcBorders>
              <w:top w:val="single" w:sz="8" w:color="CCEEFF"/>
            </w:tcBorders>
          </w:tcPr>
          <w:p>
            <w:pPr>
              <w:spacing w:after="0"/>
              <w:rPr>
                <w:sz w:val="19"/>
                <w:szCs w:val="19"/>
                <w:color w:val="auto"/>
              </w:rPr>
            </w:pPr>
          </w:p>
        </w:tc>
        <w:tc>
          <w:tcPr>
            <w:tcW w:w="57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72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31.2*</w:t>
            </w:r>
          </w:p>
        </w:tc>
        <w:tc>
          <w:tcPr>
            <w:tcW w:w="9080" w:type="dxa"/>
            <w:vAlign w:val="bottom"/>
            <w:gridSpan w:val="8"/>
            <w:shd w:val="clear" w:color="auto" w:fill="CCEEFF"/>
          </w:tcPr>
          <w:p>
            <w:pPr>
              <w:spacing w:after="0" w:line="162" w:lineRule="exact"/>
              <w:rPr>
                <w:sz w:val="20"/>
                <w:szCs w:val="20"/>
                <w:color w:val="auto"/>
              </w:rPr>
            </w:pPr>
            <w:r>
              <w:rPr>
                <w:rFonts w:ascii="Arial" w:cs="Arial" w:eastAsia="Arial" w:hAnsi="Arial"/>
                <w:sz w:val="18"/>
                <w:szCs w:val="18"/>
                <w:color w:val="0563C1"/>
                <w:w w:val="96"/>
              </w:rPr>
              <w:t>Certification of Chief Financial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57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720" w:type="dxa"/>
            <w:vAlign w:val="bottom"/>
            <w:tcBorders>
              <w:top w:val="single" w:sz="8" w:color="0563C1"/>
            </w:tcBorders>
          </w:tcPr>
          <w:p>
            <w:pPr>
              <w:spacing w:after="0"/>
              <w:rPr>
                <w:sz w:val="19"/>
                <w:szCs w:val="19"/>
                <w:color w:val="auto"/>
              </w:rPr>
            </w:pPr>
          </w:p>
        </w:tc>
        <w:tc>
          <w:tcPr>
            <w:tcW w:w="70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32.1*</w:t>
            </w:r>
          </w:p>
        </w:tc>
        <w:tc>
          <w:tcPr>
            <w:tcW w:w="9080" w:type="dxa"/>
            <w:vAlign w:val="bottom"/>
            <w:gridSpan w:val="8"/>
            <w:shd w:val="clear" w:color="auto" w:fill="CCEEFF"/>
          </w:tcPr>
          <w:p>
            <w:pPr>
              <w:spacing w:after="0" w:line="162" w:lineRule="exact"/>
              <w:rPr>
                <w:sz w:val="20"/>
                <w:szCs w:val="20"/>
                <w:color w:val="auto"/>
              </w:rPr>
            </w:pPr>
            <w:r>
              <w:rPr>
                <w:rFonts w:ascii="Arial" w:cs="Arial" w:eastAsia="Arial" w:hAnsi="Arial"/>
                <w:sz w:val="18"/>
                <w:szCs w:val="18"/>
                <w:color w:val="0563C1"/>
              </w:rPr>
              <w:t>Certification of Chief Executive Officer, furnished pursuant to 18 U.S.C. Section 1350</w:t>
            </w:r>
          </w:p>
        </w:tc>
      </w:tr>
      <w:tr>
        <w:trPr>
          <w:trHeight w:val="230"/>
        </w:trPr>
        <w:tc>
          <w:tcPr>
            <w:tcW w:w="2160" w:type="dxa"/>
            <w:vAlign w:val="bottom"/>
            <w:tcBorders>
              <w:top w:val="single" w:sz="8" w:color="CCEEFF"/>
            </w:tcBorders>
          </w:tcPr>
          <w:p>
            <w:pPr>
              <w:spacing w:after="0"/>
              <w:rPr>
                <w:sz w:val="19"/>
                <w:szCs w:val="19"/>
                <w:color w:val="auto"/>
              </w:rPr>
            </w:pPr>
          </w:p>
        </w:tc>
        <w:tc>
          <w:tcPr>
            <w:tcW w:w="57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32.2*</w:t>
            </w:r>
          </w:p>
        </w:tc>
        <w:tc>
          <w:tcPr>
            <w:tcW w:w="9080" w:type="dxa"/>
            <w:vAlign w:val="bottom"/>
            <w:gridSpan w:val="8"/>
            <w:shd w:val="clear" w:color="auto" w:fill="CCEEFF"/>
          </w:tcPr>
          <w:p>
            <w:pPr>
              <w:spacing w:after="0" w:line="162" w:lineRule="exact"/>
              <w:rPr>
                <w:sz w:val="20"/>
                <w:szCs w:val="20"/>
                <w:color w:val="auto"/>
              </w:rPr>
            </w:pPr>
            <w:r>
              <w:rPr>
                <w:rFonts w:ascii="Arial" w:cs="Arial" w:eastAsia="Arial" w:hAnsi="Arial"/>
                <w:sz w:val="18"/>
                <w:szCs w:val="18"/>
                <w:color w:val="0563C1"/>
              </w:rPr>
              <w:t>Certification of Chief Financial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576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161"/>
        </w:trPr>
        <w:tc>
          <w:tcPr>
            <w:tcW w:w="216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101.INS</w:t>
            </w:r>
          </w:p>
        </w:tc>
        <w:tc>
          <w:tcPr>
            <w:tcW w:w="9080" w:type="dxa"/>
            <w:vAlign w:val="bottom"/>
            <w:gridSpan w:val="8"/>
            <w:shd w:val="clear" w:color="auto" w:fill="CCEEFF"/>
          </w:tcPr>
          <w:p>
            <w:pPr>
              <w:spacing w:after="0" w:line="161" w:lineRule="exact"/>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w:t>
            </w:r>
          </w:p>
        </w:tc>
      </w:tr>
      <w:tr>
        <w:trPr>
          <w:trHeight w:val="230"/>
        </w:trPr>
        <w:tc>
          <w:tcPr>
            <w:tcW w:w="2160" w:type="dxa"/>
            <w:vAlign w:val="bottom"/>
            <w:shd w:val="clear" w:color="auto" w:fill="CCEEFF"/>
          </w:tcPr>
          <w:p>
            <w:pPr>
              <w:spacing w:after="0"/>
              <w:rPr>
                <w:sz w:val="20"/>
                <w:szCs w:val="20"/>
                <w:color w:val="auto"/>
              </w:rPr>
            </w:pPr>
          </w:p>
        </w:tc>
        <w:tc>
          <w:tcPr>
            <w:tcW w:w="90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189"/>
        </w:trPr>
        <w:tc>
          <w:tcPr>
            <w:tcW w:w="2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101.SCH</w:t>
            </w:r>
          </w:p>
        </w:tc>
        <w:tc>
          <w:tcPr>
            <w:tcW w:w="9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r>
      <w:tr>
        <w:trPr>
          <w:trHeight w:val="189"/>
        </w:trPr>
        <w:tc>
          <w:tcPr>
            <w:tcW w:w="2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101.CAL</w:t>
            </w:r>
          </w:p>
        </w:tc>
        <w:tc>
          <w:tcPr>
            <w:tcW w:w="9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101.DEF</w:t>
            </w:r>
          </w:p>
        </w:tc>
        <w:tc>
          <w:tcPr>
            <w:tcW w:w="9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101.LAB</w:t>
            </w:r>
          </w:p>
        </w:tc>
        <w:tc>
          <w:tcPr>
            <w:tcW w:w="9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101.PRES</w:t>
            </w:r>
          </w:p>
        </w:tc>
        <w:tc>
          <w:tcPr>
            <w:tcW w:w="908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366"/>
        </w:trPr>
        <w:tc>
          <w:tcPr>
            <w:tcW w:w="2160" w:type="dxa"/>
            <w:vAlign w:val="bottom"/>
          </w:tcPr>
          <w:p>
            <w:pPr>
              <w:ind w:left="20"/>
              <w:spacing w:after="0"/>
              <w:rPr>
                <w:sz w:val="20"/>
                <w:szCs w:val="20"/>
                <w:color w:val="auto"/>
              </w:rPr>
            </w:pPr>
            <w:r>
              <w:rPr>
                <w:rFonts w:ascii="Arial" w:cs="Arial" w:eastAsia="Arial" w:hAnsi="Arial"/>
                <w:sz w:val="18"/>
                <w:szCs w:val="18"/>
                <w:color w:val="auto"/>
              </w:rPr>
              <w:t>104</w:t>
            </w:r>
          </w:p>
        </w:tc>
        <w:tc>
          <w:tcPr>
            <w:tcW w:w="9080" w:type="dxa"/>
            <w:vAlign w:val="bottom"/>
            <w:gridSpan w:val="8"/>
          </w:tcPr>
          <w:p>
            <w:pPr>
              <w:spacing w:after="0"/>
              <w:rPr>
                <w:sz w:val="20"/>
                <w:szCs w:val="20"/>
                <w:color w:val="auto"/>
              </w:rPr>
            </w:pPr>
            <w:r>
              <w:rPr>
                <w:rFonts w:ascii="Arial" w:cs="Arial" w:eastAsia="Arial" w:hAnsi="Arial"/>
                <w:sz w:val="18"/>
                <w:szCs w:val="18"/>
                <w:color w:val="auto"/>
                <w:w w:val="91"/>
              </w:rPr>
              <w:t>The cover page from the Company’s Quarterly Report on Form 10-Q for the quarter ended September 30, 2023, formatted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8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Inline XBRL (included in Exhibit 101)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SIGNATURES</w:t>
      </w:r>
    </w:p>
    <w:p>
      <w:pPr>
        <w:spacing w:after="0" w:line="85" w:lineRule="exact"/>
        <w:rPr>
          <w:sz w:val="20"/>
          <w:szCs w:val="20"/>
          <w:color w:val="auto"/>
        </w:rPr>
      </w:pPr>
    </w:p>
    <w:p>
      <w:pPr>
        <w:spacing w:after="0" w:line="21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November 7, 2023</w:t>
      </w:r>
    </w:p>
    <w:p>
      <w:pPr>
        <w:spacing w:after="0" w:line="179"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Christopher H. Franklin</w:t>
      </w:r>
    </w:p>
    <w:p>
      <w:pPr>
        <w:ind w:left="6300"/>
        <w:spacing w:after="0" w:line="218" w:lineRule="auto"/>
        <w:rPr>
          <w:sz w:val="20"/>
          <w:szCs w:val="20"/>
          <w:color w:val="auto"/>
        </w:rPr>
      </w:pPr>
      <w:r>
        <w:rPr>
          <w:rFonts w:ascii="Arial" w:cs="Arial" w:eastAsia="Arial" w:hAnsi="Arial"/>
          <w:sz w:val="22"/>
          <w:szCs w:val="22"/>
          <w:color w:val="auto"/>
        </w:rPr>
        <w:t>Chairman, President and</w:t>
      </w:r>
    </w:p>
    <w:p>
      <w:pPr>
        <w:ind w:left="63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wp:posOffset>
            </wp:positionV>
            <wp:extent cx="31375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6300"/>
        <w:spacing w:after="0" w:line="225" w:lineRule="auto"/>
        <w:rPr>
          <w:sz w:val="20"/>
          <w:szCs w:val="20"/>
          <w:color w:val="auto"/>
        </w:rPr>
      </w:pPr>
      <w:r>
        <w:rPr>
          <w:rFonts w:ascii="Arial" w:cs="Arial" w:eastAsia="Arial" w:hAnsi="Arial"/>
          <w:sz w:val="22"/>
          <w:szCs w:val="22"/>
          <w:color w:val="auto"/>
        </w:rPr>
        <w:t>Daniel J. Schuller</w:t>
      </w:r>
    </w:p>
    <w:p>
      <w:pPr>
        <w:ind w:left="6300"/>
        <w:spacing w:after="0" w:line="218" w:lineRule="auto"/>
        <w:rPr>
          <w:sz w:val="20"/>
          <w:szCs w:val="20"/>
          <w:color w:val="auto"/>
        </w:rPr>
      </w:pPr>
      <w:r>
        <w:rPr>
          <w:rFonts w:ascii="Arial" w:cs="Arial" w:eastAsia="Arial" w:hAnsi="Arial"/>
          <w:sz w:val="22"/>
          <w:szCs w:val="22"/>
          <w:color w:val="auto"/>
        </w:rPr>
        <w:t>Executive Vice President and</w:t>
      </w:r>
    </w:p>
    <w:p>
      <w:pPr>
        <w:ind w:left="6300"/>
        <w:spacing w:after="0"/>
        <w:rPr>
          <w:sz w:val="20"/>
          <w:szCs w:val="20"/>
          <w:color w:val="auto"/>
        </w:rPr>
      </w:pPr>
      <w:r>
        <w:rPr>
          <w:rFonts w:ascii="Arial" w:cs="Arial" w:eastAsia="Arial" w:hAnsi="Arial"/>
          <w:sz w:val="22"/>
          <w:szCs w:val="22"/>
          <w:color w:val="auto"/>
        </w:rPr>
        <w:t>Chief Financial Officer</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100"/>
          </w:cols>
          <w:pgMar w:left="320" w:top="118"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10.1</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3093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Aqua Pennsylvania,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$225,000,000</w:t>
      </w:r>
    </w:p>
    <w:p>
      <w:pPr>
        <w:spacing w:after="0" w:line="200" w:lineRule="exact"/>
        <w:rPr>
          <w:sz w:val="20"/>
          <w:szCs w:val="20"/>
          <w:color w:val="auto"/>
        </w:rPr>
      </w:pPr>
    </w:p>
    <w:p>
      <w:pPr>
        <w:spacing w:after="0" w:line="357" w:lineRule="exact"/>
        <w:rPr>
          <w:sz w:val="20"/>
          <w:szCs w:val="20"/>
          <w:color w:val="auto"/>
        </w:rPr>
      </w:pPr>
    </w:p>
    <w:p>
      <w:pPr>
        <w:ind w:left="1960" w:right="1920" w:hanging="53"/>
        <w:spacing w:after="0" w:line="328" w:lineRule="auto"/>
        <w:rPr>
          <w:sz w:val="20"/>
          <w:szCs w:val="20"/>
          <w:color w:val="auto"/>
        </w:rPr>
      </w:pPr>
      <w:r>
        <w:rPr>
          <w:rFonts w:ascii="Arial" w:cs="Arial" w:eastAsia="Arial" w:hAnsi="Arial"/>
          <w:sz w:val="19"/>
          <w:szCs w:val="19"/>
          <w:color w:val="auto"/>
        </w:rPr>
        <w:t>$175,000,000 First Mortgage Bonds, 5.48% Series due August 1, 2053 $50,000,000 First Mortgage Bonds, 5.56% Series due August 1, 2061</w:t>
      </w:r>
    </w:p>
    <w:p>
      <w:pPr>
        <w:spacing w:after="0" w:line="5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Bond Purchase Agreement</w:t>
      </w:r>
    </w:p>
    <w:p>
      <w:pPr>
        <w:spacing w:after="0" w:line="15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_____________</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2188845</wp:posOffset>
            </wp:positionV>
            <wp:extent cx="635190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517" w:right="9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1"/>
        </w:trPr>
        <w:tc>
          <w:tcPr>
            <w:tcW w:w="2680" w:type="dxa"/>
            <w:vAlign w:val="bottom"/>
          </w:tcPr>
          <w:p>
            <w:pPr>
              <w:spacing w:after="0"/>
              <w:rPr>
                <w:sz w:val="24"/>
                <w:szCs w:val="24"/>
                <w:color w:val="auto"/>
              </w:rPr>
            </w:pPr>
          </w:p>
        </w:tc>
        <w:tc>
          <w:tcPr>
            <w:tcW w:w="5900" w:type="dxa"/>
            <w:vAlign w:val="bottom"/>
          </w:tcPr>
          <w:p>
            <w:pPr>
              <w:ind w:left="2100"/>
              <w:spacing w:after="0"/>
              <w:rPr>
                <w:sz w:val="20"/>
                <w:szCs w:val="20"/>
                <w:color w:val="auto"/>
              </w:rPr>
            </w:pPr>
            <w:r>
              <w:rPr>
                <w:rFonts w:ascii="Arial" w:cs="Arial" w:eastAsia="Arial" w:hAnsi="Arial"/>
                <w:sz w:val="22"/>
                <w:szCs w:val="22"/>
                <w:b w:val="1"/>
                <w:bCs w:val="1"/>
                <w:color w:val="auto"/>
              </w:rPr>
              <w:t>TABLE OF CONTENTS</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80" w:type="dxa"/>
            <w:vAlign w:val="bottom"/>
          </w:tcPr>
          <w:p>
            <w:pPr>
              <w:ind w:left="120"/>
              <w:spacing w:after="0"/>
              <w:rPr>
                <w:sz w:val="20"/>
                <w:szCs w:val="20"/>
                <w:color w:val="auto"/>
              </w:rPr>
            </w:pPr>
            <w:r>
              <w:rPr>
                <w:rFonts w:ascii="Arial" w:cs="Arial" w:eastAsia="Arial" w:hAnsi="Arial"/>
                <w:sz w:val="22"/>
                <w:szCs w:val="22"/>
                <w:color w:val="auto"/>
              </w:rPr>
              <w:t>SECTION</w:t>
            </w:r>
          </w:p>
        </w:tc>
        <w:tc>
          <w:tcPr>
            <w:tcW w:w="5900" w:type="dxa"/>
            <w:vAlign w:val="bottom"/>
          </w:tcPr>
          <w:p>
            <w:pPr>
              <w:ind w:left="2820"/>
              <w:spacing w:after="0"/>
              <w:rPr>
                <w:sz w:val="20"/>
                <w:szCs w:val="20"/>
                <w:color w:val="auto"/>
              </w:rPr>
            </w:pPr>
            <w:r>
              <w:rPr>
                <w:rFonts w:ascii="Arial" w:cs="Arial" w:eastAsia="Arial" w:hAnsi="Arial"/>
                <w:sz w:val="22"/>
                <w:szCs w:val="22"/>
                <w:color w:val="auto"/>
              </w:rPr>
              <w:t>HEADING</w:t>
            </w:r>
          </w:p>
        </w:tc>
        <w:tc>
          <w:tcPr>
            <w:tcW w:w="50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83"/>
        </w:trPr>
        <w:tc>
          <w:tcPr>
            <w:tcW w:w="2680" w:type="dxa"/>
            <w:vAlign w:val="bottom"/>
          </w:tcPr>
          <w:p>
            <w:pPr>
              <w:ind w:left="120"/>
              <w:spacing w:after="0"/>
              <w:rPr>
                <w:sz w:val="20"/>
                <w:szCs w:val="20"/>
                <w:color w:val="auto"/>
              </w:rPr>
            </w:pPr>
            <w:r>
              <w:rPr>
                <w:rFonts w:ascii="Arial" w:cs="Arial" w:eastAsia="Arial" w:hAnsi="Arial"/>
                <w:sz w:val="22"/>
                <w:szCs w:val="22"/>
                <w:color w:val="auto"/>
              </w:rPr>
              <w:t>SECTION 1.</w:t>
            </w:r>
          </w:p>
        </w:tc>
        <w:tc>
          <w:tcPr>
            <w:tcW w:w="5900" w:type="dxa"/>
            <w:vAlign w:val="bottom"/>
          </w:tcPr>
          <w:p>
            <w:pPr>
              <w:ind w:left="340"/>
              <w:spacing w:after="0"/>
              <w:rPr>
                <w:sz w:val="20"/>
                <w:szCs w:val="20"/>
                <w:color w:val="auto"/>
              </w:rPr>
            </w:pPr>
            <w:r>
              <w:rPr>
                <w:rFonts w:ascii="Arial" w:cs="Arial" w:eastAsia="Arial" w:hAnsi="Arial"/>
                <w:sz w:val="22"/>
                <w:szCs w:val="22"/>
                <w:color w:val="auto"/>
              </w:rPr>
              <w:t>Authorization of Bonds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1</w:t>
            </w:r>
          </w:p>
        </w:tc>
        <w:tc>
          <w:tcPr>
            <w:tcW w:w="0" w:type="dxa"/>
            <w:vAlign w:val="bottom"/>
          </w:tcPr>
          <w:p>
            <w:pPr>
              <w:spacing w:after="0"/>
              <w:rPr>
                <w:sz w:val="1"/>
                <w:szCs w:val="1"/>
                <w:color w:val="auto"/>
              </w:rPr>
            </w:pPr>
          </w:p>
        </w:tc>
      </w:tr>
      <w:tr>
        <w:trPr>
          <w:trHeight w:val="283"/>
        </w:trPr>
        <w:tc>
          <w:tcPr>
            <w:tcW w:w="2680" w:type="dxa"/>
            <w:vAlign w:val="bottom"/>
          </w:tcPr>
          <w:p>
            <w:pPr>
              <w:ind w:left="120"/>
              <w:spacing w:after="0"/>
              <w:rPr>
                <w:sz w:val="20"/>
                <w:szCs w:val="20"/>
                <w:color w:val="auto"/>
              </w:rPr>
            </w:pPr>
            <w:r>
              <w:rPr>
                <w:rFonts w:ascii="Arial" w:cs="Arial" w:eastAsia="Arial" w:hAnsi="Arial"/>
                <w:sz w:val="22"/>
                <w:szCs w:val="22"/>
                <w:color w:val="auto"/>
              </w:rPr>
              <w:t>SECTION 2.</w:t>
            </w:r>
          </w:p>
        </w:tc>
        <w:tc>
          <w:tcPr>
            <w:tcW w:w="5900" w:type="dxa"/>
            <w:vAlign w:val="bottom"/>
          </w:tcPr>
          <w:p>
            <w:pPr>
              <w:ind w:left="340"/>
              <w:spacing w:after="0"/>
              <w:rPr>
                <w:sz w:val="20"/>
                <w:szCs w:val="20"/>
                <w:color w:val="auto"/>
              </w:rPr>
            </w:pPr>
            <w:r>
              <w:rPr>
                <w:rFonts w:ascii="Arial" w:cs="Arial" w:eastAsia="Arial" w:hAnsi="Arial"/>
                <w:sz w:val="22"/>
                <w:szCs w:val="22"/>
                <w:color w:val="auto"/>
              </w:rPr>
              <w:t>Sale and Purchase of Bonds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0" w:type="dxa"/>
            <w:vAlign w:val="bottom"/>
          </w:tcPr>
          <w:p>
            <w:pPr>
              <w:spacing w:after="0"/>
              <w:rPr>
                <w:sz w:val="1"/>
                <w:szCs w:val="1"/>
                <w:color w:val="auto"/>
              </w:rPr>
            </w:pPr>
          </w:p>
        </w:tc>
      </w:tr>
      <w:tr>
        <w:trPr>
          <w:trHeight w:val="283"/>
        </w:trPr>
        <w:tc>
          <w:tcPr>
            <w:tcW w:w="2680" w:type="dxa"/>
            <w:vAlign w:val="bottom"/>
          </w:tcPr>
          <w:p>
            <w:pPr>
              <w:ind w:left="120"/>
              <w:spacing w:after="0"/>
              <w:rPr>
                <w:sz w:val="20"/>
                <w:szCs w:val="20"/>
                <w:color w:val="auto"/>
              </w:rPr>
            </w:pPr>
            <w:r>
              <w:rPr>
                <w:rFonts w:ascii="Arial" w:cs="Arial" w:eastAsia="Arial" w:hAnsi="Arial"/>
                <w:sz w:val="22"/>
                <w:szCs w:val="22"/>
                <w:color w:val="auto"/>
              </w:rPr>
              <w:t>SECTION 3.</w:t>
            </w:r>
          </w:p>
        </w:tc>
        <w:tc>
          <w:tcPr>
            <w:tcW w:w="5900" w:type="dxa"/>
            <w:vAlign w:val="bottom"/>
          </w:tcPr>
          <w:p>
            <w:pPr>
              <w:ind w:left="340"/>
              <w:spacing w:after="0"/>
              <w:rPr>
                <w:sz w:val="20"/>
                <w:szCs w:val="20"/>
                <w:color w:val="auto"/>
              </w:rPr>
            </w:pPr>
            <w:r>
              <w:rPr>
                <w:rFonts w:ascii="Arial" w:cs="Arial" w:eastAsia="Arial" w:hAnsi="Arial"/>
                <w:sz w:val="22"/>
                <w:szCs w:val="22"/>
                <w:color w:val="auto"/>
              </w:rPr>
              <w:t>Closing</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0" w:type="dxa"/>
            <w:vAlign w:val="bottom"/>
          </w:tcPr>
          <w:p>
            <w:pPr>
              <w:spacing w:after="0"/>
              <w:rPr>
                <w:sz w:val="1"/>
                <w:szCs w:val="1"/>
                <w:color w:val="auto"/>
              </w:rPr>
            </w:pPr>
          </w:p>
        </w:tc>
      </w:tr>
      <w:tr>
        <w:trPr>
          <w:trHeight w:val="283"/>
        </w:trPr>
        <w:tc>
          <w:tcPr>
            <w:tcW w:w="2680" w:type="dxa"/>
            <w:vAlign w:val="bottom"/>
          </w:tcPr>
          <w:p>
            <w:pPr>
              <w:ind w:left="120"/>
              <w:spacing w:after="0"/>
              <w:rPr>
                <w:sz w:val="20"/>
                <w:szCs w:val="20"/>
                <w:color w:val="auto"/>
              </w:rPr>
            </w:pPr>
            <w:r>
              <w:rPr>
                <w:rFonts w:ascii="Arial" w:cs="Arial" w:eastAsia="Arial" w:hAnsi="Arial"/>
                <w:sz w:val="22"/>
                <w:szCs w:val="22"/>
                <w:color w:val="auto"/>
              </w:rPr>
              <w:t>SECTION 4.</w:t>
            </w:r>
          </w:p>
        </w:tc>
        <w:tc>
          <w:tcPr>
            <w:tcW w:w="5900" w:type="dxa"/>
            <w:vAlign w:val="bottom"/>
          </w:tcPr>
          <w:p>
            <w:pPr>
              <w:ind w:left="340"/>
              <w:spacing w:after="0"/>
              <w:rPr>
                <w:sz w:val="20"/>
                <w:szCs w:val="20"/>
                <w:color w:val="auto"/>
              </w:rPr>
            </w:pPr>
            <w:r>
              <w:rPr>
                <w:rFonts w:ascii="Arial" w:cs="Arial" w:eastAsia="Arial" w:hAnsi="Arial"/>
                <w:sz w:val="22"/>
                <w:szCs w:val="22"/>
                <w:color w:val="auto"/>
              </w:rPr>
              <w:t>Conditions to Closing</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4.1.</w:t>
            </w:r>
          </w:p>
        </w:tc>
        <w:tc>
          <w:tcPr>
            <w:tcW w:w="5900" w:type="dxa"/>
            <w:vAlign w:val="bottom"/>
          </w:tcPr>
          <w:p>
            <w:pPr>
              <w:ind w:left="340"/>
              <w:spacing w:after="0"/>
              <w:rPr>
                <w:sz w:val="20"/>
                <w:szCs w:val="20"/>
                <w:color w:val="auto"/>
              </w:rPr>
            </w:pPr>
            <w:r>
              <w:rPr>
                <w:rFonts w:ascii="Arial" w:cs="Arial" w:eastAsia="Arial" w:hAnsi="Arial"/>
                <w:sz w:val="22"/>
                <w:szCs w:val="22"/>
                <w:color w:val="auto"/>
              </w:rPr>
              <w:t>Representations and Warranties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4.2.</w:t>
            </w:r>
          </w:p>
        </w:tc>
        <w:tc>
          <w:tcPr>
            <w:tcW w:w="5900" w:type="dxa"/>
            <w:vAlign w:val="bottom"/>
          </w:tcPr>
          <w:p>
            <w:pPr>
              <w:ind w:left="340"/>
              <w:spacing w:after="0"/>
              <w:rPr>
                <w:sz w:val="20"/>
                <w:szCs w:val="20"/>
                <w:color w:val="auto"/>
              </w:rPr>
            </w:pPr>
            <w:r>
              <w:rPr>
                <w:rFonts w:ascii="Arial" w:cs="Arial" w:eastAsia="Arial" w:hAnsi="Arial"/>
                <w:sz w:val="22"/>
                <w:szCs w:val="22"/>
                <w:color w:val="auto"/>
              </w:rPr>
              <w:t>Performance; No Default</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2</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4.3.</w:t>
            </w:r>
          </w:p>
        </w:tc>
        <w:tc>
          <w:tcPr>
            <w:tcW w:w="5900" w:type="dxa"/>
            <w:vAlign w:val="bottom"/>
          </w:tcPr>
          <w:p>
            <w:pPr>
              <w:ind w:left="340"/>
              <w:spacing w:after="0"/>
              <w:rPr>
                <w:sz w:val="20"/>
                <w:szCs w:val="20"/>
                <w:color w:val="auto"/>
              </w:rPr>
            </w:pPr>
            <w:r>
              <w:rPr>
                <w:rFonts w:ascii="Arial" w:cs="Arial" w:eastAsia="Arial" w:hAnsi="Arial"/>
                <w:sz w:val="22"/>
                <w:szCs w:val="22"/>
                <w:color w:val="auto"/>
              </w:rPr>
              <w:t>Compliance Certificates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3</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4.4.</w:t>
            </w:r>
          </w:p>
        </w:tc>
        <w:tc>
          <w:tcPr>
            <w:tcW w:w="5900" w:type="dxa"/>
            <w:vAlign w:val="bottom"/>
          </w:tcPr>
          <w:p>
            <w:pPr>
              <w:ind w:left="340"/>
              <w:spacing w:after="0"/>
              <w:rPr>
                <w:sz w:val="20"/>
                <w:szCs w:val="20"/>
                <w:color w:val="auto"/>
              </w:rPr>
            </w:pPr>
            <w:r>
              <w:rPr>
                <w:rFonts w:ascii="Arial" w:cs="Arial" w:eastAsia="Arial" w:hAnsi="Arial"/>
                <w:sz w:val="22"/>
                <w:szCs w:val="22"/>
                <w:color w:val="auto"/>
              </w:rPr>
              <w:t>Opinions of Counsel</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3</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4.5.</w:t>
            </w:r>
          </w:p>
        </w:tc>
        <w:tc>
          <w:tcPr>
            <w:tcW w:w="5900" w:type="dxa"/>
            <w:vAlign w:val="bottom"/>
          </w:tcPr>
          <w:p>
            <w:pPr>
              <w:ind w:left="340"/>
              <w:spacing w:after="0"/>
              <w:rPr>
                <w:sz w:val="20"/>
                <w:szCs w:val="20"/>
                <w:color w:val="auto"/>
              </w:rPr>
            </w:pPr>
            <w:r>
              <w:rPr>
                <w:rFonts w:ascii="Arial" w:cs="Arial" w:eastAsia="Arial" w:hAnsi="Arial"/>
                <w:sz w:val="22"/>
                <w:szCs w:val="22"/>
                <w:color w:val="auto"/>
              </w:rPr>
              <w:t>Purchase Permitted by Applicable Law,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3</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4.6.</w:t>
            </w:r>
          </w:p>
        </w:tc>
        <w:tc>
          <w:tcPr>
            <w:tcW w:w="5900" w:type="dxa"/>
            <w:vAlign w:val="bottom"/>
          </w:tcPr>
          <w:p>
            <w:pPr>
              <w:ind w:left="340"/>
              <w:spacing w:after="0"/>
              <w:rPr>
                <w:sz w:val="20"/>
                <w:szCs w:val="20"/>
                <w:color w:val="auto"/>
              </w:rPr>
            </w:pPr>
            <w:r>
              <w:rPr>
                <w:rFonts w:ascii="Arial" w:cs="Arial" w:eastAsia="Arial" w:hAnsi="Arial"/>
                <w:sz w:val="22"/>
                <w:szCs w:val="22"/>
                <w:color w:val="auto"/>
              </w:rPr>
              <w:t>Sale of Bonds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4.7.</w:t>
            </w:r>
          </w:p>
        </w:tc>
        <w:tc>
          <w:tcPr>
            <w:tcW w:w="5900" w:type="dxa"/>
            <w:vAlign w:val="bottom"/>
          </w:tcPr>
          <w:p>
            <w:pPr>
              <w:ind w:left="340"/>
              <w:spacing w:after="0"/>
              <w:rPr>
                <w:sz w:val="20"/>
                <w:szCs w:val="20"/>
                <w:color w:val="auto"/>
              </w:rPr>
            </w:pPr>
            <w:r>
              <w:rPr>
                <w:rFonts w:ascii="Arial" w:cs="Arial" w:eastAsia="Arial" w:hAnsi="Arial"/>
                <w:sz w:val="22"/>
                <w:szCs w:val="22"/>
                <w:color w:val="auto"/>
              </w:rPr>
              <w:t>Payment of Special Counsel Fees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4.8.</w:t>
            </w:r>
          </w:p>
        </w:tc>
        <w:tc>
          <w:tcPr>
            <w:tcW w:w="5900" w:type="dxa"/>
            <w:vAlign w:val="bottom"/>
          </w:tcPr>
          <w:p>
            <w:pPr>
              <w:ind w:left="340"/>
              <w:spacing w:after="0"/>
              <w:rPr>
                <w:sz w:val="20"/>
                <w:szCs w:val="20"/>
                <w:color w:val="auto"/>
              </w:rPr>
            </w:pPr>
            <w:r>
              <w:rPr>
                <w:rFonts w:ascii="Arial" w:cs="Arial" w:eastAsia="Arial" w:hAnsi="Arial"/>
                <w:sz w:val="22"/>
                <w:szCs w:val="22"/>
                <w:color w:val="auto"/>
              </w:rPr>
              <w:t>Private Placement Number</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4.9.</w:t>
            </w:r>
          </w:p>
        </w:tc>
        <w:tc>
          <w:tcPr>
            <w:tcW w:w="5900" w:type="dxa"/>
            <w:vAlign w:val="bottom"/>
          </w:tcPr>
          <w:p>
            <w:pPr>
              <w:ind w:left="340"/>
              <w:spacing w:after="0"/>
              <w:rPr>
                <w:sz w:val="20"/>
                <w:szCs w:val="20"/>
                <w:color w:val="auto"/>
              </w:rPr>
            </w:pPr>
            <w:r>
              <w:rPr>
                <w:rFonts w:ascii="Arial" w:cs="Arial" w:eastAsia="Arial" w:hAnsi="Arial"/>
                <w:sz w:val="22"/>
                <w:szCs w:val="22"/>
                <w:color w:val="auto"/>
              </w:rPr>
              <w:t>Changes in Corporate Structure</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4.10.</w:t>
            </w:r>
          </w:p>
        </w:tc>
        <w:tc>
          <w:tcPr>
            <w:tcW w:w="5900" w:type="dxa"/>
            <w:vAlign w:val="bottom"/>
          </w:tcPr>
          <w:p>
            <w:pPr>
              <w:ind w:left="340"/>
              <w:spacing w:after="0"/>
              <w:rPr>
                <w:sz w:val="20"/>
                <w:szCs w:val="20"/>
                <w:color w:val="auto"/>
              </w:rPr>
            </w:pPr>
            <w:r>
              <w:rPr>
                <w:rFonts w:ascii="Arial" w:cs="Arial" w:eastAsia="Arial" w:hAnsi="Arial"/>
                <w:sz w:val="22"/>
                <w:szCs w:val="22"/>
                <w:color w:val="auto"/>
              </w:rPr>
              <w:t>Funding Instructions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79"/>
        </w:trPr>
        <w:tc>
          <w:tcPr>
            <w:tcW w:w="2680" w:type="dxa"/>
            <w:vAlign w:val="bottom"/>
          </w:tcPr>
          <w:p>
            <w:pPr>
              <w:ind w:left="1200"/>
              <w:spacing w:after="0"/>
              <w:rPr>
                <w:sz w:val="20"/>
                <w:szCs w:val="20"/>
                <w:color w:val="auto"/>
              </w:rPr>
            </w:pPr>
            <w:r>
              <w:rPr>
                <w:rFonts w:ascii="Arial" w:cs="Arial" w:eastAsia="Arial" w:hAnsi="Arial"/>
                <w:sz w:val="22"/>
                <w:szCs w:val="22"/>
                <w:color w:val="auto"/>
              </w:rPr>
              <w:t>Section 4.11.</w:t>
            </w:r>
          </w:p>
        </w:tc>
        <w:tc>
          <w:tcPr>
            <w:tcW w:w="5900" w:type="dxa"/>
            <w:vAlign w:val="bottom"/>
          </w:tcPr>
          <w:p>
            <w:pPr>
              <w:ind w:left="340"/>
              <w:spacing w:after="0"/>
              <w:rPr>
                <w:sz w:val="20"/>
                <w:szCs w:val="20"/>
                <w:color w:val="auto"/>
              </w:rPr>
            </w:pPr>
            <w:r>
              <w:rPr>
                <w:rFonts w:ascii="Arial" w:cs="Arial" w:eastAsia="Arial" w:hAnsi="Arial"/>
                <w:sz w:val="22"/>
                <w:szCs w:val="22"/>
                <w:color w:val="auto"/>
              </w:rPr>
              <w:t>Proceedings and Documents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243"/>
        </w:trPr>
        <w:tc>
          <w:tcPr>
            <w:tcW w:w="2680" w:type="dxa"/>
            <w:vAlign w:val="bottom"/>
            <w:vMerge w:val="restart"/>
          </w:tcPr>
          <w:p>
            <w:pPr>
              <w:ind w:left="1200"/>
              <w:spacing w:after="0"/>
              <w:rPr>
                <w:sz w:val="20"/>
                <w:szCs w:val="20"/>
                <w:color w:val="auto"/>
              </w:rPr>
            </w:pPr>
            <w:r>
              <w:rPr>
                <w:rFonts w:ascii="Arial" w:cs="Arial" w:eastAsia="Arial" w:hAnsi="Arial"/>
                <w:sz w:val="22"/>
                <w:szCs w:val="22"/>
                <w:color w:val="auto"/>
              </w:rPr>
              <w:t>Section 4.12.</w:t>
            </w:r>
          </w:p>
        </w:tc>
        <w:tc>
          <w:tcPr>
            <w:tcW w:w="5900" w:type="dxa"/>
            <w:vAlign w:val="bottom"/>
          </w:tcPr>
          <w:p>
            <w:pPr>
              <w:ind w:left="340"/>
              <w:spacing w:after="0" w:line="243" w:lineRule="exact"/>
              <w:rPr>
                <w:sz w:val="20"/>
                <w:szCs w:val="20"/>
                <w:color w:val="auto"/>
              </w:rPr>
            </w:pPr>
            <w:r>
              <w:rPr>
                <w:rFonts w:ascii="Arial" w:cs="Arial" w:eastAsia="Arial" w:hAnsi="Arial"/>
                <w:sz w:val="22"/>
                <w:szCs w:val="22"/>
                <w:color w:val="auto"/>
              </w:rPr>
              <w:t>Execution  and  Delivery  and  Filing  and  Recording  of</w:t>
            </w:r>
          </w:p>
        </w:tc>
        <w:tc>
          <w:tcPr>
            <w:tcW w:w="500" w:type="dxa"/>
            <w:vAlign w:val="bottom"/>
          </w:tcPr>
          <w:p>
            <w:pPr>
              <w:ind w:left="80"/>
              <w:spacing w:after="0" w:line="243" w:lineRule="exact"/>
              <w:rPr>
                <w:sz w:val="20"/>
                <w:szCs w:val="20"/>
                <w:color w:val="auto"/>
              </w:rPr>
            </w:pPr>
            <w:r>
              <w:rPr>
                <w:rFonts w:ascii="Arial" w:cs="Arial" w:eastAsia="Arial" w:hAnsi="Arial"/>
                <w:sz w:val="22"/>
                <w:szCs w:val="22"/>
                <w:color w:val="auto"/>
              </w:rPr>
              <w:t>the</w:t>
            </w:r>
          </w:p>
        </w:tc>
        <w:tc>
          <w:tcPr>
            <w:tcW w:w="880" w:type="dxa"/>
            <w:vAlign w:val="bottom"/>
            <w:vMerge w:val="restart"/>
          </w:tcPr>
          <w:p>
            <w:pPr>
              <w:jc w:val="center"/>
              <w:spacing w:after="0"/>
              <w:rPr>
                <w:sz w:val="20"/>
                <w:szCs w:val="20"/>
                <w:color w:val="auto"/>
              </w:rPr>
            </w:pPr>
            <w:r>
              <w:rPr>
                <w:rFonts w:ascii="Arial" w:cs="Arial" w:eastAsia="Arial" w:hAnsi="Arial"/>
                <w:sz w:val="22"/>
                <w:szCs w:val="22"/>
                <w:color w:val="auto"/>
                <w:w w:val="81"/>
              </w:rPr>
              <w:t>4</w:t>
            </w:r>
          </w:p>
        </w:tc>
        <w:tc>
          <w:tcPr>
            <w:tcW w:w="0" w:type="dxa"/>
            <w:vAlign w:val="bottom"/>
          </w:tcPr>
          <w:p>
            <w:pPr>
              <w:spacing w:after="0"/>
              <w:rPr>
                <w:sz w:val="1"/>
                <w:szCs w:val="1"/>
                <w:color w:val="auto"/>
              </w:rPr>
            </w:pPr>
          </w:p>
        </w:tc>
      </w:tr>
      <w:tr>
        <w:trPr>
          <w:trHeight w:val="153"/>
        </w:trPr>
        <w:tc>
          <w:tcPr>
            <w:tcW w:w="2680" w:type="dxa"/>
            <w:vAlign w:val="bottom"/>
            <w:vMerge w:val="continue"/>
          </w:tcPr>
          <w:p>
            <w:pPr>
              <w:spacing w:after="0"/>
              <w:rPr>
                <w:sz w:val="13"/>
                <w:szCs w:val="13"/>
                <w:color w:val="auto"/>
              </w:rPr>
            </w:pPr>
          </w:p>
        </w:tc>
        <w:tc>
          <w:tcPr>
            <w:tcW w:w="5900" w:type="dxa"/>
            <w:vAlign w:val="bottom"/>
            <w:vMerge w:val="restart"/>
          </w:tcPr>
          <w:p>
            <w:pPr>
              <w:ind w:left="340"/>
              <w:spacing w:after="0"/>
              <w:rPr>
                <w:sz w:val="20"/>
                <w:szCs w:val="20"/>
                <w:color w:val="auto"/>
              </w:rPr>
            </w:pPr>
            <w:r>
              <w:rPr>
                <w:rFonts w:ascii="Arial" w:cs="Arial" w:eastAsia="Arial" w:hAnsi="Arial"/>
                <w:sz w:val="22"/>
                <w:szCs w:val="22"/>
                <w:color w:val="auto"/>
              </w:rPr>
              <w:t>Supplement</w:t>
            </w:r>
          </w:p>
        </w:tc>
        <w:tc>
          <w:tcPr>
            <w:tcW w:w="5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80" w:type="dxa"/>
            <w:vAlign w:val="bottom"/>
          </w:tcPr>
          <w:p>
            <w:pPr>
              <w:spacing w:after="0"/>
              <w:rPr>
                <w:sz w:val="9"/>
                <w:szCs w:val="9"/>
                <w:color w:val="auto"/>
              </w:rPr>
            </w:pPr>
          </w:p>
        </w:tc>
        <w:tc>
          <w:tcPr>
            <w:tcW w:w="59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2680" w:type="dxa"/>
            <w:vAlign w:val="bottom"/>
          </w:tcPr>
          <w:p>
            <w:pPr>
              <w:ind w:left="1200"/>
              <w:spacing w:after="0"/>
              <w:rPr>
                <w:sz w:val="20"/>
                <w:szCs w:val="20"/>
                <w:color w:val="auto"/>
              </w:rPr>
            </w:pPr>
            <w:r>
              <w:rPr>
                <w:rFonts w:ascii="Arial" w:cs="Arial" w:eastAsia="Arial" w:hAnsi="Arial"/>
                <w:sz w:val="22"/>
                <w:szCs w:val="22"/>
                <w:color w:val="auto"/>
              </w:rPr>
              <w:t>Section 4.13.</w:t>
            </w:r>
          </w:p>
        </w:tc>
        <w:tc>
          <w:tcPr>
            <w:tcW w:w="5900" w:type="dxa"/>
            <w:vAlign w:val="bottom"/>
          </w:tcPr>
          <w:p>
            <w:pPr>
              <w:ind w:left="340"/>
              <w:spacing w:after="0"/>
              <w:rPr>
                <w:sz w:val="20"/>
                <w:szCs w:val="20"/>
                <w:color w:val="auto"/>
              </w:rPr>
            </w:pPr>
            <w:r>
              <w:rPr>
                <w:rFonts w:ascii="Arial" w:cs="Arial" w:eastAsia="Arial" w:hAnsi="Arial"/>
                <w:sz w:val="22"/>
                <w:szCs w:val="22"/>
                <w:color w:val="auto"/>
              </w:rPr>
              <w:t>Regulatory Approvals</w:t>
            </w:r>
          </w:p>
        </w:tc>
        <w:tc>
          <w:tcPr>
            <w:tcW w:w="5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5</w:t>
            </w:r>
          </w:p>
        </w:tc>
        <w:tc>
          <w:tcPr>
            <w:tcW w:w="0" w:type="dxa"/>
            <w:vAlign w:val="bottom"/>
          </w:tcPr>
          <w:p>
            <w:pPr>
              <w:spacing w:after="0"/>
              <w:rPr>
                <w:sz w:val="1"/>
                <w:szCs w:val="1"/>
                <w:color w:val="auto"/>
              </w:rPr>
            </w:pPr>
          </w:p>
        </w:tc>
      </w:tr>
      <w:tr>
        <w:trPr>
          <w:trHeight w:val="283"/>
        </w:trPr>
        <w:tc>
          <w:tcPr>
            <w:tcW w:w="2680" w:type="dxa"/>
            <w:vAlign w:val="bottom"/>
          </w:tcPr>
          <w:p>
            <w:pPr>
              <w:ind w:left="120"/>
              <w:spacing w:after="0"/>
              <w:rPr>
                <w:sz w:val="20"/>
                <w:szCs w:val="20"/>
                <w:color w:val="auto"/>
              </w:rPr>
            </w:pPr>
            <w:r>
              <w:rPr>
                <w:rFonts w:ascii="Arial" w:cs="Arial" w:eastAsia="Arial" w:hAnsi="Arial"/>
                <w:sz w:val="22"/>
                <w:szCs w:val="22"/>
                <w:color w:val="auto"/>
              </w:rPr>
              <w:t>SECTION 5.</w:t>
            </w:r>
          </w:p>
        </w:tc>
        <w:tc>
          <w:tcPr>
            <w:tcW w:w="5900" w:type="dxa"/>
            <w:vAlign w:val="bottom"/>
          </w:tcPr>
          <w:p>
            <w:pPr>
              <w:ind w:left="400"/>
              <w:spacing w:after="0"/>
              <w:rPr>
                <w:sz w:val="20"/>
                <w:szCs w:val="20"/>
                <w:color w:val="auto"/>
              </w:rPr>
            </w:pPr>
            <w:r>
              <w:rPr>
                <w:rFonts w:ascii="Arial" w:cs="Arial" w:eastAsia="Arial" w:hAnsi="Arial"/>
                <w:sz w:val="22"/>
                <w:szCs w:val="22"/>
                <w:color w:val="auto"/>
              </w:rPr>
              <w:t>Representations and Warranties of the Company</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5</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w:t>
            </w:r>
          </w:p>
        </w:tc>
        <w:tc>
          <w:tcPr>
            <w:tcW w:w="5900" w:type="dxa"/>
            <w:vAlign w:val="bottom"/>
          </w:tcPr>
          <w:p>
            <w:pPr>
              <w:ind w:left="340"/>
              <w:spacing w:after="0"/>
              <w:rPr>
                <w:sz w:val="20"/>
                <w:szCs w:val="20"/>
                <w:color w:val="auto"/>
              </w:rPr>
            </w:pPr>
            <w:r>
              <w:rPr>
                <w:rFonts w:ascii="Arial" w:cs="Arial" w:eastAsia="Arial" w:hAnsi="Arial"/>
                <w:sz w:val="22"/>
                <w:szCs w:val="22"/>
                <w:color w:val="auto"/>
              </w:rPr>
              <w:t>Organization; Power and Authority</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5</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5.2.</w:t>
            </w:r>
          </w:p>
        </w:tc>
        <w:tc>
          <w:tcPr>
            <w:tcW w:w="5900" w:type="dxa"/>
            <w:vAlign w:val="bottom"/>
          </w:tcPr>
          <w:p>
            <w:pPr>
              <w:ind w:left="340"/>
              <w:spacing w:after="0"/>
              <w:rPr>
                <w:sz w:val="20"/>
                <w:szCs w:val="20"/>
                <w:color w:val="auto"/>
              </w:rPr>
            </w:pPr>
            <w:r>
              <w:rPr>
                <w:rFonts w:ascii="Arial" w:cs="Arial" w:eastAsia="Arial" w:hAnsi="Arial"/>
                <w:sz w:val="22"/>
                <w:szCs w:val="22"/>
                <w:color w:val="auto"/>
              </w:rPr>
              <w:t>Authorization,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5</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5.3.</w:t>
            </w:r>
          </w:p>
        </w:tc>
        <w:tc>
          <w:tcPr>
            <w:tcW w:w="5900" w:type="dxa"/>
            <w:vAlign w:val="bottom"/>
          </w:tcPr>
          <w:p>
            <w:pPr>
              <w:ind w:left="340"/>
              <w:spacing w:after="0"/>
              <w:rPr>
                <w:sz w:val="20"/>
                <w:szCs w:val="20"/>
                <w:color w:val="auto"/>
              </w:rPr>
            </w:pPr>
            <w:r>
              <w:rPr>
                <w:rFonts w:ascii="Arial" w:cs="Arial" w:eastAsia="Arial" w:hAnsi="Arial"/>
                <w:sz w:val="22"/>
                <w:szCs w:val="22"/>
                <w:color w:val="auto"/>
              </w:rPr>
              <w:t>Disclosure</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6</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5.4.</w:t>
            </w:r>
          </w:p>
        </w:tc>
        <w:tc>
          <w:tcPr>
            <w:tcW w:w="5900" w:type="dxa"/>
            <w:vAlign w:val="bottom"/>
          </w:tcPr>
          <w:p>
            <w:pPr>
              <w:ind w:left="340"/>
              <w:spacing w:after="0"/>
              <w:rPr>
                <w:sz w:val="20"/>
                <w:szCs w:val="20"/>
                <w:color w:val="auto"/>
              </w:rPr>
            </w:pPr>
            <w:r>
              <w:rPr>
                <w:rFonts w:ascii="Arial" w:cs="Arial" w:eastAsia="Arial" w:hAnsi="Arial"/>
                <w:sz w:val="22"/>
                <w:szCs w:val="22"/>
                <w:color w:val="auto"/>
              </w:rPr>
              <w:t>Organization and Ownership of Shares of Subsidiaries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6</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5.5.</w:t>
            </w:r>
          </w:p>
        </w:tc>
        <w:tc>
          <w:tcPr>
            <w:tcW w:w="5900" w:type="dxa"/>
            <w:vAlign w:val="bottom"/>
          </w:tcPr>
          <w:p>
            <w:pPr>
              <w:ind w:left="340"/>
              <w:spacing w:after="0"/>
              <w:rPr>
                <w:sz w:val="20"/>
                <w:szCs w:val="20"/>
                <w:color w:val="auto"/>
              </w:rPr>
            </w:pPr>
            <w:r>
              <w:rPr>
                <w:rFonts w:ascii="Arial" w:cs="Arial" w:eastAsia="Arial" w:hAnsi="Arial"/>
                <w:sz w:val="22"/>
                <w:szCs w:val="22"/>
                <w:color w:val="auto"/>
              </w:rPr>
              <w:t>Financial Statements; Material Liabilities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6</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5.6.</w:t>
            </w:r>
          </w:p>
        </w:tc>
        <w:tc>
          <w:tcPr>
            <w:tcW w:w="5900" w:type="dxa"/>
            <w:vAlign w:val="bottom"/>
          </w:tcPr>
          <w:p>
            <w:pPr>
              <w:ind w:left="340"/>
              <w:spacing w:after="0"/>
              <w:rPr>
                <w:sz w:val="20"/>
                <w:szCs w:val="20"/>
                <w:color w:val="auto"/>
              </w:rPr>
            </w:pPr>
            <w:r>
              <w:rPr>
                <w:rFonts w:ascii="Arial" w:cs="Arial" w:eastAsia="Arial" w:hAnsi="Arial"/>
                <w:sz w:val="22"/>
                <w:szCs w:val="22"/>
                <w:color w:val="auto"/>
              </w:rPr>
              <w:t>Compliance with Laws, Other Instruments,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7</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5.7.</w:t>
            </w:r>
          </w:p>
        </w:tc>
        <w:tc>
          <w:tcPr>
            <w:tcW w:w="5900" w:type="dxa"/>
            <w:vAlign w:val="bottom"/>
          </w:tcPr>
          <w:p>
            <w:pPr>
              <w:ind w:left="340"/>
              <w:spacing w:after="0"/>
              <w:rPr>
                <w:sz w:val="20"/>
                <w:szCs w:val="20"/>
                <w:color w:val="auto"/>
              </w:rPr>
            </w:pPr>
            <w:r>
              <w:rPr>
                <w:rFonts w:ascii="Arial" w:cs="Arial" w:eastAsia="Arial" w:hAnsi="Arial"/>
                <w:sz w:val="22"/>
                <w:szCs w:val="22"/>
                <w:color w:val="auto"/>
              </w:rPr>
              <w:t>Governmental Authorizations,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7</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5.8.</w:t>
            </w:r>
          </w:p>
        </w:tc>
        <w:tc>
          <w:tcPr>
            <w:tcW w:w="5900" w:type="dxa"/>
            <w:vAlign w:val="bottom"/>
          </w:tcPr>
          <w:p>
            <w:pPr>
              <w:ind w:left="340"/>
              <w:spacing w:after="0"/>
              <w:rPr>
                <w:sz w:val="20"/>
                <w:szCs w:val="20"/>
                <w:color w:val="auto"/>
              </w:rPr>
            </w:pPr>
            <w:r>
              <w:rPr>
                <w:rFonts w:ascii="Arial" w:cs="Arial" w:eastAsia="Arial" w:hAnsi="Arial"/>
                <w:sz w:val="22"/>
                <w:szCs w:val="22"/>
                <w:color w:val="auto"/>
              </w:rPr>
              <w:t>Litigation; Observance of Statutes and Orders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7</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5.9.</w:t>
            </w:r>
          </w:p>
        </w:tc>
        <w:tc>
          <w:tcPr>
            <w:tcW w:w="5900" w:type="dxa"/>
            <w:vAlign w:val="bottom"/>
          </w:tcPr>
          <w:p>
            <w:pPr>
              <w:ind w:left="340"/>
              <w:spacing w:after="0"/>
              <w:rPr>
                <w:sz w:val="20"/>
                <w:szCs w:val="20"/>
                <w:color w:val="auto"/>
              </w:rPr>
            </w:pPr>
            <w:r>
              <w:rPr>
                <w:rFonts w:ascii="Arial" w:cs="Arial" w:eastAsia="Arial" w:hAnsi="Arial"/>
                <w:sz w:val="22"/>
                <w:szCs w:val="22"/>
                <w:color w:val="auto"/>
              </w:rPr>
              <w:t>Taxes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7</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5.10.</w:t>
            </w:r>
          </w:p>
        </w:tc>
        <w:tc>
          <w:tcPr>
            <w:tcW w:w="5900" w:type="dxa"/>
            <w:vAlign w:val="bottom"/>
          </w:tcPr>
          <w:p>
            <w:pPr>
              <w:ind w:left="340"/>
              <w:spacing w:after="0"/>
              <w:rPr>
                <w:sz w:val="20"/>
                <w:szCs w:val="20"/>
                <w:color w:val="auto"/>
              </w:rPr>
            </w:pPr>
            <w:r>
              <w:rPr>
                <w:rFonts w:ascii="Arial" w:cs="Arial" w:eastAsia="Arial" w:hAnsi="Arial"/>
                <w:sz w:val="22"/>
                <w:szCs w:val="22"/>
                <w:color w:val="auto"/>
              </w:rPr>
              <w:t>Title to Property; Leases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8</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5.11.</w:t>
            </w:r>
          </w:p>
        </w:tc>
        <w:tc>
          <w:tcPr>
            <w:tcW w:w="5900" w:type="dxa"/>
            <w:vAlign w:val="bottom"/>
          </w:tcPr>
          <w:p>
            <w:pPr>
              <w:ind w:left="340"/>
              <w:spacing w:after="0"/>
              <w:rPr>
                <w:sz w:val="20"/>
                <w:szCs w:val="20"/>
                <w:color w:val="auto"/>
              </w:rPr>
            </w:pPr>
            <w:r>
              <w:rPr>
                <w:rFonts w:ascii="Arial" w:cs="Arial" w:eastAsia="Arial" w:hAnsi="Arial"/>
                <w:sz w:val="22"/>
                <w:szCs w:val="22"/>
                <w:color w:val="auto"/>
              </w:rPr>
              <w:t>Licenses, Permits,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8</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5.12.</w:t>
            </w:r>
          </w:p>
        </w:tc>
        <w:tc>
          <w:tcPr>
            <w:tcW w:w="5900" w:type="dxa"/>
            <w:vAlign w:val="bottom"/>
          </w:tcPr>
          <w:p>
            <w:pPr>
              <w:ind w:left="340"/>
              <w:spacing w:after="0"/>
              <w:rPr>
                <w:sz w:val="20"/>
                <w:szCs w:val="20"/>
                <w:color w:val="auto"/>
              </w:rPr>
            </w:pPr>
            <w:r>
              <w:rPr>
                <w:rFonts w:ascii="Arial" w:cs="Arial" w:eastAsia="Arial" w:hAnsi="Arial"/>
                <w:sz w:val="22"/>
                <w:szCs w:val="22"/>
                <w:color w:val="auto"/>
              </w:rPr>
              <w:t>Compliance with Employee Benefit Plans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8</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5.13.</w:t>
            </w:r>
          </w:p>
        </w:tc>
        <w:tc>
          <w:tcPr>
            <w:tcW w:w="5900" w:type="dxa"/>
            <w:vAlign w:val="bottom"/>
          </w:tcPr>
          <w:p>
            <w:pPr>
              <w:ind w:left="340"/>
              <w:spacing w:after="0"/>
              <w:rPr>
                <w:sz w:val="20"/>
                <w:szCs w:val="20"/>
                <w:color w:val="auto"/>
              </w:rPr>
            </w:pPr>
            <w:r>
              <w:rPr>
                <w:rFonts w:ascii="Arial" w:cs="Arial" w:eastAsia="Arial" w:hAnsi="Arial"/>
                <w:sz w:val="22"/>
                <w:szCs w:val="22"/>
                <w:color w:val="auto"/>
              </w:rPr>
              <w:t>Private Offering by the Company</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9</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5.14.</w:t>
            </w:r>
          </w:p>
        </w:tc>
        <w:tc>
          <w:tcPr>
            <w:tcW w:w="5900" w:type="dxa"/>
            <w:vAlign w:val="bottom"/>
          </w:tcPr>
          <w:p>
            <w:pPr>
              <w:ind w:left="340"/>
              <w:spacing w:after="0"/>
              <w:rPr>
                <w:sz w:val="20"/>
                <w:szCs w:val="20"/>
                <w:color w:val="auto"/>
              </w:rPr>
            </w:pPr>
            <w:r>
              <w:rPr>
                <w:rFonts w:ascii="Arial" w:cs="Arial" w:eastAsia="Arial" w:hAnsi="Arial"/>
                <w:sz w:val="22"/>
                <w:szCs w:val="22"/>
                <w:color w:val="auto"/>
              </w:rPr>
              <w:t>Use of Proceeds; Margin Regulations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9</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5.15.</w:t>
            </w:r>
          </w:p>
        </w:tc>
        <w:tc>
          <w:tcPr>
            <w:tcW w:w="5900" w:type="dxa"/>
            <w:vAlign w:val="bottom"/>
          </w:tcPr>
          <w:p>
            <w:pPr>
              <w:ind w:left="340"/>
              <w:spacing w:after="0"/>
              <w:rPr>
                <w:sz w:val="20"/>
                <w:szCs w:val="20"/>
                <w:color w:val="auto"/>
              </w:rPr>
            </w:pPr>
            <w:r>
              <w:rPr>
                <w:rFonts w:ascii="Arial" w:cs="Arial" w:eastAsia="Arial" w:hAnsi="Arial"/>
                <w:sz w:val="22"/>
                <w:szCs w:val="22"/>
                <w:color w:val="auto"/>
              </w:rPr>
              <w:t>Existing Debt</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1"/>
              </w:rPr>
              <w:t>9</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5.16.</w:t>
            </w:r>
          </w:p>
        </w:tc>
        <w:tc>
          <w:tcPr>
            <w:tcW w:w="5900" w:type="dxa"/>
            <w:vAlign w:val="bottom"/>
          </w:tcPr>
          <w:p>
            <w:pPr>
              <w:ind w:left="340"/>
              <w:spacing w:after="0"/>
              <w:rPr>
                <w:sz w:val="20"/>
                <w:szCs w:val="20"/>
                <w:color w:val="auto"/>
              </w:rPr>
            </w:pPr>
            <w:r>
              <w:rPr>
                <w:rFonts w:ascii="Arial" w:cs="Arial" w:eastAsia="Arial" w:hAnsi="Arial"/>
                <w:sz w:val="22"/>
                <w:szCs w:val="22"/>
                <w:color w:val="auto"/>
              </w:rPr>
              <w:t>Foreign Assets Control Regulations, Etc</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10</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5.17.</w:t>
            </w:r>
          </w:p>
        </w:tc>
        <w:tc>
          <w:tcPr>
            <w:tcW w:w="5900" w:type="dxa"/>
            <w:vAlign w:val="bottom"/>
          </w:tcPr>
          <w:p>
            <w:pPr>
              <w:ind w:left="340"/>
              <w:spacing w:after="0"/>
              <w:rPr>
                <w:sz w:val="20"/>
                <w:szCs w:val="20"/>
                <w:color w:val="auto"/>
              </w:rPr>
            </w:pPr>
            <w:r>
              <w:rPr>
                <w:rFonts w:ascii="Arial" w:cs="Arial" w:eastAsia="Arial" w:hAnsi="Arial"/>
                <w:sz w:val="22"/>
                <w:szCs w:val="22"/>
                <w:color w:val="auto"/>
              </w:rPr>
              <w:t>Status under Certain Statutes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5.18.</w:t>
            </w:r>
          </w:p>
        </w:tc>
        <w:tc>
          <w:tcPr>
            <w:tcW w:w="5900" w:type="dxa"/>
            <w:vAlign w:val="bottom"/>
          </w:tcPr>
          <w:p>
            <w:pPr>
              <w:ind w:left="340"/>
              <w:spacing w:after="0"/>
              <w:rPr>
                <w:sz w:val="20"/>
                <w:szCs w:val="20"/>
                <w:color w:val="auto"/>
              </w:rPr>
            </w:pPr>
            <w:r>
              <w:rPr>
                <w:rFonts w:ascii="Arial" w:cs="Arial" w:eastAsia="Arial" w:hAnsi="Arial"/>
                <w:sz w:val="22"/>
                <w:szCs w:val="22"/>
                <w:color w:val="auto"/>
              </w:rPr>
              <w:t>Environmental Matters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5.19.</w:t>
            </w:r>
          </w:p>
        </w:tc>
        <w:tc>
          <w:tcPr>
            <w:tcW w:w="5900" w:type="dxa"/>
            <w:vAlign w:val="bottom"/>
          </w:tcPr>
          <w:p>
            <w:pPr>
              <w:ind w:left="340"/>
              <w:spacing w:after="0"/>
              <w:rPr>
                <w:sz w:val="20"/>
                <w:szCs w:val="20"/>
                <w:color w:val="auto"/>
              </w:rPr>
            </w:pPr>
            <w:r>
              <w:rPr>
                <w:rFonts w:ascii="Arial" w:cs="Arial" w:eastAsia="Arial" w:hAnsi="Arial"/>
                <w:sz w:val="22"/>
                <w:szCs w:val="22"/>
                <w:color w:val="auto"/>
              </w:rPr>
              <w:t>Lien of Indenture</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11</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5.20.</w:t>
            </w:r>
          </w:p>
        </w:tc>
        <w:tc>
          <w:tcPr>
            <w:tcW w:w="5900" w:type="dxa"/>
            <w:vAlign w:val="bottom"/>
          </w:tcPr>
          <w:p>
            <w:pPr>
              <w:ind w:left="340"/>
              <w:spacing w:after="0"/>
              <w:rPr>
                <w:sz w:val="20"/>
                <w:szCs w:val="20"/>
                <w:color w:val="auto"/>
              </w:rPr>
            </w:pPr>
            <w:r>
              <w:rPr>
                <w:rFonts w:ascii="Arial" w:cs="Arial" w:eastAsia="Arial" w:hAnsi="Arial"/>
                <w:sz w:val="22"/>
                <w:szCs w:val="22"/>
                <w:color w:val="auto"/>
              </w:rPr>
              <w:t>Filings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r>
        <w:trPr>
          <w:trHeight w:val="284"/>
        </w:trPr>
        <w:tc>
          <w:tcPr>
            <w:tcW w:w="2680" w:type="dxa"/>
            <w:vAlign w:val="bottom"/>
          </w:tcPr>
          <w:p>
            <w:pPr>
              <w:ind w:left="120"/>
              <w:spacing w:after="0"/>
              <w:rPr>
                <w:sz w:val="20"/>
                <w:szCs w:val="20"/>
                <w:color w:val="auto"/>
              </w:rPr>
            </w:pPr>
            <w:r>
              <w:rPr>
                <w:rFonts w:ascii="Arial" w:cs="Arial" w:eastAsia="Arial" w:hAnsi="Arial"/>
                <w:sz w:val="22"/>
                <w:szCs w:val="22"/>
                <w:color w:val="auto"/>
              </w:rPr>
              <w:t>SECTION 6.</w:t>
            </w:r>
          </w:p>
        </w:tc>
        <w:tc>
          <w:tcPr>
            <w:tcW w:w="5900" w:type="dxa"/>
            <w:vAlign w:val="bottom"/>
          </w:tcPr>
          <w:p>
            <w:pPr>
              <w:ind w:left="400"/>
              <w:spacing w:after="0"/>
              <w:rPr>
                <w:sz w:val="20"/>
                <w:szCs w:val="20"/>
                <w:color w:val="auto"/>
              </w:rPr>
            </w:pPr>
            <w:r>
              <w:rPr>
                <w:rFonts w:ascii="Arial" w:cs="Arial" w:eastAsia="Arial" w:hAnsi="Arial"/>
                <w:sz w:val="22"/>
                <w:szCs w:val="22"/>
                <w:color w:val="auto"/>
              </w:rPr>
              <w:t>Representations of the Purchasers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6.1.</w:t>
            </w:r>
          </w:p>
        </w:tc>
        <w:tc>
          <w:tcPr>
            <w:tcW w:w="5900" w:type="dxa"/>
            <w:vAlign w:val="bottom"/>
          </w:tcPr>
          <w:p>
            <w:pPr>
              <w:ind w:left="340"/>
              <w:spacing w:after="0"/>
              <w:rPr>
                <w:sz w:val="20"/>
                <w:szCs w:val="20"/>
                <w:color w:val="auto"/>
              </w:rPr>
            </w:pPr>
            <w:r>
              <w:rPr>
                <w:rFonts w:ascii="Arial" w:cs="Arial" w:eastAsia="Arial" w:hAnsi="Arial"/>
                <w:sz w:val="22"/>
                <w:szCs w:val="22"/>
                <w:color w:val="auto"/>
              </w:rPr>
              <w:t>Purchase for Investment</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r>
        <w:trPr>
          <w:trHeight w:val="283"/>
        </w:trPr>
        <w:tc>
          <w:tcPr>
            <w:tcW w:w="2680" w:type="dxa"/>
            <w:vAlign w:val="bottom"/>
          </w:tcPr>
          <w:p>
            <w:pPr>
              <w:ind w:left="1200"/>
              <w:spacing w:after="0"/>
              <w:rPr>
                <w:sz w:val="20"/>
                <w:szCs w:val="20"/>
                <w:color w:val="auto"/>
              </w:rPr>
            </w:pPr>
            <w:r>
              <w:rPr>
                <w:rFonts w:ascii="Arial" w:cs="Arial" w:eastAsia="Arial" w:hAnsi="Arial"/>
                <w:sz w:val="22"/>
                <w:szCs w:val="22"/>
                <w:color w:val="auto"/>
              </w:rPr>
              <w:t>Section 6.2.</w:t>
            </w:r>
          </w:p>
        </w:tc>
        <w:tc>
          <w:tcPr>
            <w:tcW w:w="5900" w:type="dxa"/>
            <w:vAlign w:val="bottom"/>
          </w:tcPr>
          <w:p>
            <w:pPr>
              <w:ind w:left="340"/>
              <w:spacing w:after="0"/>
              <w:rPr>
                <w:sz w:val="20"/>
                <w:szCs w:val="20"/>
                <w:color w:val="auto"/>
              </w:rPr>
            </w:pPr>
            <w:r>
              <w:rPr>
                <w:rFonts w:ascii="Arial" w:cs="Arial" w:eastAsia="Arial" w:hAnsi="Arial"/>
                <w:sz w:val="22"/>
                <w:szCs w:val="22"/>
                <w:color w:val="auto"/>
              </w:rPr>
              <w:t>Source of Funds</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12</w:t>
            </w:r>
          </w:p>
        </w:tc>
        <w:tc>
          <w:tcPr>
            <w:tcW w:w="0" w:type="dxa"/>
            <w:vAlign w:val="bottom"/>
          </w:tcPr>
          <w:p>
            <w:pPr>
              <w:spacing w:after="0"/>
              <w:rPr>
                <w:sz w:val="1"/>
                <w:szCs w:val="1"/>
                <w:color w:val="auto"/>
              </w:rPr>
            </w:pPr>
          </w:p>
        </w:tc>
      </w:tr>
      <w:tr>
        <w:trPr>
          <w:trHeight w:val="284"/>
        </w:trPr>
        <w:tc>
          <w:tcPr>
            <w:tcW w:w="2680" w:type="dxa"/>
            <w:vAlign w:val="bottom"/>
          </w:tcPr>
          <w:p>
            <w:pPr>
              <w:ind w:left="120"/>
              <w:spacing w:after="0"/>
              <w:rPr>
                <w:sz w:val="20"/>
                <w:szCs w:val="20"/>
                <w:color w:val="auto"/>
              </w:rPr>
            </w:pPr>
            <w:r>
              <w:rPr>
                <w:rFonts w:ascii="Arial" w:cs="Arial" w:eastAsia="Arial" w:hAnsi="Arial"/>
                <w:sz w:val="22"/>
                <w:szCs w:val="22"/>
                <w:color w:val="auto"/>
              </w:rPr>
              <w:t>SECTION 7.</w:t>
            </w:r>
          </w:p>
        </w:tc>
        <w:tc>
          <w:tcPr>
            <w:tcW w:w="5900" w:type="dxa"/>
            <w:vAlign w:val="bottom"/>
          </w:tcPr>
          <w:p>
            <w:pPr>
              <w:ind w:left="340"/>
              <w:spacing w:after="0"/>
              <w:rPr>
                <w:sz w:val="20"/>
                <w:szCs w:val="20"/>
                <w:color w:val="auto"/>
              </w:rPr>
            </w:pPr>
            <w:r>
              <w:rPr>
                <w:rFonts w:ascii="Arial" w:cs="Arial" w:eastAsia="Arial" w:hAnsi="Arial"/>
                <w:sz w:val="22"/>
                <w:szCs w:val="22"/>
                <w:color w:val="auto"/>
              </w:rPr>
              <w:t>Information as to Company</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14</w:t>
            </w:r>
          </w:p>
        </w:tc>
        <w:tc>
          <w:tcPr>
            <w:tcW w:w="0" w:type="dxa"/>
            <w:vAlign w:val="bottom"/>
          </w:tcPr>
          <w:p>
            <w:pPr>
              <w:spacing w:after="0"/>
              <w:rPr>
                <w:sz w:val="1"/>
                <w:szCs w:val="1"/>
                <w:color w:val="auto"/>
              </w:rPr>
            </w:pPr>
          </w:p>
        </w:tc>
      </w:tr>
      <w:tr>
        <w:trPr>
          <w:trHeight w:val="284"/>
        </w:trPr>
        <w:tc>
          <w:tcPr>
            <w:tcW w:w="2680" w:type="dxa"/>
            <w:vAlign w:val="bottom"/>
          </w:tcPr>
          <w:p>
            <w:pPr>
              <w:ind w:left="1200"/>
              <w:spacing w:after="0"/>
              <w:rPr>
                <w:sz w:val="20"/>
                <w:szCs w:val="20"/>
                <w:color w:val="auto"/>
              </w:rPr>
            </w:pPr>
            <w:r>
              <w:rPr>
                <w:rFonts w:ascii="Arial" w:cs="Arial" w:eastAsia="Arial" w:hAnsi="Arial"/>
                <w:sz w:val="22"/>
                <w:szCs w:val="22"/>
                <w:color w:val="auto"/>
              </w:rPr>
              <w:t>Section 7.1.</w:t>
            </w:r>
          </w:p>
        </w:tc>
        <w:tc>
          <w:tcPr>
            <w:tcW w:w="5900" w:type="dxa"/>
            <w:vAlign w:val="bottom"/>
          </w:tcPr>
          <w:p>
            <w:pPr>
              <w:ind w:left="340"/>
              <w:spacing w:after="0"/>
              <w:rPr>
                <w:sz w:val="20"/>
                <w:szCs w:val="20"/>
                <w:color w:val="auto"/>
              </w:rPr>
            </w:pPr>
            <w:r>
              <w:rPr>
                <w:rFonts w:ascii="Arial" w:cs="Arial" w:eastAsia="Arial" w:hAnsi="Arial"/>
                <w:sz w:val="22"/>
                <w:szCs w:val="22"/>
                <w:color w:val="auto"/>
              </w:rPr>
              <w:t>Financial and Business Information</w:t>
            </w:r>
          </w:p>
        </w:tc>
        <w:tc>
          <w:tcPr>
            <w:tcW w:w="5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color w:val="auto"/>
                <w:w w:val="89"/>
              </w:rPr>
              <w:t>14</w:t>
            </w:r>
          </w:p>
        </w:tc>
        <w:tc>
          <w:tcPr>
            <w:tcW w:w="0" w:type="dxa"/>
            <w:vAlign w:val="bottom"/>
          </w:tcPr>
          <w:p>
            <w:pPr>
              <w:spacing w:after="0"/>
              <w:rPr>
                <w:sz w:val="1"/>
                <w:szCs w:val="1"/>
                <w:color w:val="auto"/>
              </w:rPr>
            </w:pPr>
          </w:p>
        </w:tc>
      </w:tr>
      <w:tr>
        <w:trPr>
          <w:trHeight w:val="233"/>
        </w:trPr>
        <w:tc>
          <w:tcPr>
            <w:tcW w:w="2680" w:type="dxa"/>
            <w:vAlign w:val="bottom"/>
            <w:tcBorders>
              <w:bottom w:val="single" w:sz="8" w:color="9A9A9A"/>
            </w:tcBorders>
          </w:tcPr>
          <w:p>
            <w:pPr>
              <w:spacing w:after="0"/>
              <w:rPr>
                <w:sz w:val="20"/>
                <w:szCs w:val="20"/>
                <w:color w:val="auto"/>
              </w:rPr>
            </w:pPr>
          </w:p>
        </w:tc>
        <w:tc>
          <w:tcPr>
            <w:tcW w:w="590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bottom w:val="single" w:sz="8" w:color="EEEEEE"/>
            </w:tcBorders>
          </w:tcPr>
          <w:p>
            <w:pPr>
              <w:spacing w:after="0" w:line="20" w:lineRule="exact"/>
              <w:rPr>
                <w:sz w:val="1"/>
                <w:szCs w:val="1"/>
                <w:color w:val="auto"/>
              </w:rPr>
            </w:pPr>
          </w:p>
        </w:tc>
        <w:tc>
          <w:tcPr>
            <w:tcW w:w="59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2" w:right="9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4"/>
        </w:trPr>
        <w:tc>
          <w:tcPr>
            <w:tcW w:w="2480" w:type="dxa"/>
            <w:vAlign w:val="bottom"/>
          </w:tcPr>
          <w:p>
            <w:pPr>
              <w:ind w:left="1200"/>
              <w:spacing w:after="0"/>
              <w:rPr>
                <w:sz w:val="20"/>
                <w:szCs w:val="20"/>
                <w:color w:val="auto"/>
              </w:rPr>
            </w:pPr>
            <w:r>
              <w:rPr>
                <w:rFonts w:ascii="Arial" w:cs="Arial" w:eastAsia="Arial" w:hAnsi="Arial"/>
                <w:sz w:val="22"/>
                <w:szCs w:val="22"/>
                <w:color w:val="auto"/>
              </w:rPr>
              <w:t>Section 7.2</w:t>
            </w:r>
          </w:p>
        </w:tc>
        <w:tc>
          <w:tcPr>
            <w:tcW w:w="460" w:type="dxa"/>
            <w:vAlign w:val="bottom"/>
          </w:tcPr>
          <w:p>
            <w:pPr>
              <w:spacing w:after="0"/>
              <w:rPr>
                <w:sz w:val="23"/>
                <w:szCs w:val="23"/>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Officer’s Certificate</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16</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7.3.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Visitation</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17</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8.</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Purchase of Bonds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17</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9.</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Affirmative Covenants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17</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9.1.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Compliance with Law</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18</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9.2.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Insurance</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18</w:t>
            </w:r>
          </w:p>
        </w:tc>
      </w:tr>
      <w:tr>
        <w:trPr>
          <w:trHeight w:val="284"/>
        </w:trPr>
        <w:tc>
          <w:tcPr>
            <w:tcW w:w="2480" w:type="dxa"/>
            <w:vAlign w:val="bottom"/>
          </w:tcPr>
          <w:p>
            <w:pPr>
              <w:ind w:left="1200"/>
              <w:spacing w:after="0"/>
              <w:rPr>
                <w:sz w:val="20"/>
                <w:szCs w:val="20"/>
                <w:color w:val="auto"/>
              </w:rPr>
            </w:pPr>
            <w:r>
              <w:rPr>
                <w:rFonts w:ascii="Arial" w:cs="Arial" w:eastAsia="Arial" w:hAnsi="Arial"/>
                <w:sz w:val="22"/>
                <w:szCs w:val="22"/>
                <w:color w:val="auto"/>
              </w:rPr>
              <w:t>Section 9.3.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Maintenance of Properties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18</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9.4.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Payment of Taxes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18</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9.5.</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Corporate Existence,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18</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rPr>
              <w:t>Section 9.6.</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Books and Records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19</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10.</w:t>
            </w:r>
          </w:p>
        </w:tc>
        <w:tc>
          <w:tcPr>
            <w:tcW w:w="460" w:type="dxa"/>
            <w:vAlign w:val="bottom"/>
          </w:tcPr>
          <w:p>
            <w:pPr>
              <w:spacing w:after="0"/>
              <w:rPr>
                <w:sz w:val="24"/>
                <w:szCs w:val="24"/>
                <w:color w:val="auto"/>
              </w:rPr>
            </w:pPr>
          </w:p>
        </w:tc>
        <w:tc>
          <w:tcPr>
            <w:tcW w:w="5960" w:type="dxa"/>
            <w:vAlign w:val="bottom"/>
          </w:tcPr>
          <w:p>
            <w:pPr>
              <w:ind w:left="140"/>
              <w:spacing w:after="0"/>
              <w:rPr>
                <w:sz w:val="20"/>
                <w:szCs w:val="20"/>
                <w:color w:val="auto"/>
              </w:rPr>
            </w:pPr>
            <w:r>
              <w:rPr>
                <w:rFonts w:ascii="Arial" w:cs="Arial" w:eastAsia="Arial" w:hAnsi="Arial"/>
                <w:sz w:val="22"/>
                <w:szCs w:val="22"/>
                <w:color w:val="auto"/>
              </w:rPr>
              <w:t>Negative Covenants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19</w:t>
            </w:r>
          </w:p>
        </w:tc>
      </w:tr>
      <w:tr>
        <w:trPr>
          <w:trHeight w:val="284"/>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10.1.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Transactions with Affiliates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19</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10.2.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Merger, Consolidation,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19</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10.3.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Line of Business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19</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10.4.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Economic Sanctions,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Payments on Bonds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11.1.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Payment by Wire Transfer</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4"/>
        </w:trPr>
        <w:tc>
          <w:tcPr>
            <w:tcW w:w="2480" w:type="dxa"/>
            <w:vAlign w:val="bottom"/>
          </w:tcPr>
          <w:p>
            <w:pPr>
              <w:ind w:left="120"/>
              <w:spacing w:after="0"/>
              <w:rPr>
                <w:sz w:val="20"/>
                <w:szCs w:val="20"/>
                <w:color w:val="auto"/>
              </w:rPr>
            </w:pPr>
            <w:r>
              <w:rPr>
                <w:rFonts w:ascii="Arial" w:cs="Arial" w:eastAsia="Arial" w:hAnsi="Arial"/>
                <w:sz w:val="22"/>
                <w:szCs w:val="22"/>
                <w:color w:val="auto"/>
              </w:rPr>
              <w:t>SECTION 12.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Registration; Exchange; Expenses,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12.1.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Registration of Bonds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12.2.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Transaction Expenses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20</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12.3.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Survival</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21</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12.4.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Tax Withholding</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21</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w w:val="96"/>
              </w:rPr>
              <w:t>Survival of Representations and Warranties; Entire Agreement</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21</w:t>
            </w:r>
          </w:p>
        </w:tc>
      </w:tr>
      <w:tr>
        <w:trPr>
          <w:trHeight w:val="284"/>
        </w:trPr>
        <w:tc>
          <w:tcPr>
            <w:tcW w:w="2480" w:type="dxa"/>
            <w:vAlign w:val="bottom"/>
          </w:tcPr>
          <w:p>
            <w:pPr>
              <w:ind w:left="120"/>
              <w:spacing w:after="0"/>
              <w:rPr>
                <w:sz w:val="20"/>
                <w:szCs w:val="20"/>
                <w:color w:val="auto"/>
              </w:rPr>
            </w:pPr>
            <w:r>
              <w:rPr>
                <w:rFonts w:ascii="Arial" w:cs="Arial" w:eastAsia="Arial" w:hAnsi="Arial"/>
                <w:sz w:val="22"/>
                <w:szCs w:val="22"/>
                <w:color w:val="auto"/>
              </w:rPr>
              <w:t>SECTION 14.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Amendment and Waiver</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21</w:t>
            </w:r>
          </w:p>
        </w:tc>
      </w:tr>
      <w:tr>
        <w:trPr>
          <w:trHeight w:val="284"/>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14.1.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Requirements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21</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14.2.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Solicitation of Holders of Bonds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22</w:t>
            </w:r>
          </w:p>
        </w:tc>
      </w:tr>
      <w:tr>
        <w:trPr>
          <w:trHeight w:val="283"/>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14.3.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Binding Effect,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22</w:t>
            </w:r>
          </w:p>
        </w:tc>
      </w:tr>
      <w:tr>
        <w:trPr>
          <w:trHeight w:val="284"/>
        </w:trPr>
        <w:tc>
          <w:tcPr>
            <w:tcW w:w="2480" w:type="dxa"/>
            <w:vAlign w:val="bottom"/>
          </w:tcPr>
          <w:p>
            <w:pPr>
              <w:ind w:left="1200"/>
              <w:spacing w:after="0"/>
              <w:rPr>
                <w:sz w:val="20"/>
                <w:szCs w:val="20"/>
                <w:color w:val="auto"/>
              </w:rPr>
            </w:pPr>
            <w:r>
              <w:rPr>
                <w:rFonts w:ascii="Arial" w:cs="Arial" w:eastAsia="Arial" w:hAnsi="Arial"/>
                <w:sz w:val="22"/>
                <w:szCs w:val="22"/>
                <w:color w:val="auto"/>
                <w:w w:val="98"/>
              </w:rPr>
              <w:t>Section 14.4.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Bonds Held by Company,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23</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15.</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Notices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23</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16.</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Indemnification</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23</w:t>
            </w:r>
          </w:p>
        </w:tc>
      </w:tr>
      <w:tr>
        <w:trPr>
          <w:trHeight w:val="284"/>
        </w:trPr>
        <w:tc>
          <w:tcPr>
            <w:tcW w:w="2480" w:type="dxa"/>
            <w:vAlign w:val="bottom"/>
          </w:tcPr>
          <w:p>
            <w:pPr>
              <w:ind w:left="120"/>
              <w:spacing w:after="0"/>
              <w:rPr>
                <w:sz w:val="20"/>
                <w:szCs w:val="20"/>
                <w:color w:val="auto"/>
              </w:rPr>
            </w:pPr>
            <w:r>
              <w:rPr>
                <w:rFonts w:ascii="Arial" w:cs="Arial" w:eastAsia="Arial" w:hAnsi="Arial"/>
                <w:sz w:val="22"/>
                <w:szCs w:val="22"/>
                <w:color w:val="auto"/>
              </w:rPr>
              <w:t>SECTION 17.</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Reproduction of Documents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24</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18.</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Confidential Information</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24</w:t>
            </w: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SECTION 19.</w:t>
            </w:r>
          </w:p>
        </w:tc>
        <w:tc>
          <w:tcPr>
            <w:tcW w:w="460" w:type="dxa"/>
            <w:vAlign w:val="bottom"/>
          </w:tcPr>
          <w:p>
            <w:pPr>
              <w:spacing w:after="0"/>
              <w:rPr>
                <w:sz w:val="24"/>
                <w:szCs w:val="24"/>
                <w:color w:val="auto"/>
              </w:rPr>
            </w:pPr>
          </w:p>
        </w:tc>
        <w:tc>
          <w:tcPr>
            <w:tcW w:w="5960" w:type="dxa"/>
            <w:vAlign w:val="bottom"/>
          </w:tcPr>
          <w:p>
            <w:pPr>
              <w:ind w:left="140"/>
              <w:spacing w:after="0"/>
              <w:rPr>
                <w:sz w:val="20"/>
                <w:szCs w:val="20"/>
                <w:color w:val="auto"/>
              </w:rPr>
            </w:pPr>
            <w:r>
              <w:rPr>
                <w:rFonts w:ascii="Arial" w:cs="Arial" w:eastAsia="Arial" w:hAnsi="Arial"/>
                <w:sz w:val="22"/>
                <w:szCs w:val="22"/>
                <w:color w:val="auto"/>
              </w:rPr>
              <w:t>Miscellaneous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25</w:t>
            </w:r>
          </w:p>
        </w:tc>
      </w:tr>
      <w:tr>
        <w:trPr>
          <w:trHeight w:val="284"/>
        </w:trPr>
        <w:tc>
          <w:tcPr>
            <w:tcW w:w="2480" w:type="dxa"/>
            <w:vAlign w:val="bottom"/>
          </w:tcPr>
          <w:p>
            <w:pPr>
              <w:ind w:left="980"/>
              <w:spacing w:after="0"/>
              <w:rPr>
                <w:sz w:val="20"/>
                <w:szCs w:val="20"/>
                <w:color w:val="auto"/>
              </w:rPr>
            </w:pPr>
            <w:r>
              <w:rPr>
                <w:rFonts w:ascii="Arial" w:cs="Arial" w:eastAsia="Arial" w:hAnsi="Arial"/>
                <w:sz w:val="22"/>
                <w:szCs w:val="22"/>
                <w:color w:val="auto"/>
              </w:rPr>
              <w:t>Section 19.1.</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Successors and Assigns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25</w:t>
            </w:r>
          </w:p>
        </w:tc>
      </w:tr>
      <w:tr>
        <w:trPr>
          <w:trHeight w:val="283"/>
        </w:trPr>
        <w:tc>
          <w:tcPr>
            <w:tcW w:w="2480" w:type="dxa"/>
            <w:vAlign w:val="bottom"/>
          </w:tcPr>
          <w:p>
            <w:pPr>
              <w:ind w:left="980"/>
              <w:spacing w:after="0"/>
              <w:rPr>
                <w:sz w:val="20"/>
                <w:szCs w:val="20"/>
                <w:color w:val="auto"/>
              </w:rPr>
            </w:pPr>
            <w:r>
              <w:rPr>
                <w:rFonts w:ascii="Arial" w:cs="Arial" w:eastAsia="Arial" w:hAnsi="Arial"/>
                <w:sz w:val="22"/>
                <w:szCs w:val="22"/>
                <w:color w:val="auto"/>
              </w:rPr>
              <w:t>Section 19.2.</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Accounting Terms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25</w:t>
            </w:r>
          </w:p>
        </w:tc>
      </w:tr>
      <w:tr>
        <w:trPr>
          <w:trHeight w:val="283"/>
        </w:trPr>
        <w:tc>
          <w:tcPr>
            <w:tcW w:w="2480" w:type="dxa"/>
            <w:vAlign w:val="bottom"/>
          </w:tcPr>
          <w:p>
            <w:pPr>
              <w:ind w:left="980"/>
              <w:spacing w:after="0"/>
              <w:rPr>
                <w:sz w:val="20"/>
                <w:szCs w:val="20"/>
                <w:color w:val="auto"/>
              </w:rPr>
            </w:pPr>
            <w:r>
              <w:rPr>
                <w:rFonts w:ascii="Arial" w:cs="Arial" w:eastAsia="Arial" w:hAnsi="Arial"/>
                <w:sz w:val="22"/>
                <w:szCs w:val="22"/>
                <w:color w:val="auto"/>
              </w:rPr>
              <w:t>Section 19.3.</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Severability</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26</w:t>
            </w:r>
          </w:p>
        </w:tc>
      </w:tr>
      <w:tr>
        <w:trPr>
          <w:trHeight w:val="284"/>
        </w:trPr>
        <w:tc>
          <w:tcPr>
            <w:tcW w:w="2480" w:type="dxa"/>
            <w:vAlign w:val="bottom"/>
          </w:tcPr>
          <w:p>
            <w:pPr>
              <w:ind w:left="980"/>
              <w:spacing w:after="0"/>
              <w:rPr>
                <w:sz w:val="20"/>
                <w:szCs w:val="20"/>
                <w:color w:val="auto"/>
              </w:rPr>
            </w:pPr>
            <w:r>
              <w:rPr>
                <w:rFonts w:ascii="Arial" w:cs="Arial" w:eastAsia="Arial" w:hAnsi="Arial"/>
                <w:sz w:val="22"/>
                <w:szCs w:val="22"/>
                <w:color w:val="auto"/>
              </w:rPr>
              <w:t>Section 19.4.</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Construction, Etc</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26</w:t>
            </w:r>
          </w:p>
        </w:tc>
      </w:tr>
      <w:tr>
        <w:trPr>
          <w:trHeight w:val="283"/>
        </w:trPr>
        <w:tc>
          <w:tcPr>
            <w:tcW w:w="2480" w:type="dxa"/>
            <w:vAlign w:val="bottom"/>
          </w:tcPr>
          <w:p>
            <w:pPr>
              <w:ind w:left="980"/>
              <w:spacing w:after="0"/>
              <w:rPr>
                <w:sz w:val="20"/>
                <w:szCs w:val="20"/>
                <w:color w:val="auto"/>
              </w:rPr>
            </w:pPr>
            <w:r>
              <w:rPr>
                <w:rFonts w:ascii="Arial" w:cs="Arial" w:eastAsia="Arial" w:hAnsi="Arial"/>
                <w:sz w:val="22"/>
                <w:szCs w:val="22"/>
                <w:color w:val="auto"/>
              </w:rPr>
              <w:t>Section 19.5.</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Counterparts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26</w:t>
            </w:r>
          </w:p>
        </w:tc>
      </w:tr>
      <w:tr>
        <w:trPr>
          <w:trHeight w:val="283"/>
        </w:trPr>
        <w:tc>
          <w:tcPr>
            <w:tcW w:w="2480" w:type="dxa"/>
            <w:vAlign w:val="bottom"/>
          </w:tcPr>
          <w:p>
            <w:pPr>
              <w:ind w:left="980"/>
              <w:spacing w:after="0"/>
              <w:rPr>
                <w:sz w:val="20"/>
                <w:szCs w:val="20"/>
                <w:color w:val="auto"/>
              </w:rPr>
            </w:pPr>
            <w:r>
              <w:rPr>
                <w:rFonts w:ascii="Arial" w:cs="Arial" w:eastAsia="Arial" w:hAnsi="Arial"/>
                <w:sz w:val="22"/>
                <w:szCs w:val="22"/>
                <w:color w:val="auto"/>
              </w:rPr>
              <w:t>Section 19.6.</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Governing Law</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26</w:t>
            </w:r>
          </w:p>
        </w:tc>
      </w:tr>
      <w:tr>
        <w:trPr>
          <w:trHeight w:val="284"/>
        </w:trPr>
        <w:tc>
          <w:tcPr>
            <w:tcW w:w="2480" w:type="dxa"/>
            <w:vAlign w:val="bottom"/>
          </w:tcPr>
          <w:p>
            <w:pPr>
              <w:ind w:left="980"/>
              <w:spacing w:after="0"/>
              <w:rPr>
                <w:sz w:val="20"/>
                <w:szCs w:val="20"/>
                <w:color w:val="auto"/>
              </w:rPr>
            </w:pPr>
            <w:r>
              <w:rPr>
                <w:rFonts w:ascii="Arial" w:cs="Arial" w:eastAsia="Arial" w:hAnsi="Arial"/>
                <w:sz w:val="22"/>
                <w:szCs w:val="22"/>
                <w:color w:val="auto"/>
              </w:rPr>
              <w:t>Section 19.7.</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Jurisdiction and Process; Waiver of Jury Trial</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26</w:t>
            </w:r>
          </w:p>
        </w:tc>
      </w:tr>
      <w:tr>
        <w:trPr>
          <w:trHeight w:val="283"/>
        </w:trPr>
        <w:tc>
          <w:tcPr>
            <w:tcW w:w="2480" w:type="dxa"/>
            <w:vAlign w:val="bottom"/>
          </w:tcPr>
          <w:p>
            <w:pPr>
              <w:ind w:left="980"/>
              <w:spacing w:after="0"/>
              <w:rPr>
                <w:sz w:val="20"/>
                <w:szCs w:val="20"/>
                <w:color w:val="auto"/>
              </w:rPr>
            </w:pPr>
            <w:r>
              <w:rPr>
                <w:rFonts w:ascii="Arial" w:cs="Arial" w:eastAsia="Arial" w:hAnsi="Arial"/>
                <w:sz w:val="22"/>
                <w:szCs w:val="22"/>
                <w:color w:val="auto"/>
              </w:rPr>
              <w:t>Section 19.8.</w:t>
            </w:r>
          </w:p>
        </w:tc>
        <w:tc>
          <w:tcPr>
            <w:tcW w:w="460" w:type="dxa"/>
            <w:vAlign w:val="bottom"/>
          </w:tcPr>
          <w:p>
            <w:pPr>
              <w:spacing w:after="0"/>
              <w:rPr>
                <w:sz w:val="24"/>
                <w:szCs w:val="24"/>
                <w:color w:val="auto"/>
              </w:rPr>
            </w:pPr>
          </w:p>
        </w:tc>
        <w:tc>
          <w:tcPr>
            <w:tcW w:w="5960" w:type="dxa"/>
            <w:vAlign w:val="bottom"/>
          </w:tcPr>
          <w:p>
            <w:pPr>
              <w:ind w:left="80"/>
              <w:spacing w:after="0"/>
              <w:rPr>
                <w:sz w:val="20"/>
                <w:szCs w:val="20"/>
                <w:color w:val="auto"/>
              </w:rPr>
            </w:pPr>
            <w:r>
              <w:rPr>
                <w:rFonts w:ascii="Arial" w:cs="Arial" w:eastAsia="Arial" w:hAnsi="Arial"/>
                <w:sz w:val="22"/>
                <w:szCs w:val="22"/>
                <w:color w:val="auto"/>
              </w:rPr>
              <w:t>Payments Due on Non-Business Days</w:t>
            </w: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27</w:t>
            </w:r>
          </w:p>
        </w:tc>
      </w:tr>
      <w:tr>
        <w:trPr>
          <w:trHeight w:val="972"/>
        </w:trPr>
        <w:tc>
          <w:tcPr>
            <w:tcW w:w="2480" w:type="dxa"/>
            <w:vAlign w:val="bottom"/>
          </w:tcPr>
          <w:p>
            <w:pPr>
              <w:ind w:left="120"/>
              <w:spacing w:after="0"/>
              <w:rPr>
                <w:sz w:val="20"/>
                <w:szCs w:val="20"/>
                <w:color w:val="auto"/>
              </w:rPr>
            </w:pPr>
            <w:r>
              <w:rPr>
                <w:rFonts w:ascii="Arial" w:cs="Arial" w:eastAsia="Arial" w:hAnsi="Arial"/>
                <w:sz w:val="22"/>
                <w:szCs w:val="22"/>
                <w:color w:val="auto"/>
              </w:rPr>
              <w:t>Schedule A</w:t>
            </w:r>
          </w:p>
        </w:tc>
        <w:tc>
          <w:tcPr>
            <w:tcW w:w="460" w:type="dxa"/>
            <w:vAlign w:val="bottom"/>
          </w:tcPr>
          <w:p>
            <w:pPr>
              <w:ind w:left="140"/>
              <w:spacing w:after="0"/>
              <w:rPr>
                <w:sz w:val="20"/>
                <w:szCs w:val="20"/>
                <w:color w:val="auto"/>
              </w:rPr>
            </w:pPr>
            <w:r>
              <w:rPr>
                <w:rFonts w:ascii="Arial" w:cs="Arial" w:eastAsia="Arial" w:hAnsi="Arial"/>
                <w:sz w:val="22"/>
                <w:szCs w:val="22"/>
                <w:color w:val="auto"/>
              </w:rPr>
              <w:t>—</w:t>
            </w:r>
          </w:p>
        </w:tc>
        <w:tc>
          <w:tcPr>
            <w:tcW w:w="5960" w:type="dxa"/>
            <w:vAlign w:val="bottom"/>
          </w:tcPr>
          <w:p>
            <w:pPr>
              <w:ind w:left="760"/>
              <w:spacing w:after="0"/>
              <w:rPr>
                <w:sz w:val="20"/>
                <w:szCs w:val="20"/>
                <w:color w:val="auto"/>
              </w:rPr>
            </w:pPr>
            <w:r>
              <w:rPr>
                <w:rFonts w:ascii="Arial" w:cs="Arial" w:eastAsia="Arial" w:hAnsi="Arial"/>
                <w:sz w:val="22"/>
                <w:szCs w:val="22"/>
                <w:color w:val="auto"/>
              </w:rPr>
              <w:t>Information Relating to Purchasers</w:t>
            </w:r>
          </w:p>
        </w:tc>
        <w:tc>
          <w:tcPr>
            <w:tcW w:w="1060" w:type="dxa"/>
            <w:vAlign w:val="bottom"/>
          </w:tcPr>
          <w:p>
            <w:pPr>
              <w:spacing w:after="0"/>
              <w:rPr>
                <w:sz w:val="24"/>
                <w:szCs w:val="24"/>
                <w:color w:val="auto"/>
              </w:rPr>
            </w:pPr>
          </w:p>
        </w:tc>
      </w:tr>
      <w:tr>
        <w:trPr>
          <w:trHeight w:val="283"/>
        </w:trPr>
        <w:tc>
          <w:tcPr>
            <w:tcW w:w="2480" w:type="dxa"/>
            <w:vAlign w:val="bottom"/>
          </w:tcPr>
          <w:p>
            <w:pPr>
              <w:ind w:left="120"/>
              <w:spacing w:after="0"/>
              <w:rPr>
                <w:sz w:val="20"/>
                <w:szCs w:val="20"/>
                <w:color w:val="auto"/>
              </w:rPr>
            </w:pPr>
            <w:r>
              <w:rPr>
                <w:rFonts w:ascii="Arial" w:cs="Arial" w:eastAsia="Arial" w:hAnsi="Arial"/>
                <w:sz w:val="22"/>
                <w:szCs w:val="22"/>
                <w:color w:val="auto"/>
              </w:rPr>
              <w:t>Schedule B</w:t>
            </w:r>
          </w:p>
        </w:tc>
        <w:tc>
          <w:tcPr>
            <w:tcW w:w="460" w:type="dxa"/>
            <w:vAlign w:val="bottom"/>
          </w:tcPr>
          <w:p>
            <w:pPr>
              <w:ind w:left="140"/>
              <w:spacing w:after="0"/>
              <w:rPr>
                <w:sz w:val="20"/>
                <w:szCs w:val="20"/>
                <w:color w:val="auto"/>
              </w:rPr>
            </w:pPr>
            <w:r>
              <w:rPr>
                <w:rFonts w:ascii="Arial" w:cs="Arial" w:eastAsia="Arial" w:hAnsi="Arial"/>
                <w:sz w:val="22"/>
                <w:szCs w:val="22"/>
                <w:color w:val="auto"/>
              </w:rPr>
              <w:t>—</w:t>
            </w:r>
          </w:p>
        </w:tc>
        <w:tc>
          <w:tcPr>
            <w:tcW w:w="5960" w:type="dxa"/>
            <w:vAlign w:val="bottom"/>
          </w:tcPr>
          <w:p>
            <w:pPr>
              <w:ind w:left="760"/>
              <w:spacing w:after="0"/>
              <w:rPr>
                <w:sz w:val="20"/>
                <w:szCs w:val="20"/>
                <w:color w:val="auto"/>
              </w:rPr>
            </w:pPr>
            <w:r>
              <w:rPr>
                <w:rFonts w:ascii="Arial" w:cs="Arial" w:eastAsia="Arial" w:hAnsi="Arial"/>
                <w:sz w:val="22"/>
                <w:szCs w:val="22"/>
                <w:color w:val="auto"/>
              </w:rPr>
              <w:t>Defined Terms</w:t>
            </w:r>
          </w:p>
        </w:tc>
        <w:tc>
          <w:tcPr>
            <w:tcW w:w="1060" w:type="dxa"/>
            <w:vAlign w:val="bottom"/>
          </w:tcPr>
          <w:p>
            <w:pPr>
              <w:spacing w:after="0"/>
              <w:rPr>
                <w:sz w:val="24"/>
                <w:szCs w:val="24"/>
                <w:color w:val="auto"/>
              </w:rPr>
            </w:pPr>
          </w:p>
        </w:tc>
      </w:tr>
      <w:tr>
        <w:trPr>
          <w:trHeight w:val="206"/>
        </w:trPr>
        <w:tc>
          <w:tcPr>
            <w:tcW w:w="24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59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r>
      <w:tr>
        <w:trPr>
          <w:trHeight w:val="20"/>
        </w:trPr>
        <w:tc>
          <w:tcPr>
            <w:tcW w:w="24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59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32" w:right="9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74"/>
        </w:trPr>
        <w:tc>
          <w:tcPr>
            <w:tcW w:w="2100" w:type="dxa"/>
            <w:vAlign w:val="bottom"/>
          </w:tcPr>
          <w:p>
            <w:pPr>
              <w:ind w:left="120"/>
              <w:spacing w:after="0"/>
              <w:rPr>
                <w:sz w:val="20"/>
                <w:szCs w:val="20"/>
                <w:color w:val="auto"/>
              </w:rPr>
            </w:pPr>
            <w:r>
              <w:rPr>
                <w:rFonts w:ascii="Arial" w:cs="Arial" w:eastAsia="Arial" w:hAnsi="Arial"/>
                <w:sz w:val="22"/>
                <w:szCs w:val="22"/>
                <w:color w:val="auto"/>
              </w:rPr>
              <w:t>Schedule 5.4</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w w:val="99"/>
              </w:rPr>
              <w:t>Subsidiaries of the Company and Ownership of Subsidiary Stock</w:t>
            </w:r>
          </w:p>
        </w:tc>
      </w:tr>
      <w:tr>
        <w:trPr>
          <w:trHeight w:val="283"/>
        </w:trPr>
        <w:tc>
          <w:tcPr>
            <w:tcW w:w="2100" w:type="dxa"/>
            <w:vAlign w:val="bottom"/>
          </w:tcPr>
          <w:p>
            <w:pPr>
              <w:ind w:left="120"/>
              <w:spacing w:after="0"/>
              <w:rPr>
                <w:sz w:val="20"/>
                <w:szCs w:val="20"/>
                <w:color w:val="auto"/>
              </w:rPr>
            </w:pPr>
            <w:r>
              <w:rPr>
                <w:rFonts w:ascii="Arial" w:cs="Arial" w:eastAsia="Arial" w:hAnsi="Arial"/>
                <w:sz w:val="22"/>
                <w:szCs w:val="22"/>
                <w:color w:val="auto"/>
              </w:rPr>
              <w:t>Schedule 5.5</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Financial Statements</w:t>
            </w:r>
          </w:p>
        </w:tc>
      </w:tr>
      <w:tr>
        <w:trPr>
          <w:trHeight w:val="283"/>
        </w:trPr>
        <w:tc>
          <w:tcPr>
            <w:tcW w:w="2100" w:type="dxa"/>
            <w:vAlign w:val="bottom"/>
          </w:tcPr>
          <w:p>
            <w:pPr>
              <w:ind w:left="120"/>
              <w:spacing w:after="0"/>
              <w:rPr>
                <w:sz w:val="20"/>
                <w:szCs w:val="20"/>
                <w:color w:val="auto"/>
              </w:rPr>
            </w:pPr>
            <w:r>
              <w:rPr>
                <w:rFonts w:ascii="Arial" w:cs="Arial" w:eastAsia="Arial" w:hAnsi="Arial"/>
                <w:sz w:val="22"/>
                <w:szCs w:val="22"/>
                <w:color w:val="auto"/>
              </w:rPr>
              <w:t>Schedule 5.15(a)</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Existing Debt</w:t>
            </w:r>
          </w:p>
        </w:tc>
      </w:tr>
      <w:tr>
        <w:trPr>
          <w:trHeight w:val="284"/>
        </w:trPr>
        <w:tc>
          <w:tcPr>
            <w:tcW w:w="2100" w:type="dxa"/>
            <w:vAlign w:val="bottom"/>
          </w:tcPr>
          <w:p>
            <w:pPr>
              <w:ind w:left="120"/>
              <w:spacing w:after="0"/>
              <w:rPr>
                <w:sz w:val="20"/>
                <w:szCs w:val="20"/>
                <w:color w:val="auto"/>
              </w:rPr>
            </w:pPr>
            <w:r>
              <w:rPr>
                <w:rFonts w:ascii="Arial" w:cs="Arial" w:eastAsia="Arial" w:hAnsi="Arial"/>
                <w:sz w:val="22"/>
                <w:szCs w:val="22"/>
                <w:color w:val="auto"/>
              </w:rPr>
              <w:t>Schedule 5.15(b)</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Debt Instruments</w:t>
            </w:r>
          </w:p>
        </w:tc>
      </w:tr>
      <w:tr>
        <w:trPr>
          <w:trHeight w:val="283"/>
        </w:trPr>
        <w:tc>
          <w:tcPr>
            <w:tcW w:w="2100" w:type="dxa"/>
            <w:vAlign w:val="bottom"/>
          </w:tcPr>
          <w:p>
            <w:pPr>
              <w:ind w:left="120"/>
              <w:spacing w:after="0"/>
              <w:rPr>
                <w:sz w:val="20"/>
                <w:szCs w:val="20"/>
                <w:color w:val="auto"/>
              </w:rPr>
            </w:pPr>
            <w:r>
              <w:rPr>
                <w:rFonts w:ascii="Arial" w:cs="Arial" w:eastAsia="Arial" w:hAnsi="Arial"/>
                <w:sz w:val="22"/>
                <w:szCs w:val="22"/>
                <w:color w:val="auto"/>
              </w:rPr>
              <w:t>Exhibit A</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Form of Sixty-second Supplemental Indenture</w:t>
            </w:r>
          </w:p>
        </w:tc>
      </w:tr>
      <w:tr>
        <w:trPr>
          <w:trHeight w:val="266"/>
        </w:trPr>
        <w:tc>
          <w:tcPr>
            <w:tcW w:w="2100" w:type="dxa"/>
            <w:vAlign w:val="bottom"/>
          </w:tcPr>
          <w:p>
            <w:pPr>
              <w:ind w:left="120"/>
              <w:spacing w:after="0"/>
              <w:rPr>
                <w:sz w:val="20"/>
                <w:szCs w:val="20"/>
                <w:color w:val="auto"/>
              </w:rPr>
            </w:pPr>
            <w:r>
              <w:rPr>
                <w:rFonts w:ascii="Arial" w:cs="Arial" w:eastAsia="Arial" w:hAnsi="Arial"/>
                <w:sz w:val="22"/>
                <w:szCs w:val="22"/>
                <w:color w:val="auto"/>
              </w:rPr>
              <w:t>Exhibit 4.4(a)</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Form of Opinion of Counsel for the Company</w:t>
            </w:r>
          </w:p>
        </w:tc>
      </w:tr>
      <w:tr>
        <w:trPr>
          <w:trHeight w:val="274"/>
        </w:trPr>
        <w:tc>
          <w:tcPr>
            <w:tcW w:w="2100" w:type="dxa"/>
            <w:vAlign w:val="bottom"/>
          </w:tcPr>
          <w:p>
            <w:pPr>
              <w:ind w:left="120"/>
              <w:spacing w:after="0"/>
              <w:rPr>
                <w:sz w:val="20"/>
                <w:szCs w:val="20"/>
                <w:color w:val="auto"/>
              </w:rPr>
            </w:pPr>
            <w:r>
              <w:rPr>
                <w:rFonts w:ascii="Arial" w:cs="Arial" w:eastAsia="Arial" w:hAnsi="Arial"/>
                <w:sz w:val="22"/>
                <w:szCs w:val="22"/>
                <w:color w:val="auto"/>
              </w:rPr>
              <w:t>Exhibit 4.4(b)</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Form of Opinion of Special Counsel for the Company</w:t>
            </w:r>
          </w:p>
        </w:tc>
      </w:tr>
      <w:tr>
        <w:trPr>
          <w:trHeight w:val="283"/>
        </w:trPr>
        <w:tc>
          <w:tcPr>
            <w:tcW w:w="2100" w:type="dxa"/>
            <w:vAlign w:val="bottom"/>
          </w:tcPr>
          <w:p>
            <w:pPr>
              <w:ind w:left="120"/>
              <w:spacing w:after="0"/>
              <w:rPr>
                <w:sz w:val="20"/>
                <w:szCs w:val="20"/>
                <w:color w:val="auto"/>
              </w:rPr>
            </w:pPr>
            <w:r>
              <w:rPr>
                <w:rFonts w:ascii="Arial" w:cs="Arial" w:eastAsia="Arial" w:hAnsi="Arial"/>
                <w:sz w:val="22"/>
                <w:szCs w:val="22"/>
                <w:color w:val="auto"/>
              </w:rPr>
              <w:t>Exhibit 4.4(c)</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Form of Opinion of Special Counsel for the Purchasers</w:t>
            </w:r>
          </w:p>
        </w:tc>
      </w:tr>
      <w:tr>
        <w:trPr>
          <w:trHeight w:val="283"/>
        </w:trPr>
        <w:tc>
          <w:tcPr>
            <w:tcW w:w="2100" w:type="dxa"/>
            <w:vAlign w:val="bottom"/>
          </w:tcPr>
          <w:p>
            <w:pPr>
              <w:ind w:left="120"/>
              <w:spacing w:after="0"/>
              <w:rPr>
                <w:sz w:val="20"/>
                <w:szCs w:val="20"/>
                <w:color w:val="auto"/>
              </w:rPr>
            </w:pPr>
            <w:r>
              <w:rPr>
                <w:rFonts w:ascii="Arial" w:cs="Arial" w:eastAsia="Arial" w:hAnsi="Arial"/>
                <w:sz w:val="22"/>
                <w:szCs w:val="22"/>
                <w:color w:val="auto"/>
              </w:rPr>
              <w:t>Exhibit 12.4</w:t>
            </w:r>
          </w:p>
        </w:tc>
        <w:tc>
          <w:tcPr>
            <w:tcW w:w="1180" w:type="dxa"/>
            <w:vAlign w:val="bottom"/>
          </w:tcPr>
          <w:p>
            <w:pPr>
              <w:ind w:left="520"/>
              <w:spacing w:after="0"/>
              <w:rPr>
                <w:sz w:val="20"/>
                <w:szCs w:val="20"/>
                <w:color w:val="auto"/>
              </w:rPr>
            </w:pPr>
            <w:r>
              <w:rPr>
                <w:rFonts w:ascii="Arial" w:cs="Arial" w:eastAsia="Arial" w:hAnsi="Arial"/>
                <w:sz w:val="22"/>
                <w:szCs w:val="22"/>
                <w:color w:val="auto"/>
              </w:rPr>
              <w:t>—</w:t>
            </w:r>
          </w:p>
        </w:tc>
        <w:tc>
          <w:tcPr>
            <w:tcW w:w="6680" w:type="dxa"/>
            <w:vAlign w:val="bottom"/>
          </w:tcPr>
          <w:p>
            <w:pPr>
              <w:ind w:left="420"/>
              <w:spacing w:after="0"/>
              <w:rPr>
                <w:sz w:val="20"/>
                <w:szCs w:val="20"/>
                <w:color w:val="auto"/>
              </w:rPr>
            </w:pPr>
            <w:r>
              <w:rPr>
                <w:rFonts w:ascii="Arial" w:cs="Arial" w:eastAsia="Arial" w:hAnsi="Arial"/>
                <w:sz w:val="22"/>
                <w:szCs w:val="22"/>
                <w:color w:val="auto"/>
              </w:rPr>
              <w:t>Form of US Tax Compliance Certificate</w:t>
            </w:r>
          </w:p>
        </w:tc>
      </w:tr>
      <w:tr>
        <w:trPr>
          <w:trHeight w:val="476"/>
        </w:trPr>
        <w:tc>
          <w:tcPr>
            <w:tcW w:w="2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r>
        <w:trPr>
          <w:trHeight w:val="20"/>
        </w:trPr>
        <w:tc>
          <w:tcPr>
            <w:tcW w:w="21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59" w:right="959" w:bottom="1440" w:gutter="0" w:footer="0" w:header="0"/>
        </w:sectPr>
      </w:pPr>
    </w:p>
    <w:bookmarkStart w:id="56" w:name="page57"/>
    <w:bookmarkEnd w:id="56"/>
    <w:p>
      <w:pPr>
        <w:ind w:left="3844"/>
        <w:spacing w:after="0"/>
        <w:rPr>
          <w:sz w:val="20"/>
          <w:szCs w:val="20"/>
          <w:color w:val="auto"/>
        </w:rPr>
      </w:pPr>
      <w:r>
        <w:rPr>
          <w:rFonts w:ascii="Arial" w:cs="Arial" w:eastAsia="Arial" w:hAnsi="Arial"/>
          <w:sz w:val="22"/>
          <w:szCs w:val="22"/>
          <w:b w:val="1"/>
          <w:bCs w:val="1"/>
          <w:color w:val="auto"/>
        </w:rPr>
        <w:t>Aqua Pennsylvania, Inc.</w:t>
      </w:r>
    </w:p>
    <w:p>
      <w:pPr>
        <w:spacing w:after="0" w:line="159" w:lineRule="exact"/>
        <w:rPr>
          <w:sz w:val="20"/>
          <w:szCs w:val="20"/>
          <w:color w:val="auto"/>
        </w:rPr>
      </w:pPr>
    </w:p>
    <w:p>
      <w:pPr>
        <w:ind w:left="3764"/>
        <w:spacing w:after="0"/>
        <w:rPr>
          <w:sz w:val="20"/>
          <w:szCs w:val="20"/>
          <w:color w:val="auto"/>
        </w:rPr>
      </w:pPr>
      <w:r>
        <w:rPr>
          <w:rFonts w:ascii="Arial" w:cs="Arial" w:eastAsia="Arial" w:hAnsi="Arial"/>
          <w:sz w:val="22"/>
          <w:szCs w:val="22"/>
          <w:color w:val="auto"/>
        </w:rPr>
        <w:t>762 West Lancaster Avenue</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Bryn Mawr, Pennsylvania 19010-3489</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$225,000,000</w:t>
      </w:r>
    </w:p>
    <w:p>
      <w:pPr>
        <w:spacing w:after="0" w:line="152" w:lineRule="exact"/>
        <w:rPr>
          <w:sz w:val="20"/>
          <w:szCs w:val="20"/>
          <w:color w:val="auto"/>
        </w:rPr>
      </w:pPr>
    </w:p>
    <w:p>
      <w:pPr>
        <w:ind w:left="1964" w:right="1920" w:hanging="53"/>
        <w:spacing w:after="0" w:line="328" w:lineRule="auto"/>
        <w:rPr>
          <w:sz w:val="20"/>
          <w:szCs w:val="20"/>
          <w:color w:val="auto"/>
        </w:rPr>
      </w:pPr>
      <w:r>
        <w:rPr>
          <w:rFonts w:ascii="Arial" w:cs="Arial" w:eastAsia="Arial" w:hAnsi="Arial"/>
          <w:sz w:val="19"/>
          <w:szCs w:val="19"/>
          <w:color w:val="auto"/>
        </w:rPr>
        <w:t>$175,000,000 First Mortgage Bonds, 5.48% Series due August 1, 2053 $50,000,000 First Mortgage Bonds, 5.56% Series due August 1, 2061</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 of August 24, 2023</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Each of the Purchasers Listed in</w:t>
      </w:r>
    </w:p>
    <w:p>
      <w:pPr>
        <w:spacing w:after="0" w:line="8" w:lineRule="exact"/>
        <w:rPr>
          <w:sz w:val="20"/>
          <w:szCs w:val="20"/>
          <w:color w:val="auto"/>
        </w:rPr>
      </w:pPr>
    </w:p>
    <w:p>
      <w:pPr>
        <w:ind w:left="4"/>
        <w:spacing w:after="0"/>
        <w:rPr>
          <w:sz w:val="20"/>
          <w:szCs w:val="20"/>
          <w:color w:val="auto"/>
        </w:rPr>
      </w:pPr>
      <w:r>
        <w:rPr>
          <w:rFonts w:ascii="Arial" w:cs="Arial" w:eastAsia="Arial" w:hAnsi="Arial"/>
          <w:sz w:val="22"/>
          <w:szCs w:val="22"/>
          <w:color w:val="auto"/>
        </w:rPr>
        <w:t>Schedule A Hereto:</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left="4" w:right="20" w:firstLine="1296"/>
        <w:spacing w:after="0"/>
        <w:rPr>
          <w:sz w:val="20"/>
          <w:szCs w:val="20"/>
          <w:color w:val="auto"/>
        </w:rPr>
      </w:pPr>
      <w:r>
        <w:rPr>
          <w:rFonts w:ascii="Arial" w:cs="Arial" w:eastAsia="Arial" w:hAnsi="Arial"/>
          <w:sz w:val="22"/>
          <w:szCs w:val="22"/>
          <w:color w:val="auto"/>
        </w:rPr>
        <w:t>Aqua Pennsylvania, Inc., a corporation organized under the laws of the Commonwealth of Pennsylvania (the “Company”), agrees with each of the purchasers whose names appear at the end hereof (each, a “Purchaser” and, collectively, the “Purchasers”) as follows:</w:t>
      </w:r>
    </w:p>
    <w:p>
      <w:pPr>
        <w:spacing w:after="0" w:line="132" w:lineRule="exact"/>
        <w:rPr>
          <w:sz w:val="20"/>
          <w:szCs w:val="20"/>
          <w:color w:val="auto"/>
        </w:rPr>
      </w:pPr>
    </w:p>
    <w:p>
      <w:pPr>
        <w:ind w:left="4"/>
        <w:spacing w:after="0"/>
        <w:tabs>
          <w:tab w:leader="none" w:pos="1964"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AUTHORIZATION OF BONDS.</w:t>
      </w:r>
    </w:p>
    <w:p>
      <w:pPr>
        <w:spacing w:after="0" w:line="152" w:lineRule="exact"/>
        <w:rPr>
          <w:sz w:val="20"/>
          <w:szCs w:val="20"/>
          <w:color w:val="auto"/>
        </w:rPr>
      </w:pPr>
    </w:p>
    <w:p>
      <w:pPr>
        <w:jc w:val="both"/>
        <w:ind w:left="4" w:right="20" w:firstLine="1296"/>
        <w:spacing w:after="0" w:line="273" w:lineRule="auto"/>
        <w:rPr>
          <w:sz w:val="20"/>
          <w:szCs w:val="20"/>
          <w:color w:val="auto"/>
        </w:rPr>
      </w:pPr>
      <w:r>
        <w:rPr>
          <w:rFonts w:ascii="Arial" w:cs="Arial" w:eastAsia="Arial" w:hAnsi="Arial"/>
          <w:sz w:val="19"/>
          <w:szCs w:val="19"/>
          <w:color w:val="auto"/>
        </w:rPr>
        <w:t xml:space="preserve">The Company will authorize the issue and sale of (i) First Mortgage Bonds, 5.48% Series due August 1, 2053 (herein referred to as the </w:t>
      </w:r>
      <w:r>
        <w:rPr>
          <w:rFonts w:ascii="Arial" w:cs="Arial" w:eastAsia="Arial" w:hAnsi="Arial"/>
          <w:sz w:val="19"/>
          <w:szCs w:val="19"/>
          <w:i w:val="1"/>
          <w:iCs w:val="1"/>
          <w:color w:val="auto"/>
        </w:rPr>
        <w:t>“5.48% Series due August 1, 2053 Bonds”)</w:t>
      </w:r>
      <w:r>
        <w:rPr>
          <w:rFonts w:ascii="Arial" w:cs="Arial" w:eastAsia="Arial" w:hAnsi="Arial"/>
          <w:sz w:val="19"/>
          <w:szCs w:val="19"/>
          <w:color w:val="auto"/>
        </w:rPr>
        <w:t xml:space="preserve"> in an aggregate principal amount of $175,000,000, to bear interest at the rate of 5.48% per annum, and to mature on August 1, 2053 and</w:t>
      </w:r>
    </w:p>
    <w:p>
      <w:pPr>
        <w:spacing w:after="0" w:line="1" w:lineRule="exact"/>
        <w:rPr>
          <w:sz w:val="20"/>
          <w:szCs w:val="20"/>
          <w:color w:val="auto"/>
        </w:rPr>
      </w:pPr>
    </w:p>
    <w:p>
      <w:pPr>
        <w:jc w:val="both"/>
        <w:ind w:left="4" w:hanging="4"/>
        <w:spacing w:after="0" w:line="269" w:lineRule="auto"/>
        <w:tabs>
          <w:tab w:leader="none" w:pos="322" w:val="left"/>
        </w:tabs>
        <w:numPr>
          <w:ilvl w:val="0"/>
          <w:numId w:val="20"/>
        </w:numPr>
        <w:rPr>
          <w:rFonts w:ascii="Arial" w:cs="Arial" w:eastAsia="Arial" w:hAnsi="Arial"/>
          <w:sz w:val="19"/>
          <w:szCs w:val="19"/>
          <w:color w:val="auto"/>
        </w:rPr>
      </w:pPr>
      <w:r>
        <w:rPr>
          <w:rFonts w:ascii="Arial" w:cs="Arial" w:eastAsia="Arial" w:hAnsi="Arial"/>
          <w:sz w:val="19"/>
          <w:szCs w:val="19"/>
          <w:color w:val="auto"/>
        </w:rPr>
        <w:t>First Mortgage Bonds, 5.56% Series due August 1, 2061 (herein referred to as the “</w:t>
      </w:r>
      <w:r>
        <w:rPr>
          <w:rFonts w:ascii="Arial" w:cs="Arial" w:eastAsia="Arial" w:hAnsi="Arial"/>
          <w:sz w:val="19"/>
          <w:szCs w:val="19"/>
          <w:i w:val="1"/>
          <w:iCs w:val="1"/>
          <w:color w:val="auto"/>
        </w:rPr>
        <w:t>5.56% Series due August 1,</w:t>
      </w:r>
      <w:r>
        <w:rPr>
          <w:rFonts w:ascii="Arial" w:cs="Arial" w:eastAsia="Arial" w:hAnsi="Arial"/>
          <w:sz w:val="19"/>
          <w:szCs w:val="19"/>
          <w:color w:val="auto"/>
        </w:rPr>
        <w:t xml:space="preserve"> </w:t>
      </w:r>
      <w:r>
        <w:rPr>
          <w:rFonts w:ascii="Arial" w:cs="Arial" w:eastAsia="Arial" w:hAnsi="Arial"/>
          <w:sz w:val="19"/>
          <w:szCs w:val="19"/>
          <w:i w:val="1"/>
          <w:iCs w:val="1"/>
          <w:color w:val="auto"/>
        </w:rPr>
        <w:t>2061 Bonds”</w:t>
      </w:r>
      <w:r>
        <w:rPr>
          <w:rFonts w:ascii="Arial" w:cs="Arial" w:eastAsia="Arial" w:hAnsi="Arial"/>
          <w:sz w:val="19"/>
          <w:szCs w:val="19"/>
          <w:color w:val="auto"/>
        </w:rPr>
        <w:t>) in an aggregate principal amount of $50,000,000, to bear interest at the rate of 5.56% per annum,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to mature on August 1, 2061 (the 5.56% Series due August 1, 2061 Bonds and the 5.48% Series due August 1, 2053 Bonds are collectively referred to as the </w:t>
      </w:r>
      <w:r>
        <w:rPr>
          <w:rFonts w:ascii="Arial" w:cs="Arial" w:eastAsia="Arial" w:hAnsi="Arial"/>
          <w:sz w:val="19"/>
          <w:szCs w:val="19"/>
          <w:i w:val="1"/>
          <w:iCs w:val="1"/>
          <w:color w:val="auto"/>
        </w:rPr>
        <w:t>“Bonds”</w:t>
      </w:r>
      <w:r>
        <w:rPr>
          <w:rFonts w:ascii="Arial" w:cs="Arial" w:eastAsia="Arial" w:hAnsi="Arial"/>
          <w:sz w:val="19"/>
          <w:szCs w:val="19"/>
          <w:color w:val="auto"/>
        </w:rPr>
        <w:t xml:space="preserve"> and such term includes any such bonds issued in substitution therefor). The Bonds will be issued under and secured by that certain Indenture of Mortgage dated as of January 1, 1941, from the Company (as successor by merger to the Philadelphia Suburban Water Company), as grantor, to The Bank of New York Mellon Trust Company, N.A., as successor trustee (the </w:t>
      </w:r>
      <w:r>
        <w:rPr>
          <w:rFonts w:ascii="Arial" w:cs="Arial" w:eastAsia="Arial" w:hAnsi="Arial"/>
          <w:sz w:val="19"/>
          <w:szCs w:val="19"/>
          <w:i w:val="1"/>
          <w:iCs w:val="1"/>
          <w:color w:val="auto"/>
        </w:rPr>
        <w:t>“Trustee”)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“Original Indenture”</w:t>
      </w:r>
      <w:r>
        <w:rPr>
          <w:rFonts w:ascii="Arial" w:cs="Arial" w:eastAsia="Arial" w:hAnsi="Arial"/>
          <w:sz w:val="19"/>
          <w:szCs w:val="19"/>
          <w:color w:val="auto"/>
        </w:rPr>
        <w:t>), as previously amended and supplemented by sixty-one supplemental indentures and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further supplemented by the Sixty-second Supplemental Indenture dated as of July 27, 2023 and effective as of August 1, 2023 (such Sixty-second Supplemental Indenture being referred to herein as the </w:t>
      </w:r>
      <w:r>
        <w:rPr>
          <w:rFonts w:ascii="Arial" w:cs="Arial" w:eastAsia="Arial" w:hAnsi="Arial"/>
          <w:sz w:val="19"/>
          <w:szCs w:val="19"/>
          <w:i w:val="1"/>
          <w:iCs w:val="1"/>
          <w:color w:val="auto"/>
        </w:rPr>
        <w:t>“Supplement”)</w:t>
      </w:r>
      <w:r>
        <w:rPr>
          <w:rFonts w:ascii="Arial" w:cs="Arial" w:eastAsia="Arial" w:hAnsi="Arial"/>
          <w:sz w:val="19"/>
          <w:szCs w:val="19"/>
          <w:color w:val="auto"/>
        </w:rPr>
        <w:t xml:space="preserve"> which will be substantially in the form attached hereto as Exhibit A, with such changes therein, if any, as shall be approved by the Purchasers and the Company. The Original Indenture, as supplemented and amended by the aforementioned sixty supplemental indentures and the Supplement, and as further supplemented or amended according to its terms, is hereinafter referred to as the </w:t>
      </w:r>
      <w:r>
        <w:rPr>
          <w:rFonts w:ascii="Arial" w:cs="Arial" w:eastAsia="Arial" w:hAnsi="Arial"/>
          <w:sz w:val="19"/>
          <w:szCs w:val="19"/>
          <w:i w:val="1"/>
          <w:iCs w:val="1"/>
          <w:color w:val="auto"/>
        </w:rPr>
        <w:t>“Indenture”.</w:t>
      </w:r>
      <w:r>
        <w:rPr>
          <w:rFonts w:ascii="Arial" w:cs="Arial" w:eastAsia="Arial" w:hAnsi="Arial"/>
          <w:sz w:val="19"/>
          <w:szCs w:val="19"/>
          <w:color w:val="auto"/>
        </w:rPr>
        <w:t xml:space="preserve"> Certain capitalized and other terms used in this Agreement are defined in </w:t>
      </w:r>
      <w:r>
        <w:rPr>
          <w:rFonts w:ascii="Arial" w:cs="Arial" w:eastAsia="Arial" w:hAnsi="Arial"/>
          <w:sz w:val="19"/>
          <w:szCs w:val="19"/>
          <w:i w:val="1"/>
          <w:iCs w:val="1"/>
          <w:color w:val="auto"/>
        </w:rPr>
        <w:t>Schedule B</w:t>
      </w:r>
      <w:r>
        <w:rPr>
          <w:rFonts w:ascii="Arial" w:cs="Arial" w:eastAsia="Arial" w:hAnsi="Arial"/>
          <w:sz w:val="19"/>
          <w:szCs w:val="19"/>
          <w:color w:val="auto"/>
        </w:rPr>
        <w:t xml:space="preserve">; and references to a </w:t>
      </w:r>
      <w:r>
        <w:rPr>
          <w:rFonts w:ascii="Arial" w:cs="Arial" w:eastAsia="Arial" w:hAnsi="Arial"/>
          <w:sz w:val="19"/>
          <w:szCs w:val="19"/>
          <w:i w:val="1"/>
          <w:iCs w:val="1"/>
          <w:color w:val="auto"/>
        </w:rPr>
        <w:t>“Schedule”</w:t>
      </w:r>
      <w:r>
        <w:rPr>
          <w:rFonts w:ascii="Arial" w:cs="Arial" w:eastAsia="Arial" w:hAnsi="Arial"/>
          <w:sz w:val="19"/>
          <w:szCs w:val="19"/>
          <w:color w:val="auto"/>
        </w:rPr>
        <w:t xml:space="preserve"> or an </w:t>
      </w:r>
      <w:r>
        <w:rPr>
          <w:rFonts w:ascii="Arial" w:cs="Arial" w:eastAsia="Arial" w:hAnsi="Arial"/>
          <w:sz w:val="19"/>
          <w:szCs w:val="19"/>
          <w:i w:val="1"/>
          <w:iCs w:val="1"/>
          <w:color w:val="auto"/>
        </w:rPr>
        <w:t>“Exhibit”</w:t>
      </w:r>
      <w:r>
        <w:rPr>
          <w:rFonts w:ascii="Arial" w:cs="Arial" w:eastAsia="Arial" w:hAnsi="Arial"/>
          <w:sz w:val="19"/>
          <w:szCs w:val="19"/>
          <w:color w:val="auto"/>
        </w:rPr>
        <w:t xml:space="preserve"> are, unless otherwise specified, to a Schedule or an Exhibit attached to this Agreement. Terms used herein but not defined herein shall have the meanings set forth in the Indenture.</w:t>
      </w:r>
    </w:p>
    <w:p>
      <w:pPr>
        <w:spacing w:after="0" w:line="357" w:lineRule="exact"/>
        <w:rPr>
          <w:sz w:val="20"/>
          <w:szCs w:val="20"/>
          <w:color w:val="auto"/>
        </w:rPr>
      </w:pPr>
    </w:p>
    <w:p>
      <w:pPr>
        <w:ind w:left="4"/>
        <w:spacing w:after="0"/>
        <w:tabs>
          <w:tab w:leader="none" w:pos="1964"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SALE AND PURCHASE OF BONDS.</w:t>
      </w:r>
    </w:p>
    <w:p>
      <w:pPr>
        <w:spacing w:after="0" w:line="152" w:lineRule="exact"/>
        <w:rPr>
          <w:sz w:val="20"/>
          <w:szCs w:val="20"/>
          <w:color w:val="auto"/>
        </w:rPr>
      </w:pPr>
    </w:p>
    <w:p>
      <w:pPr>
        <w:jc w:val="both"/>
        <w:ind w:left="4" w:firstLine="1296"/>
        <w:spacing w:after="0" w:line="248" w:lineRule="exact"/>
        <w:rPr>
          <w:sz w:val="20"/>
          <w:szCs w:val="20"/>
          <w:color w:val="auto"/>
        </w:rPr>
      </w:pPr>
      <w:r>
        <w:rPr>
          <w:rFonts w:ascii="Arial" w:cs="Arial" w:eastAsia="Arial" w:hAnsi="Arial"/>
          <w:sz w:val="22"/>
          <w:szCs w:val="22"/>
          <w:color w:val="auto"/>
        </w:rPr>
        <w:t xml:space="preserve">Subject to the terms and conditions of this Agreement, the Company will issue and sell to each Purchaser and each Purchaser will purchase from the Company, at the Closing provided for in </w:t>
      </w:r>
      <w:r>
        <w:rPr>
          <w:rFonts w:ascii="Arial" w:cs="Arial" w:eastAsia="Arial" w:hAnsi="Arial"/>
          <w:sz w:val="22"/>
          <w:szCs w:val="22"/>
          <w:b w:val="1"/>
          <w:bCs w:val="1"/>
          <w:color w:val="auto"/>
        </w:rPr>
        <w:t>Section 3</w:t>
      </w:r>
      <w:r>
        <w:rPr>
          <w:rFonts w:ascii="Arial" w:cs="Arial" w:eastAsia="Arial" w:hAnsi="Arial"/>
          <w:sz w:val="22"/>
          <w:szCs w:val="22"/>
          <w:color w:val="auto"/>
        </w:rPr>
        <w:t xml:space="preserve">, Bonds in the principal amount opposite such Purchaser’s name in </w:t>
      </w:r>
      <w:r>
        <w:rPr>
          <w:rFonts w:ascii="Arial" w:cs="Arial" w:eastAsia="Arial" w:hAnsi="Arial"/>
          <w:sz w:val="22"/>
          <w:szCs w:val="22"/>
          <w:i w:val="1"/>
          <w:iCs w:val="1"/>
          <w:color w:val="auto"/>
        </w:rPr>
        <w:t>Schedule A</w:t>
      </w:r>
      <w:r>
        <w:rPr>
          <w:rFonts w:ascii="Arial" w:cs="Arial" w:eastAsia="Arial" w:hAnsi="Arial"/>
          <w:sz w:val="22"/>
          <w:szCs w:val="22"/>
          <w:color w:val="auto"/>
        </w:rPr>
        <w:t xml:space="preserve"> at the purchase price of 100% of the principal amount thereof. The Purchasers’ obligations hereunder are several and not joint obligations and no Purchaser shall have any liability to any Person for the performance or non</w:t>
      </w:r>
      <w:r>
        <w:rPr>
          <w:rFonts w:ascii="MS PGothic" w:cs="MS PGothic" w:eastAsia="MS PGothic" w:hAnsi="MS PGothic"/>
          <w:sz w:val="22"/>
          <w:szCs w:val="22"/>
          <w:color w:val="auto"/>
        </w:rPr>
        <w:t>‑</w:t>
      </w:r>
      <w:r>
        <w:rPr>
          <w:rFonts w:ascii="Arial" w:cs="Arial" w:eastAsia="Arial" w:hAnsi="Arial"/>
          <w:sz w:val="22"/>
          <w:szCs w:val="22"/>
          <w:color w:val="auto"/>
        </w:rPr>
        <w:t>performance of any obligation by any other Purchaser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120015</wp:posOffset>
            </wp:positionV>
            <wp:extent cx="635190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12" w:right="979" w:bottom="1440" w:gutter="0" w:footer="0" w:header="0"/>
        </w:sectPr>
      </w:pPr>
    </w:p>
    <w:bookmarkStart w:id="57" w:name="page58"/>
    <w:bookmarkEnd w:id="57"/>
    <w:p>
      <w:pPr>
        <w:spacing w:after="0"/>
        <w:tabs>
          <w:tab w:leader="none" w:pos="19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CLOSING.</w:t>
      </w:r>
    </w:p>
    <w:p>
      <w:pPr>
        <w:spacing w:after="0" w:line="153" w:lineRule="exact"/>
        <w:rPr>
          <w:sz w:val="20"/>
          <w:szCs w:val="20"/>
          <w:color w:val="auto"/>
        </w:rPr>
      </w:pPr>
    </w:p>
    <w:p>
      <w:pPr>
        <w:jc w:val="both"/>
        <w:ind w:firstLine="2592"/>
        <w:spacing w:after="0" w:line="246" w:lineRule="exact"/>
        <w:rPr>
          <w:sz w:val="20"/>
          <w:szCs w:val="20"/>
          <w:color w:val="auto"/>
        </w:rPr>
      </w:pPr>
      <w:r>
        <w:rPr>
          <w:rFonts w:ascii="Arial" w:cs="Arial" w:eastAsia="Arial" w:hAnsi="Arial"/>
          <w:sz w:val="19"/>
          <w:szCs w:val="19"/>
          <w:color w:val="auto"/>
        </w:rPr>
        <w:t xml:space="preserve">The execution and delivery of this Agreement and the sale and purchase of the Bonds to be purchased by each Purchaser shall occur at the offices of Chapman and Cutler LLP, 320 South Canal Street, Chicago, Illinois 60606, at 10:00 A.M., Chicago time, at a closing on August 24, 2023 or on such other Business Day thereafter on or prior to August 31, 2023, as may be agreed upon by the Company and the Purchasers (the </w:t>
      </w:r>
      <w:r>
        <w:rPr>
          <w:rFonts w:ascii="Arial" w:cs="Arial" w:eastAsia="Arial" w:hAnsi="Arial"/>
          <w:sz w:val="19"/>
          <w:szCs w:val="19"/>
          <w:i w:val="1"/>
          <w:iCs w:val="1"/>
          <w:color w:val="auto"/>
        </w:rPr>
        <w:t>“Closing”</w:t>
      </w:r>
      <w:r>
        <w:rPr>
          <w:rFonts w:ascii="Arial" w:cs="Arial" w:eastAsia="Arial" w:hAnsi="Arial"/>
          <w:sz w:val="19"/>
          <w:szCs w:val="19"/>
          <w:color w:val="auto"/>
        </w:rPr>
        <w:t>). At the Closing the Company will deliver to each Purchaser the Bonds to be purchased by such Purchaser in the form of one or more Bonds to be purchased by such Purchaser, as applicable, in such denominations as such Purchaser may request (with a minimum denomination of $100,000 for each Bond),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Account Number: 8559742757, Account Name: Aqua Pennsylvania, Inc., at PNC Bank, N.A., Philadelphia, Pennsylvania, ABA Number 031</w:t>
      </w:r>
      <w:r>
        <w:rPr>
          <w:rFonts w:ascii="MS PGothic" w:cs="MS PGothic" w:eastAsia="MS PGothic" w:hAnsi="MS PGothic"/>
          <w:sz w:val="19"/>
          <w:szCs w:val="19"/>
          <w:color w:val="auto"/>
        </w:rPr>
        <w:t>‑</w:t>
      </w:r>
      <w:r>
        <w:rPr>
          <w:rFonts w:ascii="Arial" w:cs="Arial" w:eastAsia="Arial" w:hAnsi="Arial"/>
          <w:sz w:val="19"/>
          <w:szCs w:val="19"/>
          <w:color w:val="auto"/>
        </w:rPr>
        <w:t xml:space="preserve">000053. If at the Closing the Company shall fail to tender such Bonds to any Purchaser as provided above in this </w:t>
      </w:r>
      <w:r>
        <w:rPr>
          <w:rFonts w:ascii="Arial" w:cs="Arial" w:eastAsia="Arial" w:hAnsi="Arial"/>
          <w:sz w:val="19"/>
          <w:szCs w:val="19"/>
          <w:b w:val="1"/>
          <w:bCs w:val="1"/>
          <w:color w:val="auto"/>
        </w:rPr>
        <w:t>Section 3</w:t>
      </w:r>
      <w:r>
        <w:rPr>
          <w:rFonts w:ascii="Arial" w:cs="Arial" w:eastAsia="Arial" w:hAnsi="Arial"/>
          <w:sz w:val="19"/>
          <w:szCs w:val="19"/>
          <w:color w:val="auto"/>
        </w:rPr>
        <w:t xml:space="preserve">,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w:t>
      </w:r>
      <w:r>
        <w:rPr>
          <w:rFonts w:ascii="Arial" w:cs="Arial" w:eastAsia="Arial" w:hAnsi="Arial"/>
          <w:sz w:val="19"/>
          <w:szCs w:val="19"/>
          <w:b w:val="1"/>
          <w:bCs w:val="1"/>
          <w:color w:val="auto"/>
        </w:rPr>
        <w:t>Section 4</w:t>
      </w:r>
      <w:r>
        <w:rPr>
          <w:rFonts w:ascii="Arial" w:cs="Arial" w:eastAsia="Arial" w:hAnsi="Arial"/>
          <w:sz w:val="19"/>
          <w:szCs w:val="19"/>
          <w:color w:val="auto"/>
        </w:rPr>
        <w:t xml:space="preserve"> not having been fulfilled to such Purchaser’s satisfaction.</w:t>
      </w:r>
    </w:p>
    <w:p>
      <w:pPr>
        <w:spacing w:after="0" w:line="360"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CONDITIONS TO CLOSING.</w:t>
      </w:r>
    </w:p>
    <w:p>
      <w:pPr>
        <w:spacing w:after="0" w:line="152"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Each Purchaser’s obligation to execute and deliver this Agreement and to purchase and pay for the Bonds to be sold to such Purchaser at the Closing is subject to the fulfillment to such Purchaser’s satisfaction prior to or at the Closing of the following conditions:</w:t>
      </w:r>
    </w:p>
    <w:p>
      <w:pPr>
        <w:spacing w:after="0" w:line="132" w:lineRule="exact"/>
        <w:rPr>
          <w:sz w:val="20"/>
          <w:szCs w:val="20"/>
          <w:color w:val="auto"/>
        </w:rPr>
      </w:pPr>
    </w:p>
    <w:p>
      <w:pPr>
        <w:jc w:val="both"/>
        <w:ind w:left="640" w:right="20" w:firstLine="648"/>
        <w:spacing w:after="0" w:line="250" w:lineRule="auto"/>
        <w:rPr>
          <w:sz w:val="20"/>
          <w:szCs w:val="20"/>
          <w:color w:val="auto"/>
        </w:rPr>
      </w:pPr>
      <w:r>
        <w:rPr>
          <w:rFonts w:ascii="Arial" w:cs="Arial" w:eastAsia="Arial" w:hAnsi="Arial"/>
          <w:sz w:val="22"/>
          <w:szCs w:val="22"/>
          <w:i w:val="1"/>
          <w:iCs w:val="1"/>
          <w:color w:val="auto"/>
        </w:rPr>
        <w:t xml:space="preserve">Section 4.1. Representations and Warranties. </w:t>
      </w:r>
      <w:r>
        <w:rPr>
          <w:rFonts w:ascii="Arial" w:cs="Arial" w:eastAsia="Arial" w:hAnsi="Arial"/>
          <w:sz w:val="22"/>
          <w:szCs w:val="22"/>
          <w:color w:val="auto"/>
        </w:rPr>
        <w:t>The representations and warranties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in this Agreement shall be correct when made and at the time of the Closing.</w:t>
      </w:r>
    </w:p>
    <w:p>
      <w:pPr>
        <w:spacing w:after="0" w:line="121" w:lineRule="exact"/>
        <w:rPr>
          <w:sz w:val="20"/>
          <w:szCs w:val="20"/>
          <w:color w:val="auto"/>
        </w:rPr>
      </w:pPr>
    </w:p>
    <w:p>
      <w:pPr>
        <w:jc w:val="both"/>
        <w:ind w:left="640" w:firstLine="648"/>
        <w:spacing w:after="0" w:line="236" w:lineRule="auto"/>
        <w:rPr>
          <w:sz w:val="20"/>
          <w:szCs w:val="20"/>
          <w:color w:val="auto"/>
        </w:rPr>
      </w:pPr>
      <w:r>
        <w:rPr>
          <w:rFonts w:ascii="Arial" w:cs="Arial" w:eastAsia="Arial" w:hAnsi="Arial"/>
          <w:sz w:val="22"/>
          <w:szCs w:val="22"/>
          <w:i w:val="1"/>
          <w:iCs w:val="1"/>
          <w:color w:val="auto"/>
        </w:rPr>
        <w:t xml:space="preserve">Section 4.2. Performance; No Default. </w:t>
      </w:r>
      <w:r>
        <w:rPr>
          <w:rFonts w:ascii="Arial" w:cs="Arial" w:eastAsia="Arial" w:hAnsi="Arial"/>
          <w:sz w:val="22"/>
          <w:szCs w:val="22"/>
          <w:color w:val="auto"/>
        </w:rPr>
        <w:t>The Company shall have performed and complied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with all agreements and conditions contained in each Financing Agreement required to be performed or complied with by the Company prior to or at the Closing, and after giving effect to the issue and sale of the Bonds (and the application of the proceeds thereof as contemplated by </w:t>
      </w:r>
      <w:r>
        <w:rPr>
          <w:rFonts w:ascii="Arial" w:cs="Arial" w:eastAsia="Arial" w:hAnsi="Arial"/>
          <w:sz w:val="22"/>
          <w:szCs w:val="22"/>
          <w:b w:val="1"/>
          <w:bCs w:val="1"/>
          <w:color w:val="auto"/>
        </w:rPr>
        <w:t>Section 5.14</w:t>
      </w:r>
      <w:r>
        <w:rPr>
          <w:rFonts w:ascii="Arial" w:cs="Arial" w:eastAsia="Arial" w:hAnsi="Arial"/>
          <w:sz w:val="22"/>
          <w:szCs w:val="22"/>
          <w:color w:val="auto"/>
        </w:rPr>
        <w:t>), no Default or Event of Default shall have occurred and be continuing.</w:t>
      </w:r>
    </w:p>
    <w:p>
      <w:pPr>
        <w:spacing w:after="0" w:line="133" w:lineRule="exact"/>
        <w:rPr>
          <w:sz w:val="20"/>
          <w:szCs w:val="20"/>
          <w:color w:val="auto"/>
        </w:rPr>
      </w:pPr>
    </w:p>
    <w:p>
      <w:pPr>
        <w:jc w:val="both"/>
        <w:ind w:left="640" w:firstLine="648"/>
        <w:spacing w:after="0" w:line="238" w:lineRule="auto"/>
        <w:rPr>
          <w:sz w:val="20"/>
          <w:szCs w:val="20"/>
          <w:color w:val="auto"/>
        </w:rPr>
      </w:pPr>
      <w:r>
        <w:rPr>
          <w:rFonts w:ascii="Arial" w:cs="Arial" w:eastAsia="Arial" w:hAnsi="Arial"/>
          <w:sz w:val="22"/>
          <w:szCs w:val="22"/>
          <w:i w:val="1"/>
          <w:iCs w:val="1"/>
          <w:color w:val="auto"/>
        </w:rPr>
        <w:t xml:space="preserve">Section 4.3. Compliance Certificates. </w:t>
      </w:r>
      <w:r>
        <w:rPr>
          <w:rFonts w:ascii="Arial" w:cs="Arial" w:eastAsia="Arial" w:hAnsi="Arial"/>
          <w:sz w:val="22"/>
          <w:szCs w:val="22"/>
          <w:color w:val="auto"/>
        </w:rPr>
        <w:t>The Company shall have performed and complied</w:t>
      </w:r>
      <w:r>
        <w:rPr>
          <w:rFonts w:ascii="Arial" w:cs="Arial" w:eastAsia="Arial" w:hAnsi="Arial"/>
          <w:sz w:val="22"/>
          <w:szCs w:val="22"/>
          <w:i w:val="1"/>
          <w:iCs w:val="1"/>
          <w:color w:val="auto"/>
        </w:rPr>
        <w:t xml:space="preserve"> </w:t>
      </w:r>
      <w:r>
        <w:rPr>
          <w:rFonts w:ascii="Arial" w:cs="Arial" w:eastAsia="Arial" w:hAnsi="Arial"/>
          <w:sz w:val="22"/>
          <w:szCs w:val="22"/>
          <w:color w:val="auto"/>
        </w:rPr>
        <w:t>with all agreements and conditions contained in the Indenture which are required to be performed or complied with by the Company for the issuance of the Bonds at the Closing. In addition, the Company shall have delivered the following certificates:</w:t>
      </w:r>
    </w:p>
    <w:p>
      <w:pPr>
        <w:spacing w:after="0" w:line="131" w:lineRule="exact"/>
        <w:rPr>
          <w:sz w:val="20"/>
          <w:szCs w:val="20"/>
          <w:color w:val="auto"/>
        </w:rPr>
      </w:pPr>
    </w:p>
    <w:p>
      <w:pPr>
        <w:jc w:val="both"/>
        <w:ind w:left="640" w:firstLine="652"/>
        <w:spacing w:after="0" w:line="236" w:lineRule="auto"/>
        <w:tabs>
          <w:tab w:leader="none" w:pos="2176"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Officer’s Certificate. </w:t>
      </w:r>
      <w:r>
        <w:rPr>
          <w:rFonts w:ascii="Arial" w:cs="Arial" w:eastAsia="Arial" w:hAnsi="Arial"/>
          <w:sz w:val="22"/>
          <w:szCs w:val="22"/>
          <w:color w:val="auto"/>
        </w:rPr>
        <w:t>The Company shall have delivered to such Purchaser (i) an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Officer’s Certificate, dated the date of the Closing, certifying that the conditions specified in </w:t>
      </w:r>
      <w:r>
        <w:rPr>
          <w:rFonts w:ascii="Arial" w:cs="Arial" w:eastAsia="Arial" w:hAnsi="Arial"/>
          <w:sz w:val="22"/>
          <w:szCs w:val="22"/>
          <w:b w:val="1"/>
          <w:bCs w:val="1"/>
          <w:color w:val="auto"/>
        </w:rPr>
        <w:t>Section 4</w:t>
      </w:r>
      <w:r>
        <w:rPr>
          <w:rFonts w:ascii="Arial" w:cs="Arial" w:eastAsia="Arial" w:hAnsi="Arial"/>
          <w:sz w:val="22"/>
          <w:szCs w:val="22"/>
          <w:color w:val="auto"/>
        </w:rPr>
        <w:t xml:space="preserve"> of this Agreement have been fulfilled, and (ii) copies of all certificates and opinions required to be delivered to the Trustee under the Indenture in connection with the issuance of the Bonds, in each case, dated the date of the Closing.</w:t>
      </w:r>
    </w:p>
    <w:p>
      <w:pPr>
        <w:spacing w:after="0" w:line="133" w:lineRule="exact"/>
        <w:rPr>
          <w:rFonts w:ascii="Arial" w:cs="Arial" w:eastAsia="Arial" w:hAnsi="Arial"/>
          <w:sz w:val="22"/>
          <w:szCs w:val="22"/>
          <w:color w:val="auto"/>
        </w:rPr>
      </w:pPr>
    </w:p>
    <w:p>
      <w:pPr>
        <w:jc w:val="both"/>
        <w:ind w:left="640" w:right="20" w:firstLine="652"/>
        <w:spacing w:after="0" w:line="252" w:lineRule="auto"/>
        <w:tabs>
          <w:tab w:leader="none" w:pos="2188" w:val="left"/>
        </w:tabs>
        <w:numPr>
          <w:ilvl w:val="0"/>
          <w:numId w:val="21"/>
        </w:numPr>
        <w:rPr>
          <w:rFonts w:ascii="Arial" w:cs="Arial" w:eastAsia="Arial" w:hAnsi="Arial"/>
          <w:sz w:val="21"/>
          <w:szCs w:val="21"/>
          <w:color w:val="auto"/>
        </w:rPr>
      </w:pPr>
      <w:r>
        <w:rPr>
          <w:rFonts w:ascii="Arial" w:cs="Arial" w:eastAsia="Arial" w:hAnsi="Arial"/>
          <w:sz w:val="21"/>
          <w:szCs w:val="21"/>
          <w:i w:val="1"/>
          <w:iCs w:val="1"/>
          <w:color w:val="auto"/>
        </w:rPr>
        <w:t xml:space="preserve">Secretary’s Certificate. </w:t>
      </w:r>
      <w:r>
        <w:rPr>
          <w:rFonts w:ascii="Arial" w:cs="Arial" w:eastAsia="Arial" w:hAnsi="Arial"/>
          <w:sz w:val="21"/>
          <w:szCs w:val="21"/>
          <w:color w:val="auto"/>
        </w:rPr>
        <w:t>The Company shall have delivered to such Purchaser a</w:t>
      </w:r>
      <w:r>
        <w:rPr>
          <w:rFonts w:ascii="Arial" w:cs="Arial" w:eastAsia="Arial" w:hAnsi="Arial"/>
          <w:sz w:val="21"/>
          <w:szCs w:val="21"/>
          <w:i w:val="1"/>
          <w:iCs w:val="1"/>
          <w:color w:val="auto"/>
        </w:rPr>
        <w:t xml:space="preserve"> </w:t>
      </w:r>
      <w:r>
        <w:rPr>
          <w:rFonts w:ascii="Arial" w:cs="Arial" w:eastAsia="Arial" w:hAnsi="Arial"/>
          <w:sz w:val="21"/>
          <w:szCs w:val="21"/>
          <w:color w:val="auto"/>
        </w:rPr>
        <w:t>certificate of its Secretary or Assistant Secretary, dated the date of the Closing, certifying as to the resolutions attached thereto and other corporate proceedings relating to the authorization, execution and delivery of this Agreement, the Bonds, under the Indenture, and the Supplement.</w:t>
      </w:r>
    </w:p>
    <w:p>
      <w:pPr>
        <w:spacing w:after="0" w:line="119" w:lineRule="exact"/>
        <w:rPr>
          <w:rFonts w:ascii="Arial" w:cs="Arial" w:eastAsia="Arial" w:hAnsi="Arial"/>
          <w:sz w:val="21"/>
          <w:szCs w:val="21"/>
          <w:color w:val="auto"/>
        </w:rPr>
      </w:pPr>
    </w:p>
    <w:p>
      <w:pPr>
        <w:jc w:val="both"/>
        <w:ind w:left="640" w:right="20" w:firstLine="652"/>
        <w:spacing w:after="0" w:line="257" w:lineRule="auto"/>
        <w:tabs>
          <w:tab w:leader="none" w:pos="2176" w:val="left"/>
        </w:tabs>
        <w:numPr>
          <w:ilvl w:val="0"/>
          <w:numId w:val="21"/>
        </w:numPr>
        <w:rPr>
          <w:rFonts w:ascii="Arial" w:cs="Arial" w:eastAsia="Arial" w:hAnsi="Arial"/>
          <w:sz w:val="21"/>
          <w:szCs w:val="21"/>
          <w:color w:val="auto"/>
        </w:rPr>
      </w:pPr>
      <w:r>
        <w:rPr>
          <w:rFonts w:ascii="Arial" w:cs="Arial" w:eastAsia="Arial" w:hAnsi="Arial"/>
          <w:sz w:val="21"/>
          <w:szCs w:val="21"/>
          <w:i w:val="1"/>
          <w:iCs w:val="1"/>
          <w:color w:val="auto"/>
        </w:rPr>
        <w:t xml:space="preserve">Certification of Indenture. </w:t>
      </w:r>
      <w:r>
        <w:rPr>
          <w:rFonts w:ascii="Arial" w:cs="Arial" w:eastAsia="Arial" w:hAnsi="Arial"/>
          <w:sz w:val="21"/>
          <w:szCs w:val="21"/>
          <w:color w:val="auto"/>
        </w:rPr>
        <w:t>Such Purchaser shall have received a composite copy of the</w:t>
      </w:r>
      <w:r>
        <w:rPr>
          <w:rFonts w:ascii="Arial" w:cs="Arial" w:eastAsia="Arial" w:hAnsi="Arial"/>
          <w:sz w:val="21"/>
          <w:szCs w:val="21"/>
          <w:i w:val="1"/>
          <w:iCs w:val="1"/>
          <w:color w:val="auto"/>
        </w:rPr>
        <w:t xml:space="preserve"> </w:t>
      </w:r>
      <w:r>
        <w:rPr>
          <w:rFonts w:ascii="Arial" w:cs="Arial" w:eastAsia="Arial" w:hAnsi="Arial"/>
          <w:sz w:val="21"/>
          <w:szCs w:val="21"/>
          <w:color w:val="auto"/>
        </w:rPr>
        <w:t>Indenture (together with all amendments and supplements thereto), certified by the Company as of the date of the Closing, exclusive of property exhibits, recording information and the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108585</wp:posOffset>
            </wp:positionV>
            <wp:extent cx="635190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58" w:name="page59"/>
    <w:bookmarkEnd w:id="58"/>
    <w:p>
      <w:pPr>
        <w:jc w:val="both"/>
        <w:ind w:left="180" w:right="20" w:firstLine="648"/>
        <w:spacing w:after="0" w:line="272" w:lineRule="auto"/>
        <w:rPr>
          <w:sz w:val="20"/>
          <w:szCs w:val="20"/>
          <w:color w:val="auto"/>
        </w:rPr>
      </w:pPr>
      <w:r>
        <w:rPr>
          <w:rFonts w:ascii="Arial" w:cs="Arial" w:eastAsia="Arial" w:hAnsi="Arial"/>
          <w:sz w:val="19"/>
          <w:szCs w:val="19"/>
          <w:i w:val="1"/>
          <w:iCs w:val="1"/>
          <w:color w:val="auto"/>
        </w:rPr>
        <w:t xml:space="preserve">Section 4.4. Opinions of Counsel. </w:t>
      </w:r>
      <w:r>
        <w:rPr>
          <w:rFonts w:ascii="Arial" w:cs="Arial" w:eastAsia="Arial" w:hAnsi="Arial"/>
          <w:sz w:val="19"/>
          <w:szCs w:val="19"/>
          <w:color w:val="auto"/>
        </w:rPr>
        <w:t>Such Purchaser shall have received opinions in form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substance satisfactory to such Purchaser, dated the date of the Closing (a) from Christopher P. Luning, counsel for the Company, covering the matters set forth in </w:t>
      </w:r>
      <w:r>
        <w:rPr>
          <w:rFonts w:ascii="Arial" w:cs="Arial" w:eastAsia="Arial" w:hAnsi="Arial"/>
          <w:sz w:val="19"/>
          <w:szCs w:val="19"/>
          <w:i w:val="1"/>
          <w:iCs w:val="1"/>
          <w:color w:val="auto"/>
        </w:rPr>
        <w:t>Exhibit 4.4(a)</w:t>
      </w:r>
      <w:r>
        <w:rPr>
          <w:rFonts w:ascii="Arial" w:cs="Arial" w:eastAsia="Arial" w:hAnsi="Arial"/>
          <w:sz w:val="19"/>
          <w:szCs w:val="19"/>
          <w:color w:val="auto"/>
        </w:rPr>
        <w:t xml:space="preserve"> and covering such other matters incident to the transactions contemplated hereby as such Purchaser or its counsel may reasonably request (and the Company hereby instructs its counsel to deliver such opinion to the Purchasers) and (b) from Dilworth Paxson LLP, special counsel to the Company, covering the matters set forth in </w:t>
      </w:r>
      <w:r>
        <w:rPr>
          <w:rFonts w:ascii="Arial" w:cs="Arial" w:eastAsia="Arial" w:hAnsi="Arial"/>
          <w:sz w:val="19"/>
          <w:szCs w:val="19"/>
          <w:i w:val="1"/>
          <w:iCs w:val="1"/>
          <w:color w:val="auto"/>
        </w:rPr>
        <w:t>Exhibit 4.4(b)</w:t>
      </w:r>
      <w:r>
        <w:rPr>
          <w:rFonts w:ascii="Arial" w:cs="Arial" w:eastAsia="Arial" w:hAnsi="Arial"/>
          <w:sz w:val="19"/>
          <w:szCs w:val="19"/>
          <w:color w:val="auto"/>
        </w:rPr>
        <w:t xml:space="preserve"> and covering such other matters incident to the transactions contemplated hereby as such Purchaser or such Purchaser’s counsel may reasonably request (and the Company hereby instructs its counsel to deliver such opinion to the Purchasers), and (c) from Chapman and Cutler LLP, the Purchasers’ special counsel in connection with such transactions, substantially in the form set forth in </w:t>
      </w:r>
      <w:r>
        <w:rPr>
          <w:rFonts w:ascii="Arial" w:cs="Arial" w:eastAsia="Arial" w:hAnsi="Arial"/>
          <w:sz w:val="19"/>
          <w:szCs w:val="19"/>
          <w:i w:val="1"/>
          <w:iCs w:val="1"/>
          <w:color w:val="auto"/>
        </w:rPr>
        <w:t>Exhibit 4.4(c)</w:t>
      </w:r>
      <w:r>
        <w:rPr>
          <w:rFonts w:ascii="Arial" w:cs="Arial" w:eastAsia="Arial" w:hAnsi="Arial"/>
          <w:sz w:val="19"/>
          <w:szCs w:val="19"/>
          <w:color w:val="auto"/>
        </w:rPr>
        <w:t xml:space="preserve"> and covering such other matters incident to such transactions as such Purchaser may reasonably request. The Company hereby directs its counsel to deliver the opinions required by this </w:t>
      </w:r>
      <w:r>
        <w:rPr>
          <w:rFonts w:ascii="Arial" w:cs="Arial" w:eastAsia="Arial" w:hAnsi="Arial"/>
          <w:sz w:val="19"/>
          <w:szCs w:val="19"/>
          <w:b w:val="1"/>
          <w:bCs w:val="1"/>
          <w:color w:val="auto"/>
        </w:rPr>
        <w:t>Section 4.4</w:t>
      </w:r>
      <w:r>
        <w:rPr>
          <w:rFonts w:ascii="Arial" w:cs="Arial" w:eastAsia="Arial" w:hAnsi="Arial"/>
          <w:sz w:val="19"/>
          <w:szCs w:val="19"/>
          <w:color w:val="auto"/>
        </w:rPr>
        <w:t xml:space="preserve"> and understands and agrees that each Purchaser will and hereby is authorized to rely on such opinions.</w:t>
      </w:r>
    </w:p>
    <w:p>
      <w:pPr>
        <w:spacing w:after="0" w:line="103" w:lineRule="exact"/>
        <w:rPr>
          <w:sz w:val="20"/>
          <w:szCs w:val="20"/>
          <w:color w:val="auto"/>
        </w:rPr>
      </w:pPr>
    </w:p>
    <w:p>
      <w:pPr>
        <w:jc w:val="both"/>
        <w:ind w:left="180" w:firstLine="648"/>
        <w:spacing w:after="0" w:line="270" w:lineRule="auto"/>
        <w:rPr>
          <w:sz w:val="20"/>
          <w:szCs w:val="20"/>
          <w:color w:val="auto"/>
        </w:rPr>
      </w:pPr>
      <w:r>
        <w:rPr>
          <w:rFonts w:ascii="Arial" w:cs="Arial" w:eastAsia="Arial" w:hAnsi="Arial"/>
          <w:sz w:val="19"/>
          <w:szCs w:val="19"/>
          <w:i w:val="1"/>
          <w:iCs w:val="1"/>
          <w:color w:val="auto"/>
        </w:rPr>
        <w:t xml:space="preserve">Section 4.5. Purchase Permitted by Applicable Law, Etc. </w:t>
      </w:r>
      <w:r>
        <w:rPr>
          <w:rFonts w:ascii="Arial" w:cs="Arial" w:eastAsia="Arial" w:hAnsi="Arial"/>
          <w:sz w:val="19"/>
          <w:szCs w:val="19"/>
          <w:color w:val="auto"/>
        </w:rPr>
        <w:t>On the date of the Closing such</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w:t>
      </w:r>
    </w:p>
    <w:p>
      <w:pPr>
        <w:spacing w:after="0" w:line="1" w:lineRule="exact"/>
        <w:rPr>
          <w:sz w:val="20"/>
          <w:szCs w:val="20"/>
          <w:color w:val="auto"/>
        </w:rPr>
      </w:pPr>
    </w:p>
    <w:p>
      <w:pPr>
        <w:jc w:val="both"/>
        <w:ind w:left="180" w:firstLine="4"/>
        <w:spacing w:after="0" w:line="233" w:lineRule="auto"/>
        <w:tabs>
          <w:tab w:leader="none" w:pos="495"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not subject such Purchaser to any tax, penalty or liability under or pursuant to any applicable law or regulation, which law or regulation was not in effect on the date of the Closing. If requested by such Purchaser, such Purchaser shall have received an Officer’s Certificate certifying as to such matters of fact as such Purchaser may reasonably specify to enable such Purchaser to determine whether such purchase is so permitted.</w:t>
      </w:r>
    </w:p>
    <w:p>
      <w:pPr>
        <w:spacing w:after="0" w:line="131" w:lineRule="exact"/>
        <w:rPr>
          <w:sz w:val="20"/>
          <w:szCs w:val="20"/>
          <w:color w:val="auto"/>
        </w:rPr>
      </w:pPr>
    </w:p>
    <w:p>
      <w:pPr>
        <w:jc w:val="both"/>
        <w:ind w:left="180" w:firstLine="648"/>
        <w:spacing w:after="0"/>
        <w:rPr>
          <w:sz w:val="20"/>
          <w:szCs w:val="20"/>
          <w:color w:val="auto"/>
        </w:rPr>
      </w:pPr>
      <w:r>
        <w:rPr>
          <w:rFonts w:ascii="Arial" w:cs="Arial" w:eastAsia="Arial" w:hAnsi="Arial"/>
          <w:sz w:val="22"/>
          <w:szCs w:val="22"/>
          <w:i w:val="1"/>
          <w:iCs w:val="1"/>
          <w:color w:val="auto"/>
        </w:rPr>
        <w:t xml:space="preserve">Section 4.6. Sale of Bonds. </w:t>
      </w:r>
      <w:r>
        <w:rPr>
          <w:rFonts w:ascii="Arial" w:cs="Arial" w:eastAsia="Arial" w:hAnsi="Arial"/>
          <w:sz w:val="22"/>
          <w:szCs w:val="22"/>
          <w:color w:val="auto"/>
        </w:rPr>
        <w:t>Contemporaneously with the Closing, the Company shall sell</w:t>
      </w:r>
      <w:r>
        <w:rPr>
          <w:rFonts w:ascii="Arial" w:cs="Arial" w:eastAsia="Arial" w:hAnsi="Arial"/>
          <w:sz w:val="22"/>
          <w:szCs w:val="22"/>
          <w:i w:val="1"/>
          <w:iCs w:val="1"/>
          <w:color w:val="auto"/>
        </w:rPr>
        <w:t xml:space="preserve"> </w:t>
      </w:r>
      <w:r>
        <w:rPr>
          <w:rFonts w:ascii="Arial" w:cs="Arial" w:eastAsia="Arial" w:hAnsi="Arial"/>
          <w:sz w:val="22"/>
          <w:szCs w:val="22"/>
          <w:color w:val="auto"/>
        </w:rPr>
        <w:t>to each Purchaser and each Purchaser shall purchase the Bonds to be purchased by it as specified in Schedule A.</w:t>
      </w:r>
    </w:p>
    <w:p>
      <w:pPr>
        <w:spacing w:after="0" w:line="132" w:lineRule="exact"/>
        <w:rPr>
          <w:sz w:val="20"/>
          <w:szCs w:val="20"/>
          <w:color w:val="auto"/>
        </w:rPr>
      </w:pPr>
    </w:p>
    <w:p>
      <w:pPr>
        <w:ind w:left="840"/>
        <w:spacing w:after="0"/>
        <w:tabs>
          <w:tab w:leader="none" w:pos="2520" w:val="left"/>
          <w:tab w:leader="none" w:pos="6220" w:val="left"/>
        </w:tabs>
        <w:rPr>
          <w:sz w:val="20"/>
          <w:szCs w:val="20"/>
          <w:color w:val="auto"/>
        </w:rPr>
      </w:pPr>
      <w:r>
        <w:rPr>
          <w:rFonts w:ascii="Arial" w:cs="Arial" w:eastAsia="Arial" w:hAnsi="Arial"/>
          <w:sz w:val="22"/>
          <w:szCs w:val="22"/>
          <w:i w:val="1"/>
          <w:iCs w:val="1"/>
          <w:color w:val="auto"/>
        </w:rPr>
        <w:t>Section 4.7.</w:t>
      </w:r>
      <w:r>
        <w:rPr>
          <w:sz w:val="20"/>
          <w:szCs w:val="20"/>
          <w:color w:val="auto"/>
        </w:rPr>
        <w:tab/>
      </w:r>
      <w:r>
        <w:rPr>
          <w:rFonts w:ascii="Arial" w:cs="Arial" w:eastAsia="Arial" w:hAnsi="Arial"/>
          <w:sz w:val="22"/>
          <w:szCs w:val="22"/>
          <w:i w:val="1"/>
          <w:iCs w:val="1"/>
          <w:color w:val="auto"/>
        </w:rPr>
        <w:t>Payment of Special Counsel Fees.</w:t>
      </w:r>
      <w:r>
        <w:rPr>
          <w:sz w:val="20"/>
          <w:szCs w:val="20"/>
          <w:color w:val="auto"/>
        </w:rPr>
        <w:tab/>
      </w:r>
      <w:r>
        <w:rPr>
          <w:rFonts w:ascii="Arial" w:cs="Arial" w:eastAsia="Arial" w:hAnsi="Arial"/>
          <w:sz w:val="22"/>
          <w:szCs w:val="22"/>
          <w:color w:val="auto"/>
        </w:rPr>
        <w:t>Without limiting the provisions of</w:t>
      </w:r>
    </w:p>
    <w:p>
      <w:pPr>
        <w:spacing w:after="0" w:line="8" w:lineRule="exact"/>
        <w:rPr>
          <w:sz w:val="20"/>
          <w:szCs w:val="20"/>
          <w:color w:val="auto"/>
        </w:rPr>
      </w:pPr>
    </w:p>
    <w:p>
      <w:pPr>
        <w:jc w:val="both"/>
        <w:ind w:left="180" w:right="20"/>
        <w:spacing w:after="0" w:line="233" w:lineRule="auto"/>
        <w:rPr>
          <w:sz w:val="20"/>
          <w:szCs w:val="20"/>
          <w:color w:val="auto"/>
        </w:rPr>
      </w:pPr>
      <w:r>
        <w:rPr>
          <w:rFonts w:ascii="Arial" w:cs="Arial" w:eastAsia="Arial" w:hAnsi="Arial"/>
          <w:sz w:val="22"/>
          <w:szCs w:val="22"/>
          <w:b w:val="1"/>
          <w:bCs w:val="1"/>
          <w:color w:val="auto"/>
        </w:rPr>
        <w:t>Section 12.2</w:t>
      </w:r>
      <w:r>
        <w:rPr>
          <w:rFonts w:ascii="Arial" w:cs="Arial" w:eastAsia="Arial" w:hAnsi="Arial"/>
          <w:sz w:val="22"/>
          <w:szCs w:val="22"/>
          <w:color w:val="auto"/>
        </w:rPr>
        <w:t>, the Company shall have paid on or before the Closing the reasonable fees,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charges and reasonable disbursements of the Purchasers’ special counsel referred to in </w:t>
      </w:r>
      <w:r>
        <w:rPr>
          <w:rFonts w:ascii="Arial" w:cs="Arial" w:eastAsia="Arial" w:hAnsi="Arial"/>
          <w:sz w:val="22"/>
          <w:szCs w:val="22"/>
          <w:b w:val="1"/>
          <w:bCs w:val="1"/>
          <w:color w:val="auto"/>
        </w:rPr>
        <w:t>Section 4.4(c)</w:t>
      </w:r>
      <w:r>
        <w:rPr>
          <w:rFonts w:ascii="Arial" w:cs="Arial" w:eastAsia="Arial" w:hAnsi="Arial"/>
          <w:sz w:val="22"/>
          <w:szCs w:val="22"/>
          <w:color w:val="auto"/>
        </w:rPr>
        <w:t xml:space="preserve"> to the extent reflected in a statement of such counsel rendered to the Company at least one Business Day prior to the Closing.</w:t>
      </w:r>
    </w:p>
    <w:p>
      <w:pPr>
        <w:spacing w:after="0" w:line="134" w:lineRule="exact"/>
        <w:rPr>
          <w:sz w:val="20"/>
          <w:szCs w:val="20"/>
          <w:color w:val="auto"/>
        </w:rPr>
      </w:pPr>
    </w:p>
    <w:p>
      <w:pPr>
        <w:jc w:val="both"/>
        <w:ind w:left="180" w:right="20" w:firstLine="648"/>
        <w:spacing w:after="0"/>
        <w:rPr>
          <w:sz w:val="20"/>
          <w:szCs w:val="20"/>
          <w:color w:val="auto"/>
        </w:rPr>
      </w:pPr>
      <w:r>
        <w:rPr>
          <w:rFonts w:ascii="Arial" w:cs="Arial" w:eastAsia="Arial" w:hAnsi="Arial"/>
          <w:sz w:val="22"/>
          <w:szCs w:val="22"/>
          <w:i w:val="1"/>
          <w:iCs w:val="1"/>
          <w:color w:val="auto"/>
        </w:rPr>
        <w:t xml:space="preserve">Section 4.8. Private Placement Number. </w:t>
      </w:r>
      <w:r>
        <w:rPr>
          <w:rFonts w:ascii="Arial" w:cs="Arial" w:eastAsia="Arial" w:hAnsi="Arial"/>
          <w:sz w:val="22"/>
          <w:szCs w:val="22"/>
          <w:color w:val="auto"/>
        </w:rPr>
        <w:t>A Private Placement Number issued by the PPN</w:t>
      </w:r>
      <w:r>
        <w:rPr>
          <w:rFonts w:ascii="Arial" w:cs="Arial" w:eastAsia="Arial" w:hAnsi="Arial"/>
          <w:sz w:val="22"/>
          <w:szCs w:val="22"/>
          <w:i w:val="1"/>
          <w:iCs w:val="1"/>
          <w:color w:val="auto"/>
        </w:rPr>
        <w:t xml:space="preserve"> </w:t>
      </w:r>
      <w:r>
        <w:rPr>
          <w:rFonts w:ascii="Arial" w:cs="Arial" w:eastAsia="Arial" w:hAnsi="Arial"/>
          <w:sz w:val="22"/>
          <w:szCs w:val="22"/>
          <w:color w:val="auto"/>
        </w:rPr>
        <w:t>CUSIP Unit of CUSIP Global Services (in cooperation with the SVO) shall have been obtained for each series of the Bonds issued at the Closing.</w:t>
      </w:r>
    </w:p>
    <w:p>
      <w:pPr>
        <w:spacing w:after="0" w:line="132" w:lineRule="exact"/>
        <w:rPr>
          <w:sz w:val="20"/>
          <w:szCs w:val="20"/>
          <w:color w:val="auto"/>
        </w:rPr>
      </w:pPr>
    </w:p>
    <w:p>
      <w:pPr>
        <w:jc w:val="both"/>
        <w:ind w:left="180" w:right="20" w:firstLine="648"/>
        <w:spacing w:after="0" w:line="238" w:lineRule="auto"/>
        <w:rPr>
          <w:sz w:val="20"/>
          <w:szCs w:val="20"/>
          <w:color w:val="auto"/>
        </w:rPr>
      </w:pPr>
      <w:r>
        <w:rPr>
          <w:rFonts w:ascii="Arial" w:cs="Arial" w:eastAsia="Arial" w:hAnsi="Arial"/>
          <w:sz w:val="22"/>
          <w:szCs w:val="22"/>
          <w:i w:val="1"/>
          <w:iCs w:val="1"/>
          <w:color w:val="auto"/>
        </w:rPr>
        <w:t xml:space="preserve">Section 4.9. Changes in Corporate Structure. </w:t>
      </w:r>
      <w:r>
        <w:rPr>
          <w:rFonts w:ascii="Arial" w:cs="Arial" w:eastAsia="Arial" w:hAnsi="Arial"/>
          <w:sz w:val="22"/>
          <w:szCs w:val="22"/>
          <w:color w:val="auto"/>
        </w:rPr>
        <w:t>The Company shall not have changed its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jurisdiction of incorporation or organization, as applicable, or been a party to any merger or consolidation or succeeded to all or any substantial part of the liabilities of any other entity, at any time following the date of the most recent financial statements referred to in </w:t>
      </w:r>
      <w:r>
        <w:rPr>
          <w:rFonts w:ascii="Arial" w:cs="Arial" w:eastAsia="Arial" w:hAnsi="Arial"/>
          <w:sz w:val="22"/>
          <w:szCs w:val="22"/>
          <w:i w:val="1"/>
          <w:iCs w:val="1"/>
          <w:color w:val="auto"/>
        </w:rPr>
        <w:t>Schedule 5.5</w:t>
      </w:r>
      <w:r>
        <w:rPr>
          <w:rFonts w:ascii="Arial" w:cs="Arial" w:eastAsia="Arial" w:hAnsi="Arial"/>
          <w:sz w:val="22"/>
          <w:szCs w:val="22"/>
          <w:color w:val="auto"/>
        </w:rPr>
        <w:t>.</w:t>
      </w:r>
    </w:p>
    <w:p>
      <w:pPr>
        <w:spacing w:after="0" w:line="131" w:lineRule="exact"/>
        <w:rPr>
          <w:sz w:val="20"/>
          <w:szCs w:val="20"/>
          <w:color w:val="auto"/>
        </w:rPr>
      </w:pPr>
    </w:p>
    <w:p>
      <w:pPr>
        <w:jc w:val="both"/>
        <w:ind w:left="180" w:firstLine="648"/>
        <w:spacing w:after="0" w:line="245" w:lineRule="auto"/>
        <w:rPr>
          <w:sz w:val="20"/>
          <w:szCs w:val="20"/>
          <w:color w:val="auto"/>
        </w:rPr>
      </w:pPr>
      <w:r>
        <w:rPr>
          <w:rFonts w:ascii="Arial" w:cs="Arial" w:eastAsia="Arial" w:hAnsi="Arial"/>
          <w:sz w:val="21"/>
          <w:szCs w:val="21"/>
          <w:i w:val="1"/>
          <w:iCs w:val="1"/>
          <w:color w:val="auto"/>
        </w:rPr>
        <w:t xml:space="preserve">Section 4.10. Funding Instructions </w:t>
      </w:r>
      <w:r>
        <w:rPr>
          <w:rFonts w:ascii="Arial" w:cs="Arial" w:eastAsia="Arial" w:hAnsi="Arial"/>
          <w:sz w:val="21"/>
          <w:szCs w:val="21"/>
          <w:color w:val="auto"/>
        </w:rPr>
        <w:t>At least five (5) Business Days prior to the date the</w:t>
      </w:r>
      <w:r>
        <w:rPr>
          <w:rFonts w:ascii="Arial" w:cs="Arial" w:eastAsia="Arial" w:hAnsi="Arial"/>
          <w:sz w:val="21"/>
          <w:szCs w:val="21"/>
          <w:i w:val="1"/>
          <w:iCs w:val="1"/>
          <w:color w:val="auto"/>
        </w:rPr>
        <w:t xml:space="preserve"> </w:t>
      </w:r>
      <w:r>
        <w:rPr>
          <w:rFonts w:ascii="Arial" w:cs="Arial" w:eastAsia="Arial" w:hAnsi="Arial"/>
          <w:sz w:val="21"/>
          <w:szCs w:val="21"/>
          <w:color w:val="auto"/>
        </w:rPr>
        <w:t>Closing, each Purchaser shall have received written instructions signed by a Responsible Officer on letterhead of the Company confirming the information specified in Section 3 including (a) the name and address of the transferee bank, (b) such transferee bank’s ABA number/Swift Code/IBAN, and (c) the account name and number into which the purchase price for the Bonds is to be deposited, which account shall be fully opened and able to receive micro deposits in accordance with this Section at least five (5) Business Days prior to the date of the Closing. Each Purchaser has the right, but not the obligation, upon written notice (which may be by email) to the Company, to elect to deliver a micro deposit (less than $51.00) to the account identified in the written instructions no later than two (2) Business Days prior to the date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115570</wp:posOffset>
            </wp:positionV>
            <wp:extent cx="635190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59" w:name="page60"/>
    <w:bookmarkEnd w:id="59"/>
    <w:p>
      <w:pPr>
        <w:jc w:val="both"/>
        <w:ind w:left="640" w:right="20"/>
        <w:spacing w:after="0" w:line="287" w:lineRule="auto"/>
        <w:rPr>
          <w:sz w:val="20"/>
          <w:szCs w:val="20"/>
          <w:color w:val="auto"/>
        </w:rPr>
      </w:pPr>
      <w:r>
        <w:rPr>
          <w:rFonts w:ascii="Arial" w:cs="Arial" w:eastAsia="Arial" w:hAnsi="Arial"/>
          <w:sz w:val="19"/>
          <w:szCs w:val="19"/>
          <w:color w:val="auto"/>
        </w:rPr>
        <w:t>If a Purchaser delivers a micro deposit, a Responsible Officer must verbally verify the receipt and amount of the micro deposit to such Purchaser on a telephone call initiated by such Purchaser prior to the date of the Closing. The Company shall not be obligated to return the amount of the micro deposit, nor will the amount of the micro deposit be netted against the Purchaser’s purchase price of the Bonds.</w:t>
      </w:r>
    </w:p>
    <w:p>
      <w:pPr>
        <w:spacing w:after="0" w:line="89"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9"/>
          <w:szCs w:val="19"/>
          <w:i w:val="1"/>
          <w:iCs w:val="1"/>
          <w:color w:val="auto"/>
        </w:rPr>
        <w:t xml:space="preserve">Section 4.11. Proceedings and Documents. </w:t>
      </w:r>
      <w:r>
        <w:rPr>
          <w:rFonts w:ascii="Arial" w:cs="Arial" w:eastAsia="Arial" w:hAnsi="Arial"/>
          <w:sz w:val="19"/>
          <w:szCs w:val="19"/>
          <w:color w:val="auto"/>
        </w:rPr>
        <w:t>All corporate and other proceedings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spacing w:after="0" w:line="93" w:lineRule="exact"/>
        <w:rPr>
          <w:sz w:val="20"/>
          <w:szCs w:val="20"/>
          <w:color w:val="auto"/>
        </w:rPr>
      </w:pPr>
    </w:p>
    <w:p>
      <w:pPr>
        <w:jc w:val="both"/>
        <w:ind w:left="640" w:firstLine="648"/>
        <w:spacing w:after="0" w:line="245" w:lineRule="auto"/>
        <w:rPr>
          <w:sz w:val="20"/>
          <w:szCs w:val="20"/>
          <w:color w:val="auto"/>
        </w:rPr>
      </w:pPr>
      <w:r>
        <w:rPr>
          <w:rFonts w:ascii="Arial" w:cs="Arial" w:eastAsia="Arial" w:hAnsi="Arial"/>
          <w:sz w:val="21"/>
          <w:szCs w:val="21"/>
          <w:i w:val="1"/>
          <w:iCs w:val="1"/>
          <w:color w:val="auto"/>
        </w:rPr>
        <w:t xml:space="preserve">Section 4.12. Execution and Delivery and Filing and Recording of the Supplement. </w:t>
      </w:r>
      <w:r>
        <w:rPr>
          <w:rFonts w:ascii="Arial" w:cs="Arial" w:eastAsia="Arial" w:hAnsi="Arial"/>
          <w:sz w:val="21"/>
          <w:szCs w:val="21"/>
          <w:color w:val="auto"/>
        </w:rPr>
        <w:t>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or at the Closing, the Supplement shall have been duly executed and delivered by the Company, and the Company shall have filed, or delivered for recordation, the Supplement in all locations in Pennsylvania (and financing statements in respect thereof shall have been filed, if necessary) in such manner and in such places as is required by law (and no other instruments are required to be filed) to establish, preserve, perfect and protect the direct security interest and mortgage Lien of the Trust Estate created by the Indenture on all mortgaged and pledged property of the Company referred to in the Indenture as subject to the direct mortgage Lien thereof and the Company shall have delivered satisfactory evidence of such filings, recording or delivery for recording.</w:t>
      </w:r>
    </w:p>
    <w:p>
      <w:pPr>
        <w:spacing w:after="0" w:line="130" w:lineRule="exact"/>
        <w:rPr>
          <w:sz w:val="20"/>
          <w:szCs w:val="20"/>
          <w:color w:val="auto"/>
        </w:rPr>
      </w:pPr>
    </w:p>
    <w:p>
      <w:pPr>
        <w:jc w:val="both"/>
        <w:ind w:left="640" w:right="20" w:firstLine="648"/>
        <w:spacing w:after="0" w:line="234" w:lineRule="auto"/>
        <w:rPr>
          <w:sz w:val="20"/>
          <w:szCs w:val="20"/>
          <w:color w:val="auto"/>
        </w:rPr>
      </w:pPr>
      <w:r>
        <w:rPr>
          <w:rFonts w:ascii="Arial" w:cs="Arial" w:eastAsia="Arial" w:hAnsi="Arial"/>
          <w:sz w:val="22"/>
          <w:szCs w:val="22"/>
          <w:i w:val="1"/>
          <w:iCs w:val="1"/>
          <w:color w:val="auto"/>
        </w:rPr>
        <w:t xml:space="preserve">Section 4.13. Regulatory Approvals. </w:t>
      </w:r>
      <w:r>
        <w:rPr>
          <w:rFonts w:ascii="Arial" w:cs="Arial" w:eastAsia="Arial" w:hAnsi="Arial"/>
          <w:sz w:val="22"/>
          <w:szCs w:val="22"/>
          <w:color w:val="auto"/>
        </w:rPr>
        <w:t>The issue and sale of the Bonds shall have been duly</w:t>
      </w:r>
      <w:r>
        <w:rPr>
          <w:rFonts w:ascii="Arial" w:cs="Arial" w:eastAsia="Arial" w:hAnsi="Arial"/>
          <w:sz w:val="22"/>
          <w:szCs w:val="22"/>
          <w:i w:val="1"/>
          <w:iCs w:val="1"/>
          <w:color w:val="auto"/>
        </w:rPr>
        <w:t xml:space="preserve"> </w:t>
      </w:r>
      <w:r>
        <w:rPr>
          <w:rFonts w:ascii="Arial" w:cs="Arial" w:eastAsia="Arial" w:hAnsi="Arial"/>
          <w:sz w:val="22"/>
          <w:szCs w:val="22"/>
          <w:color w:val="auto"/>
        </w:rPr>
        <w:t>authorized by an order of the Pennsylvania Public Utility Commission and such order shall be in full force and effect on the date of the Closing and all appeal periods, if any, applicable to such order shall have expired. The Company shall deliver satisfactory evidence that orders have been obtained approving the issuance of such Bonds from the Pennsylvania Public Utility Commission or that the Pennsylvania Public Utility Commission shall have waived jurisdiction thereof and such approval or waiver shall not be contested or subject to review, or that the Pennsylvania Public Utility Commission does not have jurisdiction.</w:t>
      </w:r>
    </w:p>
    <w:p>
      <w:pPr>
        <w:spacing w:after="0" w:line="133"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REPRESENTATIONS AND WARRANTIES OF THE COMPANY.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represents and warrants to each Purchaser as of the date of this Agreement and at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 that:</w:t>
      </w:r>
    </w:p>
    <w:p>
      <w:pPr>
        <w:spacing w:after="0" w:line="134" w:lineRule="exact"/>
        <w:rPr>
          <w:sz w:val="20"/>
          <w:szCs w:val="20"/>
          <w:color w:val="auto"/>
        </w:rPr>
      </w:pPr>
    </w:p>
    <w:p>
      <w:pPr>
        <w:jc w:val="both"/>
        <w:ind w:left="640" w:right="20" w:firstLine="648"/>
        <w:spacing w:after="0" w:line="245" w:lineRule="auto"/>
        <w:rPr>
          <w:sz w:val="20"/>
          <w:szCs w:val="20"/>
          <w:color w:val="auto"/>
        </w:rPr>
      </w:pPr>
      <w:r>
        <w:rPr>
          <w:rFonts w:ascii="Arial" w:cs="Arial" w:eastAsia="Arial" w:hAnsi="Arial"/>
          <w:sz w:val="21"/>
          <w:szCs w:val="21"/>
          <w:i w:val="1"/>
          <w:iCs w:val="1"/>
          <w:color w:val="auto"/>
        </w:rPr>
        <w:t xml:space="preserve">Section 5.1. Organization; Power and Authority. </w:t>
      </w:r>
      <w:r>
        <w:rPr>
          <w:rFonts w:ascii="Arial" w:cs="Arial" w:eastAsia="Arial" w:hAnsi="Arial"/>
          <w:sz w:val="21"/>
          <w:szCs w:val="21"/>
          <w:color w:val="auto"/>
        </w:rPr>
        <w:t>The Company is a corporation duly</w:t>
      </w:r>
      <w:r>
        <w:rPr>
          <w:rFonts w:ascii="Arial" w:cs="Arial" w:eastAsia="Arial" w:hAnsi="Arial"/>
          <w:sz w:val="21"/>
          <w:szCs w:val="21"/>
          <w:i w:val="1"/>
          <w:iCs w:val="1"/>
          <w:color w:val="auto"/>
        </w:rPr>
        <w:t xml:space="preserve"> </w:t>
      </w:r>
      <w:r>
        <w:rPr>
          <w:rFonts w:ascii="Arial" w:cs="Arial" w:eastAsia="Arial" w:hAnsi="Arial"/>
          <w:sz w:val="21"/>
          <w:szCs w:val="21"/>
          <w:color w:val="auto"/>
        </w:rPr>
        <w:t>organized, validly existing and subsisting under the laws of the Commonwealth of Pennsylvania,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the Bonds and the Supplement (and had the corporate power and authority to execute and deliver the Indenture at the time of execution and delivery thereof) and to perform the provisions of the Financing Agreements.</w:t>
      </w:r>
    </w:p>
    <w:p>
      <w:pPr>
        <w:spacing w:after="0" w:line="127" w:lineRule="exact"/>
        <w:rPr>
          <w:sz w:val="20"/>
          <w:szCs w:val="20"/>
          <w:color w:val="auto"/>
        </w:rPr>
      </w:pPr>
    </w:p>
    <w:p>
      <w:pPr>
        <w:jc w:val="both"/>
        <w:ind w:left="640" w:firstLine="648"/>
        <w:spacing w:after="0" w:line="275" w:lineRule="auto"/>
        <w:rPr>
          <w:sz w:val="20"/>
          <w:szCs w:val="20"/>
          <w:color w:val="auto"/>
        </w:rPr>
      </w:pPr>
      <w:r>
        <w:rPr>
          <w:rFonts w:ascii="Arial" w:cs="Arial" w:eastAsia="Arial" w:hAnsi="Arial"/>
          <w:sz w:val="19"/>
          <w:szCs w:val="19"/>
          <w:i w:val="1"/>
          <w:iCs w:val="1"/>
          <w:color w:val="auto"/>
        </w:rPr>
        <w:t xml:space="preserve">Section 5.2. Authorization, Etc. </w:t>
      </w:r>
      <w:r>
        <w:rPr>
          <w:rFonts w:ascii="Arial" w:cs="Arial" w:eastAsia="Arial" w:hAnsi="Arial"/>
          <w:sz w:val="19"/>
          <w:szCs w:val="19"/>
          <w:color w:val="auto"/>
        </w:rPr>
        <w:t>At the Closing, each Financing Agreement has been duly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authorized by all necessary corporate action on the part of the Company, and each Financing Agreement (other than the Supplement and the Bonds) constitutes, and when the Supplement is executed and delivered by the Company and the Trustee and when the Bonds are executed, issued and delivered by the Company, authenticated by the Trustee and paid for by the Purchasers, the Supplement and each Bond will constitute, a legal, valid and binding obligation of the Company enforceable against the Company in accordance with its respective terms, except as such enforceability may be limited by (i) applicable bankruptcy, insolvency, reorganization, moratorium or other similar laws affecting the enforcement of creditors’ rights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100965</wp:posOffset>
            </wp:positionV>
            <wp:extent cx="635190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60" w:name="page61"/>
    <w:bookmarkEnd w:id="60"/>
    <w:p>
      <w:pPr>
        <w:jc w:val="both"/>
        <w:ind w:left="180"/>
        <w:spacing w:after="0" w:line="251" w:lineRule="auto"/>
        <w:rPr>
          <w:sz w:val="20"/>
          <w:szCs w:val="20"/>
          <w:color w:val="auto"/>
        </w:rPr>
      </w:pPr>
      <w:r>
        <w:rPr>
          <w:rFonts w:ascii="Arial" w:cs="Arial" w:eastAsia="Arial" w:hAnsi="Arial"/>
          <w:sz w:val="22"/>
          <w:szCs w:val="22"/>
          <w:color w:val="auto"/>
        </w:rPr>
        <w:t>and (ii) general principles of equity (regardless of whether such enforceability is considered in a proceeding in equity or at law).</w:t>
      </w:r>
    </w:p>
    <w:p>
      <w:pPr>
        <w:spacing w:after="0" w:line="119" w:lineRule="exact"/>
        <w:rPr>
          <w:sz w:val="20"/>
          <w:szCs w:val="20"/>
          <w:color w:val="auto"/>
        </w:rPr>
      </w:pPr>
    </w:p>
    <w:p>
      <w:pPr>
        <w:jc w:val="both"/>
        <w:ind w:left="180" w:firstLine="648"/>
        <w:spacing w:after="0" w:line="272" w:lineRule="auto"/>
        <w:rPr>
          <w:sz w:val="20"/>
          <w:szCs w:val="20"/>
          <w:color w:val="auto"/>
        </w:rPr>
      </w:pPr>
      <w:r>
        <w:rPr>
          <w:rFonts w:ascii="Arial" w:cs="Arial" w:eastAsia="Arial" w:hAnsi="Arial"/>
          <w:sz w:val="19"/>
          <w:szCs w:val="19"/>
          <w:i w:val="1"/>
          <w:iCs w:val="1"/>
          <w:color w:val="auto"/>
        </w:rPr>
        <w:t xml:space="preserve">Section 5.3. Disclosure. </w:t>
      </w:r>
      <w:r>
        <w:rPr>
          <w:rFonts w:ascii="Arial" w:cs="Arial" w:eastAsia="Arial" w:hAnsi="Arial"/>
          <w:sz w:val="19"/>
          <w:szCs w:val="19"/>
          <w:color w:val="auto"/>
        </w:rPr>
        <w:t>This Agreement and the documents, certificates or other writings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delivered to the Purchasers by or on behalf of the Company in connection with the transactions contemplated hereby, including the management/investor presentation dated July 2023, and the financial statements listed in </w:t>
      </w:r>
      <w:r>
        <w:rPr>
          <w:rFonts w:ascii="Arial" w:cs="Arial" w:eastAsia="Arial" w:hAnsi="Arial"/>
          <w:sz w:val="19"/>
          <w:szCs w:val="19"/>
          <w:i w:val="1"/>
          <w:iCs w:val="1"/>
          <w:color w:val="auto"/>
        </w:rPr>
        <w:t>Schedule 5.5</w:t>
      </w:r>
      <w:r>
        <w:rPr>
          <w:rFonts w:ascii="Arial" w:cs="Arial" w:eastAsia="Arial" w:hAnsi="Arial"/>
          <w:sz w:val="19"/>
          <w:szCs w:val="19"/>
          <w:color w:val="auto"/>
        </w:rPr>
        <w:t xml:space="preserve"> (collectively, the </w:t>
      </w:r>
      <w:r>
        <w:rPr>
          <w:rFonts w:ascii="Arial" w:cs="Arial" w:eastAsia="Arial" w:hAnsi="Arial"/>
          <w:sz w:val="19"/>
          <w:szCs w:val="19"/>
          <w:i w:val="1"/>
          <w:iCs w:val="1"/>
          <w:color w:val="auto"/>
        </w:rPr>
        <w:t>“Disclosure Documents”),</w:t>
      </w:r>
      <w:r>
        <w:rPr>
          <w:rFonts w:ascii="Arial" w:cs="Arial" w:eastAsia="Arial" w:hAnsi="Arial"/>
          <w:sz w:val="19"/>
          <w:szCs w:val="19"/>
          <w:color w:val="auto"/>
        </w:rPr>
        <w:t xml:space="preserve"> taken as a whole, do not contain any untrue statement of a material fact or omit to state any material fact necessary to make the statements therein not misleading in light of the circumstances under which they were made. Since July 25, 2023, there has been no change in the financial condition, operations, business or properties of the Company or any of its Subsidiaries except changes that individually or in the aggregate would not reasonably be expected to have a Material Adverse Effect. There is no fact known to management of the Company that, in the reasonable judgment of management of the Company, could be expected to have a Material Adverse Effect that has not been set forth herein or in the other documents, certificates and other writings delivered to the Purchaser by the Company specifically for use in connection with the transactions contemplated hereby.</w:t>
      </w:r>
    </w:p>
    <w:p>
      <w:pPr>
        <w:spacing w:after="0" w:line="350" w:lineRule="exact"/>
        <w:rPr>
          <w:sz w:val="20"/>
          <w:szCs w:val="20"/>
          <w:color w:val="auto"/>
        </w:rPr>
      </w:pPr>
    </w:p>
    <w:p>
      <w:pPr>
        <w:jc w:val="both"/>
        <w:ind w:left="180" w:right="20" w:firstLine="648"/>
        <w:spacing w:after="0" w:line="287" w:lineRule="auto"/>
        <w:rPr>
          <w:sz w:val="20"/>
          <w:szCs w:val="20"/>
          <w:color w:val="auto"/>
        </w:rPr>
      </w:pPr>
      <w:r>
        <w:rPr>
          <w:rFonts w:ascii="Arial" w:cs="Arial" w:eastAsia="Arial" w:hAnsi="Arial"/>
          <w:sz w:val="19"/>
          <w:szCs w:val="19"/>
          <w:i w:val="1"/>
          <w:iCs w:val="1"/>
          <w:color w:val="auto"/>
        </w:rPr>
        <w:t xml:space="preserve">Section 5.4. Organization and Ownership of Shares of Subsidiaries. (a) Schedule 5.4 </w:t>
      </w:r>
      <w:r>
        <w:rPr>
          <w:rFonts w:ascii="Arial" w:cs="Arial" w:eastAsia="Arial" w:hAnsi="Arial"/>
          <w:sz w:val="19"/>
          <w:szCs w:val="19"/>
          <w:color w:val="auto"/>
        </w:rPr>
        <w:t>contains a complete and correct list of the Company’s Subsidiaries, showing, as to each Subsidiary, the correct name thereof, the jurisdiction of its organization, and the percentage of shares of each class of its capital stock or similar equity interests outstanding owned by the Company and each other Subsidiary.</w:t>
      </w:r>
    </w:p>
    <w:p>
      <w:pPr>
        <w:spacing w:after="0" w:line="89" w:lineRule="exact"/>
        <w:rPr>
          <w:sz w:val="20"/>
          <w:szCs w:val="20"/>
          <w:color w:val="auto"/>
        </w:rPr>
      </w:pPr>
    </w:p>
    <w:p>
      <w:pPr>
        <w:jc w:val="both"/>
        <w:ind w:left="180" w:firstLine="652"/>
        <w:spacing w:after="0" w:line="238" w:lineRule="auto"/>
        <w:tabs>
          <w:tab w:leader="none" w:pos="1728"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All of the outstanding shares of capital stock or similar equity interests of each Subsidiary shown in </w:t>
      </w:r>
      <w:r>
        <w:rPr>
          <w:rFonts w:ascii="Arial" w:cs="Arial" w:eastAsia="Arial" w:hAnsi="Arial"/>
          <w:sz w:val="22"/>
          <w:szCs w:val="22"/>
          <w:i w:val="1"/>
          <w:iCs w:val="1"/>
          <w:color w:val="auto"/>
        </w:rPr>
        <w:t>Schedule 5.4</w:t>
      </w:r>
      <w:r>
        <w:rPr>
          <w:rFonts w:ascii="Arial" w:cs="Arial" w:eastAsia="Arial" w:hAnsi="Arial"/>
          <w:sz w:val="22"/>
          <w:szCs w:val="22"/>
          <w:color w:val="auto"/>
        </w:rPr>
        <w:t xml:space="preserve"> as being owned by the Company and its Subsidiaries have been validly issued, are fully paid and nonassessable and are owned by the Company or another Subsidiary free and clear of any Lien.</w:t>
      </w:r>
    </w:p>
    <w:p>
      <w:pPr>
        <w:spacing w:after="0" w:line="130" w:lineRule="exact"/>
        <w:rPr>
          <w:rFonts w:ascii="Arial" w:cs="Arial" w:eastAsia="Arial" w:hAnsi="Arial"/>
          <w:sz w:val="22"/>
          <w:szCs w:val="22"/>
          <w:color w:val="auto"/>
        </w:rPr>
      </w:pPr>
    </w:p>
    <w:p>
      <w:pPr>
        <w:jc w:val="both"/>
        <w:ind w:left="180" w:firstLine="652"/>
        <w:spacing w:after="0" w:line="246" w:lineRule="auto"/>
        <w:tabs>
          <w:tab w:leader="none" w:pos="1716"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Each Subsidiary identified in </w:t>
      </w:r>
      <w:r>
        <w:rPr>
          <w:rFonts w:ascii="Arial" w:cs="Arial" w:eastAsia="Arial" w:hAnsi="Arial"/>
          <w:sz w:val="21"/>
          <w:szCs w:val="21"/>
          <w:i w:val="1"/>
          <w:iCs w:val="1"/>
          <w:color w:val="auto"/>
        </w:rPr>
        <w:t>Schedule 5.4</w:t>
      </w:r>
      <w:r>
        <w:rPr>
          <w:rFonts w:ascii="Arial" w:cs="Arial" w:eastAsia="Arial" w:hAnsi="Arial"/>
          <w:sz w:val="21"/>
          <w:szCs w:val="21"/>
          <w:color w:val="auto"/>
        </w:rPr>
        <w:t xml:space="preserve"> is duly incorporated and is validly subsisting as a corporation under the laws of the Commonwealth of Pennsylvania, and is duly qualified as a foreign corporation or other legal entity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spacing w:after="0" w:line="126" w:lineRule="exact"/>
        <w:rPr>
          <w:sz w:val="20"/>
          <w:szCs w:val="20"/>
          <w:color w:val="auto"/>
        </w:rPr>
      </w:pPr>
    </w:p>
    <w:p>
      <w:pPr>
        <w:jc w:val="both"/>
        <w:ind w:left="180" w:right="20" w:firstLine="648"/>
        <w:spacing w:after="0" w:line="246" w:lineRule="exact"/>
        <w:rPr>
          <w:sz w:val="20"/>
          <w:szCs w:val="20"/>
          <w:color w:val="auto"/>
        </w:rPr>
      </w:pPr>
      <w:r>
        <w:rPr>
          <w:rFonts w:ascii="Arial" w:cs="Arial" w:eastAsia="Arial" w:hAnsi="Arial"/>
          <w:sz w:val="21"/>
          <w:szCs w:val="21"/>
          <w:i w:val="1"/>
          <w:iCs w:val="1"/>
          <w:color w:val="auto"/>
        </w:rPr>
        <w:t xml:space="preserve">Section 5.5. Financial Statements; Material Liabilities. </w:t>
      </w:r>
      <w:r>
        <w:rPr>
          <w:rFonts w:ascii="Arial" w:cs="Arial" w:eastAsia="Arial" w:hAnsi="Arial"/>
          <w:sz w:val="21"/>
          <w:szCs w:val="21"/>
          <w:color w:val="auto"/>
        </w:rPr>
        <w:t>The Company has delivered to each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Purchaser copies of the financial statements of the Company and its Subsidiaries listed on </w:t>
      </w:r>
      <w:r>
        <w:rPr>
          <w:rFonts w:ascii="Arial" w:cs="Arial" w:eastAsia="Arial" w:hAnsi="Arial"/>
          <w:sz w:val="21"/>
          <w:szCs w:val="21"/>
          <w:i w:val="1"/>
          <w:iCs w:val="1"/>
          <w:color w:val="auto"/>
        </w:rPr>
        <w:t>Schedule 5.5</w:t>
      </w:r>
      <w:r>
        <w:rPr>
          <w:rFonts w:ascii="Arial" w:cs="Arial" w:eastAsia="Arial" w:hAnsi="Arial"/>
          <w:sz w:val="21"/>
          <w:szCs w:val="21"/>
          <w:color w:val="auto"/>
        </w:rPr>
        <w:t>. All of said financial statements (including in each case the related schedules and notes)</w:t>
      </w:r>
      <w:r>
        <w:rPr>
          <w:rFonts w:ascii="Arial" w:cs="Arial" w:eastAsia="Arial" w:hAnsi="Arial"/>
          <w:sz w:val="21"/>
          <w:szCs w:val="21"/>
          <w:i w:val="1"/>
          <w:iCs w:val="1"/>
          <w:color w:val="auto"/>
        </w:rPr>
        <w:t xml:space="preserve"> </w:t>
      </w:r>
      <w:r>
        <w:rPr>
          <w:rFonts w:ascii="Arial" w:cs="Arial" w:eastAsia="Arial" w:hAnsi="Arial"/>
          <w:sz w:val="21"/>
          <w:szCs w:val="21"/>
          <w:color w:val="auto"/>
        </w:rPr>
        <w:t>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w:t>
      </w:r>
      <w:r>
        <w:rPr>
          <w:rFonts w:ascii="MS PGothic" w:cs="MS PGothic" w:eastAsia="MS PGothic" w:hAnsi="MS PGothic"/>
          <w:sz w:val="21"/>
          <w:szCs w:val="21"/>
          <w:color w:val="auto"/>
        </w:rPr>
        <w:t>‑</w:t>
      </w:r>
      <w:r>
        <w:rPr>
          <w:rFonts w:ascii="Arial" w:cs="Arial" w:eastAsia="Arial" w:hAnsi="Arial"/>
          <w:sz w:val="21"/>
          <w:szCs w:val="21"/>
          <w:color w:val="auto"/>
        </w:rPr>
        <w:t>end adjustments). The Company does not have any Material liabilities that are not disclosed on such financial statements or otherwise disclosed in the Disclosure Documents.</w:t>
      </w:r>
    </w:p>
    <w:p>
      <w:pPr>
        <w:spacing w:after="0" w:line="137"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9"/>
          <w:szCs w:val="19"/>
          <w:i w:val="1"/>
          <w:iCs w:val="1"/>
          <w:color w:val="auto"/>
        </w:rPr>
        <w:t xml:space="preserve">Section 5.6. Compliance with Laws, Other Instruments, Etc. </w:t>
      </w:r>
      <w:r>
        <w:rPr>
          <w:rFonts w:ascii="Arial" w:cs="Arial" w:eastAsia="Arial" w:hAnsi="Arial"/>
          <w:sz w:val="19"/>
          <w:szCs w:val="19"/>
          <w:color w:val="auto"/>
        </w:rPr>
        <w:t>The execution, delivery and</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by the Company of each Financing Agreement (including the prior execution and delivery of the Indenture), will not (a) contravene, result in any breach of, or constitute a default under, or result in the creation of any Lien, other than the Lien created under the Indenture, in respect of any property of the Company or any Subsidiary under, any indenture, mortgage, deed of trust, loan, purchase or credit agreement, lease, corporate charter, regulations or by-laws, or any other Material agreement or instrument to which the Company or any Subsidiary is bound or by which the Company or any Subsidiary or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97155</wp:posOffset>
            </wp:positionV>
            <wp:extent cx="635190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1" w:name="page62"/>
    <w:bookmarkEnd w:id="61"/>
    <w:p>
      <w:pPr>
        <w:jc w:val="both"/>
        <w:ind w:left="180" w:right="20"/>
        <w:spacing w:after="0" w:line="248" w:lineRule="auto"/>
        <w:rPr>
          <w:sz w:val="20"/>
          <w:szCs w:val="20"/>
          <w:color w:val="auto"/>
        </w:rPr>
      </w:pPr>
      <w:r>
        <w:rPr>
          <w:rFonts w:ascii="Arial" w:cs="Arial" w:eastAsia="Arial" w:hAnsi="Arial"/>
          <w:sz w:val="21"/>
          <w:szCs w:val="21"/>
          <w:color w:val="auto"/>
        </w:rPr>
        <w:t>their respective properties may be bound or affected, (b) conflict with or result in a breach of any of the terms, conditions or provisions of any order, judgment, decree, or ruling of any court, arbitrator or Governmental Authority applicable to the Company or any Subsidiary or (c) violate any provision of any statute or other rule or regulation of any Governmental Authority applicable to the Company or any Subsidiary, except for any such default, breach, contravention or violation which would not reasonably be expected to have a Material Adverse Effect.</w:t>
      </w:r>
    </w:p>
    <w:p>
      <w:pPr>
        <w:spacing w:after="0" w:line="123" w:lineRule="exact"/>
        <w:rPr>
          <w:sz w:val="20"/>
          <w:szCs w:val="20"/>
          <w:color w:val="auto"/>
        </w:rPr>
      </w:pPr>
    </w:p>
    <w:p>
      <w:pPr>
        <w:jc w:val="both"/>
        <w:ind w:left="180" w:firstLine="648"/>
        <w:spacing w:after="0" w:line="236" w:lineRule="auto"/>
        <w:rPr>
          <w:sz w:val="20"/>
          <w:szCs w:val="20"/>
          <w:color w:val="auto"/>
        </w:rPr>
      </w:pPr>
      <w:r>
        <w:rPr>
          <w:rFonts w:ascii="Arial" w:cs="Arial" w:eastAsia="Arial" w:hAnsi="Arial"/>
          <w:sz w:val="22"/>
          <w:szCs w:val="22"/>
          <w:i w:val="1"/>
          <w:iCs w:val="1"/>
          <w:color w:val="auto"/>
        </w:rPr>
        <w:t xml:space="preserve">Section 5.7. Governmental Authorizations, </w:t>
      </w:r>
      <w:r>
        <w:rPr>
          <w:rFonts w:ascii="Arial" w:cs="Arial" w:eastAsia="Arial" w:hAnsi="Arial"/>
          <w:sz w:val="22"/>
          <w:szCs w:val="22"/>
          <w:color w:val="auto"/>
        </w:rPr>
        <w:t>Etc. No consent, approval or authorization of, or</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filing or declaration with, any Governmental Authority is required in connection with the execution, delivery or performance by the Company of this Agreement, the Bonds and the Supplement, other than approval of the Pennsylvania Public Utility Commission, which has been obtained and is in full force and effect and final and is non-appealable.</w:t>
      </w:r>
    </w:p>
    <w:p>
      <w:pPr>
        <w:spacing w:after="0" w:line="133" w:lineRule="exact"/>
        <w:rPr>
          <w:sz w:val="20"/>
          <w:szCs w:val="20"/>
          <w:color w:val="auto"/>
        </w:rPr>
      </w:pPr>
    </w:p>
    <w:p>
      <w:pPr>
        <w:jc w:val="both"/>
        <w:ind w:left="180" w:firstLine="648"/>
        <w:spacing w:after="0" w:line="249" w:lineRule="auto"/>
        <w:rPr>
          <w:sz w:val="20"/>
          <w:szCs w:val="20"/>
          <w:color w:val="auto"/>
        </w:rPr>
      </w:pPr>
      <w:r>
        <w:rPr>
          <w:rFonts w:ascii="Arial" w:cs="Arial" w:eastAsia="Arial" w:hAnsi="Arial"/>
          <w:sz w:val="21"/>
          <w:szCs w:val="21"/>
          <w:i w:val="1"/>
          <w:iCs w:val="1"/>
          <w:color w:val="auto"/>
        </w:rPr>
        <w:t xml:space="preserve">Section 5.8. Litigation; Observance of Statutes and Orders. </w:t>
      </w:r>
      <w:r>
        <w:rPr>
          <w:rFonts w:ascii="Arial" w:cs="Arial" w:eastAsia="Arial" w:hAnsi="Arial"/>
          <w:sz w:val="21"/>
          <w:szCs w:val="21"/>
          <w:color w:val="auto"/>
        </w:rPr>
        <w:t>(a) There are no actions, suits,</w:t>
      </w:r>
      <w:r>
        <w:rPr>
          <w:rFonts w:ascii="Arial" w:cs="Arial" w:eastAsia="Arial" w:hAnsi="Arial"/>
          <w:sz w:val="21"/>
          <w:szCs w:val="21"/>
          <w:i w:val="1"/>
          <w:iCs w:val="1"/>
          <w:color w:val="auto"/>
        </w:rPr>
        <w:t xml:space="preserve"> </w:t>
      </w:r>
      <w:r>
        <w:rPr>
          <w:rFonts w:ascii="Arial" w:cs="Arial" w:eastAsia="Arial" w:hAnsi="Arial"/>
          <w:sz w:val="21"/>
          <w:szCs w:val="21"/>
          <w:color w:val="auto"/>
        </w:rPr>
        <w:t>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individually or in the aggregate, would reasonably be expected to have a Material Adverse Effect.</w:t>
      </w:r>
    </w:p>
    <w:p>
      <w:pPr>
        <w:spacing w:after="0" w:line="124" w:lineRule="exact"/>
        <w:rPr>
          <w:sz w:val="20"/>
          <w:szCs w:val="20"/>
          <w:color w:val="auto"/>
        </w:rPr>
      </w:pPr>
    </w:p>
    <w:p>
      <w:pPr>
        <w:jc w:val="both"/>
        <w:ind w:left="180" w:firstLine="652"/>
        <w:spacing w:after="0" w:line="246" w:lineRule="auto"/>
        <w:tabs>
          <w:tab w:leader="none" w:pos="1728" w:val="left"/>
        </w:tabs>
        <w:numPr>
          <w:ilvl w:val="0"/>
          <w:numId w:val="24"/>
        </w:numPr>
        <w:rPr>
          <w:rFonts w:ascii="Arial" w:cs="Arial" w:eastAsia="Arial" w:hAnsi="Arial"/>
          <w:sz w:val="21"/>
          <w:szCs w:val="21"/>
          <w:color w:val="auto"/>
        </w:rPr>
      </w:pPr>
      <w:r>
        <w:rPr>
          <w:rFonts w:ascii="Arial" w:cs="Arial" w:eastAsia="Arial" w:hAnsi="Arial"/>
          <w:sz w:val="21"/>
          <w:szCs w:val="21"/>
          <w:color w:val="auto"/>
        </w:rPr>
        <w:t xml:space="preserve">Neither the Company nor any Subsidiary is (i) in default under any term of any agreement or instrument to which it is a party or by which it is bound, (ii) in violation of any order, judgment, decree or ruling of any court, any arbitrator of any kind or any Governmental Authority naming or referring to the Company or any Subsidiary or (iii) in violation of any applicable law, or, to the knowledge of the Company, any ordinance, rule or regulation of any Governmental Authority (including, without limitation, Environmental Laws, the USA Patriot Act or any of the other laws and regulations that are referred to in </w:t>
      </w:r>
      <w:r>
        <w:rPr>
          <w:rFonts w:ascii="Arial" w:cs="Arial" w:eastAsia="Arial" w:hAnsi="Arial"/>
          <w:sz w:val="21"/>
          <w:szCs w:val="21"/>
          <w:b w:val="1"/>
          <w:bCs w:val="1"/>
          <w:color w:val="auto"/>
        </w:rPr>
        <w:t>Section 5.16</w:t>
      </w:r>
      <w:r>
        <w:rPr>
          <w:rFonts w:ascii="Arial" w:cs="Arial" w:eastAsia="Arial" w:hAnsi="Arial"/>
          <w:sz w:val="21"/>
          <w:szCs w:val="21"/>
          <w:color w:val="auto"/>
        </w:rPr>
        <w:t>), which default or violation, individually or in the aggregate, could reasonably be expected to have a Material Adverse Effect.</w:t>
      </w:r>
    </w:p>
    <w:p>
      <w:pPr>
        <w:spacing w:after="0" w:line="126" w:lineRule="exact"/>
        <w:rPr>
          <w:sz w:val="20"/>
          <w:szCs w:val="20"/>
          <w:color w:val="auto"/>
        </w:rPr>
      </w:pPr>
    </w:p>
    <w:p>
      <w:pPr>
        <w:jc w:val="both"/>
        <w:ind w:left="180"/>
        <w:spacing w:after="0" w:line="272" w:lineRule="auto"/>
        <w:rPr>
          <w:sz w:val="20"/>
          <w:szCs w:val="20"/>
          <w:color w:val="auto"/>
        </w:rPr>
      </w:pPr>
      <w:r>
        <w:rPr>
          <w:rFonts w:ascii="Arial" w:cs="Arial" w:eastAsia="Arial" w:hAnsi="Arial"/>
          <w:sz w:val="19"/>
          <w:szCs w:val="19"/>
          <w:i w:val="1"/>
          <w:iCs w:val="1"/>
          <w:color w:val="auto"/>
        </w:rPr>
        <w:t xml:space="preserve">Section 5.9. Taxes. </w:t>
      </w:r>
      <w:r>
        <w:rPr>
          <w:rFonts w:ascii="Arial" w:cs="Arial" w:eastAsia="Arial" w:hAnsi="Arial"/>
          <w:sz w:val="19"/>
          <w:szCs w:val="19"/>
          <w:color w:val="auto"/>
        </w:rPr>
        <w:t>The Company and its Subsidiaries have filed all income tax returns that are</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is not individually or in the aggregate Material or (ii) the amount, applicability or validity of which is currently being contested in good faith by appropriate proceedings and with respect to which the Company or a Subsidiary, as the case may be, has established adequate reserves in accordance with GAAP. The charges, accruals, and reserves on the books of the Company and its Subsidiaries in respect of federal, state or other taxes for all fiscal periods are adequate. The Federal income tax liabilities of the Company and its Subsidiaries have been finally determined (whether by reason of completed audits or the statute of limitations having run) for all fiscal years up to and including the fiscal year ended December 31, 2019 and all amounts owing in respect of such audit have been paid.</w:t>
      </w:r>
    </w:p>
    <w:p>
      <w:pPr>
        <w:spacing w:after="0" w:line="107" w:lineRule="exact"/>
        <w:rPr>
          <w:sz w:val="20"/>
          <w:szCs w:val="20"/>
          <w:color w:val="auto"/>
        </w:rPr>
      </w:pPr>
    </w:p>
    <w:p>
      <w:pPr>
        <w:jc w:val="both"/>
        <w:ind w:left="180" w:firstLine="648"/>
        <w:spacing w:after="0" w:line="277" w:lineRule="auto"/>
        <w:rPr>
          <w:sz w:val="20"/>
          <w:szCs w:val="20"/>
          <w:color w:val="auto"/>
        </w:rPr>
      </w:pPr>
      <w:r>
        <w:rPr>
          <w:rFonts w:ascii="Arial" w:cs="Arial" w:eastAsia="Arial" w:hAnsi="Arial"/>
          <w:sz w:val="19"/>
          <w:szCs w:val="19"/>
          <w:i w:val="1"/>
          <w:iCs w:val="1"/>
          <w:color w:val="auto"/>
        </w:rPr>
        <w:t xml:space="preserve">Section 5.10. Title to Property; Leases. </w:t>
      </w:r>
      <w:r>
        <w:rPr>
          <w:rFonts w:ascii="Arial" w:cs="Arial" w:eastAsia="Arial" w:hAnsi="Arial"/>
          <w:sz w:val="19"/>
          <w:szCs w:val="19"/>
          <w:color w:val="auto"/>
        </w:rPr>
        <w:t>The Company and its Subsidiaries have good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sufficient title to their respective Material properties, including all such properties reflected in the most recent audited balance sheet referred to in </w:t>
      </w:r>
      <w:r>
        <w:rPr>
          <w:rFonts w:ascii="Arial" w:cs="Arial" w:eastAsia="Arial" w:hAnsi="Arial"/>
          <w:sz w:val="19"/>
          <w:szCs w:val="19"/>
          <w:b w:val="1"/>
          <w:bCs w:val="1"/>
          <w:color w:val="auto"/>
        </w:rPr>
        <w:t>Section 5.5</w:t>
      </w:r>
      <w:r>
        <w:rPr>
          <w:rFonts w:ascii="Arial" w:cs="Arial" w:eastAsia="Arial" w:hAnsi="Arial"/>
          <w:sz w:val="19"/>
          <w:szCs w:val="19"/>
          <w:color w:val="auto"/>
        </w:rPr>
        <w:t xml:space="preserve"> or purported to have been acquired by the Company or any Subsidiary after said date (except as sold or otherwise disposed of in the ordinary course of business), in each case free and clear of Liens prohibited by this Agreement or the Indenture, except for those defects in title and Liens that, individually or in the aggregate, would not have a Material Adverse Effect. All Material leases are valid and subsisting and are in full force and effect in all material respects.</w:t>
      </w:r>
    </w:p>
    <w:p>
      <w:pPr>
        <w:spacing w:after="0" w:line="98" w:lineRule="exact"/>
        <w:rPr>
          <w:sz w:val="20"/>
          <w:szCs w:val="20"/>
          <w:color w:val="auto"/>
        </w:rPr>
      </w:pPr>
    </w:p>
    <w:p>
      <w:pPr>
        <w:jc w:val="both"/>
        <w:ind w:left="180" w:right="20" w:firstLine="648"/>
        <w:spacing w:after="0" w:line="236" w:lineRule="auto"/>
        <w:rPr>
          <w:sz w:val="20"/>
          <w:szCs w:val="20"/>
          <w:color w:val="auto"/>
        </w:rPr>
      </w:pPr>
      <w:r>
        <w:rPr>
          <w:rFonts w:ascii="Arial" w:cs="Arial" w:eastAsia="Arial" w:hAnsi="Arial"/>
          <w:sz w:val="22"/>
          <w:szCs w:val="22"/>
          <w:i w:val="1"/>
          <w:iCs w:val="1"/>
          <w:color w:val="auto"/>
        </w:rPr>
        <w:t xml:space="preserve">Section 5.11. Licenses, Permits, Etc. </w:t>
      </w:r>
      <w:r>
        <w:rPr>
          <w:rFonts w:ascii="Arial" w:cs="Arial" w:eastAsia="Arial" w:hAnsi="Arial"/>
          <w:sz w:val="22"/>
          <w:szCs w:val="22"/>
          <w:color w:val="auto"/>
        </w:rPr>
        <w:t>The Company and its Subsidiaries own or possess all</w:t>
      </w:r>
      <w:r>
        <w:rPr>
          <w:rFonts w:ascii="Arial" w:cs="Arial" w:eastAsia="Arial" w:hAnsi="Arial"/>
          <w:sz w:val="22"/>
          <w:szCs w:val="22"/>
          <w:i w:val="1"/>
          <w:iCs w:val="1"/>
          <w:color w:val="auto"/>
        </w:rPr>
        <w:t xml:space="preserve"> </w:t>
      </w:r>
      <w:r>
        <w:rPr>
          <w:rFonts w:ascii="Arial" w:cs="Arial" w:eastAsia="Arial" w:hAnsi="Arial"/>
          <w:sz w:val="22"/>
          <w:szCs w:val="22"/>
          <w:color w:val="auto"/>
        </w:rPr>
        <w:t>licenses, permits, franchises, certificates of convenience and necessity, authorizations, patents, copyrights, proprietary software, service marks, trademarks and trade names, or rights thereto, that are Material, without known conflict with the rights of others, except for those conflicts that, individually or in the aggregate, would not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120015</wp:posOffset>
            </wp:positionV>
            <wp:extent cx="635190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2" w:name="page63"/>
    <w:bookmarkEnd w:id="62"/>
    <w:p>
      <w:pPr>
        <w:jc w:val="both"/>
        <w:ind w:left="180" w:right="20" w:firstLine="648"/>
        <w:spacing w:after="0" w:line="273" w:lineRule="auto"/>
        <w:rPr>
          <w:sz w:val="20"/>
          <w:szCs w:val="20"/>
          <w:color w:val="auto"/>
        </w:rPr>
      </w:pPr>
      <w:r>
        <w:rPr>
          <w:rFonts w:ascii="Arial" w:cs="Arial" w:eastAsia="Arial" w:hAnsi="Arial"/>
          <w:sz w:val="19"/>
          <w:szCs w:val="19"/>
          <w:i w:val="1"/>
          <w:iCs w:val="1"/>
          <w:color w:val="auto"/>
        </w:rPr>
        <w:t xml:space="preserve">Section 5.12. Compliance with Employee Benefit Plans. </w:t>
      </w:r>
      <w:r>
        <w:rPr>
          <w:rFonts w:ascii="Arial" w:cs="Arial" w:eastAsia="Arial" w:hAnsi="Arial"/>
          <w:sz w:val="19"/>
          <w:szCs w:val="19"/>
          <w:color w:val="auto"/>
        </w:rPr>
        <w:t>(a) The Company and each ERISA</w:t>
      </w:r>
      <w:r>
        <w:rPr>
          <w:rFonts w:ascii="Arial" w:cs="Arial" w:eastAsia="Arial" w:hAnsi="Arial"/>
          <w:sz w:val="19"/>
          <w:szCs w:val="19"/>
          <w:i w:val="1"/>
          <w:iCs w:val="1"/>
          <w:color w:val="auto"/>
        </w:rPr>
        <w:t xml:space="preserve"> </w:t>
      </w:r>
      <w:r>
        <w:rPr>
          <w:rFonts w:ascii="Arial" w:cs="Arial" w:eastAsia="Arial" w:hAnsi="Arial"/>
          <w:sz w:val="19"/>
          <w:szCs w:val="19"/>
          <w:color w:val="auto"/>
        </w:rPr>
        <w:t>Affiliate have operated and administered each Plan in compliance with all applicable laws except for such instances of noncompliance as have not resulted in and could not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such penalty or excise tax provisions or to section 401(a)(29) or 412 of the Code or section 4068 of ERISA, other than such liabilities or Liens as would not be individually or in the aggregate Material.</w:t>
      </w:r>
    </w:p>
    <w:p>
      <w:pPr>
        <w:spacing w:after="0" w:line="102" w:lineRule="exact"/>
        <w:rPr>
          <w:sz w:val="20"/>
          <w:szCs w:val="20"/>
          <w:color w:val="auto"/>
        </w:rPr>
      </w:pPr>
    </w:p>
    <w:p>
      <w:pPr>
        <w:jc w:val="both"/>
        <w:ind w:left="180" w:firstLine="652"/>
        <w:spacing w:after="0" w:line="246" w:lineRule="auto"/>
        <w:tabs>
          <w:tab w:leader="none" w:pos="1728"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present value of the aggregate benefit liabilities under each of the Plans subject to section 412 of the Code (other than Multiemployer Plans), determined as of January 1, 2022 based on such Plan’s actuarial assumptions as of that date for funding purposes as documented in such Plan’s actuarial valuation reports dated September 2022 did not exceed the aggregate current value of the assets of such Plan allocable to such benefit liabilities by more than $5,000,000 in the case of any single Plan and by more than $5,000,000 in the aggregate for all Plans. The term “</w:t>
      </w:r>
      <w:r>
        <w:rPr>
          <w:rFonts w:ascii="Arial" w:cs="Arial" w:eastAsia="Arial" w:hAnsi="Arial"/>
          <w:sz w:val="21"/>
          <w:szCs w:val="21"/>
          <w:i w:val="1"/>
          <w:iCs w:val="1"/>
          <w:color w:val="auto"/>
        </w:rPr>
        <w:t>benefit liabilities</w:t>
      </w:r>
      <w:r>
        <w:rPr>
          <w:rFonts w:ascii="Arial" w:cs="Arial" w:eastAsia="Arial" w:hAnsi="Arial"/>
          <w:sz w:val="21"/>
          <w:szCs w:val="21"/>
          <w:color w:val="auto"/>
        </w:rPr>
        <w:t>” has the meaning specified in section 4001 of ERISA and the terms “</w:t>
      </w:r>
      <w:r>
        <w:rPr>
          <w:rFonts w:ascii="Arial" w:cs="Arial" w:eastAsia="Arial" w:hAnsi="Arial"/>
          <w:sz w:val="21"/>
          <w:szCs w:val="21"/>
          <w:i w:val="1"/>
          <w:iCs w:val="1"/>
          <w:color w:val="auto"/>
        </w:rPr>
        <w:t>current</w:t>
      </w:r>
      <w:r>
        <w:rPr>
          <w:rFonts w:ascii="Arial" w:cs="Arial" w:eastAsia="Arial" w:hAnsi="Arial"/>
          <w:sz w:val="21"/>
          <w:szCs w:val="21"/>
          <w:color w:val="auto"/>
        </w:rPr>
        <w:t xml:space="preserve"> value” and “</w:t>
      </w:r>
      <w:r>
        <w:rPr>
          <w:rFonts w:ascii="Arial" w:cs="Arial" w:eastAsia="Arial" w:hAnsi="Arial"/>
          <w:sz w:val="21"/>
          <w:szCs w:val="21"/>
          <w:i w:val="1"/>
          <w:iCs w:val="1"/>
          <w:color w:val="auto"/>
        </w:rPr>
        <w:t>present value”</w:t>
      </w:r>
      <w:r>
        <w:rPr>
          <w:rFonts w:ascii="Arial" w:cs="Arial" w:eastAsia="Arial" w:hAnsi="Arial"/>
          <w:sz w:val="21"/>
          <w:szCs w:val="21"/>
          <w:color w:val="auto"/>
        </w:rPr>
        <w:t xml:space="preserve"> have the meaning specified in section 3 of ERISA.</w:t>
      </w:r>
    </w:p>
    <w:p>
      <w:pPr>
        <w:spacing w:after="0" w:line="125" w:lineRule="exact"/>
        <w:rPr>
          <w:rFonts w:ascii="Arial" w:cs="Arial" w:eastAsia="Arial" w:hAnsi="Arial"/>
          <w:sz w:val="21"/>
          <w:szCs w:val="21"/>
          <w:color w:val="auto"/>
        </w:rPr>
      </w:pPr>
    </w:p>
    <w:p>
      <w:pPr>
        <w:jc w:val="both"/>
        <w:ind w:left="180" w:firstLine="652"/>
        <w:spacing w:after="0"/>
        <w:tabs>
          <w:tab w:leader="none" w:pos="171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and its ERISA Affiliates have not incurred withdrawal liabilities (and are not subject to contingent withdrawal liabilities) under section 4201 or 4204 of ERISA in respect of Multiemployer Plans that individually or in the aggregate are Material.</w:t>
      </w:r>
    </w:p>
    <w:p>
      <w:pPr>
        <w:spacing w:after="0" w:line="132" w:lineRule="exact"/>
        <w:rPr>
          <w:rFonts w:ascii="Arial" w:cs="Arial" w:eastAsia="Arial" w:hAnsi="Arial"/>
          <w:sz w:val="22"/>
          <w:szCs w:val="22"/>
          <w:color w:val="auto"/>
        </w:rPr>
      </w:pPr>
    </w:p>
    <w:p>
      <w:pPr>
        <w:jc w:val="both"/>
        <w:ind w:left="180" w:right="20" w:firstLine="652"/>
        <w:spacing w:after="0" w:line="251" w:lineRule="exact"/>
        <w:tabs>
          <w:tab w:leader="none" w:pos="1728"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expected postretirement benefit obligation (determined as of the last day of the Company’s most recently ended fiscal year in accordance with Financial Accounting Standards Board Accounting Standards Codification Topic 715</w:t>
      </w:r>
      <w:r>
        <w:rPr>
          <w:rFonts w:ascii="MS PGothic" w:cs="MS PGothic" w:eastAsia="MS PGothic" w:hAnsi="MS PGothic"/>
          <w:sz w:val="19"/>
          <w:szCs w:val="19"/>
          <w:color w:val="auto"/>
        </w:rPr>
        <w:t>‑</w:t>
      </w:r>
      <w:r>
        <w:rPr>
          <w:rFonts w:ascii="Arial" w:cs="Arial" w:eastAsia="Arial" w:hAnsi="Arial"/>
          <w:sz w:val="19"/>
          <w:szCs w:val="19"/>
          <w:color w:val="auto"/>
        </w:rPr>
        <w:t>60, without regard to liabilities attributable to continuation coverage mandated by section 4980B of the Code) of the Company and its Subsidiaries is not Material.</w:t>
      </w:r>
    </w:p>
    <w:p>
      <w:pPr>
        <w:spacing w:after="0" w:line="132" w:lineRule="exact"/>
        <w:rPr>
          <w:rFonts w:ascii="Arial" w:cs="Arial" w:eastAsia="Arial" w:hAnsi="Arial"/>
          <w:sz w:val="19"/>
          <w:szCs w:val="19"/>
          <w:color w:val="auto"/>
        </w:rPr>
      </w:pPr>
    </w:p>
    <w:p>
      <w:pPr>
        <w:jc w:val="both"/>
        <w:ind w:left="180" w:firstLine="652"/>
        <w:spacing w:after="0" w:line="248" w:lineRule="exact"/>
        <w:tabs>
          <w:tab w:leader="none" w:pos="171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execution and delivery of this Agreement and the issuance and sale of the Bonds hereunder will not involve any transaction that is subject to the prohibitions of section 406 of ERISA or in connection with which a tax could be imposed pursuant to section 4975(c)(1)(A)</w:t>
      </w:r>
      <w:r>
        <w:rPr>
          <w:rFonts w:ascii="MS PGothic" w:cs="MS PGothic" w:eastAsia="MS PGothic" w:hAnsi="MS PGothic"/>
          <w:sz w:val="19"/>
          <w:szCs w:val="19"/>
          <w:color w:val="auto"/>
        </w:rPr>
        <w:t>‑</w:t>
      </w:r>
      <w:r>
        <w:rPr>
          <w:rFonts w:ascii="Arial" w:cs="Arial" w:eastAsia="Arial" w:hAnsi="Arial"/>
          <w:sz w:val="19"/>
          <w:szCs w:val="19"/>
          <w:color w:val="auto"/>
        </w:rPr>
        <w:t xml:space="preserve">(D) of the Code. The representation by the Company to each Purchaser in the first sentence of this </w:t>
      </w:r>
      <w:r>
        <w:rPr>
          <w:rFonts w:ascii="Arial" w:cs="Arial" w:eastAsia="Arial" w:hAnsi="Arial"/>
          <w:sz w:val="19"/>
          <w:szCs w:val="19"/>
          <w:b w:val="1"/>
          <w:bCs w:val="1"/>
          <w:color w:val="auto"/>
        </w:rPr>
        <w:t>Section 5.12(e)</w:t>
      </w:r>
      <w:r>
        <w:rPr>
          <w:rFonts w:ascii="Arial" w:cs="Arial" w:eastAsia="Arial" w:hAnsi="Arial"/>
          <w:sz w:val="19"/>
          <w:szCs w:val="19"/>
          <w:color w:val="auto"/>
        </w:rPr>
        <w:t xml:space="preserve"> is made in reliance upon and subject to the accuracy of such Purchaser’s representation in </w:t>
      </w:r>
      <w:r>
        <w:rPr>
          <w:rFonts w:ascii="Arial" w:cs="Arial" w:eastAsia="Arial" w:hAnsi="Arial"/>
          <w:sz w:val="19"/>
          <w:szCs w:val="19"/>
          <w:b w:val="1"/>
          <w:bCs w:val="1"/>
          <w:color w:val="auto"/>
        </w:rPr>
        <w:t>Section 6.2</w:t>
      </w:r>
      <w:r>
        <w:rPr>
          <w:rFonts w:ascii="Arial" w:cs="Arial" w:eastAsia="Arial" w:hAnsi="Arial"/>
          <w:sz w:val="19"/>
          <w:szCs w:val="19"/>
          <w:color w:val="auto"/>
        </w:rPr>
        <w:t xml:space="preserve"> as to the sources of the funds used to pay the purchase price of the Bonds to be purchased by such Purchaser.</w:t>
      </w:r>
    </w:p>
    <w:p>
      <w:pPr>
        <w:spacing w:after="0" w:line="134" w:lineRule="exact"/>
        <w:rPr>
          <w:rFonts w:ascii="Arial" w:cs="Arial" w:eastAsia="Arial" w:hAnsi="Arial"/>
          <w:sz w:val="19"/>
          <w:szCs w:val="19"/>
          <w:color w:val="auto"/>
        </w:rPr>
      </w:pPr>
    </w:p>
    <w:p>
      <w:pPr>
        <w:ind w:left="1700" w:hanging="868"/>
        <w:spacing w:after="0" w:line="253" w:lineRule="exact"/>
        <w:tabs>
          <w:tab w:leader="none" w:pos="17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and its Subsidiaries do not have any Non</w:t>
      </w:r>
      <w:r>
        <w:rPr>
          <w:rFonts w:ascii="MS PGothic" w:cs="MS PGothic" w:eastAsia="MS PGothic" w:hAnsi="MS PGothic"/>
          <w:sz w:val="22"/>
          <w:szCs w:val="22"/>
          <w:color w:val="auto"/>
        </w:rPr>
        <w:t>‑</w:t>
      </w:r>
      <w:r>
        <w:rPr>
          <w:rFonts w:ascii="Arial" w:cs="Arial" w:eastAsia="Arial" w:hAnsi="Arial"/>
          <w:sz w:val="22"/>
          <w:szCs w:val="22"/>
          <w:color w:val="auto"/>
        </w:rPr>
        <w:t>U.S. Plans.</w:t>
      </w:r>
    </w:p>
    <w:p>
      <w:pPr>
        <w:spacing w:after="0" w:line="152" w:lineRule="exact"/>
        <w:rPr>
          <w:sz w:val="20"/>
          <w:szCs w:val="20"/>
          <w:color w:val="auto"/>
        </w:rPr>
      </w:pPr>
    </w:p>
    <w:p>
      <w:pPr>
        <w:jc w:val="both"/>
        <w:ind w:left="180" w:firstLine="648"/>
        <w:spacing w:after="0" w:line="246" w:lineRule="auto"/>
        <w:rPr>
          <w:sz w:val="20"/>
          <w:szCs w:val="20"/>
          <w:color w:val="auto"/>
        </w:rPr>
      </w:pPr>
      <w:r>
        <w:rPr>
          <w:rFonts w:ascii="Arial" w:cs="Arial" w:eastAsia="Arial" w:hAnsi="Arial"/>
          <w:sz w:val="21"/>
          <w:szCs w:val="21"/>
          <w:i w:val="1"/>
          <w:iCs w:val="1"/>
          <w:color w:val="auto"/>
        </w:rPr>
        <w:t xml:space="preserve">Section 5.13. Private Offering by the Company. </w:t>
      </w:r>
      <w:r>
        <w:rPr>
          <w:rFonts w:ascii="Arial" w:cs="Arial" w:eastAsia="Arial" w:hAnsi="Arial"/>
          <w:sz w:val="21"/>
          <w:szCs w:val="21"/>
          <w:color w:val="auto"/>
        </w:rPr>
        <w:t>Neither the Company nor anyone acting</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on the Company’s behalf has offered the Bonds or any similar securities for sale to, or solicited any offer to buy any of the same from, or otherwise approached or negotiated in respect thereof with, any Person other than the Purchasers and not more than 18 other Institutional Investors, each of which has been offered the Bonds in connection with a private sale for investment. Neither the Company nor anyone acting on its behalf has taken, or will take, any action that would subject the issuance or sale of the Bonds to the registration requirements of </w:t>
      </w:r>
      <w:r>
        <w:rPr>
          <w:rFonts w:ascii="Arial" w:cs="Arial" w:eastAsia="Arial" w:hAnsi="Arial"/>
          <w:sz w:val="21"/>
          <w:szCs w:val="21"/>
          <w:b w:val="1"/>
          <w:bCs w:val="1"/>
          <w:color w:val="auto"/>
        </w:rPr>
        <w:t>Section 5</w:t>
      </w:r>
      <w:r>
        <w:rPr>
          <w:rFonts w:ascii="Arial" w:cs="Arial" w:eastAsia="Arial" w:hAnsi="Arial"/>
          <w:sz w:val="21"/>
          <w:szCs w:val="21"/>
          <w:color w:val="auto"/>
        </w:rPr>
        <w:t xml:space="preserve"> of the Securities Act.</w:t>
      </w:r>
    </w:p>
    <w:p>
      <w:pPr>
        <w:spacing w:after="0" w:line="130" w:lineRule="exact"/>
        <w:rPr>
          <w:sz w:val="20"/>
          <w:szCs w:val="20"/>
          <w:color w:val="auto"/>
        </w:rPr>
      </w:pPr>
    </w:p>
    <w:p>
      <w:pPr>
        <w:jc w:val="both"/>
        <w:ind w:left="180" w:right="20" w:firstLine="648"/>
        <w:spacing w:after="0" w:line="234" w:lineRule="auto"/>
        <w:rPr>
          <w:sz w:val="20"/>
          <w:szCs w:val="20"/>
          <w:color w:val="auto"/>
        </w:rPr>
      </w:pPr>
      <w:r>
        <w:rPr>
          <w:rFonts w:ascii="Arial" w:cs="Arial" w:eastAsia="Arial" w:hAnsi="Arial"/>
          <w:sz w:val="22"/>
          <w:szCs w:val="22"/>
          <w:i w:val="1"/>
          <w:iCs w:val="1"/>
          <w:color w:val="auto"/>
        </w:rPr>
        <w:t xml:space="preserve">Section 5.14. Use of Proceeds; Margin Regulations. </w:t>
      </w:r>
      <w:r>
        <w:rPr>
          <w:rFonts w:ascii="Arial" w:cs="Arial" w:eastAsia="Arial" w:hAnsi="Arial"/>
          <w:sz w:val="22"/>
          <w:szCs w:val="22"/>
          <w:color w:val="auto"/>
        </w:rPr>
        <w:t>The Company will apply the proceeds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of the sale of the Bonds to repay existing indebtedness and for general corporate purposes and in compliance with all laws referenced in </w:t>
      </w:r>
      <w:r>
        <w:rPr>
          <w:rFonts w:ascii="Arial" w:cs="Arial" w:eastAsia="Arial" w:hAnsi="Arial"/>
          <w:sz w:val="22"/>
          <w:szCs w:val="22"/>
          <w:b w:val="1"/>
          <w:bCs w:val="1"/>
          <w:color w:val="auto"/>
        </w:rPr>
        <w:t>Section 5.16</w:t>
      </w:r>
      <w:r>
        <w:rPr>
          <w:rFonts w:ascii="Arial" w:cs="Arial" w:eastAsia="Arial" w:hAnsi="Arial"/>
          <w:sz w:val="22"/>
          <w:szCs w:val="22"/>
          <w:color w:val="auto"/>
        </w:rPr>
        <w:t>.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119380</wp:posOffset>
            </wp:positionV>
            <wp:extent cx="635190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3" w:name="page64"/>
    <w:bookmarkEnd w:id="63"/>
    <w:p>
      <w:pPr>
        <w:jc w:val="both"/>
        <w:ind w:left="180"/>
        <w:spacing w:after="0" w:line="236" w:lineRule="auto"/>
        <w:rPr>
          <w:sz w:val="20"/>
          <w:szCs w:val="20"/>
          <w:color w:val="auto"/>
        </w:rPr>
      </w:pPr>
      <w:r>
        <w:rPr>
          <w:rFonts w:ascii="Arial" w:cs="Arial" w:eastAsia="Arial" w:hAnsi="Arial"/>
          <w:sz w:val="22"/>
          <w:szCs w:val="22"/>
          <w:color w:val="auto"/>
        </w:rPr>
        <w:t xml:space="preserve">a violation of Regulation T of said Board (12 CFR 220). Margin stock does not constitute more than 2% of the value of the consolidated assets of the Company and its Subsidiaries and the Company does not have any present intention that margin stock will constitute more than 2% of the value of such assets. As used in this </w:t>
      </w:r>
      <w:r>
        <w:rPr>
          <w:rFonts w:ascii="Arial" w:cs="Arial" w:eastAsia="Arial" w:hAnsi="Arial"/>
          <w:sz w:val="22"/>
          <w:szCs w:val="22"/>
          <w:b w:val="1"/>
          <w:bCs w:val="1"/>
          <w:color w:val="auto"/>
        </w:rPr>
        <w:t>Section</w:t>
      </w:r>
      <w:r>
        <w:rPr>
          <w:rFonts w:ascii="Arial" w:cs="Arial" w:eastAsia="Arial" w:hAnsi="Arial"/>
          <w:sz w:val="22"/>
          <w:szCs w:val="22"/>
          <w:color w:val="auto"/>
        </w:rPr>
        <w:t>, the terms “</w:t>
      </w:r>
      <w:r>
        <w:rPr>
          <w:rFonts w:ascii="Arial" w:cs="Arial" w:eastAsia="Arial" w:hAnsi="Arial"/>
          <w:sz w:val="22"/>
          <w:szCs w:val="22"/>
          <w:i w:val="1"/>
          <w:iCs w:val="1"/>
          <w:color w:val="auto"/>
        </w:rPr>
        <w:t>margin stock</w:t>
      </w:r>
      <w:r>
        <w:rPr>
          <w:rFonts w:ascii="Arial" w:cs="Arial" w:eastAsia="Arial" w:hAnsi="Arial"/>
          <w:sz w:val="22"/>
          <w:szCs w:val="22"/>
          <w:color w:val="auto"/>
        </w:rPr>
        <w:t>” and “</w:t>
      </w:r>
      <w:r>
        <w:rPr>
          <w:rFonts w:ascii="Arial" w:cs="Arial" w:eastAsia="Arial" w:hAnsi="Arial"/>
          <w:sz w:val="22"/>
          <w:szCs w:val="22"/>
          <w:i w:val="1"/>
          <w:iCs w:val="1"/>
          <w:color w:val="auto"/>
        </w:rPr>
        <w:t>purpose of buying or carrying</w:t>
      </w:r>
      <w:r>
        <w:rPr>
          <w:rFonts w:ascii="Arial" w:cs="Arial" w:eastAsia="Arial" w:hAnsi="Arial"/>
          <w:sz w:val="22"/>
          <w:szCs w:val="22"/>
          <w:color w:val="auto"/>
        </w:rPr>
        <w:t>” shall have the meanings assigned to them in said Regulation U.</w:t>
      </w:r>
    </w:p>
    <w:p>
      <w:pPr>
        <w:spacing w:after="0" w:line="134" w:lineRule="exact"/>
        <w:rPr>
          <w:sz w:val="20"/>
          <w:szCs w:val="20"/>
          <w:color w:val="auto"/>
        </w:rPr>
      </w:pPr>
    </w:p>
    <w:p>
      <w:pPr>
        <w:jc w:val="both"/>
        <w:ind w:left="180" w:firstLine="648"/>
        <w:spacing w:after="0" w:line="273" w:lineRule="auto"/>
        <w:rPr>
          <w:sz w:val="20"/>
          <w:szCs w:val="20"/>
          <w:color w:val="auto"/>
        </w:rPr>
      </w:pPr>
      <w:r>
        <w:rPr>
          <w:rFonts w:ascii="Arial" w:cs="Arial" w:eastAsia="Arial" w:hAnsi="Arial"/>
          <w:sz w:val="19"/>
          <w:szCs w:val="19"/>
          <w:i w:val="1"/>
          <w:iCs w:val="1"/>
          <w:color w:val="auto"/>
        </w:rPr>
        <w:t xml:space="preserve">Section 5.15. Existing Debt. </w:t>
      </w:r>
      <w:r>
        <w:rPr>
          <w:rFonts w:ascii="Arial" w:cs="Arial" w:eastAsia="Arial" w:hAnsi="Arial"/>
          <w:sz w:val="19"/>
          <w:szCs w:val="19"/>
          <w:color w:val="auto"/>
        </w:rPr>
        <w:t>Except as described therein,</w:t>
      </w:r>
      <w:r>
        <w:rPr>
          <w:rFonts w:ascii="Arial" w:cs="Arial" w:eastAsia="Arial" w:hAnsi="Arial"/>
          <w:sz w:val="19"/>
          <w:szCs w:val="19"/>
          <w:i w:val="1"/>
          <w:iCs w:val="1"/>
          <w:color w:val="auto"/>
        </w:rPr>
        <w:t xml:space="preserve"> Schedule 5.15(a) </w:t>
      </w:r>
      <w:r>
        <w:rPr>
          <w:rFonts w:ascii="Arial" w:cs="Arial" w:eastAsia="Arial" w:hAnsi="Arial"/>
          <w:sz w:val="19"/>
          <w:szCs w:val="19"/>
          <w:color w:val="auto"/>
        </w:rPr>
        <w:t>sets forth a</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and correct list of all outstanding Debt of the Company and its Subsidiaries as of June 30, 2023 since which date except as described therein there has been no Material change in the amounts, interest rates, sinking funds, installment payments or maturities of the Debt of the Company or its Subsidiaries. Neither the Company nor any Subsidiary is in default and no waiver of default is currently in effect, in the payment of any principal or interest on any Debt of the Company or any Subsidiary and no event or condition exists with respect to any Debt of the Company or any Subsidiary, the outstanding principal amount of which exceeds $5,000,000 that would permit (or that with notice or the lapse of time, or both, would permit) one or more Persons to cause such Debt to become due and payable before its stated maturity or before its regularly scheduled dates of payment.</w:t>
      </w:r>
    </w:p>
    <w:p>
      <w:pPr>
        <w:spacing w:after="0" w:line="101" w:lineRule="exact"/>
        <w:rPr>
          <w:sz w:val="20"/>
          <w:szCs w:val="20"/>
          <w:color w:val="auto"/>
        </w:rPr>
      </w:pPr>
    </w:p>
    <w:p>
      <w:pPr>
        <w:jc w:val="both"/>
        <w:ind w:left="180" w:firstLine="652"/>
        <w:spacing w:after="0" w:line="283" w:lineRule="auto"/>
        <w:tabs>
          <w:tab w:leader="none" w:pos="1728"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Without limiting the representation in </w:t>
      </w:r>
      <w:r>
        <w:rPr>
          <w:rFonts w:ascii="Arial" w:cs="Arial" w:eastAsia="Arial" w:hAnsi="Arial"/>
          <w:sz w:val="19"/>
          <w:szCs w:val="19"/>
          <w:b w:val="1"/>
          <w:bCs w:val="1"/>
          <w:color w:val="auto"/>
        </w:rPr>
        <w:t>Section 5.6</w:t>
      </w:r>
      <w:r>
        <w:rPr>
          <w:rFonts w:ascii="Arial" w:cs="Arial" w:eastAsia="Arial" w:hAnsi="Arial"/>
          <w:sz w:val="19"/>
          <w:szCs w:val="19"/>
          <w:color w:val="auto"/>
        </w:rPr>
        <w:t xml:space="preserve">, the Company is not a party to, or otherwise subject to any provision contained in, any instrument evidencing Debt of the Company or any Subsidiary, any agreement relating thereto or any other agreement (including, but not limited to, its charter or other organizational document) which limits the amount of, or otherwise imposes restrictions on the incurring of, Debt evidenced by the Bonds, except as specifically indicated in </w:t>
      </w:r>
      <w:r>
        <w:rPr>
          <w:rFonts w:ascii="Arial" w:cs="Arial" w:eastAsia="Arial" w:hAnsi="Arial"/>
          <w:sz w:val="19"/>
          <w:szCs w:val="19"/>
          <w:i w:val="1"/>
          <w:iCs w:val="1"/>
          <w:color w:val="auto"/>
        </w:rPr>
        <w:t>Schedule 5.15(b).</w:t>
      </w:r>
    </w:p>
    <w:p>
      <w:pPr>
        <w:spacing w:after="0" w:line="95" w:lineRule="exact"/>
        <w:rPr>
          <w:sz w:val="20"/>
          <w:szCs w:val="20"/>
          <w:color w:val="auto"/>
        </w:rPr>
      </w:pPr>
    </w:p>
    <w:p>
      <w:pPr>
        <w:jc w:val="both"/>
        <w:ind w:left="180" w:firstLine="648"/>
        <w:spacing w:after="0" w:line="238" w:lineRule="auto"/>
        <w:rPr>
          <w:sz w:val="20"/>
          <w:szCs w:val="20"/>
          <w:color w:val="auto"/>
        </w:rPr>
      </w:pPr>
      <w:r>
        <w:rPr>
          <w:rFonts w:ascii="Arial" w:cs="Arial" w:eastAsia="Arial" w:hAnsi="Arial"/>
          <w:sz w:val="22"/>
          <w:szCs w:val="22"/>
          <w:i w:val="1"/>
          <w:iCs w:val="1"/>
          <w:color w:val="auto"/>
        </w:rPr>
        <w:t xml:space="preserve">Section 5.16. Foreign Assets Control Regulations, Etc. </w:t>
      </w:r>
      <w:r>
        <w:rPr>
          <w:rFonts w:ascii="Arial" w:cs="Arial" w:eastAsia="Arial" w:hAnsi="Arial"/>
          <w:sz w:val="22"/>
          <w:szCs w:val="22"/>
          <w:color w:val="auto"/>
        </w:rPr>
        <w:t>(a) Neither the Company nor any</w:t>
      </w:r>
      <w:r>
        <w:rPr>
          <w:rFonts w:ascii="Arial" w:cs="Arial" w:eastAsia="Arial" w:hAnsi="Arial"/>
          <w:sz w:val="22"/>
          <w:szCs w:val="22"/>
          <w:i w:val="1"/>
          <w:iCs w:val="1"/>
          <w:color w:val="auto"/>
        </w:rPr>
        <w:t xml:space="preserve"> </w:t>
      </w:r>
      <w:r>
        <w:rPr>
          <w:rFonts w:ascii="Arial" w:cs="Arial" w:eastAsia="Arial" w:hAnsi="Arial"/>
          <w:sz w:val="22"/>
          <w:szCs w:val="22"/>
          <w:color w:val="auto"/>
        </w:rPr>
        <w:t>Controlled Entity (i) is a Blocked Person, (ii) has been notified that its name appears or may in the future appear on a State Sanctions List or (iii) is a target of sanctions that have been imposed by the United Nations, the United Kingdom, or the European Union.</w:t>
      </w:r>
    </w:p>
    <w:p>
      <w:pPr>
        <w:spacing w:after="0" w:line="131" w:lineRule="exact"/>
        <w:rPr>
          <w:sz w:val="20"/>
          <w:szCs w:val="20"/>
          <w:color w:val="auto"/>
        </w:rPr>
      </w:pPr>
    </w:p>
    <w:p>
      <w:pPr>
        <w:jc w:val="both"/>
        <w:ind w:left="180" w:right="20" w:firstLine="652"/>
        <w:spacing w:after="0" w:line="249" w:lineRule="exact"/>
        <w:tabs>
          <w:tab w:leader="none" w:pos="1728" w:val="left"/>
        </w:tabs>
        <w:numPr>
          <w:ilvl w:val="0"/>
          <w:numId w:val="27"/>
        </w:numPr>
        <w:rPr>
          <w:rFonts w:ascii="Arial" w:cs="Arial" w:eastAsia="Arial" w:hAnsi="Arial"/>
          <w:sz w:val="22"/>
          <w:szCs w:val="22"/>
          <w:color w:val="auto"/>
        </w:rPr>
      </w:pPr>
      <w:r>
        <w:rPr>
          <w:rFonts w:ascii="Arial" w:cs="Arial" w:eastAsia="Arial" w:hAnsi="Arial"/>
          <w:sz w:val="22"/>
          <w:szCs w:val="22"/>
          <w:color w:val="auto"/>
        </w:rPr>
        <w:t>Neither the Company nor any Controlled Entity (i) has violated, been found in violation of, or been charged or convicted under, any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 or (ii) to the Company’s knowledge, is under investigation by any Governmental Authority for possible violation of any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133" w:lineRule="exact"/>
        <w:rPr>
          <w:rFonts w:ascii="Arial" w:cs="Arial" w:eastAsia="Arial" w:hAnsi="Arial"/>
          <w:sz w:val="22"/>
          <w:szCs w:val="22"/>
          <w:color w:val="auto"/>
        </w:rPr>
      </w:pPr>
    </w:p>
    <w:p>
      <w:pPr>
        <w:ind w:left="1720" w:hanging="888"/>
        <w:spacing w:after="0"/>
        <w:tabs>
          <w:tab w:leader="none" w:pos="17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part of the proceeds from the sale of the Bonds hereunder:</w:t>
      </w:r>
    </w:p>
    <w:p>
      <w:pPr>
        <w:spacing w:after="0" w:line="152" w:lineRule="exact"/>
        <w:rPr>
          <w:rFonts w:ascii="Arial" w:cs="Arial" w:eastAsia="Arial" w:hAnsi="Arial"/>
          <w:sz w:val="22"/>
          <w:szCs w:val="22"/>
          <w:color w:val="auto"/>
        </w:rPr>
      </w:pPr>
    </w:p>
    <w:p>
      <w:pPr>
        <w:jc w:val="both"/>
        <w:ind w:left="960" w:firstLine="494"/>
        <w:spacing w:after="0" w:line="273" w:lineRule="auto"/>
        <w:tabs>
          <w:tab w:leader="none" w:pos="1953" w:val="left"/>
        </w:tabs>
        <w:numPr>
          <w:ilvl w:val="2"/>
          <w:numId w:val="27"/>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(A) in connection with any investment in, or any transactions or dealings with, any Blocked Person,</w:t>
      </w:r>
    </w:p>
    <w:p>
      <w:pPr>
        <w:spacing w:after="0" w:line="1" w:lineRule="exact"/>
        <w:rPr>
          <w:rFonts w:ascii="Arial" w:cs="Arial" w:eastAsia="Arial" w:hAnsi="Arial"/>
          <w:sz w:val="19"/>
          <w:szCs w:val="19"/>
          <w:color w:val="auto"/>
        </w:rPr>
      </w:pPr>
    </w:p>
    <w:p>
      <w:pPr>
        <w:ind w:left="960" w:right="20" w:firstLine="2"/>
        <w:spacing w:after="0" w:line="308" w:lineRule="auto"/>
        <w:tabs>
          <w:tab w:leader="none" w:pos="1336" w:val="left"/>
        </w:tabs>
        <w:numPr>
          <w:ilvl w:val="1"/>
          <w:numId w:val="27"/>
        </w:numPr>
        <w:rPr>
          <w:rFonts w:ascii="Arial" w:cs="Arial" w:eastAsia="Arial" w:hAnsi="Arial"/>
          <w:sz w:val="19"/>
          <w:szCs w:val="19"/>
          <w:color w:val="auto"/>
        </w:rPr>
      </w:pPr>
      <w:r>
        <w:rPr>
          <w:rFonts w:ascii="Arial" w:cs="Arial" w:eastAsia="Arial" w:hAnsi="Arial"/>
          <w:sz w:val="19"/>
          <w:szCs w:val="19"/>
          <w:color w:val="auto"/>
        </w:rPr>
        <w:t>for any purpose that would cause any Purchaser to be in violation of any U.S. Economic Sanctions Laws, or (C) otherwise in violation of any U.S. Economic Sanctions Laws;</w:t>
      </w:r>
    </w:p>
    <w:p>
      <w:pPr>
        <w:spacing w:after="0" w:line="69" w:lineRule="exact"/>
        <w:rPr>
          <w:rFonts w:ascii="Arial" w:cs="Arial" w:eastAsia="Arial" w:hAnsi="Arial"/>
          <w:sz w:val="19"/>
          <w:szCs w:val="19"/>
          <w:color w:val="auto"/>
        </w:rPr>
      </w:pPr>
    </w:p>
    <w:p>
      <w:pPr>
        <w:ind w:left="960" w:right="20" w:firstLine="494"/>
        <w:spacing w:after="0" w:line="259" w:lineRule="exact"/>
        <w:tabs>
          <w:tab w:leader="none" w:pos="1945" w:val="left"/>
        </w:tabs>
        <w:numPr>
          <w:ilvl w:val="2"/>
          <w:numId w:val="28"/>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any Purchaser to be in violation of, any applicable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or</w:t>
      </w:r>
    </w:p>
    <w:p>
      <w:pPr>
        <w:spacing w:after="0" w:line="131" w:lineRule="exact"/>
        <w:rPr>
          <w:rFonts w:ascii="Arial" w:cs="Arial" w:eastAsia="Arial" w:hAnsi="Arial"/>
          <w:sz w:val="22"/>
          <w:szCs w:val="22"/>
          <w:color w:val="auto"/>
        </w:rPr>
      </w:pPr>
    </w:p>
    <w:p>
      <w:pPr>
        <w:jc w:val="both"/>
        <w:ind w:left="960" w:firstLine="494"/>
        <w:spacing w:after="0" w:line="251" w:lineRule="exact"/>
        <w:tabs>
          <w:tab w:leader="none" w:pos="1938" w:val="left"/>
        </w:tabs>
        <w:numPr>
          <w:ilvl w:val="2"/>
          <w:numId w:val="28"/>
        </w:numPr>
        <w:rPr>
          <w:rFonts w:ascii="Arial" w:cs="Arial" w:eastAsia="Arial" w:hAnsi="Arial"/>
          <w:sz w:val="19"/>
          <w:szCs w:val="19"/>
          <w:color w:val="auto"/>
        </w:rPr>
      </w:pPr>
      <w:r>
        <w:rPr>
          <w:rFonts w:ascii="Arial" w:cs="Arial" w:eastAsia="Arial" w:hAnsi="Arial"/>
          <w:sz w:val="19"/>
          <w:szCs w:val="19"/>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w:t>
      </w:r>
      <w:r>
        <w:rPr>
          <w:rFonts w:ascii="MS PGothic" w:cs="MS PGothic" w:eastAsia="MS PGothic" w:hAnsi="MS PGothic"/>
          <w:sz w:val="19"/>
          <w:szCs w:val="19"/>
          <w:color w:val="auto"/>
        </w:rPr>
        <w:t>‑</w:t>
      </w:r>
      <w:r>
        <w:rPr>
          <w:rFonts w:ascii="Arial" w:cs="Arial" w:eastAsia="Arial" w:hAnsi="Arial"/>
          <w:sz w:val="19"/>
          <w:szCs w:val="19"/>
          <w:color w:val="auto"/>
        </w:rPr>
        <w:t>Corruption Laws.</w:t>
      </w:r>
    </w:p>
    <w:p>
      <w:pPr>
        <w:spacing w:after="0" w:line="132" w:lineRule="exact"/>
        <w:rPr>
          <w:rFonts w:ascii="Arial" w:cs="Arial" w:eastAsia="Arial" w:hAnsi="Arial"/>
          <w:sz w:val="19"/>
          <w:szCs w:val="19"/>
          <w:color w:val="auto"/>
        </w:rPr>
      </w:pPr>
    </w:p>
    <w:p>
      <w:pPr>
        <w:jc w:val="both"/>
        <w:ind w:left="180" w:firstLine="652"/>
        <w:spacing w:after="0" w:line="251" w:lineRule="exact"/>
        <w:tabs>
          <w:tab w:leader="none" w:pos="17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w:t>
      </w:r>
      <w:r>
        <w:rPr>
          <w:rFonts w:ascii="MS PGothic" w:cs="MS PGothic" w:eastAsia="MS PGothic" w:hAnsi="MS PGothic"/>
          <w:sz w:val="22"/>
          <w:szCs w:val="22"/>
          <w:color w:val="auto"/>
        </w:rPr>
        <w:t>‑</w:t>
      </w:r>
      <w:r>
        <w:rPr>
          <w:rFonts w:ascii="Arial" w:cs="Arial" w:eastAsia="Arial" w:hAnsi="Arial"/>
          <w:sz w:val="22"/>
          <w:szCs w:val="22"/>
          <w:color w:val="auto"/>
        </w:rPr>
        <w:t>Money Laundering Laws and Anti</w:t>
      </w:r>
      <w:r>
        <w:rPr>
          <w:rFonts w:ascii="MS PGothic" w:cs="MS PGothic" w:eastAsia="MS PGothic" w:hAnsi="MS PGothic"/>
          <w:sz w:val="22"/>
          <w:szCs w:val="22"/>
          <w:color w:val="auto"/>
        </w:rPr>
        <w:t>‑</w:t>
      </w:r>
      <w:r>
        <w:rPr>
          <w:rFonts w:ascii="Arial" w:cs="Arial" w:eastAsia="Arial" w:hAnsi="Arial"/>
          <w:sz w:val="22"/>
          <w:szCs w:val="22"/>
          <w:color w:val="auto"/>
        </w:rPr>
        <w:t>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118110</wp:posOffset>
            </wp:positionV>
            <wp:extent cx="635190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4" w:name="page65"/>
    <w:bookmarkEnd w:id="64"/>
    <w:p>
      <w:pPr>
        <w:jc w:val="both"/>
        <w:ind w:left="180" w:right="20" w:firstLine="648"/>
        <w:spacing w:after="0" w:line="238" w:lineRule="auto"/>
        <w:rPr>
          <w:sz w:val="20"/>
          <w:szCs w:val="20"/>
          <w:color w:val="auto"/>
        </w:rPr>
      </w:pPr>
      <w:r>
        <w:rPr>
          <w:rFonts w:ascii="Arial" w:cs="Arial" w:eastAsia="Arial" w:hAnsi="Arial"/>
          <w:sz w:val="22"/>
          <w:szCs w:val="22"/>
          <w:i w:val="1"/>
          <w:iCs w:val="1"/>
          <w:color w:val="auto"/>
        </w:rPr>
        <w:t xml:space="preserve">Section 5.17. Status under Certain Statutes. </w:t>
      </w:r>
      <w:r>
        <w:rPr>
          <w:rFonts w:ascii="Arial" w:cs="Arial" w:eastAsia="Arial" w:hAnsi="Arial"/>
          <w:sz w:val="22"/>
          <w:szCs w:val="22"/>
          <w:color w:val="auto"/>
        </w:rPr>
        <w:t>Neither the Company nor any Subsidiary is</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regulation under the Investment Company Act of 1940, as amended, the Public Utility Holding Company Act of 2005, as amended, the ICC Termination Act of 1995, as amended, or subject to rate regulation under the Federal Power Act, as amended.</w:t>
      </w:r>
    </w:p>
    <w:p>
      <w:pPr>
        <w:spacing w:after="0" w:line="131" w:lineRule="exact"/>
        <w:rPr>
          <w:sz w:val="20"/>
          <w:szCs w:val="20"/>
          <w:color w:val="auto"/>
        </w:rPr>
      </w:pPr>
    </w:p>
    <w:p>
      <w:pPr>
        <w:jc w:val="both"/>
        <w:ind w:left="180" w:firstLine="648"/>
        <w:spacing w:after="0" w:line="234" w:lineRule="auto"/>
        <w:rPr>
          <w:sz w:val="20"/>
          <w:szCs w:val="20"/>
          <w:color w:val="auto"/>
        </w:rPr>
      </w:pPr>
      <w:r>
        <w:rPr>
          <w:rFonts w:ascii="Arial" w:cs="Arial" w:eastAsia="Arial" w:hAnsi="Arial"/>
          <w:sz w:val="22"/>
          <w:szCs w:val="22"/>
          <w:i w:val="1"/>
          <w:iCs w:val="1"/>
          <w:color w:val="auto"/>
        </w:rPr>
        <w:t xml:space="preserve">Section 5.18. Environmental Matters. </w:t>
      </w:r>
      <w:r>
        <w:rPr>
          <w:rFonts w:ascii="Arial" w:cs="Arial" w:eastAsia="Arial" w:hAnsi="Arial"/>
          <w:sz w:val="22"/>
          <w:szCs w:val="22"/>
          <w:color w:val="auto"/>
        </w:rPr>
        <w:t>Neither the Company nor any Subsidiary has</w:t>
      </w:r>
      <w:r>
        <w:rPr>
          <w:rFonts w:ascii="Arial" w:cs="Arial" w:eastAsia="Arial" w:hAnsi="Arial"/>
          <w:sz w:val="22"/>
          <w:szCs w:val="22"/>
          <w:i w:val="1"/>
          <w:iCs w:val="1"/>
          <w:color w:val="auto"/>
        </w:rPr>
        <w:t xml:space="preserve"> </w:t>
      </w:r>
      <w:r>
        <w:rPr>
          <w:rFonts w:ascii="Arial" w:cs="Arial" w:eastAsia="Arial" w:hAnsi="Arial"/>
          <w:sz w:val="22"/>
          <w:szCs w:val="22"/>
          <w:color w:val="auto"/>
        </w:rPr>
        <w:t>knowledge of any claim or has received any notice of any claim, and no proceeding has been instituted of which it has received notice, raising any claim against the Company or any of its Subsidiaries or any of their respective real properties now or formerly owned, leased or operated by any of them, or other assets, alleging damage to the environment or any violation of any Environmental Laws, except, in each case, such as could not reasonably be expected to result in a Material Adverse Effect. Except as otherwise disclosed to the Purchasers in writing:</w:t>
      </w:r>
    </w:p>
    <w:p>
      <w:pPr>
        <w:spacing w:after="0" w:line="137" w:lineRule="exact"/>
        <w:rPr>
          <w:sz w:val="20"/>
          <w:szCs w:val="20"/>
          <w:color w:val="auto"/>
        </w:rPr>
      </w:pPr>
    </w:p>
    <w:p>
      <w:pPr>
        <w:jc w:val="both"/>
        <w:ind w:left="180" w:right="20" w:firstLine="652"/>
        <w:spacing w:after="0" w:line="236" w:lineRule="auto"/>
        <w:tabs>
          <w:tab w:leader="none" w:pos="1716" w:val="left"/>
        </w:tabs>
        <w:numPr>
          <w:ilvl w:val="0"/>
          <w:numId w:val="30"/>
        </w:numPr>
        <w:rPr>
          <w:rFonts w:ascii="Arial" w:cs="Arial" w:eastAsia="Arial" w:hAnsi="Arial"/>
          <w:sz w:val="22"/>
          <w:szCs w:val="22"/>
          <w:color w:val="auto"/>
        </w:rPr>
      </w:pPr>
      <w:r>
        <w:rPr>
          <w:rFonts w:ascii="Arial" w:cs="Arial" w:eastAsia="Arial" w:hAnsi="Arial"/>
          <w:sz w:val="22"/>
          <w:szCs w:val="22"/>
          <w:color w:val="auto"/>
        </w:rPr>
        <w:t>neither the Company nor any Subsidiary has knowledge of any facts which would give rise to any claim, public or private, for violation of Environmental Laws or damage to the environment emanating from, occurring on or in any way related to real properties or to other assets now or formerly owned, leased or operated by any of them or their use, except, in each case, such as could not reasonably be expected to result in a Material Adverse Effect;</w:t>
      </w:r>
    </w:p>
    <w:p>
      <w:pPr>
        <w:spacing w:after="0" w:line="133" w:lineRule="exact"/>
        <w:rPr>
          <w:rFonts w:ascii="Arial" w:cs="Arial" w:eastAsia="Arial" w:hAnsi="Arial"/>
          <w:sz w:val="22"/>
          <w:szCs w:val="22"/>
          <w:color w:val="auto"/>
        </w:rPr>
      </w:pPr>
    </w:p>
    <w:p>
      <w:pPr>
        <w:jc w:val="both"/>
        <w:ind w:left="180" w:firstLine="652"/>
        <w:spacing w:after="0" w:line="252" w:lineRule="auto"/>
        <w:tabs>
          <w:tab w:leader="none" w:pos="1728" w:val="left"/>
        </w:tabs>
        <w:numPr>
          <w:ilvl w:val="0"/>
          <w:numId w:val="30"/>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stored any Hazardous Materials on real properties now or formerly owned, leased or operated by any of them or has disposed of any Hazardous Materials in each case in a manner contrary to any Environmental Laws and in any manner that could reasonably be expected to result in a Material Adverse Effect; and</w:t>
      </w:r>
    </w:p>
    <w:p>
      <w:pPr>
        <w:spacing w:after="0" w:line="119" w:lineRule="exact"/>
        <w:rPr>
          <w:rFonts w:ascii="Arial" w:cs="Arial" w:eastAsia="Arial" w:hAnsi="Arial"/>
          <w:sz w:val="21"/>
          <w:szCs w:val="21"/>
          <w:color w:val="auto"/>
        </w:rPr>
      </w:pPr>
    </w:p>
    <w:p>
      <w:pPr>
        <w:jc w:val="both"/>
        <w:ind w:left="180" w:right="20" w:firstLine="652"/>
        <w:spacing w:after="0" w:line="257" w:lineRule="auto"/>
        <w:tabs>
          <w:tab w:leader="none" w:pos="1716" w:val="left"/>
        </w:tabs>
        <w:numPr>
          <w:ilvl w:val="0"/>
          <w:numId w:val="30"/>
        </w:numPr>
        <w:rPr>
          <w:rFonts w:ascii="Arial" w:cs="Arial" w:eastAsia="Arial" w:hAnsi="Arial"/>
          <w:sz w:val="21"/>
          <w:szCs w:val="21"/>
          <w:color w:val="auto"/>
        </w:rPr>
      </w:pPr>
      <w:r>
        <w:rPr>
          <w:rFonts w:ascii="Arial" w:cs="Arial" w:eastAsia="Arial" w:hAnsi="Arial"/>
          <w:sz w:val="21"/>
          <w:szCs w:val="21"/>
          <w:color w:val="auto"/>
        </w:rPr>
        <w:t>all buildings on all real properties now owned, leased or operated by the Company or any of its Subsidiaries are in compliance with applicable Environmental Laws, except where failure to comply could not reasonably be expected to result in a Material Adverse Effect.</w:t>
      </w:r>
    </w:p>
    <w:p>
      <w:pPr>
        <w:spacing w:after="0" w:line="115" w:lineRule="exact"/>
        <w:rPr>
          <w:sz w:val="20"/>
          <w:szCs w:val="20"/>
          <w:color w:val="auto"/>
        </w:rPr>
      </w:pPr>
    </w:p>
    <w:p>
      <w:pPr>
        <w:jc w:val="both"/>
        <w:ind w:left="180" w:right="20" w:firstLine="648"/>
        <w:spacing w:after="0" w:line="271" w:lineRule="auto"/>
        <w:rPr>
          <w:sz w:val="20"/>
          <w:szCs w:val="20"/>
          <w:color w:val="auto"/>
        </w:rPr>
      </w:pPr>
      <w:r>
        <w:rPr>
          <w:rFonts w:ascii="Arial" w:cs="Arial" w:eastAsia="Arial" w:hAnsi="Arial"/>
          <w:sz w:val="19"/>
          <w:szCs w:val="19"/>
          <w:i w:val="1"/>
          <w:iCs w:val="1"/>
          <w:color w:val="auto"/>
        </w:rPr>
        <w:t xml:space="preserve">Section 5.19. Lien of Indenture. </w:t>
      </w:r>
      <w:r>
        <w:rPr>
          <w:rFonts w:ascii="Arial" w:cs="Arial" w:eastAsia="Arial" w:hAnsi="Arial"/>
          <w:sz w:val="19"/>
          <w:szCs w:val="19"/>
          <w:color w:val="auto"/>
        </w:rPr>
        <w:t>The Indenture (and for avoidance of doubt including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Supplement) constitutes a direct and valid Lien upon the Trust Estate, subject only to the exceptions referred to in the Indenture and Permitted Liens, and will create a similar Lien upon all properties and assets acquired by the Company after the date hereof which are required to be subjected to the Lien of the Indenture, when acquired by the Company, subject only to the exceptions referred to in the Indenture and Permitted Liens, and subject, further, as to real property interests, to the recordation of a supplement to the Indenture describing such after-acquired property; the descriptions of all such properties and assets contained in the granting clauses of the Indenture are correct and adequate for the purposes of the Indenture; the Indenture has been duly recorded as a mortgage and deed of trust of real estate, and any required filings with respect to personal property and fixtures subject to the Lien of the Indenture have been duly made in each place in which such recording or filing is required to protect, preserve and perfect the Lien of the Indenture; and all taxes and recording and filing fees required to be paid with respect to the execution, recording or filing of the Indenture, the filing of financing statements related thereto and similar documents and the issuance of the Bonds have been paid.</w:t>
      </w:r>
    </w:p>
    <w:p>
      <w:pPr>
        <w:spacing w:after="0" w:line="357" w:lineRule="exact"/>
        <w:rPr>
          <w:sz w:val="20"/>
          <w:szCs w:val="20"/>
          <w:color w:val="auto"/>
        </w:rPr>
      </w:pPr>
    </w:p>
    <w:p>
      <w:pPr>
        <w:jc w:val="both"/>
        <w:ind w:left="180" w:firstLine="648"/>
        <w:spacing w:after="0" w:line="246" w:lineRule="auto"/>
        <w:rPr>
          <w:sz w:val="20"/>
          <w:szCs w:val="20"/>
          <w:color w:val="auto"/>
        </w:rPr>
      </w:pPr>
      <w:r>
        <w:rPr>
          <w:rFonts w:ascii="Arial" w:cs="Arial" w:eastAsia="Arial" w:hAnsi="Arial"/>
          <w:sz w:val="21"/>
          <w:szCs w:val="21"/>
          <w:i w:val="1"/>
          <w:iCs w:val="1"/>
          <w:color w:val="auto"/>
        </w:rPr>
        <w:t xml:space="preserve">Section 5.20. Filings. </w:t>
      </w:r>
      <w:r>
        <w:rPr>
          <w:rFonts w:ascii="Arial" w:cs="Arial" w:eastAsia="Arial" w:hAnsi="Arial"/>
          <w:sz w:val="21"/>
          <w:szCs w:val="21"/>
          <w:color w:val="auto"/>
        </w:rPr>
        <w:t>No action, including any filings, registration or notice, is necessary or</w:t>
      </w:r>
      <w:r>
        <w:rPr>
          <w:rFonts w:ascii="Arial" w:cs="Arial" w:eastAsia="Arial" w:hAnsi="Arial"/>
          <w:sz w:val="21"/>
          <w:szCs w:val="21"/>
          <w:i w:val="1"/>
          <w:iCs w:val="1"/>
          <w:color w:val="auto"/>
        </w:rPr>
        <w:t xml:space="preserve"> </w:t>
      </w:r>
      <w:r>
        <w:rPr>
          <w:rFonts w:ascii="Arial" w:cs="Arial" w:eastAsia="Arial" w:hAnsi="Arial"/>
          <w:sz w:val="21"/>
          <w:szCs w:val="21"/>
          <w:color w:val="auto"/>
        </w:rPr>
        <w:t>advisable in Pennsylvania or any other jurisdictions to ensure the legality, validity and enforceability of the Financing Agreements, except such action as has been previously taken, which action remains in full force and effect. No action, including any filing, registration or notice, is necessary or advisable in Pennsylvania or any other jurisdiction to establish or protect for the benefit of the Trustee and the holders of Bonds, the security interest and Liens purported to be created under the Indenture and the priority and perfection thereof and the other Financing Agreements, except such action as has been previously taken, which action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114935</wp:posOffset>
            </wp:positionV>
            <wp:extent cx="635190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5" w:name="page66"/>
    <w:bookmarkEnd w:id="65"/>
    <w:p>
      <w:pPr>
        <w:spacing w:after="0"/>
        <w:tabs>
          <w:tab w:leader="none" w:pos="20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REPRESENTATIONS OF THE PURCHASERS.</w:t>
      </w:r>
    </w:p>
    <w:p>
      <w:pPr>
        <w:spacing w:after="0" w:line="153" w:lineRule="exact"/>
        <w:rPr>
          <w:sz w:val="20"/>
          <w:szCs w:val="20"/>
          <w:color w:val="auto"/>
        </w:rPr>
      </w:pPr>
    </w:p>
    <w:p>
      <w:pPr>
        <w:jc w:val="both"/>
        <w:ind w:left="640" w:right="20" w:firstLine="648"/>
        <w:spacing w:after="0" w:line="275" w:lineRule="auto"/>
        <w:rPr>
          <w:sz w:val="20"/>
          <w:szCs w:val="20"/>
          <w:color w:val="auto"/>
        </w:rPr>
      </w:pPr>
      <w:r>
        <w:rPr>
          <w:rFonts w:ascii="Arial" w:cs="Arial" w:eastAsia="Arial" w:hAnsi="Arial"/>
          <w:sz w:val="19"/>
          <w:szCs w:val="19"/>
          <w:i w:val="1"/>
          <w:iCs w:val="1"/>
          <w:color w:val="auto"/>
        </w:rPr>
        <w:t xml:space="preserve">Section 6.1. Purchase for Investment. </w:t>
      </w:r>
      <w:r>
        <w:rPr>
          <w:rFonts w:ascii="Arial" w:cs="Arial" w:eastAsia="Arial" w:hAnsi="Arial"/>
          <w:sz w:val="19"/>
          <w:szCs w:val="19"/>
          <w:color w:val="auto"/>
        </w:rPr>
        <w:t>Each Purchaser severally represents that it is</w:t>
      </w:r>
      <w:r>
        <w:rPr>
          <w:rFonts w:ascii="Arial" w:cs="Arial" w:eastAsia="Arial" w:hAnsi="Arial"/>
          <w:sz w:val="19"/>
          <w:szCs w:val="19"/>
          <w:i w:val="1"/>
          <w:iCs w:val="1"/>
          <w:color w:val="auto"/>
        </w:rPr>
        <w:t xml:space="preserve"> </w:t>
      </w:r>
      <w:r>
        <w:rPr>
          <w:rFonts w:ascii="Arial" w:cs="Arial" w:eastAsia="Arial" w:hAnsi="Arial"/>
          <w:sz w:val="19"/>
          <w:szCs w:val="19"/>
          <w:color w:val="auto"/>
        </w:rPr>
        <w:t>purchasing the Bonds for its own account or for one or more separate accounts maintained by such Purchaser or for the account of one or more pension or trust funds and not with a view to the distribution thereof, provided that the disposition of such Purchaser’s or their property shall at all times be within such Purchaser’s or their control.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w:t>
      </w:r>
    </w:p>
    <w:p>
      <w:pPr>
        <w:spacing w:after="0" w:line="103" w:lineRule="exact"/>
        <w:rPr>
          <w:sz w:val="20"/>
          <w:szCs w:val="20"/>
          <w:color w:val="auto"/>
        </w:rPr>
      </w:pPr>
    </w:p>
    <w:p>
      <w:pPr>
        <w:jc w:val="both"/>
        <w:ind w:left="640" w:firstLine="648"/>
        <w:spacing w:after="0" w:line="297" w:lineRule="auto"/>
        <w:rPr>
          <w:sz w:val="20"/>
          <w:szCs w:val="20"/>
          <w:color w:val="auto"/>
        </w:rPr>
      </w:pPr>
      <w:r>
        <w:rPr>
          <w:rFonts w:ascii="Arial" w:cs="Arial" w:eastAsia="Arial" w:hAnsi="Arial"/>
          <w:sz w:val="19"/>
          <w:szCs w:val="19"/>
          <w:i w:val="1"/>
          <w:iCs w:val="1"/>
          <w:color w:val="auto"/>
        </w:rPr>
        <w:t xml:space="preserve">Section 6.2. Source of Funds. </w:t>
      </w:r>
      <w:r>
        <w:rPr>
          <w:rFonts w:ascii="Arial" w:cs="Arial" w:eastAsia="Arial" w:hAnsi="Arial"/>
          <w:sz w:val="19"/>
          <w:szCs w:val="19"/>
          <w:color w:val="auto"/>
        </w:rPr>
        <w:t>Each Purchaser severally represents that at least one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following statements is an accurate representation as to each source of funds (a </w:t>
      </w:r>
      <w:r>
        <w:rPr>
          <w:rFonts w:ascii="Arial" w:cs="Arial" w:eastAsia="Arial" w:hAnsi="Arial"/>
          <w:sz w:val="19"/>
          <w:szCs w:val="19"/>
          <w:i w:val="1"/>
          <w:iCs w:val="1"/>
          <w:color w:val="auto"/>
        </w:rPr>
        <w:t>“Source”</w:t>
      </w:r>
      <w:r>
        <w:rPr>
          <w:rFonts w:ascii="Arial" w:cs="Arial" w:eastAsia="Arial" w:hAnsi="Arial"/>
          <w:sz w:val="19"/>
          <w:szCs w:val="19"/>
          <w:color w:val="auto"/>
        </w:rPr>
        <w:t>) to be used by such Purchaser to pay the purchase price of the Bonds to be purchased by such Purchaser hereunder:</w:t>
      </w:r>
    </w:p>
    <w:p>
      <w:pPr>
        <w:spacing w:after="0" w:line="80" w:lineRule="exact"/>
        <w:rPr>
          <w:sz w:val="20"/>
          <w:szCs w:val="20"/>
          <w:color w:val="auto"/>
        </w:rPr>
      </w:pPr>
    </w:p>
    <w:p>
      <w:pPr>
        <w:jc w:val="both"/>
        <w:ind w:left="640" w:firstLine="652"/>
        <w:spacing w:after="0" w:line="246" w:lineRule="exact"/>
        <w:tabs>
          <w:tab w:leader="none" w:pos="2176"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the term is defined in the United States Department of Labor’s Prohibited Transaction Exemption (“PTE”) 95</w:t>
      </w:r>
      <w:r>
        <w:rPr>
          <w:rFonts w:ascii="MS PGothic" w:cs="MS PGothic" w:eastAsia="MS PGothic" w:hAnsi="MS PGothic"/>
          <w:sz w:val="21"/>
          <w:szCs w:val="21"/>
          <w:color w:val="auto"/>
        </w:rPr>
        <w:t>‑</w:t>
      </w:r>
      <w:r>
        <w:rPr>
          <w:rFonts w:ascii="Arial" w:cs="Arial" w:eastAsia="Arial" w:hAnsi="Arial"/>
          <w:sz w:val="21"/>
          <w:szCs w:val="21"/>
          <w:color w:val="auto"/>
        </w:rPr>
        <w:t xml:space="preserve">60) in respect of which the reserves and liabilities (as defined by the annual statement for life insurance companies approved by the NAIC (the </w:t>
      </w:r>
      <w:r>
        <w:rPr>
          <w:rFonts w:ascii="Arial" w:cs="Arial" w:eastAsia="Arial" w:hAnsi="Arial"/>
          <w:sz w:val="21"/>
          <w:szCs w:val="21"/>
          <w:i w:val="1"/>
          <w:i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w:t>
      </w:r>
      <w:r>
        <w:rPr>
          <w:rFonts w:ascii="MS PGothic" w:cs="MS PGothic" w:eastAsia="MS PGothic" w:hAnsi="MS PGothic"/>
          <w:sz w:val="21"/>
          <w:szCs w:val="21"/>
          <w:color w:val="auto"/>
        </w:rPr>
        <w:t>‑</w:t>
      </w:r>
      <w:r>
        <w:rPr>
          <w:rFonts w:ascii="Arial" w:cs="Arial" w:eastAsia="Arial" w:hAnsi="Arial"/>
          <w:sz w:val="21"/>
          <w:szCs w:val="21"/>
          <w:color w:val="auto"/>
        </w:rPr>
        <w:t>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136" w:lineRule="exact"/>
        <w:rPr>
          <w:rFonts w:ascii="Arial" w:cs="Arial" w:eastAsia="Arial" w:hAnsi="Arial"/>
          <w:sz w:val="21"/>
          <w:szCs w:val="21"/>
          <w:color w:val="auto"/>
        </w:rPr>
      </w:pPr>
    </w:p>
    <w:p>
      <w:pPr>
        <w:jc w:val="both"/>
        <w:ind w:left="640" w:firstLine="652"/>
        <w:spacing w:after="0" w:line="236" w:lineRule="auto"/>
        <w:tabs>
          <w:tab w:leader="none" w:pos="218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spacing w:after="0" w:line="133" w:lineRule="exact"/>
        <w:rPr>
          <w:rFonts w:ascii="Arial" w:cs="Arial" w:eastAsia="Arial" w:hAnsi="Arial"/>
          <w:sz w:val="22"/>
          <w:szCs w:val="22"/>
          <w:color w:val="auto"/>
        </w:rPr>
      </w:pPr>
    </w:p>
    <w:p>
      <w:pPr>
        <w:jc w:val="both"/>
        <w:ind w:left="640" w:firstLine="652"/>
        <w:spacing w:after="0" w:line="248" w:lineRule="exact"/>
        <w:tabs>
          <w:tab w:leader="none" w:pos="217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Source is either (i) an insurance company pooled separate account, within the meaning of PTE 90</w:t>
      </w:r>
      <w:r>
        <w:rPr>
          <w:rFonts w:ascii="MS PGothic" w:cs="MS PGothic" w:eastAsia="MS PGothic" w:hAnsi="MS PGothic"/>
          <w:sz w:val="22"/>
          <w:szCs w:val="22"/>
          <w:color w:val="auto"/>
        </w:rPr>
        <w:t>‑</w:t>
      </w:r>
      <w:r>
        <w:rPr>
          <w:rFonts w:ascii="Arial" w:cs="Arial" w:eastAsia="Arial" w:hAnsi="Arial"/>
          <w:sz w:val="22"/>
          <w:szCs w:val="22"/>
          <w:color w:val="auto"/>
        </w:rPr>
        <w:t>1 or (ii) a bank collective investment fund, within the meaning of the PTE 91</w:t>
      </w:r>
      <w:r>
        <w:rPr>
          <w:rFonts w:ascii="MS PGothic" w:cs="MS PGothic" w:eastAsia="MS PGothic" w:hAnsi="MS PGothic"/>
          <w:sz w:val="22"/>
          <w:szCs w:val="22"/>
          <w:color w:val="auto"/>
        </w:rPr>
        <w:t>‑</w:t>
      </w:r>
      <w:r>
        <w:rPr>
          <w:rFonts w:ascii="Arial" w:cs="Arial" w:eastAsia="Arial" w:hAnsi="Arial"/>
          <w:sz w:val="22"/>
          <w:szCs w:val="22"/>
          <w:color w:val="auto"/>
        </w:rPr>
        <w:t>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spacing w:after="0" w:line="133" w:lineRule="exact"/>
        <w:rPr>
          <w:rFonts w:ascii="Arial" w:cs="Arial" w:eastAsia="Arial" w:hAnsi="Arial"/>
          <w:sz w:val="22"/>
          <w:szCs w:val="22"/>
          <w:color w:val="auto"/>
        </w:rPr>
      </w:pPr>
    </w:p>
    <w:p>
      <w:pPr>
        <w:jc w:val="both"/>
        <w:ind w:left="640" w:firstLine="652"/>
        <w:spacing w:after="0" w:line="245" w:lineRule="exact"/>
        <w:tabs>
          <w:tab w:leader="none" w:pos="218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i w:val="1"/>
          <w:iCs w:val="1"/>
          <w:color w:val="auto"/>
        </w:rPr>
        <w:t>“QPAM Exemption”</w:t>
      </w:r>
      <w:r>
        <w:rPr>
          <w:rFonts w:ascii="Arial" w:cs="Arial" w:eastAsia="Arial" w:hAnsi="Arial"/>
          <w:sz w:val="19"/>
          <w:szCs w:val="19"/>
          <w:color w:val="auto"/>
        </w:rPr>
        <w:t>)) managed by a “</w:t>
      </w:r>
      <w:r>
        <w:rPr>
          <w:rFonts w:ascii="Arial" w:cs="Arial" w:eastAsia="Arial" w:hAnsi="Arial"/>
          <w:sz w:val="19"/>
          <w:szCs w:val="19"/>
          <w:i w:val="1"/>
          <w:iCs w:val="1"/>
          <w:color w:val="auto"/>
        </w:rPr>
        <w:t>qualified professional asset manager”</w:t>
      </w:r>
      <w:r>
        <w:rPr>
          <w:rFonts w:ascii="Arial" w:cs="Arial" w:eastAsia="Arial" w:hAnsi="Arial"/>
          <w:sz w:val="19"/>
          <w:szCs w:val="19"/>
          <w:color w:val="auto"/>
        </w:rPr>
        <w:t xml:space="preserve">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w:t>
      </w:r>
      <w:r>
        <w:rPr>
          <w:rFonts w:ascii="Arial" w:cs="Arial" w:eastAsia="Arial" w:hAnsi="Arial"/>
          <w:sz w:val="19"/>
          <w:szCs w:val="19"/>
          <w:i w:val="1"/>
          <w:iCs w:val="1"/>
          <w:color w:val="auto"/>
        </w:rPr>
        <w:t>related</w:t>
      </w:r>
      <w:r>
        <w:rPr>
          <w:rFonts w:ascii="Arial" w:cs="Arial" w:eastAsia="Arial" w:hAnsi="Arial"/>
          <w:sz w:val="19"/>
          <w:szCs w:val="19"/>
          <w:color w:val="auto"/>
        </w:rPr>
        <w:t>”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635190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66" w:name="page67"/>
    <w:bookmarkEnd w:id="66"/>
    <w:p>
      <w:pPr>
        <w:jc w:val="both"/>
        <w:ind w:left="640" w:firstLine="652"/>
        <w:spacing w:after="0" w:line="247" w:lineRule="exact"/>
        <w:tabs>
          <w:tab w:leader="none" w:pos="21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Source constitutes assets of a “</w:t>
      </w:r>
      <w:r>
        <w:rPr>
          <w:rFonts w:ascii="Arial" w:cs="Arial" w:eastAsia="Arial" w:hAnsi="Arial"/>
          <w:sz w:val="22"/>
          <w:szCs w:val="22"/>
          <w:i w:val="1"/>
          <w:iCs w:val="1"/>
          <w:color w:val="auto"/>
        </w:rPr>
        <w:t>plan(s)</w:t>
      </w:r>
      <w:r>
        <w:rPr>
          <w:rFonts w:ascii="Arial" w:cs="Arial" w:eastAsia="Arial" w:hAnsi="Arial"/>
          <w:sz w:val="22"/>
          <w:szCs w:val="22"/>
          <w:color w:val="auto"/>
        </w:rPr>
        <w:t>” (within the meaning of Part IV(h) of PTE 96</w:t>
      </w:r>
      <w:r>
        <w:rPr>
          <w:rFonts w:ascii="MS PGothic" w:cs="MS PGothic" w:eastAsia="MS PGothic" w:hAnsi="MS PGothic"/>
          <w:sz w:val="22"/>
          <w:szCs w:val="22"/>
          <w:color w:val="auto"/>
        </w:rPr>
        <w:t>‑</w:t>
      </w:r>
      <w:r>
        <w:rPr>
          <w:rFonts w:ascii="Arial" w:cs="Arial" w:eastAsia="Arial" w:hAnsi="Arial"/>
          <w:sz w:val="22"/>
          <w:szCs w:val="22"/>
          <w:color w:val="auto"/>
        </w:rPr>
        <w:t>23 (the “</w:t>
      </w:r>
      <w:r>
        <w:rPr>
          <w:rFonts w:ascii="Arial" w:cs="Arial" w:eastAsia="Arial" w:hAnsi="Arial"/>
          <w:sz w:val="22"/>
          <w:szCs w:val="22"/>
          <w:i w:val="1"/>
          <w:iCs w:val="1"/>
          <w:color w:val="auto"/>
        </w:rPr>
        <w:t>INHAM Exemption</w:t>
      </w:r>
      <w:r>
        <w:rPr>
          <w:rFonts w:ascii="Arial" w:cs="Arial" w:eastAsia="Arial" w:hAnsi="Arial"/>
          <w:sz w:val="22"/>
          <w:szCs w:val="22"/>
          <w:color w:val="auto"/>
        </w:rPr>
        <w:t>”)) managed by an “in</w:t>
      </w:r>
      <w:r>
        <w:rPr>
          <w:rFonts w:ascii="MS PGothic" w:cs="MS PGothic" w:eastAsia="MS PGothic" w:hAnsi="MS PGothic"/>
          <w:sz w:val="22"/>
          <w:szCs w:val="22"/>
          <w:color w:val="auto"/>
        </w:rPr>
        <w:t>‑</w:t>
      </w:r>
      <w:r>
        <w:rPr>
          <w:rFonts w:ascii="Arial" w:cs="Arial" w:eastAsia="Arial" w:hAnsi="Arial"/>
          <w:sz w:val="22"/>
          <w:szCs w:val="22"/>
          <w:color w:val="auto"/>
        </w:rPr>
        <w:t xml:space="preserve">house asset manager” or “INHAM” (within the meaning of Part IV(a) of the </w:t>
      </w:r>
      <w:r>
        <w:rPr>
          <w:rFonts w:ascii="Arial" w:cs="Arial" w:eastAsia="Arial" w:hAnsi="Arial"/>
          <w:sz w:val="22"/>
          <w:szCs w:val="22"/>
          <w:i w:val="1"/>
          <w:iCs w:val="1"/>
          <w:color w:val="auto"/>
        </w:rPr>
        <w:t>INHAM</w:t>
      </w:r>
      <w:r>
        <w:rPr>
          <w:rFonts w:ascii="Arial" w:cs="Arial" w:eastAsia="Arial" w:hAnsi="Arial"/>
          <w:sz w:val="22"/>
          <w:szCs w:val="22"/>
          <w:color w:val="auto"/>
        </w:rPr>
        <w:t xml:space="preserve"> Exemption), the conditions of Part I(a), (g) and (h) of the INHAM Exemption are satisfied, neither the INHAM nor a person controlling or controlled by the INHAM (applying the definition of “</w:t>
      </w:r>
      <w:r>
        <w:rPr>
          <w:rFonts w:ascii="Arial" w:cs="Arial" w:eastAsia="Arial" w:hAnsi="Arial"/>
          <w:sz w:val="22"/>
          <w:szCs w:val="22"/>
          <w:i w:val="1"/>
          <w:iCs w:val="1"/>
          <w:color w:val="auto"/>
        </w:rPr>
        <w:t>control</w:t>
      </w:r>
      <w:r>
        <w:rPr>
          <w:rFonts w:ascii="Arial" w:cs="Arial" w:eastAsia="Arial" w:hAnsi="Arial"/>
          <w:sz w:val="22"/>
          <w:szCs w:val="22"/>
          <w:color w:val="auto"/>
        </w:rPr>
        <w:t>”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spacing w:after="0" w:line="133" w:lineRule="exact"/>
        <w:rPr>
          <w:rFonts w:ascii="Arial" w:cs="Arial" w:eastAsia="Arial" w:hAnsi="Arial"/>
          <w:sz w:val="22"/>
          <w:szCs w:val="22"/>
          <w:color w:val="auto"/>
        </w:rPr>
      </w:pPr>
    </w:p>
    <w:p>
      <w:pPr>
        <w:ind w:left="2160" w:hanging="868"/>
        <w:spacing w:after="0"/>
        <w:tabs>
          <w:tab w:leader="none" w:pos="21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152" w:lineRule="exact"/>
        <w:rPr>
          <w:rFonts w:ascii="Arial" w:cs="Arial" w:eastAsia="Arial" w:hAnsi="Arial"/>
          <w:sz w:val="22"/>
          <w:szCs w:val="22"/>
          <w:color w:val="auto"/>
        </w:rPr>
      </w:pPr>
    </w:p>
    <w:p>
      <w:pPr>
        <w:jc w:val="both"/>
        <w:ind w:left="640" w:firstLine="652"/>
        <w:spacing w:after="0"/>
        <w:tabs>
          <w:tab w:leader="none" w:pos="218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Source is one or more employee benefit plans, or a separate account or trust fund comprised of one or more employee benefit plans, each of which has been identified to the Company in writing pursuant to this clause (g); or</w:t>
      </w:r>
    </w:p>
    <w:p>
      <w:pPr>
        <w:spacing w:after="0" w:line="132" w:lineRule="exact"/>
        <w:rPr>
          <w:rFonts w:ascii="Arial" w:cs="Arial" w:eastAsia="Arial" w:hAnsi="Arial"/>
          <w:sz w:val="22"/>
          <w:szCs w:val="22"/>
          <w:color w:val="auto"/>
        </w:rPr>
      </w:pPr>
    </w:p>
    <w:p>
      <w:pPr>
        <w:ind w:left="640" w:right="20" w:firstLine="652"/>
        <w:spacing w:after="0" w:line="250" w:lineRule="auto"/>
        <w:tabs>
          <w:tab w:leader="none" w:pos="218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 or</w:t>
      </w:r>
    </w:p>
    <w:p>
      <w:pPr>
        <w:spacing w:after="0" w:line="120" w:lineRule="exact"/>
        <w:rPr>
          <w:rFonts w:ascii="Arial" w:cs="Arial" w:eastAsia="Arial" w:hAnsi="Arial"/>
          <w:sz w:val="22"/>
          <w:szCs w:val="22"/>
          <w:color w:val="auto"/>
        </w:rPr>
      </w:pPr>
    </w:p>
    <w:p>
      <w:pPr>
        <w:ind w:left="640" w:right="20" w:firstLine="652"/>
        <w:spacing w:after="0" w:line="250" w:lineRule="auto"/>
        <w:tabs>
          <w:tab w:leader="none" w:pos="21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with respect to Qualified Investors in the United Kingdom, the Source constitutes assets of a Qualified Investor.</w:t>
      </w:r>
    </w:p>
    <w:p>
      <w:pPr>
        <w:spacing w:after="0" w:line="121"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As used in this Section 6.2, the terms “</w:t>
      </w:r>
      <w:r>
        <w:rPr>
          <w:rFonts w:ascii="Arial" w:cs="Arial" w:eastAsia="Arial" w:hAnsi="Arial"/>
          <w:sz w:val="22"/>
          <w:szCs w:val="22"/>
          <w:i w:val="1"/>
          <w:iCs w:val="1"/>
          <w:color w:val="auto"/>
        </w:rPr>
        <w:t>employee benefit plan</w:t>
      </w:r>
      <w:r>
        <w:rPr>
          <w:rFonts w:ascii="Arial" w:cs="Arial" w:eastAsia="Arial" w:hAnsi="Arial"/>
          <w:sz w:val="22"/>
          <w:szCs w:val="22"/>
          <w:color w:val="auto"/>
        </w:rPr>
        <w:t>,” “</w:t>
      </w:r>
      <w:r>
        <w:rPr>
          <w:rFonts w:ascii="Arial" w:cs="Arial" w:eastAsia="Arial" w:hAnsi="Arial"/>
          <w:sz w:val="22"/>
          <w:szCs w:val="22"/>
          <w:i w:val="1"/>
          <w:iCs w:val="1"/>
          <w:color w:val="auto"/>
        </w:rPr>
        <w:t>governmental plan</w:t>
      </w:r>
      <w:r>
        <w:rPr>
          <w:rFonts w:ascii="Arial" w:cs="Arial" w:eastAsia="Arial" w:hAnsi="Arial"/>
          <w:sz w:val="22"/>
          <w:szCs w:val="22"/>
          <w:color w:val="auto"/>
        </w:rPr>
        <w:t>,” and “</w:t>
      </w:r>
      <w:r>
        <w:rPr>
          <w:rFonts w:ascii="Arial" w:cs="Arial" w:eastAsia="Arial" w:hAnsi="Arial"/>
          <w:sz w:val="22"/>
          <w:szCs w:val="22"/>
          <w:i w:val="1"/>
          <w:iCs w:val="1"/>
          <w:color w:val="auto"/>
        </w:rPr>
        <w:t>separate</w:t>
      </w:r>
      <w:r>
        <w:rPr>
          <w:rFonts w:ascii="Arial" w:cs="Arial" w:eastAsia="Arial" w:hAnsi="Arial"/>
          <w:sz w:val="22"/>
          <w:szCs w:val="22"/>
          <w:color w:val="auto"/>
        </w:rPr>
        <w:t xml:space="preserve"> </w:t>
      </w:r>
      <w:r>
        <w:rPr>
          <w:rFonts w:ascii="Arial" w:cs="Arial" w:eastAsia="Arial" w:hAnsi="Arial"/>
          <w:sz w:val="22"/>
          <w:szCs w:val="22"/>
          <w:i w:val="1"/>
          <w:iCs w:val="1"/>
          <w:color w:val="auto"/>
        </w:rPr>
        <w:t>account</w:t>
      </w:r>
      <w:r>
        <w:rPr>
          <w:rFonts w:ascii="Arial" w:cs="Arial" w:eastAsia="Arial" w:hAnsi="Arial"/>
          <w:sz w:val="22"/>
          <w:szCs w:val="22"/>
          <w:color w:val="auto"/>
        </w:rPr>
        <w:t>” shall have the respective meanings assigned to such terms in section 3 of ERISA.</w:t>
      </w:r>
    </w:p>
    <w:p>
      <w:pPr>
        <w:spacing w:after="0" w:line="121"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color w:val="auto"/>
        </w:rPr>
        <w:t>INFORMATION AS TO COMPANY</w:t>
      </w:r>
    </w:p>
    <w:p>
      <w:pPr>
        <w:spacing w:after="0" w:line="152" w:lineRule="exact"/>
        <w:rPr>
          <w:sz w:val="20"/>
          <w:szCs w:val="20"/>
          <w:color w:val="auto"/>
        </w:rPr>
      </w:pPr>
    </w:p>
    <w:p>
      <w:pPr>
        <w:ind w:left="1300"/>
        <w:spacing w:after="0"/>
        <w:tabs>
          <w:tab w:leader="none" w:pos="2980" w:val="left"/>
          <w:tab w:leader="none" w:pos="6560" w:val="left"/>
        </w:tabs>
        <w:rPr>
          <w:sz w:val="20"/>
          <w:szCs w:val="20"/>
          <w:color w:val="auto"/>
        </w:rPr>
      </w:pPr>
      <w:r>
        <w:rPr>
          <w:rFonts w:ascii="Arial" w:cs="Arial" w:eastAsia="Arial" w:hAnsi="Arial"/>
          <w:sz w:val="22"/>
          <w:szCs w:val="22"/>
          <w:i w:val="1"/>
          <w:iCs w:val="1"/>
          <w:color w:val="auto"/>
        </w:rPr>
        <w:t>Section 7.1.</w:t>
      </w:r>
      <w:r>
        <w:rPr>
          <w:sz w:val="20"/>
          <w:szCs w:val="20"/>
          <w:color w:val="auto"/>
        </w:rPr>
        <w:tab/>
      </w:r>
      <w:r>
        <w:rPr>
          <w:rFonts w:ascii="Arial" w:cs="Arial" w:eastAsia="Arial" w:hAnsi="Arial"/>
          <w:sz w:val="22"/>
          <w:szCs w:val="22"/>
          <w:i w:val="1"/>
          <w:iCs w:val="1"/>
          <w:color w:val="auto"/>
        </w:rPr>
        <w:t>Financial and Business Information.</w:t>
      </w:r>
      <w:r>
        <w:rPr>
          <w:sz w:val="20"/>
          <w:szCs w:val="20"/>
          <w:color w:val="auto"/>
        </w:rPr>
        <w:tab/>
      </w:r>
      <w:r>
        <w:rPr>
          <w:rFonts w:ascii="Arial" w:cs="Arial" w:eastAsia="Arial" w:hAnsi="Arial"/>
          <w:sz w:val="21"/>
          <w:szCs w:val="21"/>
          <w:color w:val="auto"/>
        </w:rPr>
        <w:t>The Company shall deliver to each</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Purchaser and each holder of Bonds that is an Institutional Investor:</w:t>
      </w:r>
    </w:p>
    <w:p>
      <w:pPr>
        <w:spacing w:after="0" w:line="134" w:lineRule="exact"/>
        <w:rPr>
          <w:sz w:val="20"/>
          <w:szCs w:val="20"/>
          <w:color w:val="auto"/>
        </w:rPr>
      </w:pPr>
    </w:p>
    <w:p>
      <w:pPr>
        <w:jc w:val="both"/>
        <w:ind w:left="640" w:right="20" w:firstLine="652"/>
        <w:spacing w:after="0"/>
        <w:tabs>
          <w:tab w:leader="none" w:pos="2176"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Quarterly Statements </w:t>
      </w:r>
      <w:r>
        <w:rPr>
          <w:rFonts w:ascii="Arial" w:cs="Arial" w:eastAsia="Arial" w:hAnsi="Arial"/>
          <w:sz w:val="22"/>
          <w:szCs w:val="22"/>
          <w:color w:val="auto"/>
        </w:rPr>
        <w:t>— within 60 days after the end of each quarterly fiscal period in</w:t>
      </w:r>
      <w:r>
        <w:rPr>
          <w:rFonts w:ascii="Arial" w:cs="Arial" w:eastAsia="Arial" w:hAnsi="Arial"/>
          <w:sz w:val="22"/>
          <w:szCs w:val="22"/>
          <w:i w:val="1"/>
          <w:iCs w:val="1"/>
          <w:color w:val="auto"/>
        </w:rPr>
        <w:t xml:space="preserve"> </w:t>
      </w:r>
      <w:r>
        <w:rPr>
          <w:rFonts w:ascii="Arial" w:cs="Arial" w:eastAsia="Arial" w:hAnsi="Arial"/>
          <w:sz w:val="22"/>
          <w:szCs w:val="22"/>
          <w:color w:val="auto"/>
        </w:rPr>
        <w:t>each fiscal year of the Company (other than the last quarterly fiscal period of each such fiscal year), duplicate copies of:</w:t>
      </w:r>
    </w:p>
    <w:p>
      <w:pPr>
        <w:spacing w:after="0" w:line="132" w:lineRule="exact"/>
        <w:rPr>
          <w:rFonts w:ascii="Arial" w:cs="Arial" w:eastAsia="Arial" w:hAnsi="Arial"/>
          <w:sz w:val="22"/>
          <w:szCs w:val="22"/>
          <w:color w:val="auto"/>
        </w:rPr>
      </w:pPr>
    </w:p>
    <w:p>
      <w:pPr>
        <w:ind w:left="2900" w:hanging="500"/>
        <w:spacing w:after="0"/>
        <w:tabs>
          <w:tab w:leader="none" w:pos="29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 of</w:t>
      </w:r>
    </w:p>
    <w:p>
      <w:pPr>
        <w:spacing w:after="0" w:line="42" w:lineRule="exact"/>
        <w:rPr>
          <w:rFonts w:ascii="Arial" w:cs="Arial" w:eastAsia="Arial" w:hAnsi="Arial"/>
          <w:sz w:val="19"/>
          <w:szCs w:val="19"/>
          <w:color w:val="auto"/>
        </w:rPr>
      </w:pPr>
    </w:p>
    <w:p>
      <w:pPr>
        <w:ind w:left="1420"/>
        <w:spacing w:after="0"/>
        <w:rPr>
          <w:rFonts w:ascii="Arial" w:cs="Arial" w:eastAsia="Arial" w:hAnsi="Arial"/>
          <w:sz w:val="19"/>
          <w:szCs w:val="19"/>
          <w:color w:val="auto"/>
        </w:rPr>
      </w:pPr>
      <w:r>
        <w:rPr>
          <w:rFonts w:ascii="Arial" w:cs="Arial" w:eastAsia="Arial" w:hAnsi="Arial"/>
          <w:sz w:val="22"/>
          <w:szCs w:val="22"/>
          <w:color w:val="auto"/>
        </w:rPr>
        <w:t>such quarter, and</w:t>
      </w:r>
    </w:p>
    <w:p>
      <w:pPr>
        <w:spacing w:after="0" w:line="134" w:lineRule="exact"/>
        <w:rPr>
          <w:rFonts w:ascii="Arial" w:cs="Arial" w:eastAsia="Arial" w:hAnsi="Arial"/>
          <w:sz w:val="19"/>
          <w:szCs w:val="19"/>
          <w:color w:val="auto"/>
        </w:rPr>
      </w:pPr>
    </w:p>
    <w:p>
      <w:pPr>
        <w:jc w:val="both"/>
        <w:ind w:left="1420" w:right="20" w:firstLine="980"/>
        <w:spacing w:after="0" w:line="257" w:lineRule="auto"/>
        <w:tabs>
          <w:tab w:leader="none" w:pos="2891" w:val="left"/>
        </w:tabs>
        <w:numPr>
          <w:ilvl w:val="1"/>
          <w:numId w:val="33"/>
        </w:numPr>
        <w:rPr>
          <w:rFonts w:ascii="Arial" w:cs="Arial" w:eastAsia="Arial" w:hAnsi="Arial"/>
          <w:sz w:val="21"/>
          <w:szCs w:val="21"/>
          <w:color w:val="auto"/>
        </w:rPr>
      </w:pPr>
      <w:r>
        <w:rPr>
          <w:rFonts w:ascii="Arial" w:cs="Arial" w:eastAsia="Arial" w:hAnsi="Arial"/>
          <w:sz w:val="21"/>
          <w:szCs w:val="21"/>
          <w:color w:val="auto"/>
        </w:rPr>
        <w:t>consolidated statements of income, changes in shareholders’ equity and cash flows of the Company and its Subsidiaries, for such quarter and (in the case of the second and third quarters) for the portion of the fiscal year ending with such quarter,</w:t>
      </w:r>
    </w:p>
    <w:p>
      <w:pPr>
        <w:spacing w:after="0" w:line="115" w:lineRule="exact"/>
        <w:rPr>
          <w:sz w:val="20"/>
          <w:szCs w:val="20"/>
          <w:color w:val="auto"/>
        </w:rPr>
      </w:pPr>
    </w:p>
    <w:p>
      <w:pPr>
        <w:jc w:val="both"/>
        <w:ind w:left="1420" w:firstLine="492"/>
        <w:spacing w:after="0" w:line="246" w:lineRule="exact"/>
        <w:rPr>
          <w:sz w:val="20"/>
          <w:szCs w:val="20"/>
          <w:color w:val="auto"/>
        </w:rPr>
      </w:pPr>
      <w:r>
        <w:rPr>
          <w:rFonts w:ascii="Arial" w:cs="Arial" w:eastAsia="Arial" w:hAnsi="Arial"/>
          <w:sz w:val="19"/>
          <w:szCs w:val="19"/>
          <w:color w:val="auto"/>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w:t>
      </w:r>
      <w:r>
        <w:rPr>
          <w:rFonts w:ascii="MS PGothic" w:cs="MS PGothic" w:eastAsia="MS PGothic" w:hAnsi="MS PGothic"/>
          <w:sz w:val="19"/>
          <w:szCs w:val="19"/>
          <w:color w:val="auto"/>
        </w:rPr>
        <w:t>‑</w:t>
      </w:r>
      <w:r>
        <w:rPr>
          <w:rFonts w:ascii="Arial" w:cs="Arial" w:eastAsia="Arial" w:hAnsi="Arial"/>
          <w:sz w:val="19"/>
          <w:szCs w:val="19"/>
          <w:color w:val="auto"/>
        </w:rPr>
        <w:t xml:space="preserve">end adjustments,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delivery within the time period specified above of the Company’s said financial</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statements, prepared in accordance with the requirements therefor and filed with the Municipal Securities Rulemaking Board on the Electronic Municipal Market Access (“</w:t>
      </w:r>
      <w:r>
        <w:rPr>
          <w:rFonts w:ascii="Arial" w:cs="Arial" w:eastAsia="Arial" w:hAnsi="Arial"/>
          <w:sz w:val="19"/>
          <w:szCs w:val="19"/>
          <w:i w:val="1"/>
          <w:iCs w:val="1"/>
          <w:color w:val="auto"/>
        </w:rPr>
        <w:t>EMMA</w:t>
      </w:r>
      <w:r>
        <w:rPr>
          <w:rFonts w:ascii="Arial" w:cs="Arial" w:eastAsia="Arial" w:hAnsi="Arial"/>
          <w:sz w:val="19"/>
          <w:szCs w:val="19"/>
          <w:color w:val="auto"/>
        </w:rPr>
        <w:t xml:space="preserve">”) database shall be deemed to satisfy the requirements of this </w:t>
      </w:r>
      <w:r>
        <w:rPr>
          <w:rFonts w:ascii="Arial" w:cs="Arial" w:eastAsia="Arial" w:hAnsi="Arial"/>
          <w:sz w:val="19"/>
          <w:szCs w:val="19"/>
          <w:b w:val="1"/>
          <w:bCs w:val="1"/>
          <w:color w:val="auto"/>
        </w:rPr>
        <w:t>Section 7.1(a)</w:t>
      </w:r>
      <w:r>
        <w:rPr>
          <w:rFonts w:ascii="Arial" w:cs="Arial" w:eastAsia="Arial" w:hAnsi="Arial"/>
          <w:sz w:val="19"/>
          <w:szCs w:val="19"/>
          <w:color w:val="auto"/>
        </w:rPr>
        <w:t>;</w:t>
      </w:r>
    </w:p>
    <w:p>
      <w:pPr>
        <w:spacing w:after="0" w:line="137" w:lineRule="exact"/>
        <w:rPr>
          <w:sz w:val="20"/>
          <w:szCs w:val="20"/>
          <w:color w:val="auto"/>
        </w:rPr>
      </w:pPr>
    </w:p>
    <w:p>
      <w:pPr>
        <w:ind w:left="640" w:right="20" w:firstLine="652"/>
        <w:spacing w:after="0" w:line="250" w:lineRule="auto"/>
        <w:tabs>
          <w:tab w:leader="none" w:pos="2188"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Annual Statements </w:t>
      </w:r>
      <w:r>
        <w:rPr>
          <w:rFonts w:ascii="Arial" w:cs="Arial" w:eastAsia="Arial" w:hAnsi="Arial"/>
          <w:sz w:val="22"/>
          <w:szCs w:val="22"/>
          <w:color w:val="auto"/>
        </w:rPr>
        <w:t>— within 120 days after the end of each fiscal year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duplicate copies of:</w:t>
      </w:r>
    </w:p>
    <w:p>
      <w:pPr>
        <w:spacing w:after="0" w:line="120" w:lineRule="exact"/>
        <w:rPr>
          <w:rFonts w:ascii="Arial" w:cs="Arial" w:eastAsia="Arial" w:hAnsi="Arial"/>
          <w:sz w:val="22"/>
          <w:szCs w:val="22"/>
          <w:color w:val="auto"/>
        </w:rPr>
      </w:pPr>
    </w:p>
    <w:p>
      <w:pPr>
        <w:ind w:left="2900" w:hanging="500"/>
        <w:spacing w:after="0"/>
        <w:tabs>
          <w:tab w:leader="none" w:pos="29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a consolidated balance sheet of the Company and its Subsidiaries, as at the end</w:t>
      </w:r>
    </w:p>
    <w:p>
      <w:pPr>
        <w:spacing w:after="0" w:line="42" w:lineRule="exact"/>
        <w:rPr>
          <w:rFonts w:ascii="Arial" w:cs="Arial" w:eastAsia="Arial" w:hAnsi="Arial"/>
          <w:sz w:val="19"/>
          <w:szCs w:val="19"/>
          <w:color w:val="auto"/>
        </w:rPr>
      </w:pPr>
    </w:p>
    <w:p>
      <w:pPr>
        <w:ind w:left="1420"/>
        <w:spacing w:after="0"/>
        <w:rPr>
          <w:rFonts w:ascii="Arial" w:cs="Arial" w:eastAsia="Arial" w:hAnsi="Arial"/>
          <w:sz w:val="19"/>
          <w:szCs w:val="19"/>
          <w:color w:val="auto"/>
        </w:rPr>
      </w:pPr>
      <w:r>
        <w:rPr>
          <w:rFonts w:ascii="Arial" w:cs="Arial" w:eastAsia="Arial" w:hAnsi="Arial"/>
          <w:sz w:val="22"/>
          <w:szCs w:val="22"/>
          <w:color w:val="auto"/>
        </w:rPr>
        <w:t>of such year, and</w:t>
      </w:r>
    </w:p>
    <w:p>
      <w:pPr>
        <w:spacing w:after="0" w:line="134" w:lineRule="exact"/>
        <w:rPr>
          <w:rFonts w:ascii="Arial" w:cs="Arial" w:eastAsia="Arial" w:hAnsi="Arial"/>
          <w:sz w:val="19"/>
          <w:szCs w:val="19"/>
          <w:color w:val="auto"/>
        </w:rPr>
      </w:pPr>
    </w:p>
    <w:p>
      <w:pPr>
        <w:ind w:left="1420" w:right="20" w:firstLine="980"/>
        <w:spacing w:after="0" w:line="250" w:lineRule="auto"/>
        <w:tabs>
          <w:tab w:leader="none" w:pos="2891" w:val="left"/>
        </w:tabs>
        <w:numPr>
          <w:ilvl w:val="1"/>
          <w:numId w:val="34"/>
        </w:numPr>
        <w:rPr>
          <w:rFonts w:ascii="Arial" w:cs="Arial" w:eastAsia="Arial" w:hAnsi="Arial"/>
          <w:sz w:val="22"/>
          <w:szCs w:val="22"/>
          <w:color w:val="auto"/>
        </w:rPr>
      </w:pPr>
      <w:r>
        <w:rPr>
          <w:rFonts w:ascii="Arial" w:cs="Arial" w:eastAsia="Arial" w:hAnsi="Arial"/>
          <w:sz w:val="22"/>
          <w:szCs w:val="22"/>
          <w:color w:val="auto"/>
        </w:rPr>
        <w:t>consolidated statements of income, changes in shareholders’ equity and cash flows of the Company and its Subsidiaries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67" w:name="page68"/>
    <w:bookmarkEnd w:id="67"/>
    <w:p>
      <w:pPr>
        <w:jc w:val="both"/>
        <w:ind w:left="960" w:firstLine="492"/>
        <w:spacing w:after="0" w:line="271" w:lineRule="auto"/>
        <w:rPr>
          <w:sz w:val="20"/>
          <w:szCs w:val="20"/>
          <w:color w:val="auto"/>
        </w:rPr>
      </w:pPr>
      <w:r>
        <w:rPr>
          <w:rFonts w:ascii="Arial" w:cs="Arial" w:eastAsia="Arial" w:hAnsi="Arial"/>
          <w:sz w:val="19"/>
          <w:szCs w:val="19"/>
          <w:color w:val="auto"/>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delivery within the time period specified above of the Company’s said financial statements, prepared in accordance with the requirements therefor and containing the above-described audit opinion and filed with the Municipal Securities Rulemaking Board on the EMMA database shall be deemed to satisfy the requirements of this </w:t>
      </w:r>
      <w:r>
        <w:rPr>
          <w:rFonts w:ascii="Arial" w:cs="Arial" w:eastAsia="Arial" w:hAnsi="Arial"/>
          <w:sz w:val="19"/>
          <w:szCs w:val="19"/>
          <w:b w:val="1"/>
          <w:bCs w:val="1"/>
          <w:color w:val="auto"/>
        </w:rPr>
        <w:t>Section 7.1(b)</w:t>
      </w:r>
      <w:r>
        <w:rPr>
          <w:rFonts w:ascii="Arial" w:cs="Arial" w:eastAsia="Arial" w:hAnsi="Arial"/>
          <w:sz w:val="19"/>
          <w:szCs w:val="19"/>
          <w:color w:val="auto"/>
        </w:rPr>
        <w:t>;</w:t>
      </w:r>
    </w:p>
    <w:p>
      <w:pPr>
        <w:spacing w:after="0" w:line="111" w:lineRule="exact"/>
        <w:rPr>
          <w:sz w:val="20"/>
          <w:szCs w:val="20"/>
          <w:color w:val="auto"/>
        </w:rPr>
      </w:pPr>
    </w:p>
    <w:p>
      <w:pPr>
        <w:jc w:val="both"/>
        <w:ind w:left="180" w:firstLine="652"/>
        <w:spacing w:after="0" w:line="275" w:lineRule="auto"/>
        <w:tabs>
          <w:tab w:leader="none" w:pos="1716"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SEC and Other Reports </w:t>
      </w:r>
      <w:r>
        <w:rPr>
          <w:rFonts w:ascii="Arial" w:cs="Arial" w:eastAsia="Arial" w:hAnsi="Arial"/>
          <w:sz w:val="19"/>
          <w:szCs w:val="19"/>
          <w:color w:val="auto"/>
        </w:rPr>
        <w:t>— promptly upon their becoming available, one copy of (i) each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financial statement, report, notice, or proxy statement sent by the Company or any Subsidiary to its public securities holders generally, and (ii) each regular or periodic report, each registration statement that shall have become effective (without exhibits except as expressly requested by such holder), and each final prospectus and all amendments thereto filed by the Company or any Subsidiary with the SEC, provided that the delivery within the time period specified above of the Company’s said financial statements, prepared in accordance with the requirements therefor and filed with the Municipal Securities Rulemaking Board on the EMMA database shall be deemed to satisfy the requirements of this </w:t>
      </w:r>
      <w:r>
        <w:rPr>
          <w:rFonts w:ascii="Arial" w:cs="Arial" w:eastAsia="Arial" w:hAnsi="Arial"/>
          <w:sz w:val="19"/>
          <w:szCs w:val="19"/>
          <w:b w:val="1"/>
          <w:bCs w:val="1"/>
          <w:color w:val="auto"/>
        </w:rPr>
        <w:t>Section 7.1(c)</w:t>
      </w:r>
      <w:r>
        <w:rPr>
          <w:rFonts w:ascii="Arial" w:cs="Arial" w:eastAsia="Arial" w:hAnsi="Arial"/>
          <w:sz w:val="19"/>
          <w:szCs w:val="19"/>
          <w:color w:val="auto"/>
        </w:rPr>
        <w:t>;</w:t>
      </w:r>
    </w:p>
    <w:p>
      <w:pPr>
        <w:spacing w:after="0" w:line="103" w:lineRule="exact"/>
        <w:rPr>
          <w:rFonts w:ascii="Arial" w:cs="Arial" w:eastAsia="Arial" w:hAnsi="Arial"/>
          <w:sz w:val="19"/>
          <w:szCs w:val="19"/>
          <w:color w:val="auto"/>
        </w:rPr>
      </w:pPr>
    </w:p>
    <w:p>
      <w:pPr>
        <w:jc w:val="both"/>
        <w:ind w:left="180" w:right="20" w:firstLine="652"/>
        <w:spacing w:after="0" w:line="238" w:lineRule="auto"/>
        <w:tabs>
          <w:tab w:leader="none" w:pos="1728"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Notice of Default or Event of Default </w:t>
      </w:r>
      <w:r>
        <w:rPr>
          <w:rFonts w:ascii="Arial" w:cs="Arial" w:eastAsia="Arial" w:hAnsi="Arial"/>
          <w:sz w:val="22"/>
          <w:szCs w:val="22"/>
          <w:color w:val="auto"/>
        </w:rPr>
        <w:t>— promptly, and in any event within five days after</w:t>
      </w:r>
      <w:r>
        <w:rPr>
          <w:rFonts w:ascii="Arial" w:cs="Arial" w:eastAsia="Arial" w:hAnsi="Arial"/>
          <w:sz w:val="22"/>
          <w:szCs w:val="22"/>
          <w:i w:val="1"/>
          <w:iCs w:val="1"/>
          <w:color w:val="auto"/>
        </w:rPr>
        <w:t xml:space="preserve"> </w:t>
      </w:r>
      <w:r>
        <w:rPr>
          <w:rFonts w:ascii="Arial" w:cs="Arial" w:eastAsia="Arial" w:hAnsi="Arial"/>
          <w:sz w:val="22"/>
          <w:szCs w:val="22"/>
          <w:color w:val="auto"/>
        </w:rPr>
        <w:t>a Responsible Officer becomes aware of the existence of any Default or Event of Default, a written notice specifying the nature and period of existence thereof and what action the Company is taking or proposes to take with respect thereto;</w:t>
      </w:r>
    </w:p>
    <w:p>
      <w:pPr>
        <w:spacing w:after="0" w:line="130" w:lineRule="exact"/>
        <w:rPr>
          <w:rFonts w:ascii="Arial" w:cs="Arial" w:eastAsia="Arial" w:hAnsi="Arial"/>
          <w:sz w:val="22"/>
          <w:szCs w:val="22"/>
          <w:color w:val="auto"/>
        </w:rPr>
      </w:pPr>
    </w:p>
    <w:p>
      <w:pPr>
        <w:jc w:val="both"/>
        <w:ind w:left="180" w:firstLine="652"/>
        <w:spacing w:after="0" w:line="297" w:lineRule="auto"/>
        <w:tabs>
          <w:tab w:leader="none" w:pos="1716"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Employee Benefits Matters </w:t>
      </w:r>
      <w:r>
        <w:rPr>
          <w:rFonts w:ascii="Arial" w:cs="Arial" w:eastAsia="Arial" w:hAnsi="Arial"/>
          <w:sz w:val="19"/>
          <w:szCs w:val="19"/>
          <w:color w:val="auto"/>
        </w:rPr>
        <w:t>— promptly, and in any event within five days after a</w:t>
      </w:r>
      <w:r>
        <w:rPr>
          <w:rFonts w:ascii="Arial" w:cs="Arial" w:eastAsia="Arial" w:hAnsi="Arial"/>
          <w:sz w:val="19"/>
          <w:szCs w:val="19"/>
          <w:i w:val="1"/>
          <w:iCs w:val="1"/>
          <w:color w:val="auto"/>
        </w:rPr>
        <w:t xml:space="preserve"> </w:t>
      </w:r>
      <w:r>
        <w:rPr>
          <w:rFonts w:ascii="Arial" w:cs="Arial" w:eastAsia="Arial" w:hAnsi="Arial"/>
          <w:sz w:val="19"/>
          <w:szCs w:val="19"/>
          <w:color w:val="auto"/>
        </w:rPr>
        <w:t>Responsible Officer becomes aware of any of the following, a written notice setting forth the nature thereof and the action, if any, that the Company or an ERISA Affiliate proposes to take with respect thereto:</w:t>
      </w:r>
    </w:p>
    <w:p>
      <w:pPr>
        <w:spacing w:after="0" w:line="79" w:lineRule="exact"/>
        <w:rPr>
          <w:rFonts w:ascii="Arial" w:cs="Arial" w:eastAsia="Arial" w:hAnsi="Arial"/>
          <w:sz w:val="19"/>
          <w:szCs w:val="19"/>
          <w:color w:val="auto"/>
        </w:rPr>
      </w:pPr>
    </w:p>
    <w:p>
      <w:pPr>
        <w:jc w:val="both"/>
        <w:ind w:left="960" w:firstLine="980"/>
        <w:spacing w:after="0" w:line="238" w:lineRule="auto"/>
        <w:tabs>
          <w:tab w:leader="none" w:pos="2439" w:val="left"/>
        </w:tabs>
        <w:numPr>
          <w:ilvl w:val="1"/>
          <w:numId w:val="35"/>
        </w:numPr>
        <w:rPr>
          <w:rFonts w:ascii="Arial" w:cs="Arial" w:eastAsia="Arial" w:hAnsi="Arial"/>
          <w:sz w:val="22"/>
          <w:szCs w:val="22"/>
          <w:color w:val="auto"/>
        </w:rPr>
      </w:pPr>
      <w:r>
        <w:rPr>
          <w:rFonts w:ascii="Arial" w:cs="Arial" w:eastAsia="Arial" w:hAnsi="Arial"/>
          <w:sz w:val="22"/>
          <w:szCs w:val="22"/>
          <w:color w:val="auto"/>
        </w:rPr>
        <w:t>with respect to any Plan (other than any Multiemployer Plan) that is subject to Title IV of ERISA, any reportable event, as defined in section 4043(c) of ERISA and the regulations thereunder, for which notice thereof has not been waived pursuant to such regulations as in effect on the date hereof; or</w:t>
      </w:r>
    </w:p>
    <w:p>
      <w:pPr>
        <w:spacing w:after="0" w:line="130" w:lineRule="exact"/>
        <w:rPr>
          <w:rFonts w:ascii="Arial" w:cs="Arial" w:eastAsia="Arial" w:hAnsi="Arial"/>
          <w:sz w:val="22"/>
          <w:szCs w:val="22"/>
          <w:color w:val="auto"/>
        </w:rPr>
      </w:pPr>
    </w:p>
    <w:p>
      <w:pPr>
        <w:jc w:val="both"/>
        <w:ind w:left="960" w:right="20" w:firstLine="980"/>
        <w:spacing w:after="0" w:line="249" w:lineRule="auto"/>
        <w:tabs>
          <w:tab w:leader="none" w:pos="2431"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taking by the PBGC of steps to institute, or the threatening by the PBGC of the institution of, proceedings under section 4042 of ERISA for the termination of, or the appointment of a trustee to administer, any such Plan, or the receipt by the Company or any ERISA Affiliate of a notice from a Multiemployer Plan that such action has been taken by the PBGC with respect to such Multiemployer Plan; or</w:t>
      </w:r>
    </w:p>
    <w:p>
      <w:pPr>
        <w:spacing w:after="0" w:line="124" w:lineRule="exact"/>
        <w:rPr>
          <w:rFonts w:ascii="Arial" w:cs="Arial" w:eastAsia="Arial" w:hAnsi="Arial"/>
          <w:sz w:val="21"/>
          <w:szCs w:val="21"/>
          <w:color w:val="auto"/>
        </w:rPr>
      </w:pPr>
    </w:p>
    <w:p>
      <w:pPr>
        <w:jc w:val="both"/>
        <w:ind w:left="960" w:firstLine="980"/>
        <w:spacing w:after="0" w:line="234" w:lineRule="auto"/>
        <w:tabs>
          <w:tab w:leader="none" w:pos="2424"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121920</wp:posOffset>
            </wp:positionV>
            <wp:extent cx="635190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8" w:name="page69"/>
    <w:bookmarkEnd w:id="68"/>
    <w:p>
      <w:pPr>
        <w:jc w:val="both"/>
        <w:ind w:left="180" w:right="20" w:firstLine="652"/>
        <w:spacing w:after="0" w:line="238" w:lineRule="auto"/>
        <w:tabs>
          <w:tab w:leader="none" w:pos="1692"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Notices from Governmental Authority </w:t>
      </w:r>
      <w:r>
        <w:rPr>
          <w:rFonts w:ascii="Arial" w:cs="Arial" w:eastAsia="Arial" w:hAnsi="Arial"/>
          <w:sz w:val="22"/>
          <w:szCs w:val="22"/>
          <w:color w:val="auto"/>
        </w:rPr>
        <w:t>— promptly, and in any event within 30 days of</w:t>
      </w:r>
      <w:r>
        <w:rPr>
          <w:rFonts w:ascii="Arial" w:cs="Arial" w:eastAsia="Arial" w:hAnsi="Arial"/>
          <w:sz w:val="22"/>
          <w:szCs w:val="22"/>
          <w:i w:val="1"/>
          <w:iCs w:val="1"/>
          <w:color w:val="auto"/>
        </w:rPr>
        <w:t xml:space="preserve"> </w:t>
      </w:r>
      <w:r>
        <w:rPr>
          <w:rFonts w:ascii="Arial" w:cs="Arial" w:eastAsia="Arial" w:hAnsi="Arial"/>
          <w:sz w:val="22"/>
          <w:szCs w:val="22"/>
          <w:color w:val="auto"/>
        </w:rPr>
        <w:t>receipt thereof, copies of any notice to the Company or any Subsidiary from any federal or state Governmental Authority relating to any order, ruling, statute or other law or regulation that could reasonably be expected to have a Material Adverse Effect;</w:t>
      </w:r>
    </w:p>
    <w:p>
      <w:pPr>
        <w:spacing w:after="0" w:line="131" w:lineRule="exact"/>
        <w:rPr>
          <w:rFonts w:ascii="Arial" w:cs="Arial" w:eastAsia="Arial" w:hAnsi="Arial"/>
          <w:sz w:val="22"/>
          <w:szCs w:val="22"/>
          <w:color w:val="auto"/>
        </w:rPr>
      </w:pPr>
    </w:p>
    <w:p>
      <w:pPr>
        <w:jc w:val="both"/>
        <w:ind w:left="180" w:right="20" w:firstLine="652"/>
        <w:spacing w:after="0" w:line="245" w:lineRule="auto"/>
        <w:tabs>
          <w:tab w:leader="none" w:pos="1728"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Requested Information </w:t>
      </w:r>
      <w:r>
        <w:rPr>
          <w:rFonts w:ascii="Arial" w:cs="Arial" w:eastAsia="Arial" w:hAnsi="Arial"/>
          <w:sz w:val="21"/>
          <w:szCs w:val="21"/>
          <w:color w:val="auto"/>
        </w:rPr>
        <w:t>— with reasonable promptness, following the receipt by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of a written request by such holder of Bonds, the names and contact information of holders of the outstanding bonds issued under the Indenture (i.e. the bonds in which the Company or a trustee is required to keep in a register and that are not publicly traded) of which the Company has knowledge and the principal amount of the outstanding bonds issued under the Indenture owed to each holder (unless disclosure of such names, contact information or holdings is prohibited by law), and such data and information relating to the business, operations, affairs, financial condition, assets or properties of the Company or any of its Subsidiaries or relating to the ability of the Company to perform its obligations under any Financing Agreement as from time to time may be reasonably requested by any such holder of Bonds; and</w:t>
      </w:r>
    </w:p>
    <w:p>
      <w:pPr>
        <w:spacing w:after="0" w:line="126" w:lineRule="exact"/>
        <w:rPr>
          <w:rFonts w:ascii="Arial" w:cs="Arial" w:eastAsia="Arial" w:hAnsi="Arial"/>
          <w:sz w:val="21"/>
          <w:szCs w:val="21"/>
          <w:color w:val="auto"/>
        </w:rPr>
      </w:pPr>
    </w:p>
    <w:p>
      <w:pPr>
        <w:jc w:val="both"/>
        <w:ind w:left="180" w:right="20" w:firstLine="652"/>
        <w:spacing w:after="0" w:line="297" w:lineRule="auto"/>
        <w:tabs>
          <w:tab w:leader="none" w:pos="1728"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Deliveries to Trustee </w:t>
      </w:r>
      <w:r>
        <w:rPr>
          <w:rFonts w:ascii="Arial" w:cs="Arial" w:eastAsia="Arial" w:hAnsi="Arial"/>
          <w:sz w:val="19"/>
          <w:szCs w:val="19"/>
          <w:color w:val="auto"/>
        </w:rPr>
        <w:t>— promptly, and in any event within five days after delivery to the</w:t>
      </w:r>
      <w:r>
        <w:rPr>
          <w:rFonts w:ascii="Arial" w:cs="Arial" w:eastAsia="Arial" w:hAnsi="Arial"/>
          <w:sz w:val="19"/>
          <w:szCs w:val="19"/>
          <w:i w:val="1"/>
          <w:iCs w:val="1"/>
          <w:color w:val="auto"/>
        </w:rPr>
        <w:t xml:space="preserve"> </w:t>
      </w:r>
      <w:r>
        <w:rPr>
          <w:rFonts w:ascii="Arial" w:cs="Arial" w:eastAsia="Arial" w:hAnsi="Arial"/>
          <w:sz w:val="19"/>
          <w:szCs w:val="19"/>
          <w:color w:val="auto"/>
        </w:rPr>
        <w:t>Trustee, a copy of any deliveries made by the Company to the Trustee, including without limitation the annual report delivered to the Trustee pursuant to Article VIII, Section 12 of the Indenture.</w:t>
      </w:r>
    </w:p>
    <w:p>
      <w:pPr>
        <w:spacing w:after="0" w:line="80" w:lineRule="exact"/>
        <w:rPr>
          <w:sz w:val="20"/>
          <w:szCs w:val="20"/>
          <w:color w:val="auto"/>
        </w:rPr>
      </w:pPr>
    </w:p>
    <w:p>
      <w:pPr>
        <w:jc w:val="both"/>
        <w:ind w:left="180" w:firstLine="648"/>
        <w:spacing w:after="0" w:line="272" w:lineRule="auto"/>
        <w:rPr>
          <w:sz w:val="20"/>
          <w:szCs w:val="20"/>
          <w:color w:val="auto"/>
        </w:rPr>
      </w:pPr>
      <w:r>
        <w:rPr>
          <w:rFonts w:ascii="Arial" w:cs="Arial" w:eastAsia="Arial" w:hAnsi="Arial"/>
          <w:sz w:val="19"/>
          <w:szCs w:val="19"/>
          <w:i w:val="1"/>
          <w:iCs w:val="1"/>
          <w:color w:val="auto"/>
        </w:rPr>
        <w:t xml:space="preserve">Section 7.2 Officer’s Certificate. </w:t>
      </w:r>
      <w:r>
        <w:rPr>
          <w:rFonts w:ascii="Arial" w:cs="Arial" w:eastAsia="Arial" w:hAnsi="Arial"/>
          <w:sz w:val="19"/>
          <w:szCs w:val="19"/>
          <w:color w:val="auto"/>
        </w:rPr>
        <w:t>Each set of financial statements delivered to a holder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Bonds pursuant to </w:t>
      </w:r>
      <w:r>
        <w:rPr>
          <w:rFonts w:ascii="Arial" w:cs="Arial" w:eastAsia="Arial" w:hAnsi="Arial"/>
          <w:sz w:val="19"/>
          <w:szCs w:val="19"/>
          <w:b w:val="1"/>
          <w:bCs w:val="1"/>
          <w:color w:val="auto"/>
        </w:rPr>
        <w:t>Section 7.1(a)</w:t>
      </w:r>
      <w:r>
        <w:rPr>
          <w:rFonts w:ascii="Arial" w:cs="Arial" w:eastAsia="Arial" w:hAnsi="Arial"/>
          <w:sz w:val="19"/>
          <w:szCs w:val="19"/>
          <w:color w:val="auto"/>
        </w:rPr>
        <w:t xml:space="preserve"> or </w:t>
      </w:r>
      <w:r>
        <w:rPr>
          <w:rFonts w:ascii="Arial" w:cs="Arial" w:eastAsia="Arial" w:hAnsi="Arial"/>
          <w:sz w:val="19"/>
          <w:szCs w:val="19"/>
          <w:b w:val="1"/>
          <w:bCs w:val="1"/>
          <w:color w:val="auto"/>
        </w:rPr>
        <w:t>Section 7.1(b)</w:t>
      </w:r>
      <w:r>
        <w:rPr>
          <w:rFonts w:ascii="Arial" w:cs="Arial" w:eastAsia="Arial" w:hAnsi="Arial"/>
          <w:sz w:val="19"/>
          <w:szCs w:val="19"/>
          <w:color w:val="auto"/>
        </w:rPr>
        <w:t xml:space="preserve"> shall be accompanied by a certificate of a Senior Financial Officer (which, in the case of financial statements filed with the Municipal Securities Rulemaking Board on the EMMA database, shall be by separate concurrent delivery of such certificate to each holder of Bonds) setting forth a statement that such Senior Financial Officer has reviewed the relevant terms hereof and of the Indenture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02" w:lineRule="exact"/>
        <w:rPr>
          <w:sz w:val="20"/>
          <w:szCs w:val="20"/>
          <w:color w:val="auto"/>
        </w:rPr>
      </w:pPr>
    </w:p>
    <w:p>
      <w:pPr>
        <w:jc w:val="both"/>
        <w:ind w:left="180" w:right="20" w:firstLine="648"/>
        <w:spacing w:after="0" w:line="250" w:lineRule="auto"/>
        <w:rPr>
          <w:sz w:val="20"/>
          <w:szCs w:val="20"/>
          <w:color w:val="auto"/>
        </w:rPr>
      </w:pPr>
      <w:r>
        <w:rPr>
          <w:rFonts w:ascii="Arial" w:cs="Arial" w:eastAsia="Arial" w:hAnsi="Arial"/>
          <w:sz w:val="22"/>
          <w:szCs w:val="22"/>
          <w:i w:val="1"/>
          <w:iCs w:val="1"/>
          <w:color w:val="auto"/>
        </w:rPr>
        <w:t xml:space="preserve">Section 7.3. Visitation. </w:t>
      </w:r>
      <w:r>
        <w:rPr>
          <w:rFonts w:ascii="Arial" w:cs="Arial" w:eastAsia="Arial" w:hAnsi="Arial"/>
          <w:sz w:val="22"/>
          <w:szCs w:val="22"/>
          <w:color w:val="auto"/>
        </w:rPr>
        <w:t>The Company shall permit the representatives of each Purchaser and</w:t>
      </w:r>
      <w:r>
        <w:rPr>
          <w:rFonts w:ascii="Arial" w:cs="Arial" w:eastAsia="Arial" w:hAnsi="Arial"/>
          <w:sz w:val="22"/>
          <w:szCs w:val="22"/>
          <w:i w:val="1"/>
          <w:iCs w:val="1"/>
          <w:color w:val="auto"/>
        </w:rPr>
        <w:t xml:space="preserve"> </w:t>
      </w:r>
      <w:r>
        <w:rPr>
          <w:rFonts w:ascii="Arial" w:cs="Arial" w:eastAsia="Arial" w:hAnsi="Arial"/>
          <w:sz w:val="22"/>
          <w:szCs w:val="22"/>
          <w:color w:val="auto"/>
        </w:rPr>
        <w:t>each holder of Bonds that is an Institutional Investor:</w:t>
      </w:r>
    </w:p>
    <w:p>
      <w:pPr>
        <w:spacing w:after="0" w:line="121" w:lineRule="exact"/>
        <w:rPr>
          <w:sz w:val="20"/>
          <w:szCs w:val="20"/>
          <w:color w:val="auto"/>
        </w:rPr>
      </w:pPr>
    </w:p>
    <w:p>
      <w:pPr>
        <w:jc w:val="both"/>
        <w:ind w:left="180" w:firstLine="652"/>
        <w:spacing w:after="0" w:line="279" w:lineRule="auto"/>
        <w:tabs>
          <w:tab w:leader="none" w:pos="1716"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if no Default or Event of Default then exists, at the expense of such holder</w:t>
      </w:r>
      <w:r>
        <w:rPr>
          <w:rFonts w:ascii="Arial" w:cs="Arial" w:eastAsia="Arial" w:hAnsi="Arial"/>
          <w:sz w:val="19"/>
          <w:szCs w:val="19"/>
          <w:i w:val="1"/>
          <w:iCs w:val="1"/>
          <w:color w:val="auto"/>
        </w:rPr>
        <w:t xml:space="preserve"> </w:t>
      </w:r>
      <w:r>
        <w:rPr>
          <w:rFonts w:ascii="Arial" w:cs="Arial" w:eastAsia="Arial" w:hAnsi="Arial"/>
          <w:sz w:val="19"/>
          <w:szCs w:val="19"/>
          <w:color w:val="auto"/>
        </w:rPr>
        <w:t>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during normal business hours and as often as may be reasonably requested in writing; and</w:t>
      </w:r>
    </w:p>
    <w:p>
      <w:pPr>
        <w:spacing w:after="0" w:line="96" w:lineRule="exact"/>
        <w:rPr>
          <w:rFonts w:ascii="Arial" w:cs="Arial" w:eastAsia="Arial" w:hAnsi="Arial"/>
          <w:sz w:val="19"/>
          <w:szCs w:val="19"/>
          <w:color w:val="auto"/>
        </w:rPr>
      </w:pPr>
    </w:p>
    <w:p>
      <w:pPr>
        <w:jc w:val="both"/>
        <w:ind w:left="180" w:right="20" w:firstLine="652"/>
        <w:spacing w:after="0" w:line="246" w:lineRule="auto"/>
        <w:tabs>
          <w:tab w:leader="none" w:pos="1728"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 xml:space="preserve">Default </w:t>
      </w:r>
      <w:r>
        <w:rPr>
          <w:rFonts w:ascii="Arial" w:cs="Arial" w:eastAsia="Arial" w:hAnsi="Arial"/>
          <w:sz w:val="21"/>
          <w:szCs w:val="21"/>
          <w:color w:val="auto"/>
        </w:rPr>
        <w:t>— if a Default or Event of Default then exists, at the expense of the Company to</w:t>
      </w:r>
      <w:r>
        <w:rPr>
          <w:rFonts w:ascii="Arial" w:cs="Arial" w:eastAsia="Arial" w:hAnsi="Arial"/>
          <w:sz w:val="21"/>
          <w:szCs w:val="21"/>
          <w:i w:val="1"/>
          <w:iCs w:val="1"/>
          <w:color w:val="auto"/>
        </w:rPr>
        <w:t xml:space="preserve"> </w:t>
      </w:r>
      <w:r>
        <w:rPr>
          <w:rFonts w:ascii="Arial" w:cs="Arial" w:eastAsia="Arial" w:hAnsi="Arial"/>
          <w:sz w:val="21"/>
          <w:szCs w:val="21"/>
          <w:color w:val="auto"/>
        </w:rPr>
        <w:t>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reasonable times and as often as may be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118110</wp:posOffset>
            </wp:positionV>
            <wp:extent cx="635190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9" w:name="page70"/>
    <w:bookmarkEnd w:id="69"/>
    <w:p>
      <w:pPr>
        <w:spacing w:after="0"/>
        <w:tabs>
          <w:tab w:leader="none" w:pos="19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PURCHASE OF BONDS</w:t>
      </w:r>
    </w:p>
    <w:p>
      <w:pPr>
        <w:spacing w:after="0" w:line="153"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9"/>
          <w:szCs w:val="19"/>
          <w:color w:val="auto"/>
        </w:rPr>
        <w:t>The Company will not and will not permit any Affiliate to purchase, redeem, prepay or otherwise acquire, directly or indirectly, any of the outstanding Bonds except (a) upon the payment or prepayment of the Bonds in accordance with the terms of this Agreement and the Bonds or (b) pursuant to a written offer to purchase any outstanding Bonds made by the Company or an Affiliate pro rata to the holders of the Bonds upon the same terms and conditions. Any such offer shall provide each holder with sufficient information to enable it to make an informed decision with respect to such offer, and shall remain open for at least 15 Business Days. If the holders of more than 10% of the principal amount of the Bonds then outstanding accept such offer, the Company shall promptly notify the remaining holders of such fact and the expiration date for the acceptance by holders of Bonds of such offer shall be extended by the number of days necessary to give each such remaining holder at least 10 Business Days from its receipt of such notice to accept such offer. The Company will promptly cancel all Bonds acquired by it or any Affiliate pursuant to any payment, prepayment or purchase of Bonds pursuant to any provision of this Agreement and no Bonds may be issued in substitution or exchange for any such Bonds.</w:t>
      </w:r>
    </w:p>
    <w:p>
      <w:pPr>
        <w:spacing w:after="0" w:line="102"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1"/>
          <w:szCs w:val="21"/>
          <w:color w:val="auto"/>
        </w:rPr>
        <w:t>AFFIRMATIVE COVENANTS.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covenants that from the date of this Agreement and thereafter, so long as any of the</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Bonds are outstanding:</w:t>
      </w:r>
    </w:p>
    <w:p>
      <w:pPr>
        <w:spacing w:after="0" w:line="128" w:lineRule="exact"/>
        <w:rPr>
          <w:sz w:val="20"/>
          <w:szCs w:val="20"/>
          <w:color w:val="auto"/>
        </w:rPr>
      </w:pPr>
    </w:p>
    <w:p>
      <w:pPr>
        <w:jc w:val="both"/>
        <w:ind w:left="640" w:firstLine="648"/>
        <w:spacing w:after="0" w:line="247" w:lineRule="exact"/>
        <w:rPr>
          <w:sz w:val="20"/>
          <w:szCs w:val="20"/>
          <w:color w:val="auto"/>
        </w:rPr>
      </w:pPr>
      <w:r>
        <w:rPr>
          <w:rFonts w:ascii="Arial" w:cs="Arial" w:eastAsia="Arial" w:hAnsi="Arial"/>
          <w:sz w:val="19"/>
          <w:szCs w:val="19"/>
          <w:i w:val="1"/>
          <w:iCs w:val="1"/>
          <w:color w:val="auto"/>
        </w:rPr>
        <w:t xml:space="preserve">Section 9.1. Compliance with Law. </w:t>
      </w:r>
      <w:r>
        <w:rPr>
          <w:rFonts w:ascii="Arial" w:cs="Arial" w:eastAsia="Arial" w:hAnsi="Arial"/>
          <w:sz w:val="19"/>
          <w:szCs w:val="19"/>
          <w:color w:val="auto"/>
        </w:rPr>
        <w:t>Without limiting</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10.4</w:t>
      </w:r>
      <w:r>
        <w:rPr>
          <w:rFonts w:ascii="Arial" w:cs="Arial" w:eastAsia="Arial" w:hAnsi="Arial"/>
          <w:sz w:val="19"/>
          <w:szCs w:val="19"/>
          <w:color w:val="auto"/>
        </w:rPr>
        <w:t>, the Company will,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will cause each of its Subsidiaries to, comply with all laws, ordinances or governmental rules or regulations to which each of them is subject, including, without limitation, ERISA, Environmental Laws, the USA Patriot Act and the other laws and regulations that are referred to in </w:t>
      </w:r>
      <w:r>
        <w:rPr>
          <w:rFonts w:ascii="Arial" w:cs="Arial" w:eastAsia="Arial" w:hAnsi="Arial"/>
          <w:sz w:val="19"/>
          <w:szCs w:val="19"/>
          <w:b w:val="1"/>
          <w:bCs w:val="1"/>
          <w:color w:val="auto"/>
        </w:rPr>
        <w:t>Section 5.16</w:t>
      </w:r>
      <w:r>
        <w:rPr>
          <w:rFonts w:ascii="Arial" w:cs="Arial" w:eastAsia="Arial" w:hAnsi="Arial"/>
          <w:sz w:val="19"/>
          <w:szCs w:val="19"/>
          <w:color w:val="auto"/>
        </w:rPr>
        <w:t>,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w:t>
      </w:r>
      <w:r>
        <w:rPr>
          <w:rFonts w:ascii="MS PGothic" w:cs="MS PGothic" w:eastAsia="MS PGothic" w:hAnsi="MS PGothic"/>
          <w:sz w:val="19"/>
          <w:szCs w:val="19"/>
          <w:color w:val="auto"/>
        </w:rPr>
        <w:t>‑</w:t>
      </w:r>
      <w:r>
        <w:rPr>
          <w:rFonts w:ascii="Arial" w:cs="Arial" w:eastAsia="Arial" w:hAnsi="Arial"/>
          <w:sz w:val="19"/>
          <w:szCs w:val="19"/>
          <w:color w:val="auto"/>
        </w:rPr>
        <w:t>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31" w:lineRule="exact"/>
        <w:rPr>
          <w:sz w:val="20"/>
          <w:szCs w:val="20"/>
          <w:color w:val="auto"/>
        </w:rPr>
      </w:pPr>
    </w:p>
    <w:p>
      <w:pPr>
        <w:jc w:val="both"/>
        <w:ind w:left="640" w:firstLine="648"/>
        <w:spacing w:after="0" w:line="235" w:lineRule="auto"/>
        <w:rPr>
          <w:sz w:val="20"/>
          <w:szCs w:val="20"/>
          <w:color w:val="auto"/>
        </w:rPr>
      </w:pPr>
      <w:r>
        <w:rPr>
          <w:rFonts w:ascii="Arial" w:cs="Arial" w:eastAsia="Arial" w:hAnsi="Arial"/>
          <w:sz w:val="22"/>
          <w:szCs w:val="22"/>
          <w:i w:val="1"/>
          <w:iCs w:val="1"/>
          <w:color w:val="auto"/>
        </w:rPr>
        <w:t xml:space="preserve">Section 9.2. Insurance. </w:t>
      </w:r>
      <w:r>
        <w:rPr>
          <w:rFonts w:ascii="Arial" w:cs="Arial" w:eastAsia="Arial" w:hAnsi="Arial"/>
          <w:sz w:val="22"/>
          <w:szCs w:val="22"/>
          <w:color w:val="auto"/>
        </w:rPr>
        <w:t>The Company will cause each of its Subsidiaries to maintain, with</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34"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1"/>
          <w:szCs w:val="21"/>
          <w:i w:val="1"/>
          <w:iCs w:val="1"/>
          <w:color w:val="auto"/>
        </w:rPr>
        <w:t xml:space="preserve">Section 9.3. Maintenance of Properties. </w:t>
      </w:r>
      <w:r>
        <w:rPr>
          <w:rFonts w:ascii="Arial" w:cs="Arial" w:eastAsia="Arial" w:hAnsi="Arial"/>
          <w:sz w:val="21"/>
          <w:szCs w:val="21"/>
          <w:color w:val="auto"/>
        </w:rPr>
        <w:t>The Company will cause each of its Subsidiaries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w:t>
      </w:r>
      <w:r>
        <w:rPr>
          <w:rFonts w:ascii="Arial" w:cs="Arial" w:eastAsia="Arial" w:hAnsi="Arial"/>
          <w:sz w:val="21"/>
          <w:szCs w:val="21"/>
          <w:b w:val="1"/>
          <w:bCs w:val="1"/>
          <w:color w:val="auto"/>
        </w:rPr>
        <w:t>Section 9.3</w:t>
      </w:r>
      <w:r>
        <w:rPr>
          <w:rFonts w:ascii="Arial" w:cs="Arial" w:eastAsia="Arial" w:hAnsi="Arial"/>
          <w:sz w:val="21"/>
          <w:szCs w:val="21"/>
          <w:color w:val="auto"/>
        </w:rPr>
        <w:t xml:space="preserve"> shall not prevent any Subsidiary from discontinuing the operation and the maintenance of any of its properties if such discontinuance is desirable in the conduct of its business and the Company and such Subsidiary have concluded that such discontinuance would not, individually or in the aggregate, reasonably be expected to have a Material Adverse Effect.</w:t>
      </w:r>
    </w:p>
    <w:p>
      <w:pPr>
        <w:spacing w:after="0" w:line="126" w:lineRule="exact"/>
        <w:rPr>
          <w:sz w:val="20"/>
          <w:szCs w:val="20"/>
          <w:color w:val="auto"/>
        </w:rPr>
      </w:pPr>
    </w:p>
    <w:p>
      <w:pPr>
        <w:jc w:val="both"/>
        <w:ind w:left="640" w:firstLine="648"/>
        <w:spacing w:after="0" w:line="279" w:lineRule="auto"/>
        <w:rPr>
          <w:sz w:val="20"/>
          <w:szCs w:val="20"/>
          <w:color w:val="auto"/>
        </w:rPr>
      </w:pPr>
      <w:r>
        <w:rPr>
          <w:rFonts w:ascii="Arial" w:cs="Arial" w:eastAsia="Arial" w:hAnsi="Arial"/>
          <w:sz w:val="19"/>
          <w:szCs w:val="19"/>
          <w:i w:val="1"/>
          <w:iCs w:val="1"/>
          <w:color w:val="auto"/>
        </w:rPr>
        <w:t xml:space="preserve">Section 9.4. Payment of Taxes. </w:t>
      </w:r>
      <w:r>
        <w:rPr>
          <w:rFonts w:ascii="Arial" w:cs="Arial" w:eastAsia="Arial" w:hAnsi="Arial"/>
          <w:sz w:val="19"/>
          <w:szCs w:val="19"/>
          <w:color w:val="auto"/>
        </w:rPr>
        <w:t>The Company will cause each of its Subsidiaries to file all</w:t>
      </w:r>
      <w:r>
        <w:rPr>
          <w:rFonts w:ascii="Arial" w:cs="Arial" w:eastAsia="Arial" w:hAnsi="Arial"/>
          <w:sz w:val="19"/>
          <w:szCs w:val="19"/>
          <w:i w:val="1"/>
          <w:iCs w:val="1"/>
          <w:color w:val="auto"/>
        </w:rPr>
        <w:t xml:space="preserve"> </w:t>
      </w:r>
      <w:r>
        <w:rPr>
          <w:rFonts w:ascii="Arial" w:cs="Arial" w:eastAsia="Arial" w:hAnsi="Arial"/>
          <w:sz w:val="19"/>
          <w:szCs w:val="19"/>
          <w:color w:val="auto"/>
        </w:rPr>
        <w:t>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any Subsidiary does not need to pay any such tax, assessment, charge or levy if (a) the amount, applicability or validity thereof is contested by the Company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96520</wp:posOffset>
            </wp:positionV>
            <wp:extent cx="6351905" cy="50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0" w:name="page71"/>
    <w:bookmarkEnd w:id="70"/>
    <w:p>
      <w:pPr>
        <w:jc w:val="both"/>
        <w:ind w:left="640" w:right="20"/>
        <w:spacing w:after="0" w:line="238" w:lineRule="auto"/>
        <w:rPr>
          <w:sz w:val="20"/>
          <w:szCs w:val="20"/>
          <w:color w:val="auto"/>
        </w:rPr>
      </w:pPr>
      <w:r>
        <w:rPr>
          <w:rFonts w:ascii="Arial" w:cs="Arial" w:eastAsia="Arial" w:hAnsi="Arial"/>
          <w:sz w:val="22"/>
          <w:szCs w:val="22"/>
          <w:color w:val="auto"/>
        </w:rPr>
        <w:t>on a timely basis in good faith and in appropriate proceedings, and the Subsidiary has established adequate reserves therefor in accordance with GAAP on the books of such Subsidiary or (b) the nonpayment of all such taxes, assessments, charges and levies in the aggregate would not reasonably be expected to have a Material Adverse Effect.</w:t>
      </w:r>
    </w:p>
    <w:p>
      <w:pPr>
        <w:spacing w:after="0" w:line="131" w:lineRule="exact"/>
        <w:rPr>
          <w:sz w:val="20"/>
          <w:szCs w:val="20"/>
          <w:color w:val="auto"/>
        </w:rPr>
      </w:pPr>
    </w:p>
    <w:p>
      <w:pPr>
        <w:jc w:val="both"/>
        <w:ind w:left="640" w:firstLine="648"/>
        <w:spacing w:after="0" w:line="248" w:lineRule="exact"/>
        <w:rPr>
          <w:sz w:val="20"/>
          <w:szCs w:val="20"/>
          <w:color w:val="auto"/>
        </w:rPr>
      </w:pPr>
      <w:r>
        <w:rPr>
          <w:rFonts w:ascii="Arial" w:cs="Arial" w:eastAsia="Arial" w:hAnsi="Arial"/>
          <w:sz w:val="22"/>
          <w:szCs w:val="22"/>
          <w:i w:val="1"/>
          <w:iCs w:val="1"/>
          <w:color w:val="auto"/>
        </w:rPr>
        <w:t xml:space="preserve">Section 9.5. Corporate Existence, Etc. </w:t>
      </w:r>
      <w:r>
        <w:rPr>
          <w:rFonts w:ascii="Arial" w:cs="Arial" w:eastAsia="Arial" w:hAnsi="Arial"/>
          <w:sz w:val="22"/>
          <w:szCs w:val="22"/>
          <w:color w:val="auto"/>
        </w:rPr>
        <w:t>The Company will at all times preserve and keep in</w:t>
      </w:r>
      <w:r>
        <w:rPr>
          <w:rFonts w:ascii="Arial" w:cs="Arial" w:eastAsia="Arial" w:hAnsi="Arial"/>
          <w:sz w:val="22"/>
          <w:szCs w:val="22"/>
          <w:i w:val="1"/>
          <w:iCs w:val="1"/>
          <w:color w:val="auto"/>
        </w:rPr>
        <w:t xml:space="preserve"> </w:t>
      </w:r>
      <w:r>
        <w:rPr>
          <w:rFonts w:ascii="Arial" w:cs="Arial" w:eastAsia="Arial" w:hAnsi="Arial"/>
          <w:sz w:val="22"/>
          <w:szCs w:val="22"/>
          <w:color w:val="auto"/>
        </w:rPr>
        <w:t>full force and effect the corporate existence of each of its Subsidiaries (unless merged into the Company or a wholly</w:t>
      </w:r>
      <w:r>
        <w:rPr>
          <w:rFonts w:ascii="MS PGothic" w:cs="MS PGothic" w:eastAsia="MS PGothic" w:hAnsi="MS PGothic"/>
          <w:sz w:val="22"/>
          <w:szCs w:val="22"/>
          <w:color w:val="auto"/>
        </w:rPr>
        <w:t>‑</w:t>
      </w:r>
      <w:r>
        <w:rPr>
          <w:rFonts w:ascii="Arial" w:cs="Arial" w:eastAsia="Arial" w:hAnsi="Arial"/>
          <w:sz w:val="22"/>
          <w:szCs w:val="22"/>
          <w:color w:val="auto"/>
        </w:rPr>
        <w:t>owned Subsidiary) and all rights and franchises of its Subsidiaries unless, in the good faith judgment of the Company or such Subsidiary, the termination of or failure to preserve and keep in full force and effect such corporate existence, right or franchise would not, individually or in the aggregate, have a Material Adverse Effect.</w:t>
      </w:r>
    </w:p>
    <w:p>
      <w:pPr>
        <w:spacing w:after="0" w:line="134" w:lineRule="exact"/>
        <w:rPr>
          <w:sz w:val="20"/>
          <w:szCs w:val="20"/>
          <w:color w:val="auto"/>
        </w:rPr>
      </w:pPr>
    </w:p>
    <w:p>
      <w:pPr>
        <w:jc w:val="both"/>
        <w:ind w:left="640" w:right="20" w:firstLine="648"/>
        <w:spacing w:after="0" w:line="238" w:lineRule="auto"/>
        <w:rPr>
          <w:sz w:val="20"/>
          <w:szCs w:val="20"/>
          <w:color w:val="auto"/>
        </w:rPr>
      </w:pPr>
      <w:r>
        <w:rPr>
          <w:rFonts w:ascii="Arial" w:cs="Arial" w:eastAsia="Arial" w:hAnsi="Arial"/>
          <w:sz w:val="22"/>
          <w:szCs w:val="22"/>
          <w:i w:val="1"/>
          <w:iCs w:val="1"/>
          <w:color w:val="auto"/>
        </w:rPr>
        <w:t xml:space="preserve">Section 9.6. Books and Records. </w:t>
      </w:r>
      <w:r>
        <w:rPr>
          <w:rFonts w:ascii="Arial" w:cs="Arial" w:eastAsia="Arial" w:hAnsi="Arial"/>
          <w:sz w:val="22"/>
          <w:szCs w:val="22"/>
          <w:color w:val="auto"/>
        </w:rPr>
        <w:t>The Company will, and will cause each of its Subsidiaries</w:t>
      </w:r>
      <w:r>
        <w:rPr>
          <w:rFonts w:ascii="Arial" w:cs="Arial" w:eastAsia="Arial" w:hAnsi="Arial"/>
          <w:sz w:val="22"/>
          <w:szCs w:val="22"/>
          <w:i w:val="1"/>
          <w:iCs w:val="1"/>
          <w:color w:val="auto"/>
        </w:rPr>
        <w:t xml:space="preserve"> </w:t>
      </w:r>
      <w:r>
        <w:rPr>
          <w:rFonts w:ascii="Arial" w:cs="Arial" w:eastAsia="Arial" w:hAnsi="Arial"/>
          <w:sz w:val="22"/>
          <w:szCs w:val="22"/>
          <w:color w:val="auto"/>
        </w:rPr>
        <w:t>to, maintain proper books of record and account in conformity with GAAP and all applicable requirements of any Governmental Authority having legal or regulatory jurisdiction over the Company or such Subsidiary.</w:t>
      </w:r>
    </w:p>
    <w:p>
      <w:pPr>
        <w:spacing w:after="0" w:line="131"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NEGATIVE COVENANTS.</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covenants that from the date of this Agreement and thereafter, so long as any of the</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Bonds are outstanding:</w:t>
      </w:r>
    </w:p>
    <w:p>
      <w:pPr>
        <w:spacing w:after="0" w:line="134" w:lineRule="exact"/>
        <w:rPr>
          <w:sz w:val="20"/>
          <w:szCs w:val="20"/>
          <w:color w:val="auto"/>
        </w:rPr>
      </w:pPr>
    </w:p>
    <w:p>
      <w:pPr>
        <w:jc w:val="both"/>
        <w:ind w:left="640" w:firstLine="648"/>
        <w:spacing w:after="0" w:line="282" w:lineRule="auto"/>
        <w:rPr>
          <w:sz w:val="20"/>
          <w:szCs w:val="20"/>
          <w:color w:val="auto"/>
        </w:rPr>
      </w:pPr>
      <w:r>
        <w:rPr>
          <w:rFonts w:ascii="Arial" w:cs="Arial" w:eastAsia="Arial" w:hAnsi="Arial"/>
          <w:sz w:val="19"/>
          <w:szCs w:val="19"/>
          <w:i w:val="1"/>
          <w:iCs w:val="1"/>
          <w:color w:val="auto"/>
        </w:rPr>
        <w:t xml:space="preserve">Section 10.1. Transactions with Affiliates. </w:t>
      </w:r>
      <w:r>
        <w:rPr>
          <w:rFonts w:ascii="Arial" w:cs="Arial" w:eastAsia="Arial" w:hAnsi="Arial"/>
          <w:sz w:val="19"/>
          <w:szCs w:val="19"/>
          <w:color w:val="auto"/>
        </w:rPr>
        <w:t>The Company will not and will not permit any</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pursuant to the reasonable requirements of the Company’s or such Subsidiary’s business.</w:t>
      </w:r>
    </w:p>
    <w:p>
      <w:pPr>
        <w:spacing w:after="0" w:line="93" w:lineRule="exact"/>
        <w:rPr>
          <w:sz w:val="20"/>
          <w:szCs w:val="20"/>
          <w:color w:val="auto"/>
        </w:rPr>
      </w:pPr>
    </w:p>
    <w:p>
      <w:pPr>
        <w:jc w:val="both"/>
        <w:ind w:left="640" w:right="20" w:firstLine="648"/>
        <w:spacing w:after="0"/>
        <w:rPr>
          <w:sz w:val="20"/>
          <w:szCs w:val="20"/>
          <w:color w:val="auto"/>
        </w:rPr>
      </w:pPr>
      <w:r>
        <w:rPr>
          <w:rFonts w:ascii="Arial" w:cs="Arial" w:eastAsia="Arial" w:hAnsi="Arial"/>
          <w:sz w:val="22"/>
          <w:szCs w:val="22"/>
          <w:i w:val="1"/>
          <w:iCs w:val="1"/>
          <w:color w:val="auto"/>
        </w:rPr>
        <w:t xml:space="preserve">Section 10.2. Merger, Consolidation, Etc </w:t>
      </w:r>
      <w:r>
        <w:rPr>
          <w:rFonts w:ascii="Arial" w:cs="Arial" w:eastAsia="Arial" w:hAnsi="Arial"/>
          <w:sz w:val="22"/>
          <w:szCs w:val="22"/>
          <w:color w:val="auto"/>
        </w:rPr>
        <w:t>The Company will not consolidate with or merge</w:t>
      </w:r>
      <w:r>
        <w:rPr>
          <w:rFonts w:ascii="Arial" w:cs="Arial" w:eastAsia="Arial" w:hAnsi="Arial"/>
          <w:sz w:val="22"/>
          <w:szCs w:val="22"/>
          <w:i w:val="1"/>
          <w:iCs w:val="1"/>
          <w:color w:val="auto"/>
        </w:rPr>
        <w:t xml:space="preserve"> </w:t>
      </w:r>
      <w:r>
        <w:rPr>
          <w:rFonts w:ascii="Arial" w:cs="Arial" w:eastAsia="Arial" w:hAnsi="Arial"/>
          <w:sz w:val="22"/>
          <w:szCs w:val="22"/>
          <w:color w:val="auto"/>
        </w:rPr>
        <w:t>with any other Person or convey, transfer or lease all or substantially all of its assets in a single transaction or series of transactions to any Person unless:</w:t>
      </w:r>
    </w:p>
    <w:p>
      <w:pPr>
        <w:spacing w:after="0" w:line="132" w:lineRule="exact"/>
        <w:rPr>
          <w:sz w:val="20"/>
          <w:szCs w:val="20"/>
          <w:color w:val="auto"/>
        </w:rPr>
      </w:pPr>
    </w:p>
    <w:p>
      <w:pPr>
        <w:jc w:val="both"/>
        <w:ind w:left="640" w:firstLine="652"/>
        <w:spacing w:after="0" w:line="273" w:lineRule="auto"/>
        <w:tabs>
          <w:tab w:leader="none" w:pos="2176"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Bonds its assumption of the due and punctual performance and observance of each covenant and condition of the Financing Agreements (pursuant to such agreements and instruments as shall be reasonably satisfactory to the Required Holders), and the Company shall have caused to be delivered to each holder of Bonds an opinion of nationally recognized independent counsel, to the effect that all agreements or instruments effecting such assumption are enforceable in accordance with their terms and comply with the terms hereof; and</w:t>
      </w:r>
    </w:p>
    <w:p>
      <w:pPr>
        <w:spacing w:after="0" w:line="101" w:lineRule="exact"/>
        <w:rPr>
          <w:rFonts w:ascii="Arial" w:cs="Arial" w:eastAsia="Arial" w:hAnsi="Arial"/>
          <w:sz w:val="19"/>
          <w:szCs w:val="19"/>
          <w:color w:val="auto"/>
        </w:rPr>
      </w:pPr>
    </w:p>
    <w:p>
      <w:pPr>
        <w:ind w:left="640" w:right="20" w:firstLine="652"/>
        <w:spacing w:after="0" w:line="250" w:lineRule="auto"/>
        <w:tabs>
          <w:tab w:leader="none" w:pos="2188" w:val="left"/>
        </w:tabs>
        <w:numPr>
          <w:ilvl w:val="0"/>
          <w:numId w:val="38"/>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such transaction, no Default or Event of Default shall have occurred and be continuing.</w:t>
      </w:r>
    </w:p>
    <w:p>
      <w:pPr>
        <w:spacing w:after="0" w:line="121" w:lineRule="exact"/>
        <w:rPr>
          <w:sz w:val="20"/>
          <w:szCs w:val="20"/>
          <w:color w:val="auto"/>
        </w:rPr>
      </w:pPr>
    </w:p>
    <w:p>
      <w:pPr>
        <w:jc w:val="both"/>
        <w:ind w:left="640" w:right="20" w:firstLine="648"/>
        <w:spacing w:after="0" w:line="238" w:lineRule="auto"/>
        <w:rPr>
          <w:sz w:val="20"/>
          <w:szCs w:val="20"/>
          <w:color w:val="auto"/>
        </w:rPr>
      </w:pPr>
      <w:r>
        <w:rPr>
          <w:rFonts w:ascii="Arial" w:cs="Arial" w:eastAsia="Arial" w:hAnsi="Arial"/>
          <w:sz w:val="22"/>
          <w:szCs w:val="22"/>
          <w:color w:val="auto"/>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w:t>
      </w:r>
      <w:r>
        <w:rPr>
          <w:rFonts w:ascii="Arial" w:cs="Arial" w:eastAsia="Arial" w:hAnsi="Arial"/>
          <w:sz w:val="22"/>
          <w:szCs w:val="22"/>
          <w:b w:val="1"/>
          <w:bCs w:val="1"/>
          <w:color w:val="auto"/>
        </w:rPr>
        <w:t>Section 10.2</w:t>
      </w:r>
      <w:r>
        <w:rPr>
          <w:rFonts w:ascii="Arial" w:cs="Arial" w:eastAsia="Arial" w:hAnsi="Arial"/>
          <w:sz w:val="22"/>
          <w:szCs w:val="22"/>
          <w:color w:val="auto"/>
        </w:rPr>
        <w:t xml:space="preserve"> from its liability under the Financing Agreements.</w:t>
      </w:r>
    </w:p>
    <w:p>
      <w:pPr>
        <w:spacing w:after="0" w:line="131" w:lineRule="exact"/>
        <w:rPr>
          <w:sz w:val="20"/>
          <w:szCs w:val="20"/>
          <w:color w:val="auto"/>
        </w:rPr>
      </w:pPr>
    </w:p>
    <w:p>
      <w:pPr>
        <w:jc w:val="both"/>
        <w:ind w:left="640" w:right="20" w:firstLine="648"/>
        <w:spacing w:after="0"/>
        <w:rPr>
          <w:sz w:val="20"/>
          <w:szCs w:val="20"/>
          <w:color w:val="auto"/>
        </w:rPr>
      </w:pPr>
      <w:r>
        <w:rPr>
          <w:rFonts w:ascii="Arial" w:cs="Arial" w:eastAsia="Arial" w:hAnsi="Arial"/>
          <w:sz w:val="22"/>
          <w:szCs w:val="22"/>
          <w:i w:val="1"/>
          <w:iCs w:val="1"/>
          <w:color w:val="auto"/>
        </w:rPr>
        <w:t xml:space="preserve">Section 10.3. Line of Business. </w:t>
      </w:r>
      <w:r>
        <w:rPr>
          <w:rFonts w:ascii="Arial" w:cs="Arial" w:eastAsia="Arial" w:hAnsi="Arial"/>
          <w:sz w:val="22"/>
          <w:szCs w:val="22"/>
          <w:color w:val="auto"/>
        </w:rPr>
        <w:t>The Company will not engage in any business if, as a</w:t>
      </w:r>
      <w:r>
        <w:rPr>
          <w:rFonts w:ascii="Arial" w:cs="Arial" w:eastAsia="Arial" w:hAnsi="Arial"/>
          <w:sz w:val="22"/>
          <w:szCs w:val="22"/>
          <w:i w:val="1"/>
          <w:iCs w:val="1"/>
          <w:color w:val="auto"/>
        </w:rPr>
        <w:t xml:space="preserve"> </w:t>
      </w:r>
      <w:r>
        <w:rPr>
          <w:rFonts w:ascii="Arial" w:cs="Arial" w:eastAsia="Arial" w:hAnsi="Arial"/>
          <w:sz w:val="22"/>
          <w:szCs w:val="22"/>
          <w:color w:val="auto"/>
        </w:rPr>
        <w:t>result, the general nature of the business in which the Company and its Subsidiaries, taken as a whole, would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635190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1" w:name="page72"/>
    <w:bookmarkEnd w:id="71"/>
    <w:p>
      <w:pPr>
        <w:jc w:val="both"/>
        <w:ind w:left="640" w:right="20"/>
        <w:spacing w:after="0" w:line="251" w:lineRule="auto"/>
        <w:rPr>
          <w:sz w:val="20"/>
          <w:szCs w:val="20"/>
          <w:color w:val="auto"/>
        </w:rPr>
      </w:pPr>
      <w:r>
        <w:rPr>
          <w:rFonts w:ascii="Arial" w:cs="Arial" w:eastAsia="Arial" w:hAnsi="Arial"/>
          <w:sz w:val="22"/>
          <w:szCs w:val="22"/>
          <w:color w:val="auto"/>
        </w:rPr>
        <w:t>be engaged would be substantially changed from the general nature of the business in which the Company and its Subsidiaries, taken as whole, is engaged on the date of this Agreement.</w:t>
      </w:r>
    </w:p>
    <w:p>
      <w:pPr>
        <w:spacing w:after="0" w:line="119" w:lineRule="exact"/>
        <w:rPr>
          <w:sz w:val="20"/>
          <w:szCs w:val="20"/>
          <w:color w:val="auto"/>
        </w:rPr>
      </w:pPr>
    </w:p>
    <w:p>
      <w:pPr>
        <w:jc w:val="both"/>
        <w:ind w:left="640" w:firstLine="648"/>
        <w:spacing w:after="0" w:line="277" w:lineRule="auto"/>
        <w:rPr>
          <w:sz w:val="20"/>
          <w:szCs w:val="20"/>
          <w:color w:val="auto"/>
        </w:rPr>
      </w:pPr>
      <w:r>
        <w:rPr>
          <w:rFonts w:ascii="Arial" w:cs="Arial" w:eastAsia="Arial" w:hAnsi="Arial"/>
          <w:sz w:val="19"/>
          <w:szCs w:val="19"/>
          <w:i w:val="1"/>
          <w:iCs w:val="1"/>
          <w:color w:val="auto"/>
        </w:rPr>
        <w:t xml:space="preserve">Section 10.4. Economic Sanctions, Etc. </w:t>
      </w:r>
      <w:r>
        <w:rPr>
          <w:rFonts w:ascii="Arial" w:cs="Arial" w:eastAsia="Arial" w:hAnsi="Arial"/>
          <w:sz w:val="19"/>
          <w:szCs w:val="19"/>
          <w:color w:val="auto"/>
        </w:rPr>
        <w:t>The Company will not, and will not permit any</w:t>
      </w:r>
      <w:r>
        <w:rPr>
          <w:rFonts w:ascii="Arial" w:cs="Arial" w:eastAsia="Arial" w:hAnsi="Arial"/>
          <w:sz w:val="19"/>
          <w:szCs w:val="19"/>
          <w:i w:val="1"/>
          <w:iCs w:val="1"/>
          <w:color w:val="auto"/>
        </w:rPr>
        <w:t xml:space="preserve"> </w:t>
      </w:r>
      <w:r>
        <w:rPr>
          <w:rFonts w:ascii="Arial" w:cs="Arial" w:eastAsia="Arial" w:hAnsi="Arial"/>
          <w:sz w:val="19"/>
          <w:szCs w:val="19"/>
          <w:color w:val="auto"/>
        </w:rPr>
        <w:t>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Bonds)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spacing w:after="0" w:line="98"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PAYMENTS ON BONDS.</w:t>
      </w:r>
    </w:p>
    <w:p>
      <w:pPr>
        <w:spacing w:after="0" w:line="152" w:lineRule="exact"/>
        <w:rPr>
          <w:sz w:val="20"/>
          <w:szCs w:val="20"/>
          <w:color w:val="auto"/>
        </w:rPr>
      </w:pPr>
    </w:p>
    <w:p>
      <w:pPr>
        <w:jc w:val="both"/>
        <w:ind w:left="640" w:firstLine="648"/>
        <w:spacing w:after="0" w:line="246" w:lineRule="exact"/>
        <w:rPr>
          <w:sz w:val="20"/>
          <w:szCs w:val="20"/>
          <w:color w:val="auto"/>
        </w:rPr>
      </w:pPr>
      <w:r>
        <w:rPr>
          <w:rFonts w:ascii="Arial" w:cs="Arial" w:eastAsia="Arial" w:hAnsi="Arial"/>
          <w:sz w:val="19"/>
          <w:szCs w:val="19"/>
          <w:i w:val="1"/>
          <w:iCs w:val="1"/>
          <w:color w:val="auto"/>
        </w:rPr>
        <w:t xml:space="preserve">Section 11.1. Payment by Wire Transfer. </w:t>
      </w:r>
      <w:r>
        <w:rPr>
          <w:rFonts w:ascii="Arial" w:cs="Arial" w:eastAsia="Arial" w:hAnsi="Arial"/>
          <w:sz w:val="19"/>
          <w:szCs w:val="19"/>
          <w:color w:val="auto"/>
        </w:rPr>
        <w:t>So long as any Purchaser or its nominee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the holder of any Bond, and notwithstanding anything contained in the Indenture or in such Bond to the contrary, the Company will pay, or cause to be paid by a paying agent, a trustee or other similar party, all sums becoming due on such Bond for principal, Make</w:t>
      </w:r>
      <w:r>
        <w:rPr>
          <w:rFonts w:ascii="MS PGothic" w:cs="MS PGothic" w:eastAsia="MS PGothic" w:hAnsi="MS PGothic"/>
          <w:sz w:val="19"/>
          <w:szCs w:val="19"/>
          <w:color w:val="auto"/>
        </w:rPr>
        <w:t>‑</w:t>
      </w:r>
      <w:r>
        <w:rPr>
          <w:rFonts w:ascii="Arial" w:cs="Arial" w:eastAsia="Arial" w:hAnsi="Arial"/>
          <w:sz w:val="19"/>
          <w:szCs w:val="19"/>
          <w:color w:val="auto"/>
        </w:rPr>
        <w:t xml:space="preserve">Whole Amount or premium, if any, and interest by the method and at the address specified for such purpose below such Purchaser’s name in </w:t>
      </w:r>
      <w:r>
        <w:rPr>
          <w:rFonts w:ascii="Arial" w:cs="Arial" w:eastAsia="Arial" w:hAnsi="Arial"/>
          <w:sz w:val="19"/>
          <w:szCs w:val="19"/>
          <w:i w:val="1"/>
          <w:iCs w:val="1"/>
          <w:color w:val="auto"/>
        </w:rPr>
        <w:t>Schedule A</w:t>
      </w:r>
      <w:r>
        <w:rPr>
          <w:rFonts w:ascii="Arial" w:cs="Arial" w:eastAsia="Arial" w:hAnsi="Arial"/>
          <w:sz w:val="19"/>
          <w:szCs w:val="19"/>
          <w:color w:val="auto"/>
        </w:rPr>
        <w:t xml:space="preserve">, or by such other method or at such other address as such Purchaser shall have from time to time specified to the Company in writing for such purpose, without the presentation or surrender of such Bond or the making of any notation thereon, except that upon written request of the Company or any paying agent made concurrently with or reasonably promptly after payment or prepayment in full of any Bond, such Purchaser shall surrender such Bond for cancellation, reasonably promptly after any such request, to the Company at its principal executive office or at the place of payment most recently designated by the Company pursuant to Article II of the Indenture. Prior to any sale or other disposition of any Bond held by a Purchaser or its nominee, such Purchaser will, at its election, either endorse thereon the amount of principal paid thereon and the last date to which interest has been paid thereon or surrender such Bond to the Company in exchange for a new Bond or Bonds pursuant to Article II of the Indenture. The Company will afford the benefits of this </w:t>
      </w:r>
      <w:r>
        <w:rPr>
          <w:rFonts w:ascii="Arial" w:cs="Arial" w:eastAsia="Arial" w:hAnsi="Arial"/>
          <w:sz w:val="19"/>
          <w:szCs w:val="19"/>
          <w:b w:val="1"/>
          <w:bCs w:val="1"/>
          <w:color w:val="auto"/>
        </w:rPr>
        <w:t>Section 11.1</w:t>
      </w:r>
      <w:r>
        <w:rPr>
          <w:rFonts w:ascii="Arial" w:cs="Arial" w:eastAsia="Arial" w:hAnsi="Arial"/>
          <w:sz w:val="19"/>
          <w:szCs w:val="19"/>
          <w:color w:val="auto"/>
        </w:rPr>
        <w:t xml:space="preserve"> to any Institutional Investor that is the direct or indirect transferee of any Bond purchased by a Purchaser under this Agreement and that has made the same agreement relating to such Bond as the Purchasers have made in this </w:t>
      </w:r>
      <w:r>
        <w:rPr>
          <w:rFonts w:ascii="Arial" w:cs="Arial" w:eastAsia="Arial" w:hAnsi="Arial"/>
          <w:sz w:val="19"/>
          <w:szCs w:val="19"/>
          <w:b w:val="1"/>
          <w:bCs w:val="1"/>
          <w:color w:val="auto"/>
        </w:rPr>
        <w:t>Section 11.1</w:t>
      </w:r>
      <w:r>
        <w:rPr>
          <w:rFonts w:ascii="Arial" w:cs="Arial" w:eastAsia="Arial" w:hAnsi="Arial"/>
          <w:sz w:val="19"/>
          <w:szCs w:val="19"/>
          <w:color w:val="auto"/>
        </w:rPr>
        <w:t>.</w:t>
      </w:r>
    </w:p>
    <w:p>
      <w:pPr>
        <w:spacing w:after="0" w:line="357" w:lineRule="exact"/>
        <w:rPr>
          <w:sz w:val="20"/>
          <w:szCs w:val="20"/>
          <w:color w:val="auto"/>
        </w:rPr>
      </w:pPr>
    </w:p>
    <w:p>
      <w:pPr>
        <w:spacing w:after="0"/>
        <w:tabs>
          <w:tab w:leader="none" w:pos="20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REGISTRATION; EXCHANGE; EXPENSES, ETC.</w:t>
      </w:r>
    </w:p>
    <w:p>
      <w:pPr>
        <w:spacing w:after="0" w:line="152" w:lineRule="exact"/>
        <w:rPr>
          <w:sz w:val="20"/>
          <w:szCs w:val="20"/>
          <w:color w:val="auto"/>
        </w:rPr>
      </w:pPr>
    </w:p>
    <w:p>
      <w:pPr>
        <w:jc w:val="both"/>
        <w:ind w:left="640" w:right="20" w:firstLine="648"/>
        <w:spacing w:after="0"/>
        <w:rPr>
          <w:sz w:val="20"/>
          <w:szCs w:val="20"/>
          <w:color w:val="auto"/>
        </w:rPr>
      </w:pPr>
      <w:r>
        <w:rPr>
          <w:rFonts w:ascii="Arial" w:cs="Arial" w:eastAsia="Arial" w:hAnsi="Arial"/>
          <w:sz w:val="22"/>
          <w:szCs w:val="22"/>
          <w:i w:val="1"/>
          <w:iCs w:val="1"/>
          <w:color w:val="auto"/>
        </w:rPr>
        <w:t xml:space="preserve">Section 12.1. Registration of Bonds. </w:t>
      </w:r>
      <w:r>
        <w:rPr>
          <w:rFonts w:ascii="Arial" w:cs="Arial" w:eastAsia="Arial" w:hAnsi="Arial"/>
          <w:sz w:val="22"/>
          <w:szCs w:val="22"/>
          <w:color w:val="auto"/>
        </w:rPr>
        <w:t>The Company shall cause the Trustee to keep a register</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registration and registration of transfers of Bonds in accordance with Article XIII, Section 9 of the Indenture.</w:t>
      </w:r>
    </w:p>
    <w:p>
      <w:pPr>
        <w:spacing w:after="0" w:line="132" w:lineRule="exact"/>
        <w:rPr>
          <w:sz w:val="20"/>
          <w:szCs w:val="20"/>
          <w:color w:val="auto"/>
        </w:rPr>
      </w:pPr>
    </w:p>
    <w:p>
      <w:pPr>
        <w:jc w:val="both"/>
        <w:ind w:left="640" w:firstLine="648"/>
        <w:spacing w:after="0" w:line="245" w:lineRule="exact"/>
        <w:rPr>
          <w:sz w:val="20"/>
          <w:szCs w:val="20"/>
          <w:color w:val="auto"/>
        </w:rPr>
      </w:pPr>
      <w:r>
        <w:rPr>
          <w:rFonts w:ascii="Arial" w:cs="Arial" w:eastAsia="Arial" w:hAnsi="Arial"/>
          <w:sz w:val="19"/>
          <w:szCs w:val="19"/>
          <w:i w:val="1"/>
          <w:iCs w:val="1"/>
          <w:color w:val="auto"/>
        </w:rPr>
        <w:t>Section 12.2. Transaction Expenses</w:t>
      </w:r>
      <w:r>
        <w:rPr>
          <w:rFonts w:ascii="Arial" w:cs="Arial" w:eastAsia="Arial" w:hAnsi="Arial"/>
          <w:sz w:val="19"/>
          <w:szCs w:val="19"/>
          <w:color w:val="auto"/>
        </w:rPr>
        <w:t>. Whether or not the transactions contemplated hereby</w:t>
      </w:r>
      <w:r>
        <w:rPr>
          <w:rFonts w:ascii="Arial" w:cs="Arial" w:eastAsia="Arial" w:hAnsi="Arial"/>
          <w:sz w:val="19"/>
          <w:szCs w:val="19"/>
          <w:i w:val="1"/>
          <w:iCs w:val="1"/>
          <w:color w:val="auto"/>
        </w:rPr>
        <w:t xml:space="preserve"> </w:t>
      </w:r>
      <w:r>
        <w:rPr>
          <w:rFonts w:ascii="Arial" w:cs="Arial" w:eastAsia="Arial" w:hAnsi="Arial"/>
          <w:sz w:val="19"/>
          <w:szCs w:val="19"/>
          <w:color w:val="auto"/>
        </w:rPr>
        <w:t>are consummated, the Company will pay all reasonable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any Financing Agreement (whether or not such amendment, waiver or consent becomes effective), including, without limitation: (a) the costs and expenses incurred in enforcing or defending (or determining whether or how to enforce or defend) any rights under any Financing Agreement or in responding to any subpoena or other legal process or informal investigative demand issued in connection with any Financing Agreement, or by reason of being a Purchaser or holder of any Bond, (b) the costs and expenses, including financial advisors’ fees, incurred in connection with the insolvency or bankruptcy of the Company or any Subsidiary or in connection with any work</w:t>
      </w:r>
      <w:r>
        <w:rPr>
          <w:rFonts w:ascii="MS PGothic" w:cs="MS PGothic" w:eastAsia="MS PGothic" w:hAnsi="MS PGothic"/>
          <w:sz w:val="19"/>
          <w:szCs w:val="19"/>
          <w:color w:val="auto"/>
        </w:rPr>
        <w:t>‑</w:t>
      </w:r>
      <w:r>
        <w:rPr>
          <w:rFonts w:ascii="Arial" w:cs="Arial" w:eastAsia="Arial" w:hAnsi="Arial"/>
          <w:sz w:val="19"/>
          <w:szCs w:val="19"/>
          <w:color w:val="auto"/>
        </w:rPr>
        <w:t>out or restructuring of the transactions contemplated by any Financing Agreement and (c) the costs and expenses incurred in connection with the initial filing of any Financing Agreement and all related documents and financial information with the SVO, provided that such costs and expenses under this clause (c) shall not exceed $6,000 for the Bonds. The Company will pay, and will save each Purchaser and each other holder of a Bond harmless from, all claims in respect of any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118745</wp:posOffset>
            </wp:positionV>
            <wp:extent cx="635190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2" w:name="page73"/>
    <w:bookmarkEnd w:id="72"/>
    <w:p>
      <w:pPr>
        <w:jc w:val="both"/>
        <w:ind w:left="640" w:right="20"/>
        <w:spacing w:after="0" w:line="251" w:lineRule="auto"/>
        <w:rPr>
          <w:sz w:val="20"/>
          <w:szCs w:val="20"/>
          <w:color w:val="auto"/>
        </w:rPr>
      </w:pPr>
      <w:r>
        <w:rPr>
          <w:rFonts w:ascii="Arial" w:cs="Arial" w:eastAsia="Arial" w:hAnsi="Arial"/>
          <w:sz w:val="22"/>
          <w:szCs w:val="22"/>
          <w:color w:val="auto"/>
        </w:rPr>
        <w:t>costs or expenses if any, of brokers and finders (other than those, if any, retained by a Purchaser or other holder in connection with its purchase of the Bonds).</w:t>
      </w:r>
    </w:p>
    <w:p>
      <w:pPr>
        <w:spacing w:after="0" w:line="113" w:lineRule="exact"/>
        <w:rPr>
          <w:sz w:val="20"/>
          <w:szCs w:val="20"/>
          <w:color w:val="auto"/>
        </w:rPr>
      </w:pPr>
    </w:p>
    <w:p>
      <w:pPr>
        <w:jc w:val="both"/>
        <w:ind w:left="640" w:right="20" w:firstLine="648"/>
        <w:spacing w:after="0" w:line="243" w:lineRule="auto"/>
        <w:rPr>
          <w:sz w:val="20"/>
          <w:szCs w:val="20"/>
          <w:color w:val="auto"/>
        </w:rPr>
      </w:pPr>
      <w:r>
        <w:rPr>
          <w:rFonts w:ascii="Arial" w:cs="Arial" w:eastAsia="Arial" w:hAnsi="Arial"/>
          <w:sz w:val="22"/>
          <w:szCs w:val="22"/>
          <w:i w:val="1"/>
          <w:iCs w:val="1"/>
          <w:color w:val="auto"/>
        </w:rPr>
        <w:t xml:space="preserve">Section 12.3. Survival. </w:t>
      </w:r>
      <w:r>
        <w:rPr>
          <w:rFonts w:ascii="Arial" w:cs="Arial" w:eastAsia="Arial" w:hAnsi="Arial"/>
          <w:sz w:val="22"/>
          <w:szCs w:val="22"/>
          <w:color w:val="auto"/>
        </w:rPr>
        <w:t>The obligations of the Company under this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Section 12</w:t>
      </w:r>
      <w:r>
        <w:rPr>
          <w:rFonts w:ascii="Arial" w:cs="Arial" w:eastAsia="Arial" w:hAnsi="Arial"/>
          <w:sz w:val="22"/>
          <w:szCs w:val="22"/>
          <w:i w:val="1"/>
          <w:iCs w:val="1"/>
          <w:color w:val="auto"/>
        </w:rPr>
        <w:t xml:space="preserve"> </w:t>
      </w:r>
      <w:r>
        <w:rPr>
          <w:rFonts w:ascii="Arial" w:cs="Arial" w:eastAsia="Arial" w:hAnsi="Arial"/>
          <w:sz w:val="22"/>
          <w:szCs w:val="22"/>
          <w:color w:val="auto"/>
        </w:rPr>
        <w:t>will survive</w:t>
      </w:r>
      <w:r>
        <w:rPr>
          <w:rFonts w:ascii="Arial" w:cs="Arial" w:eastAsia="Arial" w:hAnsi="Arial"/>
          <w:sz w:val="22"/>
          <w:szCs w:val="22"/>
          <w:i w:val="1"/>
          <w:iCs w:val="1"/>
          <w:color w:val="auto"/>
        </w:rPr>
        <w:t xml:space="preserve"> </w:t>
      </w:r>
      <w:r>
        <w:rPr>
          <w:rFonts w:ascii="Arial" w:cs="Arial" w:eastAsia="Arial" w:hAnsi="Arial"/>
          <w:sz w:val="22"/>
          <w:szCs w:val="22"/>
          <w:color w:val="auto"/>
        </w:rPr>
        <w:t>the payment or transfer of any Bond, the enforcement, amendment or waiver of any provision of any Financing Agreement, and the termination of any Financing Agreement.</w:t>
      </w:r>
    </w:p>
    <w:p>
      <w:pPr>
        <w:spacing w:after="0" w:line="129" w:lineRule="exact"/>
        <w:rPr>
          <w:sz w:val="20"/>
          <w:szCs w:val="20"/>
          <w:color w:val="auto"/>
        </w:rPr>
      </w:pPr>
    </w:p>
    <w:p>
      <w:pPr>
        <w:jc w:val="both"/>
        <w:ind w:left="640" w:firstLine="648"/>
        <w:spacing w:after="0" w:line="246" w:lineRule="auto"/>
        <w:rPr>
          <w:sz w:val="20"/>
          <w:szCs w:val="20"/>
          <w:color w:val="auto"/>
        </w:rPr>
      </w:pPr>
      <w:r>
        <w:rPr>
          <w:rFonts w:ascii="Arial" w:cs="Arial" w:eastAsia="Arial" w:hAnsi="Arial"/>
          <w:sz w:val="21"/>
          <w:szCs w:val="21"/>
          <w:i w:val="1"/>
          <w:iCs w:val="1"/>
          <w:color w:val="auto"/>
        </w:rPr>
        <w:t xml:space="preserve">Section 12.4. Tax Withholding. </w:t>
      </w:r>
      <w:r>
        <w:rPr>
          <w:rFonts w:ascii="Arial" w:cs="Arial" w:eastAsia="Arial" w:hAnsi="Arial"/>
          <w:sz w:val="21"/>
          <w:szCs w:val="21"/>
          <w:color w:val="auto"/>
        </w:rPr>
        <w:t>Except as otherwise required by applicable law,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w:t>
      </w:r>
      <w:r>
        <w:rPr>
          <w:rFonts w:ascii="Arial" w:cs="Arial" w:eastAsia="Arial" w:hAnsi="Arial"/>
          <w:sz w:val="21"/>
          <w:szCs w:val="21"/>
          <w:i w:val="1"/>
          <w:iCs w:val="1"/>
          <w:color w:val="auto"/>
        </w:rPr>
        <w:t>U.S. Tax Compliance Certificate</w:t>
      </w:r>
      <w:r>
        <w:rPr>
          <w:rFonts w:ascii="Arial" w:cs="Arial" w:eastAsia="Arial" w:hAnsi="Arial"/>
          <w:sz w:val="21"/>
          <w:szCs w:val="21"/>
          <w:color w:val="auto"/>
        </w:rPr>
        <w:t xml:space="preserve">” substantially in the form attached as </w:t>
      </w:r>
      <w:r>
        <w:rPr>
          <w:rFonts w:ascii="Arial" w:cs="Arial" w:eastAsia="Arial" w:hAnsi="Arial"/>
          <w:sz w:val="21"/>
          <w:szCs w:val="21"/>
          <w:i w:val="1"/>
          <w:iCs w:val="1"/>
          <w:color w:val="auto"/>
        </w:rPr>
        <w:t>Exhibit 12.4</w:t>
      </w:r>
      <w:r>
        <w:rPr>
          <w:rFonts w:ascii="Arial" w:cs="Arial" w:eastAsia="Arial" w:hAnsi="Arial"/>
          <w:sz w:val="21"/>
          <w:szCs w:val="21"/>
          <w:color w:val="auto"/>
        </w:rPr>
        <w:t>, in both cases correctly completed and executed.</w:t>
      </w:r>
    </w:p>
    <w:p>
      <w:pPr>
        <w:spacing w:after="0" w:line="126"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color w:val="auto"/>
        </w:rPr>
        <w:t>SURVIVAL OF REPRESENTATIONS AND WARRANTIES; ENTIRE AGREEMENT.</w:t>
      </w:r>
    </w:p>
    <w:p>
      <w:pPr>
        <w:spacing w:after="0" w:line="152" w:lineRule="exact"/>
        <w:rPr>
          <w:sz w:val="20"/>
          <w:szCs w:val="20"/>
          <w:color w:val="auto"/>
        </w:rPr>
      </w:pPr>
    </w:p>
    <w:p>
      <w:pPr>
        <w:jc w:val="both"/>
        <w:ind w:left="640" w:right="20" w:firstLine="648"/>
        <w:spacing w:after="0" w:line="274" w:lineRule="auto"/>
        <w:rPr>
          <w:sz w:val="20"/>
          <w:szCs w:val="20"/>
          <w:color w:val="auto"/>
        </w:rPr>
      </w:pPr>
      <w:r>
        <w:rPr>
          <w:rFonts w:ascii="Arial" w:cs="Arial" w:eastAsia="Arial" w:hAnsi="Arial"/>
          <w:sz w:val="19"/>
          <w:szCs w:val="19"/>
          <w:color w:val="auto"/>
        </w:rPr>
        <w:t>All representations and warranties contained herein shall survive the execution and delivery of this Agreement,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the Financing Agreements embody the entire agreement and understanding between each Purchaser and the Company and supersede all prior agreements and understandings relating to the subject matter hereof.</w:t>
      </w:r>
    </w:p>
    <w:p>
      <w:pPr>
        <w:spacing w:after="0" w:line="104"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AMENDMENT AND WAIVER</w:t>
      </w:r>
    </w:p>
    <w:p>
      <w:pPr>
        <w:spacing w:after="0" w:line="152" w:lineRule="exact"/>
        <w:rPr>
          <w:sz w:val="20"/>
          <w:szCs w:val="20"/>
          <w:color w:val="auto"/>
        </w:rPr>
      </w:pPr>
    </w:p>
    <w:p>
      <w:pPr>
        <w:jc w:val="both"/>
        <w:ind w:left="640" w:right="20" w:firstLine="648"/>
        <w:spacing w:after="0" w:line="244" w:lineRule="auto"/>
        <w:rPr>
          <w:sz w:val="20"/>
          <w:szCs w:val="20"/>
          <w:color w:val="auto"/>
        </w:rPr>
      </w:pPr>
      <w:r>
        <w:rPr>
          <w:rFonts w:ascii="Arial" w:cs="Arial" w:eastAsia="Arial" w:hAnsi="Arial"/>
          <w:sz w:val="21"/>
          <w:szCs w:val="21"/>
          <w:i w:val="1"/>
          <w:iCs w:val="1"/>
          <w:color w:val="auto"/>
        </w:rPr>
        <w:t xml:space="preserve">Section 14.1. Requirements. </w:t>
      </w:r>
      <w:r>
        <w:rPr>
          <w:rFonts w:ascii="Arial" w:cs="Arial" w:eastAsia="Arial" w:hAnsi="Arial"/>
          <w:sz w:val="21"/>
          <w:szCs w:val="21"/>
          <w:color w:val="auto"/>
        </w:rPr>
        <w:t>This Agreement and the Bonds may be amended,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observance of any term hereof or of the Bonds may be waived (either retroactively or prospectively), with (and only with) the written consent of the Company and the Required Holders, except that (i) no amendment or waiver of any of the provisions of </w:t>
      </w:r>
      <w:r>
        <w:rPr>
          <w:rFonts w:ascii="Arial" w:cs="Arial" w:eastAsia="Arial" w:hAnsi="Arial"/>
          <w:sz w:val="21"/>
          <w:szCs w:val="21"/>
          <w:b w:val="1"/>
          <w:bCs w:val="1"/>
          <w:color w:val="auto"/>
        </w:rPr>
        <w:t>Sections 1, 2, 3, 4, 5, 6</w:t>
      </w:r>
      <w:r>
        <w:rPr>
          <w:rFonts w:ascii="Arial" w:cs="Arial" w:eastAsia="Arial" w:hAnsi="Arial"/>
          <w:sz w:val="21"/>
          <w:szCs w:val="21"/>
          <w:color w:val="auto"/>
        </w:rPr>
        <w:t xml:space="preserve">, or </w:t>
      </w:r>
      <w:r>
        <w:rPr>
          <w:rFonts w:ascii="Arial" w:cs="Arial" w:eastAsia="Arial" w:hAnsi="Arial"/>
          <w:sz w:val="21"/>
          <w:szCs w:val="21"/>
          <w:b w:val="1"/>
          <w:bCs w:val="1"/>
          <w:color w:val="auto"/>
        </w:rPr>
        <w:t>19</w:t>
      </w:r>
      <w:r>
        <w:rPr>
          <w:rFonts w:ascii="Arial" w:cs="Arial" w:eastAsia="Arial" w:hAnsi="Arial"/>
          <w:sz w:val="21"/>
          <w:szCs w:val="21"/>
          <w:color w:val="auto"/>
        </w:rPr>
        <w:t xml:space="preserve"> hereof, or any defined term, will be effective as to any holder of Bonds unless consented to by such holder of Bonds in writing, and (ii) no such amendment or waiver may, without the written consent of all of the holders of Bonds at the time outstanding affected thereby, (A) subject to the provisions of the Indenture relating to acceleration, change the amount or time of any prepayment or payment of principal of, or reduce the rate or change the time of payment or method of computation of interest (if such change results in a decrease in the interest rate) or of the Make-Whole Amount on, the Bonds, (B) change the percentage of the principal amount of the Bonds the holders of which are required to consent to any such amendment or waiver, or (C) amend any of </w:t>
      </w:r>
      <w:r>
        <w:rPr>
          <w:rFonts w:ascii="Arial" w:cs="Arial" w:eastAsia="Arial" w:hAnsi="Arial"/>
          <w:sz w:val="21"/>
          <w:szCs w:val="21"/>
          <w:b w:val="1"/>
          <w:bCs w:val="1"/>
          <w:color w:val="auto"/>
        </w:rPr>
        <w:t>Sections 8, 14,</w:t>
      </w:r>
      <w:r>
        <w:rPr>
          <w:rFonts w:ascii="Arial" w:cs="Arial" w:eastAsia="Arial" w:hAnsi="Arial"/>
          <w:sz w:val="21"/>
          <w:szCs w:val="21"/>
          <w:color w:val="auto"/>
        </w:rPr>
        <w:t xml:space="preserve"> or </w:t>
      </w:r>
      <w:r>
        <w:rPr>
          <w:rFonts w:ascii="Arial" w:cs="Arial" w:eastAsia="Arial" w:hAnsi="Arial"/>
          <w:sz w:val="21"/>
          <w:szCs w:val="21"/>
          <w:b w:val="1"/>
          <w:bCs w:val="1"/>
          <w:color w:val="auto"/>
        </w:rPr>
        <w:t>18</w:t>
      </w:r>
      <w:r>
        <w:rPr>
          <w:rFonts w:ascii="Arial" w:cs="Arial" w:eastAsia="Arial" w:hAnsi="Arial"/>
          <w:sz w:val="21"/>
          <w:szCs w:val="21"/>
          <w:color w:val="auto"/>
        </w:rPr>
        <w:t>.</w:t>
      </w:r>
    </w:p>
    <w:p>
      <w:pPr>
        <w:spacing w:after="0" w:line="132" w:lineRule="exact"/>
        <w:rPr>
          <w:sz w:val="20"/>
          <w:szCs w:val="20"/>
          <w:color w:val="auto"/>
        </w:rPr>
      </w:pPr>
    </w:p>
    <w:p>
      <w:pPr>
        <w:ind w:left="1300"/>
        <w:spacing w:after="0"/>
        <w:tabs>
          <w:tab w:leader="none" w:pos="3040" w:val="left"/>
        </w:tabs>
        <w:rPr>
          <w:sz w:val="20"/>
          <w:szCs w:val="20"/>
          <w:color w:val="auto"/>
        </w:rPr>
      </w:pPr>
      <w:r>
        <w:rPr>
          <w:rFonts w:ascii="Arial" w:cs="Arial" w:eastAsia="Arial" w:hAnsi="Arial"/>
          <w:sz w:val="22"/>
          <w:szCs w:val="22"/>
          <w:i w:val="1"/>
          <w:iCs w:val="1"/>
          <w:color w:val="auto"/>
        </w:rPr>
        <w:t>Section 14.2.</w:t>
      </w:r>
      <w:r>
        <w:rPr>
          <w:sz w:val="20"/>
          <w:szCs w:val="20"/>
          <w:color w:val="auto"/>
        </w:rPr>
        <w:tab/>
      </w:r>
      <w:r>
        <w:rPr>
          <w:rFonts w:ascii="Arial" w:cs="Arial" w:eastAsia="Arial" w:hAnsi="Arial"/>
          <w:sz w:val="19"/>
          <w:szCs w:val="19"/>
          <w:i w:val="1"/>
          <w:iCs w:val="1"/>
          <w:color w:val="auto"/>
        </w:rPr>
        <w:t>Solicitation of Holders of Bonds.</w:t>
      </w:r>
    </w:p>
    <w:p>
      <w:pPr>
        <w:spacing w:after="0" w:line="152" w:lineRule="exact"/>
        <w:rPr>
          <w:sz w:val="20"/>
          <w:szCs w:val="20"/>
          <w:color w:val="auto"/>
        </w:rPr>
      </w:pPr>
    </w:p>
    <w:p>
      <w:pPr>
        <w:jc w:val="both"/>
        <w:ind w:left="640" w:firstLine="652"/>
        <w:spacing w:after="0" w:line="246" w:lineRule="auto"/>
        <w:tabs>
          <w:tab w:leader="none" w:pos="2176" w:val="left"/>
        </w:tabs>
        <w:numPr>
          <w:ilvl w:val="0"/>
          <w:numId w:val="39"/>
        </w:numPr>
        <w:rPr>
          <w:rFonts w:ascii="Arial" w:cs="Arial" w:eastAsia="Arial" w:hAnsi="Arial"/>
          <w:sz w:val="21"/>
          <w:szCs w:val="21"/>
          <w:color w:val="auto"/>
        </w:rPr>
      </w:pPr>
      <w:r>
        <w:rPr>
          <w:rFonts w:ascii="Arial" w:cs="Arial" w:eastAsia="Arial" w:hAnsi="Arial"/>
          <w:sz w:val="21"/>
          <w:szCs w:val="21"/>
          <w:i w:val="1"/>
          <w:iCs w:val="1"/>
          <w:color w:val="auto"/>
        </w:rPr>
        <w:t xml:space="preserve">Solicitation. </w:t>
      </w:r>
      <w:r>
        <w:rPr>
          <w:rFonts w:ascii="Arial" w:cs="Arial" w:eastAsia="Arial" w:hAnsi="Arial"/>
          <w:sz w:val="21"/>
          <w:szCs w:val="21"/>
          <w:color w:val="auto"/>
        </w:rPr>
        <w:t>The Company will provide each holder of Bonds (irrespective of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amount of Bonds then owned by it) with sufficient information, sufficiently far in advance of the date a decision is required, to enable such holder to make an informed and considered decision with respect to any proposed amendment, waiver or consent in respect of any of the provisions hereof or of the Bonds. The Company will deliver executed or true and correct copies of each amendment, waiver or consent effected pursuant to the provisions of this </w:t>
      </w:r>
      <w:r>
        <w:rPr>
          <w:rFonts w:ascii="Arial" w:cs="Arial" w:eastAsia="Arial" w:hAnsi="Arial"/>
          <w:sz w:val="21"/>
          <w:szCs w:val="21"/>
          <w:b w:val="1"/>
          <w:bCs w:val="1"/>
          <w:color w:val="auto"/>
        </w:rPr>
        <w:t>Section 14</w:t>
      </w:r>
      <w:r>
        <w:rPr>
          <w:rFonts w:ascii="Arial" w:cs="Arial" w:eastAsia="Arial" w:hAnsi="Arial"/>
          <w:sz w:val="21"/>
          <w:szCs w:val="21"/>
          <w:color w:val="auto"/>
        </w:rPr>
        <w:t xml:space="preserve"> to each Purchaser and each holder of outstanding Bonds promptly following the date on which it is executed and delivered by, or receives the consent or approval of, the requisite holders of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351905"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3" w:name="page74"/>
    <w:bookmarkEnd w:id="73"/>
    <w:p>
      <w:pPr>
        <w:jc w:val="both"/>
        <w:ind w:left="640" w:firstLine="652"/>
        <w:spacing w:after="0" w:line="234" w:lineRule="auto"/>
        <w:tabs>
          <w:tab w:leader="none" w:pos="2188"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 xml:space="preserve">Payment. </w:t>
      </w:r>
      <w:r>
        <w:rPr>
          <w:rFonts w:ascii="Arial" w:cs="Arial" w:eastAsia="Arial" w:hAnsi="Arial"/>
          <w:sz w:val="22"/>
          <w:szCs w:val="22"/>
          <w:color w:val="auto"/>
        </w:rPr>
        <w:t>The Company will not directly or indirectly pay or cause to be paid any</w:t>
      </w:r>
      <w:r>
        <w:rPr>
          <w:rFonts w:ascii="Arial" w:cs="Arial" w:eastAsia="Arial" w:hAnsi="Arial"/>
          <w:sz w:val="22"/>
          <w:szCs w:val="22"/>
          <w:i w:val="1"/>
          <w:iCs w:val="1"/>
          <w:color w:val="auto"/>
        </w:rPr>
        <w:t xml:space="preserve"> </w:t>
      </w:r>
      <w:r>
        <w:rPr>
          <w:rFonts w:ascii="Arial" w:cs="Arial" w:eastAsia="Arial" w:hAnsi="Arial"/>
          <w:sz w:val="22"/>
          <w:szCs w:val="22"/>
          <w:color w:val="auto"/>
        </w:rPr>
        <w:t>remuneration, whether by way of supplemental or additional interest, fee or otherwise (other than legal fees or other related expenses), or grant any security or provide other credit support, to any holder of Bonds as consideration for or as an inducement to the entering into by any holder of Bonds of any waiver or amendment of any of the terms and provisions hereof or of the Bonds unless such remuneration is concurrently paid, or security is concurrently granted or other credit support concurrently provided, on the same terms, ratably to each holder of Bonds then outstanding even if such holder did not consent to such waiver or amendment.</w:t>
      </w:r>
    </w:p>
    <w:p>
      <w:pPr>
        <w:spacing w:after="0" w:line="127" w:lineRule="exact"/>
        <w:rPr>
          <w:rFonts w:ascii="Arial" w:cs="Arial" w:eastAsia="Arial" w:hAnsi="Arial"/>
          <w:sz w:val="22"/>
          <w:szCs w:val="22"/>
          <w:color w:val="auto"/>
        </w:rPr>
      </w:pPr>
    </w:p>
    <w:p>
      <w:pPr>
        <w:jc w:val="both"/>
        <w:ind w:left="640" w:right="20" w:firstLine="652"/>
        <w:spacing w:after="0" w:line="275" w:lineRule="auto"/>
        <w:tabs>
          <w:tab w:leader="none" w:pos="2176"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Consent in Contemplation of Transfer. </w:t>
      </w:r>
      <w:r>
        <w:rPr>
          <w:rFonts w:ascii="Arial" w:cs="Arial" w:eastAsia="Arial" w:hAnsi="Arial"/>
          <w:sz w:val="19"/>
          <w:szCs w:val="19"/>
          <w:color w:val="auto"/>
        </w:rPr>
        <w:t>Any consent made pursuant to this</w:t>
      </w:r>
      <w:r>
        <w:rPr>
          <w:rFonts w:ascii="Arial" w:cs="Arial" w:eastAsia="Arial" w:hAnsi="Arial"/>
          <w:sz w:val="19"/>
          <w:szCs w:val="19"/>
          <w:i w:val="1"/>
          <w:iCs w:val="1"/>
          <w:color w:val="auto"/>
        </w:rPr>
        <w:t xml:space="preserve"> </w:t>
      </w:r>
      <w:r>
        <w:rPr>
          <w:rFonts w:ascii="Arial" w:cs="Arial" w:eastAsia="Arial" w:hAnsi="Arial"/>
          <w:sz w:val="19"/>
          <w:szCs w:val="19"/>
          <w:b w:val="1"/>
          <w:bCs w:val="1"/>
          <w:color w:val="auto"/>
        </w:rPr>
        <w:t>Section 14</w:t>
      </w:r>
      <w:r>
        <w:rPr>
          <w:rFonts w:ascii="Arial" w:cs="Arial" w:eastAsia="Arial" w:hAnsi="Arial"/>
          <w:sz w:val="19"/>
          <w:szCs w:val="19"/>
          <w:i w:val="1"/>
          <w:iCs w:val="1"/>
          <w:color w:val="auto"/>
        </w:rPr>
        <w:t xml:space="preserve"> </w:t>
      </w:r>
      <w:r>
        <w:rPr>
          <w:rFonts w:ascii="Arial" w:cs="Arial" w:eastAsia="Arial" w:hAnsi="Arial"/>
          <w:sz w:val="19"/>
          <w:szCs w:val="19"/>
          <w:color w:val="auto"/>
        </w:rPr>
        <w:t>by</w:t>
      </w:r>
      <w:r>
        <w:rPr>
          <w:rFonts w:ascii="Arial" w:cs="Arial" w:eastAsia="Arial" w:hAnsi="Arial"/>
          <w:sz w:val="19"/>
          <w:szCs w:val="19"/>
          <w:i w:val="1"/>
          <w:iCs w:val="1"/>
          <w:color w:val="auto"/>
        </w:rPr>
        <w:t xml:space="preserve"> </w:t>
      </w:r>
      <w:r>
        <w:rPr>
          <w:rFonts w:ascii="Arial" w:cs="Arial" w:eastAsia="Arial" w:hAnsi="Arial"/>
          <w:sz w:val="19"/>
          <w:szCs w:val="19"/>
          <w:color w:val="auto"/>
        </w:rPr>
        <w:t>a holder of Bonds that has transferred or has agreed to transfer its Bonds to (i) the Company, (ii) any Subsidiary or any other Affiliate, or (iii) any other Person in connection with, or in anticipation of, such other Person acquiring, making a tender offer for or merging with the Company and/or any of its Affiliates, and has provided or has agreed to provide such written consent as a condition to such transfer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spacing w:after="0" w:line="102" w:lineRule="exact"/>
        <w:rPr>
          <w:sz w:val="20"/>
          <w:szCs w:val="20"/>
          <w:color w:val="auto"/>
        </w:rPr>
      </w:pPr>
    </w:p>
    <w:p>
      <w:pPr>
        <w:jc w:val="both"/>
        <w:ind w:left="640" w:firstLine="648"/>
        <w:spacing w:after="0" w:line="234" w:lineRule="auto"/>
        <w:rPr>
          <w:sz w:val="20"/>
          <w:szCs w:val="20"/>
          <w:color w:val="auto"/>
        </w:rPr>
      </w:pPr>
      <w:r>
        <w:rPr>
          <w:rFonts w:ascii="Arial" w:cs="Arial" w:eastAsia="Arial" w:hAnsi="Arial"/>
          <w:sz w:val="22"/>
          <w:szCs w:val="22"/>
          <w:i w:val="1"/>
          <w:iCs w:val="1"/>
          <w:color w:val="auto"/>
        </w:rPr>
        <w:t xml:space="preserve">Section 14.3. Binding Effect, Etc. </w:t>
      </w:r>
      <w:r>
        <w:rPr>
          <w:rFonts w:ascii="Arial" w:cs="Arial" w:eastAsia="Arial" w:hAnsi="Arial"/>
          <w:sz w:val="22"/>
          <w:szCs w:val="22"/>
          <w:color w:val="auto"/>
        </w:rPr>
        <w:t>Any amendment or waiver consented to as provided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b w:val="1"/>
          <w:bCs w:val="1"/>
          <w:color w:val="auto"/>
        </w:rPr>
        <w:t>Section 14</w:t>
      </w:r>
      <w:r>
        <w:rPr>
          <w:rFonts w:ascii="Arial" w:cs="Arial" w:eastAsia="Arial" w:hAnsi="Arial"/>
          <w:sz w:val="22"/>
          <w:szCs w:val="22"/>
          <w:color w:val="auto"/>
        </w:rPr>
        <w:t xml:space="preserve"> applies equally to all holders of Bonds and is binding upon them and upon each future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any Bond nor any delay in exercising any rights hereunder or under any Bond shall operate as a waiver of any rights of any holder of such Bond.</w:t>
      </w:r>
    </w:p>
    <w:p>
      <w:pPr>
        <w:spacing w:after="0" w:line="133" w:lineRule="exact"/>
        <w:rPr>
          <w:sz w:val="20"/>
          <w:szCs w:val="20"/>
          <w:color w:val="auto"/>
        </w:rPr>
      </w:pPr>
    </w:p>
    <w:p>
      <w:pPr>
        <w:jc w:val="both"/>
        <w:ind w:left="640" w:firstLine="648"/>
        <w:spacing w:after="0" w:line="234" w:lineRule="auto"/>
        <w:rPr>
          <w:sz w:val="20"/>
          <w:szCs w:val="20"/>
          <w:color w:val="auto"/>
        </w:rPr>
      </w:pPr>
      <w:r>
        <w:rPr>
          <w:rFonts w:ascii="Arial" w:cs="Arial" w:eastAsia="Arial" w:hAnsi="Arial"/>
          <w:sz w:val="22"/>
          <w:szCs w:val="22"/>
          <w:i w:val="1"/>
          <w:iCs w:val="1"/>
          <w:color w:val="auto"/>
        </w:rPr>
        <w:t xml:space="preserve">Section 14.4. Bonds Held by Company, Etc. </w:t>
      </w:r>
      <w:r>
        <w:rPr>
          <w:rFonts w:ascii="Arial" w:cs="Arial" w:eastAsia="Arial" w:hAnsi="Arial"/>
          <w:sz w:val="22"/>
          <w:szCs w:val="22"/>
          <w:color w:val="auto"/>
        </w:rPr>
        <w:t>Solely for the purpose of determining whether</w:t>
      </w:r>
      <w:r>
        <w:rPr>
          <w:rFonts w:ascii="Arial" w:cs="Arial" w:eastAsia="Arial" w:hAnsi="Arial"/>
          <w:sz w:val="22"/>
          <w:szCs w:val="22"/>
          <w:i w:val="1"/>
          <w:iCs w:val="1"/>
          <w:color w:val="auto"/>
        </w:rPr>
        <w:t xml:space="preserve"> </w:t>
      </w:r>
      <w:r>
        <w:rPr>
          <w:rFonts w:ascii="Arial" w:cs="Arial" w:eastAsia="Arial" w:hAnsi="Arial"/>
          <w:sz w:val="22"/>
          <w:szCs w:val="22"/>
          <w:color w:val="auto"/>
        </w:rPr>
        <w:t>the holders of the requisite percentage of the aggregate principal amount of Bonds then outstanding approved or consented to any amendment, waiver or consent to be given under this Agreement or the Bonds, or have directed the taking of any action provided herein or in the Bonds to be taken upon the direction of the holders of a specified percentage of the aggregate principal amount of Bonds then outstanding, Bonds directly or indirectly owned by the Company or any of its Affiliates shall be deemed not to be outstanding.</w:t>
      </w:r>
    </w:p>
    <w:p>
      <w:pPr>
        <w:spacing w:after="0" w:line="137"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19"/>
          <w:szCs w:val="19"/>
          <w:color w:val="auto"/>
        </w:rPr>
        <w:t>NOTICES.</w:t>
      </w:r>
    </w:p>
    <w:p>
      <w:pPr>
        <w:spacing w:after="0" w:line="152" w:lineRule="exact"/>
        <w:rPr>
          <w:sz w:val="20"/>
          <w:szCs w:val="20"/>
          <w:color w:val="auto"/>
        </w:rPr>
      </w:pPr>
    </w:p>
    <w:p>
      <w:pPr>
        <w:jc w:val="both"/>
        <w:ind w:left="640" w:firstLine="648"/>
        <w:spacing w:after="0" w:line="236" w:lineRule="auto"/>
        <w:rPr>
          <w:sz w:val="20"/>
          <w:szCs w:val="20"/>
          <w:color w:val="auto"/>
        </w:rPr>
      </w:pPr>
      <w:r>
        <w:rPr>
          <w:rFonts w:ascii="Arial" w:cs="Arial" w:eastAsia="Arial" w:hAnsi="Arial"/>
          <w:sz w:val="22"/>
          <w:szCs w:val="22"/>
          <w:color w:val="auto"/>
        </w:rPr>
        <w:t>All notices and communications provided for hereunder shall be in writing and sent (a) by telecopy if the sender on the same day sends a confirming copy of such notice by a recognized overnight delivery service (charges prepaid), or (b) by registered or certified mail with return receipt requested (postage prepaid), or (c) by a recognized overnight delivery service (with charges prepaid). Any such notice must be sent:</w:t>
      </w:r>
    </w:p>
    <w:p>
      <w:pPr>
        <w:spacing w:after="0" w:line="133" w:lineRule="exact"/>
        <w:rPr>
          <w:sz w:val="20"/>
          <w:szCs w:val="20"/>
          <w:color w:val="auto"/>
        </w:rPr>
      </w:pPr>
    </w:p>
    <w:p>
      <w:pPr>
        <w:jc w:val="both"/>
        <w:ind w:left="1420" w:right="20" w:firstLine="980"/>
        <w:spacing w:after="0"/>
        <w:tabs>
          <w:tab w:leader="none" w:pos="2899"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if to any Purchaser or its nominee, to such Purchaser or nominee at the address specified for such communications in </w:t>
      </w:r>
      <w:r>
        <w:rPr>
          <w:rFonts w:ascii="Arial" w:cs="Arial" w:eastAsia="Arial" w:hAnsi="Arial"/>
          <w:sz w:val="22"/>
          <w:szCs w:val="22"/>
          <w:i w:val="1"/>
          <w:iCs w:val="1"/>
          <w:color w:val="auto"/>
        </w:rPr>
        <w:t>Schedule A</w:t>
      </w:r>
      <w:r>
        <w:rPr>
          <w:rFonts w:ascii="Arial" w:cs="Arial" w:eastAsia="Arial" w:hAnsi="Arial"/>
          <w:sz w:val="22"/>
          <w:szCs w:val="22"/>
          <w:color w:val="auto"/>
        </w:rPr>
        <w:t>, or at such other address as such Purchaser or nominee shall have specified to the Company in writing,</w:t>
      </w:r>
    </w:p>
    <w:p>
      <w:pPr>
        <w:spacing w:after="0" w:line="132" w:lineRule="exact"/>
        <w:rPr>
          <w:rFonts w:ascii="Arial" w:cs="Arial" w:eastAsia="Arial" w:hAnsi="Arial"/>
          <w:sz w:val="22"/>
          <w:szCs w:val="22"/>
          <w:color w:val="auto"/>
        </w:rPr>
      </w:pPr>
    </w:p>
    <w:p>
      <w:pPr>
        <w:ind w:left="1420" w:right="20" w:firstLine="980"/>
        <w:spacing w:after="0" w:line="250" w:lineRule="auto"/>
        <w:tabs>
          <w:tab w:leader="none" w:pos="2891"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to any other holder of any Bond, to such holder at such address as such other holder shall have specified to the Company in writing, or</w:t>
      </w:r>
    </w:p>
    <w:p>
      <w:pPr>
        <w:spacing w:after="0" w:line="120" w:lineRule="exact"/>
        <w:rPr>
          <w:rFonts w:ascii="Arial" w:cs="Arial" w:eastAsia="Arial" w:hAnsi="Arial"/>
          <w:sz w:val="22"/>
          <w:szCs w:val="22"/>
          <w:color w:val="auto"/>
        </w:rPr>
      </w:pPr>
    </w:p>
    <w:p>
      <w:pPr>
        <w:jc w:val="both"/>
        <w:ind w:left="1420" w:right="20" w:firstLine="980"/>
        <w:spacing w:after="0" w:line="297" w:lineRule="auto"/>
        <w:tabs>
          <w:tab w:leader="none" w:pos="2884"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to the Company, to the Company at its address set forth at the beginning hereof to the attention of 762 West Lancaster Avenue, Bryn Mawr, Pennsylvania 19010-3489, or at such other address as the Company shall have specified to the holder of each Bond in writing.</w:t>
      </w:r>
    </w:p>
    <w:p>
      <w:pPr>
        <w:spacing w:after="0" w:line="7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Notices under this </w:t>
      </w:r>
      <w:r>
        <w:rPr>
          <w:rFonts w:ascii="Arial" w:cs="Arial" w:eastAsia="Arial" w:hAnsi="Arial"/>
          <w:sz w:val="22"/>
          <w:szCs w:val="22"/>
          <w:b w:val="1"/>
          <w:bCs w:val="1"/>
          <w:color w:val="auto"/>
        </w:rPr>
        <w:t>Section 15</w:t>
      </w:r>
      <w:r>
        <w:rPr>
          <w:rFonts w:ascii="Arial" w:cs="Arial" w:eastAsia="Arial" w:hAnsi="Arial"/>
          <w:sz w:val="22"/>
          <w:szCs w:val="22"/>
          <w:color w:val="auto"/>
        </w:rPr>
        <w:t xml:space="preserve"> will be deemed given only when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635190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4" w:name="page75"/>
    <w:bookmarkEnd w:id="74"/>
    <w:p>
      <w:pPr>
        <w:spacing w:after="0"/>
        <w:tabs>
          <w:tab w:leader="none" w:pos="200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1"/>
          <w:szCs w:val="21"/>
          <w:color w:val="auto"/>
        </w:rPr>
        <w:t>INDEMNIFICATION.</w:t>
      </w:r>
    </w:p>
    <w:p>
      <w:pPr>
        <w:spacing w:after="0" w:line="153" w:lineRule="exact"/>
        <w:rPr>
          <w:sz w:val="20"/>
          <w:szCs w:val="20"/>
          <w:color w:val="auto"/>
        </w:rPr>
      </w:pPr>
    </w:p>
    <w:p>
      <w:pPr>
        <w:jc w:val="both"/>
        <w:ind w:left="640" w:firstLine="648"/>
        <w:spacing w:after="0" w:line="235" w:lineRule="auto"/>
        <w:rPr>
          <w:sz w:val="20"/>
          <w:szCs w:val="20"/>
          <w:color w:val="auto"/>
        </w:rPr>
      </w:pPr>
      <w:r>
        <w:rPr>
          <w:rFonts w:ascii="Arial" w:cs="Arial" w:eastAsia="Arial" w:hAnsi="Arial"/>
          <w:sz w:val="22"/>
          <w:szCs w:val="22"/>
          <w:color w:val="auto"/>
        </w:rPr>
        <w:t xml:space="preserve">The Company hereby agrees to indemnify and hold the Purchasers harmless from, against and in respect of any and all loss, liability and expense (including reasonable attorneys’ fees) arising from any misrepresentation or nonfulfillment of any undertaking on the part of the Company under this Agreement. The indemnification obligations of the Company under this </w:t>
      </w:r>
      <w:r>
        <w:rPr>
          <w:rFonts w:ascii="Arial" w:cs="Arial" w:eastAsia="Arial" w:hAnsi="Arial"/>
          <w:sz w:val="22"/>
          <w:szCs w:val="22"/>
          <w:b w:val="1"/>
          <w:bCs w:val="1"/>
          <w:color w:val="auto"/>
        </w:rPr>
        <w:t>Section 16</w:t>
      </w:r>
      <w:r>
        <w:rPr>
          <w:rFonts w:ascii="Arial" w:cs="Arial" w:eastAsia="Arial" w:hAnsi="Arial"/>
          <w:sz w:val="22"/>
          <w:szCs w:val="22"/>
          <w:color w:val="auto"/>
        </w:rPr>
        <w:t xml:space="preserve"> shall survive the execution and delivery of this Agreement, the delivery of the Bonds to the Purchasers and the consummation of the transactions contemplated herein.</w:t>
      </w:r>
    </w:p>
    <w:p>
      <w:pPr>
        <w:spacing w:after="0" w:line="134"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19"/>
          <w:szCs w:val="19"/>
          <w:color w:val="auto"/>
        </w:rPr>
        <w:t>REPRODUCTION OF DOCUMENTS.</w:t>
      </w:r>
    </w:p>
    <w:p>
      <w:pPr>
        <w:spacing w:after="0" w:line="152" w:lineRule="exact"/>
        <w:rPr>
          <w:sz w:val="20"/>
          <w:szCs w:val="20"/>
          <w:color w:val="auto"/>
        </w:rPr>
      </w:pPr>
    </w:p>
    <w:p>
      <w:pPr>
        <w:jc w:val="both"/>
        <w:ind w:left="640" w:firstLine="648"/>
        <w:spacing w:after="0" w:line="272" w:lineRule="auto"/>
        <w:rPr>
          <w:sz w:val="20"/>
          <w:szCs w:val="20"/>
          <w:color w:val="auto"/>
        </w:rPr>
      </w:pPr>
      <w:r>
        <w:rPr>
          <w:rFonts w:ascii="Arial" w:cs="Arial" w:eastAsia="Arial" w:hAnsi="Arial"/>
          <w:sz w:val="19"/>
          <w:szCs w:val="19"/>
          <w:color w:val="auto"/>
        </w:rPr>
        <w:t xml:space="preserve">This Agreement and all documents relating thereto, including, without limitation, (a) consents, waivers and modifications that may hereafter be executed, (b) documents received by any Purchaser at the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Arial" w:cs="Arial" w:eastAsia="Arial" w:hAnsi="Arial"/>
          <w:sz w:val="19"/>
          <w:szCs w:val="19"/>
          <w:b w:val="1"/>
          <w:bCs w:val="1"/>
          <w:color w:val="auto"/>
        </w:rPr>
        <w:t xml:space="preserve">Section 17 </w:t>
      </w:r>
      <w:r>
        <w:rPr>
          <w:rFonts w:ascii="Arial" w:cs="Arial" w:eastAsia="Arial" w:hAnsi="Arial"/>
          <w:sz w:val="19"/>
          <w:szCs w:val="19"/>
          <w:color w:val="auto"/>
        </w:rPr>
        <w:t>shall not prohibit the Company or any other holder of Bonds from contesting any such</w:t>
      </w:r>
      <w:r>
        <w:rPr>
          <w:rFonts w:ascii="Arial" w:cs="Arial" w:eastAsia="Arial" w:hAnsi="Arial"/>
          <w:sz w:val="19"/>
          <w:szCs w:val="19"/>
          <w:b w:val="1"/>
          <w:bCs w:val="1"/>
          <w:color w:val="auto"/>
        </w:rPr>
        <w:t xml:space="preserve"> </w:t>
      </w:r>
      <w:r>
        <w:rPr>
          <w:rFonts w:ascii="Arial" w:cs="Arial" w:eastAsia="Arial" w:hAnsi="Arial"/>
          <w:sz w:val="19"/>
          <w:szCs w:val="19"/>
          <w:color w:val="auto"/>
        </w:rPr>
        <w:t>reproduction to the same extent that it could contest the original, or from introducing evidence to demonstrate the inaccuracy of any such reproduction.</w:t>
      </w:r>
    </w:p>
    <w:p>
      <w:pPr>
        <w:spacing w:after="0" w:line="350"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1"/>
          <w:szCs w:val="21"/>
          <w:color w:val="auto"/>
        </w:rPr>
        <w:t>CONFIDENTIAL INFORMATION</w:t>
      </w:r>
    </w:p>
    <w:p>
      <w:pPr>
        <w:spacing w:after="0" w:line="146" w:lineRule="exact"/>
        <w:rPr>
          <w:sz w:val="20"/>
          <w:szCs w:val="20"/>
          <w:color w:val="auto"/>
        </w:rPr>
      </w:pPr>
    </w:p>
    <w:p>
      <w:pPr>
        <w:jc w:val="both"/>
        <w:ind w:left="640" w:firstLine="648"/>
        <w:spacing w:after="0" w:line="269" w:lineRule="auto"/>
        <w:rPr>
          <w:sz w:val="20"/>
          <w:szCs w:val="20"/>
          <w:color w:val="auto"/>
        </w:rPr>
      </w:pPr>
      <w:r>
        <w:rPr>
          <w:rFonts w:ascii="Arial" w:cs="Arial" w:eastAsia="Arial" w:hAnsi="Arial"/>
          <w:sz w:val="19"/>
          <w:szCs w:val="19"/>
          <w:color w:val="auto"/>
        </w:rPr>
        <w:t xml:space="preserve">For the purposes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xml:space="preserve">” means information delivered to any Purchaser by or on behalf of the Company or any Subsidiary in connection with the transactions contemplated by or otherwise pursuant to this Agreement that is proprietary in nature and that was clearly marked or labeled or otherwise adequately identified when received by such Purchaser as being confidential information of the Company or such Subsidiary,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w:t>
      </w:r>
      <w:r>
        <w:rPr>
          <w:rFonts w:ascii="Arial" w:cs="Arial" w:eastAsia="Arial" w:hAnsi="Arial"/>
          <w:sz w:val="19"/>
          <w:szCs w:val="19"/>
          <w:b w:val="1"/>
          <w:bCs w:val="1"/>
          <w:color w:val="auto"/>
        </w:rPr>
        <w:t>Section 7.1</w:t>
      </w:r>
      <w:r>
        <w:rPr>
          <w:rFonts w:ascii="Arial" w:cs="Arial" w:eastAsia="Arial" w:hAnsi="Arial"/>
          <w:sz w:val="19"/>
          <w:szCs w:val="19"/>
          <w:color w:val="auto"/>
        </w:rPr>
        <w:t xml:space="preserve"> of this Agreement or under the Indenture that are otherwise publicly available. Each Purchaser will maintain the confidentiality of such Confidential Information in accordance with procedures adopted by such Purchaser in good faith to protect confidential information of third parties delivered to such Purchaser, provided that such Purchaser may deliver or disclose Confidential Information to (i) its directors, trustees, officers, employees, agents, attorneys and affiliates (to the extent such disclosure reasonably relates to the administration of the investment represented by Bonds), (ii) its financial advisors and other professional advisors who agree to hold confidential the Confidential Information substantially in accordance with the terms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(iii) the Trustee or any other holder of any Bond, (iv) any Institutional Investor to which it sells or offers to sell such Bond or any part thereof or any participation therein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(v) any Person from which it offers to purchase any security of the Company (if such Person has agreed in writing prior to its receipt of such Confidential Information to be bound by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 (vi) any federal or state or provincial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266065</wp:posOffset>
            </wp:positionV>
            <wp:extent cx="635190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5" w:name="page76"/>
    <w:bookmarkEnd w:id="75"/>
    <w:p>
      <w:pPr>
        <w:ind w:left="640"/>
        <w:spacing w:after="0"/>
        <w:rPr>
          <w:sz w:val="20"/>
          <w:szCs w:val="20"/>
          <w:color w:val="auto"/>
        </w:rPr>
      </w:pPr>
      <w:r>
        <w:rPr>
          <w:rFonts w:ascii="Arial" w:cs="Arial" w:eastAsia="Arial" w:hAnsi="Arial"/>
          <w:sz w:val="19"/>
          <w:szCs w:val="19"/>
          <w:color w:val="auto"/>
        </w:rPr>
        <w:t>regulation or order applicable to such Purchaser, (x) in response to any subpoena or other legal process,</w:t>
      </w:r>
    </w:p>
    <w:p>
      <w:pPr>
        <w:spacing w:after="0" w:line="43" w:lineRule="exact"/>
        <w:rPr>
          <w:sz w:val="20"/>
          <w:szCs w:val="20"/>
          <w:color w:val="auto"/>
        </w:rPr>
      </w:pPr>
    </w:p>
    <w:p>
      <w:pPr>
        <w:jc w:val="both"/>
        <w:ind w:left="640" w:right="20" w:firstLine="4"/>
        <w:spacing w:after="0" w:line="272" w:lineRule="auto"/>
        <w:tabs>
          <w:tab w:leader="none" w:pos="9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any Financing Agreement. Each holder of a Bond, by its acceptance of a Bond, will be deemed to have agreed to be bound by and to be entitled to the benefits of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the provisions of this </w:t>
      </w:r>
      <w:r>
        <w:rPr>
          <w:rFonts w:ascii="Arial" w:cs="Arial" w:eastAsia="Arial" w:hAnsi="Arial"/>
          <w:sz w:val="19"/>
          <w:szCs w:val="19"/>
          <w:b w:val="1"/>
          <w:bCs w:val="1"/>
          <w:color w:val="auto"/>
        </w:rPr>
        <w:t>Section 18</w:t>
      </w:r>
      <w:r>
        <w:rPr>
          <w:rFonts w:ascii="Arial" w:cs="Arial" w:eastAsia="Arial" w:hAnsi="Arial"/>
          <w:sz w:val="19"/>
          <w:szCs w:val="19"/>
          <w:color w:val="auto"/>
        </w:rPr>
        <w:t>.</w:t>
      </w:r>
    </w:p>
    <w:p>
      <w:pPr>
        <w:spacing w:after="0" w:line="102" w:lineRule="exact"/>
        <w:rPr>
          <w:sz w:val="20"/>
          <w:szCs w:val="20"/>
          <w:color w:val="auto"/>
        </w:rPr>
      </w:pPr>
    </w:p>
    <w:p>
      <w:pPr>
        <w:jc w:val="both"/>
        <w:ind w:left="640" w:right="20" w:firstLine="648"/>
        <w:spacing w:after="0" w:line="279" w:lineRule="auto"/>
        <w:rPr>
          <w:sz w:val="20"/>
          <w:szCs w:val="20"/>
          <w:color w:val="auto"/>
        </w:rPr>
      </w:pPr>
      <w:r>
        <w:rPr>
          <w:rFonts w:ascii="Arial" w:cs="Arial" w:eastAsia="Arial" w:hAnsi="Arial"/>
          <w:sz w:val="19"/>
          <w:szCs w:val="19"/>
          <w:color w:val="auto"/>
        </w:rPr>
        <w:t xml:space="preserve">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EMMA, another secure website, a secure virtual workspace or otherwise) which is different from this </w:t>
      </w:r>
      <w:r>
        <w:rPr>
          <w:rFonts w:ascii="Arial" w:cs="Arial" w:eastAsia="Arial" w:hAnsi="Arial"/>
          <w:sz w:val="19"/>
          <w:szCs w:val="19"/>
          <w:b w:val="1"/>
          <w:bCs w:val="1"/>
          <w:color w:val="auto"/>
        </w:rPr>
        <w:t>Section 18</w:t>
      </w:r>
      <w:r>
        <w:rPr>
          <w:rFonts w:ascii="Arial" w:cs="Arial" w:eastAsia="Arial" w:hAnsi="Arial"/>
          <w:sz w:val="19"/>
          <w:szCs w:val="19"/>
          <w:color w:val="auto"/>
        </w:rPr>
        <w:t>, this</w:t>
      </w:r>
      <w:r>
        <w:rPr>
          <w:rFonts w:ascii="Arial" w:cs="Arial" w:eastAsia="Arial" w:hAnsi="Arial"/>
          <w:sz w:val="19"/>
          <w:szCs w:val="19"/>
          <w:b w:val="1"/>
          <w:bCs w:val="1"/>
          <w:color w:val="auto"/>
        </w:rPr>
        <w:t xml:space="preserve"> Section 18 </w:t>
      </w:r>
      <w:r>
        <w:rPr>
          <w:rFonts w:ascii="Arial" w:cs="Arial" w:eastAsia="Arial" w:hAnsi="Arial"/>
          <w:sz w:val="19"/>
          <w:szCs w:val="19"/>
          <w:color w:val="auto"/>
        </w:rPr>
        <w:t>shall not be amended thereby and, as between such Purchaser or such holder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the Company, this </w:t>
      </w:r>
      <w:r>
        <w:rPr>
          <w:rFonts w:ascii="Arial" w:cs="Arial" w:eastAsia="Arial" w:hAnsi="Arial"/>
          <w:sz w:val="19"/>
          <w:szCs w:val="19"/>
          <w:b w:val="1"/>
          <w:bCs w:val="1"/>
          <w:color w:val="auto"/>
        </w:rPr>
        <w:t>Section 18</w:t>
      </w:r>
      <w:r>
        <w:rPr>
          <w:rFonts w:ascii="Arial" w:cs="Arial" w:eastAsia="Arial" w:hAnsi="Arial"/>
          <w:sz w:val="19"/>
          <w:szCs w:val="19"/>
          <w:color w:val="auto"/>
        </w:rPr>
        <w:t xml:space="preserve"> shall supersede any such other confidentiality undertaking.</w:t>
      </w:r>
    </w:p>
    <w:p>
      <w:pPr>
        <w:spacing w:after="0" w:line="96"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1"/>
          <w:szCs w:val="21"/>
          <w:color w:val="auto"/>
        </w:rPr>
        <w:t>MISCELLANEOUS</w:t>
      </w:r>
    </w:p>
    <w:p>
      <w:pPr>
        <w:spacing w:after="0" w:line="152" w:lineRule="exact"/>
        <w:rPr>
          <w:sz w:val="20"/>
          <w:szCs w:val="20"/>
          <w:color w:val="auto"/>
        </w:rPr>
      </w:pPr>
    </w:p>
    <w:p>
      <w:pPr>
        <w:jc w:val="both"/>
        <w:ind w:left="640" w:firstLine="648"/>
        <w:spacing w:after="0" w:line="275" w:lineRule="auto"/>
        <w:rPr>
          <w:sz w:val="20"/>
          <w:szCs w:val="20"/>
          <w:color w:val="auto"/>
        </w:rPr>
      </w:pPr>
      <w:r>
        <w:rPr>
          <w:rFonts w:ascii="Arial" w:cs="Arial" w:eastAsia="Arial" w:hAnsi="Arial"/>
          <w:sz w:val="19"/>
          <w:szCs w:val="19"/>
          <w:i w:val="1"/>
          <w:iCs w:val="1"/>
          <w:color w:val="auto"/>
        </w:rPr>
        <w:t xml:space="preserve">Section 19.1. Successors and Assigns. </w:t>
      </w:r>
      <w:r>
        <w:rPr>
          <w:rFonts w:ascii="Arial" w:cs="Arial" w:eastAsia="Arial" w:hAnsi="Arial"/>
          <w:sz w:val="19"/>
          <w:szCs w:val="19"/>
          <w:color w:val="auto"/>
        </w:rPr>
        <w:t>All covenants and other agreements contained in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this Agreement by or on behalf of any of the parties hereto bind and inure to the benefit of their respective successors and assigns (including, without limitation, any subsequent holder of a Bond) whether so expressed or not, except that, subject to </w:t>
      </w:r>
      <w:r>
        <w:rPr>
          <w:rFonts w:ascii="Arial" w:cs="Arial" w:eastAsia="Arial" w:hAnsi="Arial"/>
          <w:sz w:val="19"/>
          <w:szCs w:val="19"/>
          <w:b w:val="1"/>
          <w:bCs w:val="1"/>
          <w:color w:val="auto"/>
        </w:rPr>
        <w:t>Section 10.2</w:t>
      </w:r>
      <w:r>
        <w:rPr>
          <w:rFonts w:ascii="Arial" w:cs="Arial" w:eastAsia="Arial" w:hAnsi="Arial"/>
          <w:sz w:val="19"/>
          <w:szCs w:val="19"/>
          <w:color w:val="auto"/>
        </w:rPr>
        <w:t>,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03" w:lineRule="exact"/>
        <w:rPr>
          <w:sz w:val="20"/>
          <w:szCs w:val="20"/>
          <w:color w:val="auto"/>
        </w:rPr>
      </w:pPr>
    </w:p>
    <w:p>
      <w:pPr>
        <w:jc w:val="both"/>
        <w:ind w:left="640" w:firstLine="648"/>
        <w:spacing w:after="0" w:line="246" w:lineRule="exact"/>
        <w:rPr>
          <w:sz w:val="20"/>
          <w:szCs w:val="20"/>
          <w:color w:val="auto"/>
        </w:rPr>
      </w:pPr>
      <w:r>
        <w:rPr>
          <w:rFonts w:ascii="Arial" w:cs="Arial" w:eastAsia="Arial" w:hAnsi="Arial"/>
          <w:sz w:val="21"/>
          <w:szCs w:val="21"/>
          <w:i w:val="1"/>
          <w:iCs w:val="1"/>
          <w:color w:val="auto"/>
        </w:rPr>
        <w:t xml:space="preserve">Section 19.2. Accounting Terms. </w:t>
      </w:r>
      <w:r>
        <w:rPr>
          <w:rFonts w:ascii="Arial" w:cs="Arial" w:eastAsia="Arial" w:hAnsi="Arial"/>
          <w:sz w:val="21"/>
          <w:szCs w:val="21"/>
          <w:color w:val="auto"/>
        </w:rPr>
        <w:t>All accounting terms used herein which are not expressly</w:t>
      </w:r>
      <w:r>
        <w:rPr>
          <w:rFonts w:ascii="Arial" w:cs="Arial" w:eastAsia="Arial" w:hAnsi="Arial"/>
          <w:sz w:val="21"/>
          <w:szCs w:val="21"/>
          <w:i w:val="1"/>
          <w:iCs w:val="1"/>
          <w:color w:val="auto"/>
        </w:rPr>
        <w:t xml:space="preserve"> </w:t>
      </w:r>
      <w:r>
        <w:rPr>
          <w:rFonts w:ascii="Arial" w:cs="Arial" w:eastAsia="Arial" w:hAnsi="Arial"/>
          <w:sz w:val="21"/>
          <w:szCs w:val="21"/>
          <w:color w:val="auto"/>
        </w:rPr>
        <w:t>defined in this Agreement have the meanings respectively given to them in accordance with GAAP. Except as otherwise specifically provided herein, (a) all computations made pursuant to this Agreement shall be made in accordance with GAAP, and (b) all financial statements shall be prepared in accordance with GAAP. For purposes of determining compliance with the financial covenants contained in the Financing Agreements, if any, any election by the Company to measure Debt using fair value (as permitted by Financial Accounting Standards Board Accounting Standards Codification Topic No. 825</w:t>
      </w:r>
      <w:r>
        <w:rPr>
          <w:rFonts w:ascii="MS PGothic" w:cs="MS PGothic" w:eastAsia="MS PGothic" w:hAnsi="MS PGothic"/>
          <w:sz w:val="21"/>
          <w:szCs w:val="21"/>
          <w:color w:val="auto"/>
        </w:rPr>
        <w:t>‑</w:t>
      </w:r>
      <w:r>
        <w:rPr>
          <w:rFonts w:ascii="Arial" w:cs="Arial" w:eastAsia="Arial" w:hAnsi="Arial"/>
          <w:sz w:val="21"/>
          <w:szCs w:val="21"/>
          <w:color w:val="auto"/>
        </w:rPr>
        <w:t>10</w:t>
      </w:r>
      <w:r>
        <w:rPr>
          <w:rFonts w:ascii="MS PGothic" w:cs="MS PGothic" w:eastAsia="MS PGothic" w:hAnsi="MS PGothic"/>
          <w:sz w:val="21"/>
          <w:szCs w:val="21"/>
          <w:color w:val="auto"/>
        </w:rPr>
        <w:t>‑</w:t>
      </w:r>
      <w:r>
        <w:rPr>
          <w:rFonts w:ascii="Arial" w:cs="Arial" w:eastAsia="Arial" w:hAnsi="Arial"/>
          <w:sz w:val="21"/>
          <w:szCs w:val="21"/>
          <w:color w:val="auto"/>
        </w:rPr>
        <w:t xml:space="preserve">25 – </w:t>
      </w:r>
      <w:r>
        <w:rPr>
          <w:rFonts w:ascii="Arial" w:cs="Arial" w:eastAsia="Arial" w:hAnsi="Arial"/>
          <w:sz w:val="21"/>
          <w:szCs w:val="21"/>
          <w:i w:val="1"/>
          <w:iCs w:val="1"/>
          <w:color w:val="auto"/>
        </w:rPr>
        <w:t>Fair Value Option</w:t>
      </w:r>
      <w:r>
        <w:rPr>
          <w:rFonts w:ascii="Arial" w:cs="Arial" w:eastAsia="Arial" w:hAnsi="Arial"/>
          <w:sz w:val="21"/>
          <w:szCs w:val="21"/>
          <w:color w:val="auto"/>
        </w:rPr>
        <w:t xml:space="preserve">, International Accounting Standard 39 </w:t>
      </w:r>
      <w:r>
        <w:rPr>
          <w:rFonts w:ascii="Arial" w:cs="Arial" w:eastAsia="Arial" w:hAnsi="Arial"/>
          <w:sz w:val="21"/>
          <w:szCs w:val="21"/>
          <w:i w:val="1"/>
          <w:iCs w:val="1"/>
          <w:color w:val="auto"/>
        </w:rPr>
        <w:t>– Financial Instruments: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Recognition and Measurement </w:t>
      </w:r>
      <w:r>
        <w:rPr>
          <w:rFonts w:ascii="Arial" w:cs="Arial" w:eastAsia="Arial" w:hAnsi="Arial"/>
          <w:sz w:val="21"/>
          <w:szCs w:val="21"/>
          <w:color w:val="auto"/>
        </w:rPr>
        <w:t>or any similar accounting standard) shall be disregarded and such</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determination shall be made as if such election had not been made and such Debt shall be valued at not less than 100% of the principal amount thereof.</w:t>
      </w:r>
    </w:p>
    <w:p>
      <w:pPr>
        <w:spacing w:after="0" w:line="134" w:lineRule="exact"/>
        <w:rPr>
          <w:sz w:val="20"/>
          <w:szCs w:val="20"/>
          <w:color w:val="auto"/>
        </w:rPr>
      </w:pPr>
    </w:p>
    <w:p>
      <w:pPr>
        <w:jc w:val="both"/>
        <w:ind w:left="640" w:firstLine="648"/>
        <w:spacing w:after="0" w:line="236" w:lineRule="auto"/>
        <w:rPr>
          <w:sz w:val="20"/>
          <w:szCs w:val="20"/>
          <w:color w:val="auto"/>
        </w:rPr>
      </w:pPr>
      <w:r>
        <w:rPr>
          <w:rFonts w:ascii="Arial" w:cs="Arial" w:eastAsia="Arial" w:hAnsi="Arial"/>
          <w:sz w:val="22"/>
          <w:szCs w:val="22"/>
          <w:i w:val="1"/>
          <w:iCs w:val="1"/>
          <w:color w:val="auto"/>
        </w:rPr>
        <w:t xml:space="preserve">Section 19.3. Severability. </w:t>
      </w:r>
      <w:r>
        <w:rPr>
          <w:rFonts w:ascii="Arial" w:cs="Arial" w:eastAsia="Arial" w:hAnsi="Arial"/>
          <w:sz w:val="22"/>
          <w:szCs w:val="22"/>
          <w:color w:val="auto"/>
        </w:rPr>
        <w:t>Any provision of this Agreement that is prohibited or</w:t>
      </w:r>
      <w:r>
        <w:rPr>
          <w:rFonts w:ascii="Arial" w:cs="Arial" w:eastAsia="Arial" w:hAnsi="Arial"/>
          <w:sz w:val="22"/>
          <w:szCs w:val="22"/>
          <w:i w:val="1"/>
          <w:iCs w:val="1"/>
          <w:color w:val="auto"/>
        </w:rPr>
        <w:t xml:space="preserve"> </w:t>
      </w:r>
      <w:r>
        <w:rPr>
          <w:rFonts w:ascii="Arial" w:cs="Arial" w:eastAsia="Arial" w:hAnsi="Arial"/>
          <w:sz w:val="22"/>
          <w:szCs w:val="22"/>
          <w:color w:val="auto"/>
        </w:rPr>
        <w:t>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33" w:lineRule="exact"/>
        <w:rPr>
          <w:sz w:val="20"/>
          <w:szCs w:val="20"/>
          <w:color w:val="auto"/>
        </w:rPr>
      </w:pPr>
    </w:p>
    <w:p>
      <w:pPr>
        <w:jc w:val="both"/>
        <w:ind w:left="640" w:firstLine="648"/>
        <w:spacing w:after="0" w:line="248" w:lineRule="auto"/>
        <w:rPr>
          <w:sz w:val="20"/>
          <w:szCs w:val="20"/>
          <w:color w:val="auto"/>
        </w:rPr>
      </w:pPr>
      <w:r>
        <w:rPr>
          <w:rFonts w:ascii="Arial" w:cs="Arial" w:eastAsia="Arial" w:hAnsi="Arial"/>
          <w:sz w:val="21"/>
          <w:szCs w:val="21"/>
          <w:i w:val="1"/>
          <w:iCs w:val="1"/>
          <w:color w:val="auto"/>
        </w:rPr>
        <w:t xml:space="preserve">Section 19.4. Construction, Etc. </w:t>
      </w:r>
      <w:r>
        <w:rPr>
          <w:rFonts w:ascii="Arial" w:cs="Arial" w:eastAsia="Arial" w:hAnsi="Arial"/>
          <w:sz w:val="21"/>
          <w:szCs w:val="21"/>
          <w:color w:val="auto"/>
        </w:rPr>
        <w:t>Each covenant contained herein shall be construed (absent</w:t>
      </w:r>
      <w:r>
        <w:rPr>
          <w:rFonts w:ascii="Arial" w:cs="Arial" w:eastAsia="Arial" w:hAnsi="Arial"/>
          <w:sz w:val="21"/>
          <w:szCs w:val="21"/>
          <w:i w:val="1"/>
          <w:iCs w:val="1"/>
          <w:color w:val="auto"/>
        </w:rPr>
        <w:t xml:space="preserve"> </w:t>
      </w:r>
      <w:r>
        <w:rPr>
          <w:rFonts w:ascii="Arial" w:cs="Arial" w:eastAsia="Arial" w:hAnsi="Arial"/>
          <w:sz w:val="21"/>
          <w:szCs w:val="21"/>
          <w:color w:val="auto"/>
        </w:rPr>
        <w:t>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113030</wp:posOffset>
            </wp:positionV>
            <wp:extent cx="6351905"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76" w:name="page77"/>
    <w:bookmarkEnd w:id="76"/>
    <w:p>
      <w:pPr>
        <w:jc w:val="both"/>
        <w:ind w:left="180" w:right="20" w:firstLine="648"/>
        <w:spacing w:after="0" w:line="251" w:lineRule="auto"/>
        <w:rPr>
          <w:sz w:val="20"/>
          <w:szCs w:val="20"/>
          <w:color w:val="auto"/>
        </w:rPr>
      </w:pPr>
      <w:r>
        <w:rPr>
          <w:rFonts w:ascii="Arial" w:cs="Arial" w:eastAsia="Arial" w:hAnsi="Arial"/>
          <w:sz w:val="22"/>
          <w:szCs w:val="22"/>
          <w:color w:val="auto"/>
        </w:rPr>
        <w:t>For the avoidance of doubt, all Schedules and Exhibits attached to this Agreement shall be deemed to be a part hereof.</w:t>
      </w:r>
    </w:p>
    <w:p>
      <w:pPr>
        <w:spacing w:after="0" w:line="119" w:lineRule="exact"/>
        <w:rPr>
          <w:sz w:val="20"/>
          <w:szCs w:val="20"/>
          <w:color w:val="auto"/>
        </w:rPr>
      </w:pPr>
    </w:p>
    <w:p>
      <w:pPr>
        <w:jc w:val="both"/>
        <w:ind w:left="180" w:right="20" w:firstLine="648"/>
        <w:spacing w:after="0" w:line="238" w:lineRule="auto"/>
        <w:rPr>
          <w:sz w:val="20"/>
          <w:szCs w:val="20"/>
          <w:color w:val="auto"/>
        </w:rPr>
      </w:pPr>
      <w:r>
        <w:rPr>
          <w:rFonts w:ascii="Arial" w:cs="Arial" w:eastAsia="Arial" w:hAnsi="Arial"/>
          <w:sz w:val="22"/>
          <w:szCs w:val="22"/>
          <w:i w:val="1"/>
          <w:iCs w:val="1"/>
          <w:color w:val="auto"/>
        </w:rPr>
        <w:t xml:space="preserve">Section 19.5. Counterparts. </w:t>
      </w:r>
      <w:r>
        <w:rPr>
          <w:rFonts w:ascii="Arial" w:cs="Arial" w:eastAsia="Arial" w:hAnsi="Arial"/>
          <w:sz w:val="22"/>
          <w:szCs w:val="22"/>
          <w:color w:val="auto"/>
        </w:rPr>
        <w:t>This Agreement may be executed in any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131" w:lineRule="exact"/>
        <w:rPr>
          <w:sz w:val="20"/>
          <w:szCs w:val="20"/>
          <w:color w:val="auto"/>
        </w:rPr>
      </w:pPr>
    </w:p>
    <w:p>
      <w:pPr>
        <w:jc w:val="both"/>
        <w:ind w:left="180" w:firstLine="648"/>
        <w:spacing w:after="0" w:line="251" w:lineRule="exact"/>
        <w:rPr>
          <w:sz w:val="20"/>
          <w:szCs w:val="20"/>
          <w:color w:val="auto"/>
        </w:rPr>
      </w:pPr>
      <w:r>
        <w:rPr>
          <w:rFonts w:ascii="Arial" w:cs="Arial" w:eastAsia="Arial" w:hAnsi="Arial"/>
          <w:sz w:val="22"/>
          <w:szCs w:val="22"/>
          <w:i w:val="1"/>
          <w:iCs w:val="1"/>
          <w:color w:val="auto"/>
        </w:rPr>
        <w:t xml:space="preserve">Section 19.6. Governing Law. </w:t>
      </w:r>
      <w:r>
        <w:rPr>
          <w:rFonts w:ascii="Arial" w:cs="Arial" w:eastAsia="Arial" w:hAnsi="Arial"/>
          <w:sz w:val="22"/>
          <w:szCs w:val="22"/>
          <w:color w:val="auto"/>
        </w:rPr>
        <w:t>This Agreement shall be construed and enforced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and the rights of the parties shall be governed by, the law of the Commonwealth of Pennsylvania excluding choice</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law principles of the law of such State that would permit the application of the laws of a jurisdiction other than such State.</w:t>
      </w:r>
    </w:p>
    <w:p>
      <w:pPr>
        <w:spacing w:after="0" w:line="131" w:lineRule="exact"/>
        <w:rPr>
          <w:sz w:val="20"/>
          <w:szCs w:val="20"/>
          <w:color w:val="auto"/>
        </w:rPr>
      </w:pPr>
    </w:p>
    <w:p>
      <w:pPr>
        <w:jc w:val="both"/>
        <w:ind w:left="180" w:right="20" w:firstLine="648"/>
        <w:spacing w:after="0" w:line="275" w:lineRule="auto"/>
        <w:rPr>
          <w:sz w:val="20"/>
          <w:szCs w:val="20"/>
          <w:color w:val="auto"/>
        </w:rPr>
      </w:pPr>
      <w:r>
        <w:rPr>
          <w:rFonts w:ascii="Arial" w:cs="Arial" w:eastAsia="Arial" w:hAnsi="Arial"/>
          <w:sz w:val="19"/>
          <w:szCs w:val="19"/>
          <w:color w:val="auto"/>
        </w:rPr>
        <w:t xml:space="preserve">Section 19.7. </w:t>
      </w:r>
      <w:r>
        <w:rPr>
          <w:rFonts w:ascii="Arial" w:cs="Arial" w:eastAsia="Arial" w:hAnsi="Arial"/>
          <w:sz w:val="19"/>
          <w:szCs w:val="19"/>
          <w:i w:val="1"/>
          <w:iCs w:val="1"/>
          <w:color w:val="auto"/>
        </w:rPr>
        <w:t>Jurisdiction and Process;</w:t>
      </w:r>
      <w:r>
        <w:rPr>
          <w:rFonts w:ascii="Arial" w:cs="Arial" w:eastAsia="Arial" w:hAnsi="Arial"/>
          <w:sz w:val="19"/>
          <w:szCs w:val="19"/>
          <w:color w:val="auto"/>
        </w:rPr>
        <w:t xml:space="preserve"> Waiver of Jury Trial. (a) The Company irrevocably submits to the non-exclusive jurisdiction of any Pennsylvania State or federal court sitting in Philadelphia, Pennsylvania,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03" w:lineRule="exact"/>
        <w:rPr>
          <w:sz w:val="20"/>
          <w:szCs w:val="20"/>
          <w:color w:val="auto"/>
        </w:rPr>
      </w:pPr>
    </w:p>
    <w:p>
      <w:pPr>
        <w:jc w:val="both"/>
        <w:ind w:left="180" w:firstLine="652"/>
        <w:spacing w:after="0" w:line="270" w:lineRule="auto"/>
        <w:tabs>
          <w:tab w:leader="none" w:pos="1728"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Company consents to process being served by or on behalf of any holder of Bonds in any suit, action or proceeding of the nature referred to in </w:t>
      </w:r>
      <w:r>
        <w:rPr>
          <w:rFonts w:ascii="Arial" w:cs="Arial" w:eastAsia="Arial" w:hAnsi="Arial"/>
          <w:sz w:val="19"/>
          <w:szCs w:val="19"/>
          <w:b w:val="1"/>
          <w:bCs w:val="1"/>
          <w:color w:val="auto"/>
        </w:rPr>
        <w:t>Section 19.7(a)</w:t>
      </w:r>
      <w:r>
        <w:rPr>
          <w:rFonts w:ascii="Arial" w:cs="Arial" w:eastAsia="Arial" w:hAnsi="Arial"/>
          <w:sz w:val="19"/>
          <w:szCs w:val="19"/>
          <w:color w:val="auto"/>
        </w:rPr>
        <w:t xml:space="preserve"> by mailing a copy thereof by registered or certified mail (or any substantially similar form of mail), postage prepaid, return receipt requested, to it at its address specified in </w:t>
      </w:r>
      <w:r>
        <w:rPr>
          <w:rFonts w:ascii="Arial" w:cs="Arial" w:eastAsia="Arial" w:hAnsi="Arial"/>
          <w:sz w:val="19"/>
          <w:szCs w:val="19"/>
          <w:b w:val="1"/>
          <w:bCs w:val="1"/>
          <w:color w:val="auto"/>
        </w:rPr>
        <w:t>Section 15</w:t>
      </w:r>
      <w:r>
        <w:rPr>
          <w:rFonts w:ascii="Arial" w:cs="Arial" w:eastAsia="Arial" w:hAnsi="Arial"/>
          <w:sz w:val="19"/>
          <w:szCs w:val="19"/>
          <w:color w:val="auto"/>
        </w:rPr>
        <w:t xml:space="preserve"> or at such other address of which such holder shall then have been notified pursuant to said Section. The Company agrees that such service upon receipt</w:t>
      </w:r>
    </w:p>
    <w:p>
      <w:pPr>
        <w:spacing w:after="0" w:line="4" w:lineRule="exact"/>
        <w:rPr>
          <w:rFonts w:ascii="Arial" w:cs="Arial" w:eastAsia="Arial" w:hAnsi="Arial"/>
          <w:sz w:val="19"/>
          <w:szCs w:val="19"/>
          <w:color w:val="auto"/>
        </w:rPr>
      </w:pPr>
    </w:p>
    <w:p>
      <w:pPr>
        <w:jc w:val="both"/>
        <w:ind w:left="180" w:right="20" w:firstLine="4"/>
        <w:spacing w:after="0" w:line="233" w:lineRule="auto"/>
        <w:tabs>
          <w:tab w:leader="none" w:pos="486" w:val="left"/>
        </w:tabs>
        <w:numPr>
          <w:ilvl w:val="0"/>
          <w:numId w:val="44"/>
        </w:numPr>
        <w:rPr>
          <w:rFonts w:ascii="Arial" w:cs="Arial" w:eastAsia="Arial" w:hAnsi="Arial"/>
          <w:sz w:val="22"/>
          <w:szCs w:val="22"/>
          <w:color w:val="auto"/>
        </w:rPr>
      </w:pPr>
      <w:r>
        <w:rPr>
          <w:rFonts w:ascii="Arial" w:cs="Arial" w:eastAsia="Arial" w:hAnsi="Arial"/>
          <w:sz w:val="22"/>
          <w:szCs w:val="22"/>
          <w:color w:val="auto"/>
        </w:rPr>
        <w:t>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25" w:lineRule="exact"/>
        <w:rPr>
          <w:rFonts w:ascii="Arial" w:cs="Arial" w:eastAsia="Arial" w:hAnsi="Arial"/>
          <w:sz w:val="22"/>
          <w:szCs w:val="22"/>
          <w:color w:val="auto"/>
        </w:rPr>
      </w:pPr>
    </w:p>
    <w:p>
      <w:pPr>
        <w:jc w:val="both"/>
        <w:ind w:left="180" w:right="20" w:firstLine="652"/>
        <w:spacing w:after="0" w:line="254" w:lineRule="auto"/>
        <w:tabs>
          <w:tab w:leader="none" w:pos="1716" w:val="left"/>
        </w:tabs>
        <w:numPr>
          <w:ilvl w:val="1"/>
          <w:numId w:val="44"/>
        </w:numPr>
        <w:rPr>
          <w:rFonts w:ascii="Arial" w:cs="Arial" w:eastAsia="Arial" w:hAnsi="Arial"/>
          <w:sz w:val="21"/>
          <w:szCs w:val="21"/>
          <w:color w:val="auto"/>
        </w:rPr>
      </w:pPr>
      <w:r>
        <w:rPr>
          <w:rFonts w:ascii="Arial" w:cs="Arial" w:eastAsia="Arial" w:hAnsi="Arial"/>
          <w:sz w:val="21"/>
          <w:szCs w:val="21"/>
          <w:color w:val="auto"/>
        </w:rPr>
        <w:t xml:space="preserve">Nothing in this </w:t>
      </w:r>
      <w:r>
        <w:rPr>
          <w:rFonts w:ascii="Arial" w:cs="Arial" w:eastAsia="Arial" w:hAnsi="Arial"/>
          <w:sz w:val="21"/>
          <w:szCs w:val="21"/>
          <w:b w:val="1"/>
          <w:bCs w:val="1"/>
          <w:color w:val="auto"/>
        </w:rPr>
        <w:t>Section 19.7</w:t>
      </w:r>
      <w:r>
        <w:rPr>
          <w:rFonts w:ascii="Arial" w:cs="Arial" w:eastAsia="Arial" w:hAnsi="Arial"/>
          <w:sz w:val="21"/>
          <w:szCs w:val="21"/>
          <w:color w:val="auto"/>
        </w:rPr>
        <w:t xml:space="preserve">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spacing w:after="0" w:line="117" w:lineRule="exact"/>
        <w:rPr>
          <w:rFonts w:ascii="Arial" w:cs="Arial" w:eastAsia="Arial" w:hAnsi="Arial"/>
          <w:sz w:val="21"/>
          <w:szCs w:val="21"/>
          <w:color w:val="auto"/>
        </w:rPr>
      </w:pPr>
    </w:p>
    <w:p>
      <w:pPr>
        <w:ind w:left="180" w:right="20" w:firstLine="652"/>
        <w:spacing w:after="0" w:line="328" w:lineRule="auto"/>
        <w:tabs>
          <w:tab w:leader="none" w:pos="1728"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parties hereto hereby waive trial by jury in any action brought on or with respect to this Agreement, the Bonds or any other document executed in connection herewith or therewith.</w:t>
      </w:r>
    </w:p>
    <w:p>
      <w:pPr>
        <w:spacing w:after="0" w:line="51" w:lineRule="exact"/>
        <w:rPr>
          <w:sz w:val="20"/>
          <w:szCs w:val="20"/>
          <w:color w:val="auto"/>
        </w:rPr>
      </w:pPr>
    </w:p>
    <w:p>
      <w:pPr>
        <w:jc w:val="both"/>
        <w:ind w:left="180" w:right="20" w:firstLine="648"/>
        <w:spacing w:after="0" w:line="246" w:lineRule="auto"/>
        <w:rPr>
          <w:sz w:val="20"/>
          <w:szCs w:val="20"/>
          <w:color w:val="auto"/>
        </w:rPr>
      </w:pPr>
      <w:r>
        <w:rPr>
          <w:rFonts w:ascii="Arial" w:cs="Arial" w:eastAsia="Arial" w:hAnsi="Arial"/>
          <w:sz w:val="21"/>
          <w:szCs w:val="21"/>
          <w:color w:val="auto"/>
        </w:rPr>
        <w:t xml:space="preserve">Section 19.8. </w:t>
      </w:r>
      <w:r>
        <w:rPr>
          <w:rFonts w:ascii="Arial" w:cs="Arial" w:eastAsia="Arial" w:hAnsi="Arial"/>
          <w:sz w:val="21"/>
          <w:szCs w:val="21"/>
          <w:i w:val="1"/>
          <w:iCs w:val="1"/>
          <w:color w:val="auto"/>
        </w:rPr>
        <w:t>Payments Due on Non-Business Days.</w:t>
      </w:r>
      <w:r>
        <w:rPr>
          <w:rFonts w:ascii="Arial" w:cs="Arial" w:eastAsia="Arial" w:hAnsi="Arial"/>
          <w:sz w:val="21"/>
          <w:szCs w:val="21"/>
          <w:color w:val="auto"/>
        </w:rPr>
        <w:t xml:space="preserve"> Anything in this Agreement or the Bonds to the contrary notwithstanding, any payment of principal of or Make-Whole Amount or interest on any Bond that is due on a date other than a Business Day shall be made on the next succeeding Business Day without including the additional days elapsed in the computation of the interest payable on such next succeeding Business Day; provided that if the maturity date of any Bond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2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131445</wp:posOffset>
            </wp:positionV>
            <wp:extent cx="6351905" cy="50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77" w:name="page78"/>
    <w:bookmarkEnd w:id="77"/>
    <w:p>
      <w:pPr>
        <w:jc w:val="both"/>
        <w:ind w:left="640" w:right="20" w:firstLine="648"/>
        <w:spacing w:after="0" w:line="241" w:lineRule="auto"/>
        <w:rPr>
          <w:sz w:val="20"/>
          <w:szCs w:val="20"/>
          <w:color w:val="auto"/>
        </w:rPr>
      </w:pPr>
      <w:r>
        <w:rPr>
          <w:rFonts w:ascii="Arial" w:cs="Arial" w:eastAsia="Arial" w:hAnsi="Arial"/>
          <w:sz w:val="22"/>
          <w:szCs w:val="22"/>
          <w:color w:val="auto"/>
        </w:rPr>
        <w:t>If you are in agreement with the foregoing, please sign the form of agreement on a counterpart of this Bond Purchase Agreement and return it to the Company, whereupon this Agreement shall become a binding agreement between you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00" w:type="dxa"/>
            <w:vAlign w:val="bottom"/>
          </w:tcPr>
          <w:p>
            <w:pPr>
              <w:spacing w:after="0"/>
              <w:rPr>
                <w:sz w:val="23"/>
                <w:szCs w:val="23"/>
                <w:color w:val="auto"/>
              </w:rPr>
            </w:pPr>
          </w:p>
        </w:tc>
        <w:tc>
          <w:tcPr>
            <w:tcW w:w="6460" w:type="dxa"/>
            <w:vAlign w:val="bottom"/>
            <w:gridSpan w:val="3"/>
          </w:tcPr>
          <w:p>
            <w:pPr>
              <w:ind w:left="3320"/>
              <w:spacing w:after="0"/>
              <w:rPr>
                <w:sz w:val="20"/>
                <w:szCs w:val="20"/>
                <w:color w:val="auto"/>
              </w:rPr>
            </w:pPr>
            <w:r>
              <w:rPr>
                <w:rFonts w:ascii="Arial" w:cs="Arial" w:eastAsia="Arial" w:hAnsi="Arial"/>
                <w:sz w:val="22"/>
                <w:szCs w:val="22"/>
                <w:color w:val="auto"/>
              </w:rPr>
              <w:t>Very truly yours,</w:t>
            </w: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6460" w:type="dxa"/>
            <w:vAlign w:val="bottom"/>
            <w:gridSpan w:val="3"/>
            <w:vMerge w:val="restart"/>
          </w:tcPr>
          <w:p>
            <w:pPr>
              <w:ind w:left="3320"/>
              <w:spacing w:after="0"/>
              <w:rPr>
                <w:sz w:val="20"/>
                <w:szCs w:val="20"/>
                <w:color w:val="auto"/>
              </w:rPr>
            </w:pPr>
            <w:r>
              <w:rPr>
                <w:rFonts w:ascii="Arial" w:cs="Arial" w:eastAsia="Arial" w:hAnsi="Arial"/>
                <w:sz w:val="22"/>
                <w:szCs w:val="22"/>
                <w:color w:val="auto"/>
              </w:rPr>
              <w:t>AQUA PENNSYLVANIA, INC.</w:t>
            </w:r>
          </w:p>
        </w:tc>
        <w:tc>
          <w:tcPr>
            <w:tcW w:w="0" w:type="dxa"/>
            <w:vAlign w:val="bottom"/>
          </w:tcPr>
          <w:p>
            <w:pPr>
              <w:spacing w:after="0"/>
              <w:rPr>
                <w:sz w:val="1"/>
                <w:szCs w:val="1"/>
                <w:color w:val="auto"/>
              </w:rPr>
            </w:pPr>
          </w:p>
        </w:tc>
      </w:tr>
      <w:tr>
        <w:trPr>
          <w:trHeight w:val="261"/>
        </w:trPr>
        <w:tc>
          <w:tcPr>
            <w:tcW w:w="3500" w:type="dxa"/>
            <w:vAlign w:val="bottom"/>
          </w:tcPr>
          <w:p>
            <w:pPr>
              <w:spacing w:after="0"/>
              <w:rPr>
                <w:sz w:val="22"/>
                <w:szCs w:val="22"/>
                <w:color w:val="auto"/>
              </w:rPr>
            </w:pPr>
          </w:p>
        </w:tc>
        <w:tc>
          <w:tcPr>
            <w:tcW w:w="64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5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6460" w:type="dxa"/>
            <w:vAlign w:val="bottom"/>
            <w:gridSpan w:val="3"/>
            <w:vMerge w:val="restart"/>
          </w:tcPr>
          <w:p>
            <w:pPr>
              <w:ind w:left="3320"/>
              <w:spacing w:after="0"/>
              <w:rPr>
                <w:sz w:val="20"/>
                <w:szCs w:val="20"/>
                <w:color w:val="auto"/>
              </w:rPr>
            </w:pPr>
            <w:r>
              <w:rPr>
                <w:rFonts w:ascii="Arial" w:cs="Arial" w:eastAsia="Arial" w:hAnsi="Arial"/>
                <w:sz w:val="22"/>
                <w:szCs w:val="22"/>
                <w:color w:val="auto"/>
              </w:rPr>
              <w:t>By /s/ Daniel J. Schuller</w:t>
            </w: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6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3500" w:type="dxa"/>
            <w:vAlign w:val="bottom"/>
          </w:tcPr>
          <w:p>
            <w:pPr>
              <w:spacing w:after="0"/>
              <w:rPr>
                <w:sz w:val="23"/>
                <w:szCs w:val="23"/>
                <w:color w:val="auto"/>
              </w:rPr>
            </w:pPr>
          </w:p>
        </w:tc>
        <w:tc>
          <w:tcPr>
            <w:tcW w:w="6460" w:type="dxa"/>
            <w:vAlign w:val="bottom"/>
            <w:gridSpan w:val="3"/>
          </w:tcPr>
          <w:p>
            <w:pPr>
              <w:ind w:left="3320"/>
              <w:spacing w:after="0"/>
              <w:rPr>
                <w:sz w:val="20"/>
                <w:szCs w:val="20"/>
                <w:color w:val="auto"/>
              </w:rPr>
            </w:pPr>
            <w:r>
              <w:rPr>
                <w:rFonts w:ascii="Arial" w:cs="Arial" w:eastAsia="Arial" w:hAnsi="Arial"/>
                <w:sz w:val="22"/>
                <w:szCs w:val="22"/>
                <w:color w:val="auto"/>
              </w:rPr>
              <w:t>Name: Daniel J. Schuller</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6460" w:type="dxa"/>
            <w:vAlign w:val="bottom"/>
            <w:gridSpan w:val="3"/>
          </w:tcPr>
          <w:p>
            <w:pPr>
              <w:ind w:left="3320"/>
              <w:spacing w:after="0" w:line="243" w:lineRule="exact"/>
              <w:rPr>
                <w:sz w:val="20"/>
                <w:szCs w:val="20"/>
                <w:color w:val="auto"/>
              </w:rPr>
            </w:pPr>
            <w:r>
              <w:rPr>
                <w:rFonts w:ascii="Arial" w:cs="Arial" w:eastAsia="Arial" w:hAnsi="Arial"/>
                <w:sz w:val="22"/>
                <w:szCs w:val="22"/>
                <w:color w:val="auto"/>
                <w:w w:val="97"/>
              </w:rPr>
              <w:t>Its: Executive Vice President and</w:t>
            </w:r>
          </w:p>
        </w:tc>
        <w:tc>
          <w:tcPr>
            <w:tcW w:w="0" w:type="dxa"/>
            <w:vAlign w:val="bottom"/>
          </w:tcPr>
          <w:p>
            <w:pPr>
              <w:spacing w:after="0"/>
              <w:rPr>
                <w:sz w:val="1"/>
                <w:szCs w:val="1"/>
                <w:color w:val="auto"/>
              </w:rPr>
            </w:pPr>
          </w:p>
        </w:tc>
      </w:tr>
      <w:tr>
        <w:trPr>
          <w:trHeight w:val="274"/>
        </w:trPr>
        <w:tc>
          <w:tcPr>
            <w:tcW w:w="3500" w:type="dxa"/>
            <w:vAlign w:val="bottom"/>
            <w:vMerge w:val="restart"/>
          </w:tcPr>
          <w:p>
            <w:pPr>
              <w:spacing w:after="0"/>
              <w:rPr>
                <w:sz w:val="23"/>
                <w:szCs w:val="23"/>
                <w:color w:val="auto"/>
              </w:rPr>
            </w:pPr>
          </w:p>
        </w:tc>
        <w:tc>
          <w:tcPr>
            <w:tcW w:w="6460" w:type="dxa"/>
            <w:vAlign w:val="bottom"/>
            <w:gridSpan w:val="3"/>
          </w:tcPr>
          <w:p>
            <w:pPr>
              <w:ind w:left="3320"/>
              <w:spacing w:after="0"/>
              <w:rPr>
                <w:sz w:val="20"/>
                <w:szCs w:val="20"/>
                <w:color w:val="auto"/>
              </w:rPr>
            </w:pPr>
            <w:r>
              <w:rPr>
                <w:rFonts w:ascii="Arial" w:cs="Arial" w:eastAsia="Arial" w:hAnsi="Arial"/>
                <w:sz w:val="22"/>
                <w:szCs w:val="22"/>
                <w:color w:val="auto"/>
              </w:rPr>
              <w:t>CFO</w:t>
            </w:r>
          </w:p>
        </w:tc>
        <w:tc>
          <w:tcPr>
            <w:tcW w:w="0" w:type="dxa"/>
            <w:vAlign w:val="bottom"/>
          </w:tcPr>
          <w:p>
            <w:pPr>
              <w:spacing w:after="0"/>
              <w:rPr>
                <w:sz w:val="1"/>
                <w:szCs w:val="1"/>
                <w:color w:val="auto"/>
              </w:rPr>
            </w:pPr>
          </w:p>
        </w:tc>
      </w:tr>
      <w:tr>
        <w:trPr>
          <w:trHeight w:val="238"/>
        </w:trPr>
        <w:tc>
          <w:tcPr>
            <w:tcW w:w="3500" w:type="dxa"/>
            <w:vAlign w:val="bottom"/>
            <w:vMerge w:val="continue"/>
          </w:tcPr>
          <w:p>
            <w:pPr>
              <w:spacing w:after="0"/>
              <w:rPr>
                <w:sz w:val="20"/>
                <w:szCs w:val="20"/>
                <w:color w:val="auto"/>
              </w:rPr>
            </w:pPr>
          </w:p>
        </w:tc>
        <w:tc>
          <w:tcPr>
            <w:tcW w:w="3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0"/>
        </w:trPr>
        <w:tc>
          <w:tcPr>
            <w:tcW w:w="35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tcPr>
          <w:p>
            <w:pPr>
              <w:spacing w:after="0"/>
              <w:rPr>
                <w:sz w:val="21"/>
                <w:szCs w:val="21"/>
                <w:color w:val="auto"/>
              </w:rPr>
            </w:pPr>
          </w:p>
        </w:tc>
        <w:tc>
          <w:tcPr>
            <w:tcW w:w="3140" w:type="dxa"/>
            <w:vAlign w:val="bottom"/>
            <w:gridSpan w:val="4"/>
          </w:tcPr>
          <w:p>
            <w:pPr>
              <w:spacing w:after="0"/>
              <w:rPr>
                <w:sz w:val="20"/>
                <w:szCs w:val="20"/>
                <w:color w:val="auto"/>
              </w:rPr>
            </w:pPr>
            <w:r>
              <w:rPr>
                <w:rFonts w:ascii="Arial" w:cs="Arial" w:eastAsia="Arial" w:hAnsi="Arial"/>
                <w:sz w:val="22"/>
                <w:szCs w:val="22"/>
                <w:color w:val="auto"/>
              </w:rPr>
              <w:t>LEGAL AND GENERAL</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ASSURANCE SOCIETY</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900" w:type="dxa"/>
            <w:vAlign w:val="bottom"/>
          </w:tcPr>
          <w:p>
            <w:pPr>
              <w:spacing w:after="0" w:line="243" w:lineRule="exact"/>
              <w:rPr>
                <w:sz w:val="20"/>
                <w:szCs w:val="20"/>
                <w:color w:val="auto"/>
              </w:rPr>
            </w:pPr>
            <w:r>
              <w:rPr>
                <w:rFonts w:ascii="Arial" w:cs="Arial" w:eastAsia="Arial" w:hAnsi="Arial"/>
                <w:sz w:val="22"/>
                <w:szCs w:val="22"/>
                <w:color w:val="auto"/>
              </w:rPr>
              <w:t>LIMITED</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BY LEGAL &amp; GENERAL</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INVESTMENT</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MANAGEMENT AMERICA,</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INC., ITS INVESTMENT</w:t>
            </w:r>
          </w:p>
        </w:tc>
        <w:tc>
          <w:tcPr>
            <w:tcW w:w="0" w:type="dxa"/>
            <w:vAlign w:val="bottom"/>
          </w:tcPr>
          <w:p>
            <w:pPr>
              <w:spacing w:after="0"/>
              <w:rPr>
                <w:sz w:val="1"/>
                <w:szCs w:val="1"/>
                <w:color w:val="auto"/>
              </w:rPr>
            </w:pPr>
          </w:p>
        </w:tc>
      </w:tr>
      <w:tr>
        <w:trPr>
          <w:trHeight w:val="274"/>
        </w:trPr>
        <w:tc>
          <w:tcPr>
            <w:tcW w:w="6820" w:type="dxa"/>
            <w:vAlign w:val="bottom"/>
            <w:vMerge w:val="restart"/>
          </w:tcPr>
          <w:p>
            <w:pPr>
              <w:spacing w:after="0"/>
              <w:rPr>
                <w:sz w:val="23"/>
                <w:szCs w:val="23"/>
                <w:color w:val="auto"/>
              </w:rPr>
            </w:pPr>
          </w:p>
        </w:tc>
        <w:tc>
          <w:tcPr>
            <w:tcW w:w="3140" w:type="dxa"/>
            <w:vAlign w:val="bottom"/>
            <w:gridSpan w:val="4"/>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238"/>
        </w:trPr>
        <w:tc>
          <w:tcPr>
            <w:tcW w:w="68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240" w:type="dxa"/>
            <w:vAlign w:val="bottom"/>
            <w:gridSpan w:val="3"/>
            <w:vMerge w:val="restart"/>
          </w:tcPr>
          <w:p>
            <w:pPr>
              <w:ind w:left="60"/>
              <w:spacing w:after="0"/>
              <w:rPr>
                <w:sz w:val="20"/>
                <w:szCs w:val="20"/>
                <w:color w:val="auto"/>
              </w:rPr>
            </w:pPr>
            <w:r>
              <w:rPr>
                <w:rFonts w:ascii="Arial" w:cs="Arial" w:eastAsia="Arial" w:hAnsi="Arial"/>
                <w:sz w:val="22"/>
                <w:szCs w:val="22"/>
                <w:color w:val="auto"/>
              </w:rPr>
              <w:t>/s/ Edward</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Wood</w:t>
            </w:r>
          </w:p>
        </w:tc>
        <w:tc>
          <w:tcPr>
            <w:tcW w:w="9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20" w:type="dxa"/>
            <w:vAlign w:val="bottom"/>
          </w:tcPr>
          <w:p>
            <w:pPr>
              <w:spacing w:after="0"/>
              <w:rPr>
                <w:sz w:val="22"/>
                <w:szCs w:val="22"/>
                <w:color w:val="auto"/>
              </w:rPr>
            </w:pPr>
          </w:p>
        </w:tc>
        <w:tc>
          <w:tcPr>
            <w:tcW w:w="3140" w:type="dxa"/>
            <w:vAlign w:val="bottom"/>
            <w:gridSpan w:val="4"/>
          </w:tcPr>
          <w:p>
            <w:pPr>
              <w:spacing w:after="0"/>
              <w:rPr>
                <w:sz w:val="20"/>
                <w:szCs w:val="20"/>
                <w:color w:val="auto"/>
              </w:rPr>
            </w:pPr>
            <w:r>
              <w:rPr>
                <w:rFonts w:ascii="Arial" w:cs="Arial" w:eastAsia="Arial" w:hAnsi="Arial"/>
                <w:sz w:val="22"/>
                <w:szCs w:val="22"/>
                <w:color w:val="auto"/>
              </w:rPr>
              <w:t>Name: Edward Wood</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Title: Head of Private Credit</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3140" w:type="dxa"/>
            <w:vAlign w:val="bottom"/>
            <w:gridSpan w:val="4"/>
          </w:tcPr>
          <w:p>
            <w:pPr>
              <w:spacing w:after="0" w:line="243" w:lineRule="exact"/>
              <w:rPr>
                <w:sz w:val="20"/>
                <w:szCs w:val="20"/>
                <w:color w:val="auto"/>
              </w:rPr>
            </w:pPr>
            <w:r>
              <w:rPr>
                <w:rFonts w:ascii="Arial" w:cs="Arial" w:eastAsia="Arial" w:hAnsi="Arial"/>
                <w:sz w:val="22"/>
                <w:szCs w:val="22"/>
                <w:color w:val="auto"/>
              </w:rPr>
              <w:t>Investment,</w:t>
            </w:r>
          </w:p>
        </w:tc>
        <w:tc>
          <w:tcPr>
            <w:tcW w:w="0" w:type="dxa"/>
            <w:vAlign w:val="bottom"/>
          </w:tcPr>
          <w:p>
            <w:pPr>
              <w:spacing w:after="0"/>
              <w:rPr>
                <w:sz w:val="1"/>
                <w:szCs w:val="1"/>
                <w:color w:val="auto"/>
              </w:rPr>
            </w:pPr>
          </w:p>
        </w:tc>
      </w:tr>
      <w:tr>
        <w:trPr>
          <w:trHeight w:val="274"/>
        </w:trPr>
        <w:tc>
          <w:tcPr>
            <w:tcW w:w="6820" w:type="dxa"/>
            <w:vAlign w:val="bottom"/>
            <w:vMerge w:val="restart"/>
          </w:tcPr>
          <w:p>
            <w:pPr>
              <w:spacing w:after="0"/>
              <w:rPr>
                <w:sz w:val="23"/>
                <w:szCs w:val="23"/>
                <w:color w:val="auto"/>
              </w:rPr>
            </w:pPr>
          </w:p>
        </w:tc>
        <w:tc>
          <w:tcPr>
            <w:tcW w:w="3140" w:type="dxa"/>
            <w:vAlign w:val="bottom"/>
            <w:gridSpan w:val="4"/>
          </w:tcPr>
          <w:p>
            <w:pPr>
              <w:spacing w:after="0"/>
              <w:rPr>
                <w:sz w:val="20"/>
                <w:szCs w:val="20"/>
                <w:color w:val="auto"/>
              </w:rPr>
            </w:pPr>
            <w:r>
              <w:rPr>
                <w:rFonts w:ascii="Arial" w:cs="Arial" w:eastAsia="Arial" w:hAnsi="Arial"/>
                <w:sz w:val="22"/>
                <w:szCs w:val="22"/>
                <w:color w:val="auto"/>
              </w:rPr>
              <w:t>North America</w:t>
            </w:r>
          </w:p>
        </w:tc>
        <w:tc>
          <w:tcPr>
            <w:tcW w:w="0" w:type="dxa"/>
            <w:vAlign w:val="bottom"/>
          </w:tcPr>
          <w:p>
            <w:pPr>
              <w:spacing w:after="0"/>
              <w:rPr>
                <w:sz w:val="1"/>
                <w:szCs w:val="1"/>
                <w:color w:val="auto"/>
              </w:rPr>
            </w:pPr>
          </w:p>
        </w:tc>
      </w:tr>
      <w:tr>
        <w:trPr>
          <w:trHeight w:val="238"/>
        </w:trPr>
        <w:tc>
          <w:tcPr>
            <w:tcW w:w="68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5"/>
        </w:trPr>
        <w:tc>
          <w:tcPr>
            <w:tcW w:w="6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ABRDN INVESTMENT</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2940" w:type="dxa"/>
            <w:vAlign w:val="bottom"/>
            <w:gridSpan w:val="5"/>
          </w:tcPr>
          <w:p>
            <w:pPr>
              <w:spacing w:after="0" w:line="243" w:lineRule="exact"/>
              <w:rPr>
                <w:sz w:val="20"/>
                <w:szCs w:val="20"/>
                <w:color w:val="auto"/>
              </w:rPr>
            </w:pPr>
            <w:r>
              <w:rPr>
                <w:rFonts w:ascii="Arial" w:cs="Arial" w:eastAsia="Arial" w:hAnsi="Arial"/>
                <w:sz w:val="22"/>
                <w:szCs w:val="22"/>
                <w:color w:val="auto"/>
              </w:rPr>
              <w:t>MANAGEMENT LIMITED</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2940" w:type="dxa"/>
            <w:vAlign w:val="bottom"/>
            <w:gridSpan w:val="5"/>
          </w:tcPr>
          <w:p>
            <w:pPr>
              <w:spacing w:after="0" w:line="243" w:lineRule="exact"/>
              <w:rPr>
                <w:sz w:val="20"/>
                <w:szCs w:val="20"/>
                <w:color w:val="auto"/>
              </w:rPr>
            </w:pPr>
            <w:r>
              <w:rPr>
                <w:rFonts w:ascii="Arial" w:cs="Arial" w:eastAsia="Arial" w:hAnsi="Arial"/>
                <w:sz w:val="22"/>
                <w:szCs w:val="22"/>
                <w:color w:val="auto"/>
                <w:w w:val="95"/>
              </w:rPr>
              <w:t>ACTING AS AGENT FOR AND</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2940" w:type="dxa"/>
            <w:vAlign w:val="bottom"/>
            <w:gridSpan w:val="5"/>
          </w:tcPr>
          <w:p>
            <w:pPr>
              <w:spacing w:after="0" w:line="243" w:lineRule="exact"/>
              <w:rPr>
                <w:sz w:val="20"/>
                <w:szCs w:val="20"/>
                <w:color w:val="auto"/>
              </w:rPr>
            </w:pPr>
            <w:r>
              <w:rPr>
                <w:rFonts w:ascii="Arial" w:cs="Arial" w:eastAsia="Arial" w:hAnsi="Arial"/>
                <w:sz w:val="22"/>
                <w:szCs w:val="22"/>
                <w:color w:val="auto"/>
              </w:rPr>
              <w:t>ON BEHALF OF</w:t>
            </w:r>
          </w:p>
        </w:tc>
        <w:tc>
          <w:tcPr>
            <w:tcW w:w="0" w:type="dxa"/>
            <w:vAlign w:val="bottom"/>
          </w:tcPr>
          <w:p>
            <w:pPr>
              <w:spacing w:after="0"/>
              <w:rPr>
                <w:sz w:val="1"/>
                <w:szCs w:val="1"/>
                <w:color w:val="auto"/>
              </w:rPr>
            </w:pPr>
          </w:p>
        </w:tc>
      </w:tr>
      <w:tr>
        <w:trPr>
          <w:trHeight w:val="274"/>
        </w:trPr>
        <w:tc>
          <w:tcPr>
            <w:tcW w:w="6700" w:type="dxa"/>
            <w:vAlign w:val="bottom"/>
            <w:vMerge w:val="restart"/>
          </w:tcPr>
          <w:p>
            <w:pPr>
              <w:spacing w:after="0"/>
              <w:rPr>
                <w:sz w:val="23"/>
                <w:szCs w:val="23"/>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PHOENIX LIFE LIMITED</w:t>
            </w:r>
          </w:p>
        </w:tc>
        <w:tc>
          <w:tcPr>
            <w:tcW w:w="0" w:type="dxa"/>
            <w:vAlign w:val="bottom"/>
          </w:tcPr>
          <w:p>
            <w:pPr>
              <w:spacing w:after="0"/>
              <w:rPr>
                <w:sz w:val="1"/>
                <w:szCs w:val="1"/>
                <w:color w:val="auto"/>
              </w:rPr>
            </w:pPr>
          </w:p>
        </w:tc>
      </w:tr>
      <w:tr>
        <w:trPr>
          <w:trHeight w:val="238"/>
        </w:trPr>
        <w:tc>
          <w:tcPr>
            <w:tcW w:w="67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88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060" w:type="dxa"/>
            <w:vAlign w:val="bottom"/>
            <w:gridSpan w:val="4"/>
            <w:vMerge w:val="restart"/>
          </w:tcPr>
          <w:p>
            <w:pPr>
              <w:ind w:left="80"/>
              <w:spacing w:after="0"/>
              <w:rPr>
                <w:sz w:val="20"/>
                <w:szCs w:val="20"/>
                <w:color w:val="auto"/>
              </w:rPr>
            </w:pPr>
            <w:r>
              <w:rPr>
                <w:rFonts w:ascii="Arial" w:cs="Arial" w:eastAsia="Arial" w:hAnsi="Arial"/>
                <w:sz w:val="22"/>
                <w:szCs w:val="22"/>
                <w:color w:val="auto"/>
              </w:rPr>
              <w:t>/s/ Heather</w:t>
            </w:r>
          </w:p>
        </w:tc>
        <w:tc>
          <w:tcPr>
            <w:tcW w:w="0" w:type="dxa"/>
            <w:vAlign w:val="bottom"/>
          </w:tcPr>
          <w:p>
            <w:pPr>
              <w:spacing w:after="0"/>
              <w:rPr>
                <w:sz w:val="1"/>
                <w:szCs w:val="1"/>
                <w:color w:val="auto"/>
              </w:rPr>
            </w:pPr>
          </w:p>
        </w:tc>
      </w:tr>
      <w:tr>
        <w:trPr>
          <w:trHeight w:val="211"/>
        </w:trPr>
        <w:tc>
          <w:tcPr>
            <w:tcW w:w="67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Morrison</w:t>
            </w:r>
          </w:p>
        </w:tc>
        <w:tc>
          <w:tcPr>
            <w:tcW w:w="8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Name: Heather Morrison</w:t>
            </w:r>
          </w:p>
        </w:tc>
        <w:tc>
          <w:tcPr>
            <w:tcW w:w="0" w:type="dxa"/>
            <w:vAlign w:val="bottom"/>
          </w:tcPr>
          <w:p>
            <w:pPr>
              <w:spacing w:after="0"/>
              <w:rPr>
                <w:sz w:val="1"/>
                <w:szCs w:val="1"/>
                <w:color w:val="auto"/>
              </w:rPr>
            </w:pPr>
          </w:p>
        </w:tc>
      </w:tr>
      <w:tr>
        <w:trPr>
          <w:trHeight w:val="274"/>
        </w:trPr>
        <w:tc>
          <w:tcPr>
            <w:tcW w:w="6700" w:type="dxa"/>
            <w:vAlign w:val="bottom"/>
          </w:tcPr>
          <w:p>
            <w:pPr>
              <w:spacing w:after="0"/>
              <w:rPr>
                <w:sz w:val="23"/>
                <w:szCs w:val="23"/>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Title: Authorised Attorney</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3781425</wp:posOffset>
            </wp:positionV>
            <wp:extent cx="635190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760"/>
          </w:cols>
          <w:pgMar w:left="980" w:top="523" w:right="11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74"/>
        </w:trPr>
        <w:tc>
          <w:tcPr>
            <w:tcW w:w="682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6820" w:type="dxa"/>
            <w:vAlign w:val="bottom"/>
          </w:tcPr>
          <w:p>
            <w:pPr>
              <w:spacing w:after="0"/>
              <w:rPr>
                <w:sz w:val="24"/>
                <w:szCs w:val="24"/>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INDUSTRIAL ALLIANCE</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940" w:type="dxa"/>
            <w:vAlign w:val="bottom"/>
            <w:gridSpan w:val="5"/>
          </w:tcPr>
          <w:p>
            <w:pPr>
              <w:spacing w:after="0" w:line="243" w:lineRule="exact"/>
              <w:rPr>
                <w:sz w:val="20"/>
                <w:szCs w:val="20"/>
                <w:color w:val="auto"/>
              </w:rPr>
            </w:pPr>
            <w:r>
              <w:rPr>
                <w:rFonts w:ascii="Arial" w:cs="Arial" w:eastAsia="Arial" w:hAnsi="Arial"/>
                <w:sz w:val="22"/>
                <w:szCs w:val="22"/>
                <w:color w:val="auto"/>
              </w:rPr>
              <w:t>INSURANCE AND</w:t>
            </w:r>
          </w:p>
        </w:tc>
        <w:tc>
          <w:tcPr>
            <w:tcW w:w="0" w:type="dxa"/>
            <w:vAlign w:val="bottom"/>
          </w:tcPr>
          <w:p>
            <w:pPr>
              <w:spacing w:after="0"/>
              <w:rPr>
                <w:sz w:val="1"/>
                <w:szCs w:val="1"/>
                <w:color w:val="auto"/>
              </w:rPr>
            </w:pPr>
          </w:p>
        </w:tc>
      </w:tr>
      <w:tr>
        <w:trPr>
          <w:trHeight w:val="274"/>
        </w:trPr>
        <w:tc>
          <w:tcPr>
            <w:tcW w:w="6820" w:type="dxa"/>
            <w:vAlign w:val="bottom"/>
            <w:vMerge w:val="restart"/>
          </w:tcPr>
          <w:p>
            <w:pPr>
              <w:spacing w:after="0"/>
              <w:rPr>
                <w:sz w:val="23"/>
                <w:szCs w:val="23"/>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FINANCIAL SERVICES INC.</w:t>
            </w:r>
          </w:p>
        </w:tc>
        <w:tc>
          <w:tcPr>
            <w:tcW w:w="0" w:type="dxa"/>
            <w:vAlign w:val="bottom"/>
          </w:tcPr>
          <w:p>
            <w:pPr>
              <w:spacing w:after="0"/>
              <w:rPr>
                <w:sz w:val="1"/>
                <w:szCs w:val="1"/>
                <w:color w:val="auto"/>
              </w:rPr>
            </w:pPr>
          </w:p>
        </w:tc>
      </w:tr>
      <w:tr>
        <w:trPr>
          <w:trHeight w:val="238"/>
        </w:trPr>
        <w:tc>
          <w:tcPr>
            <w:tcW w:w="682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20" w:type="dxa"/>
            <w:vAlign w:val="bottom"/>
          </w:tcPr>
          <w:p>
            <w:pPr>
              <w:spacing w:after="0"/>
              <w:rPr>
                <w:sz w:val="22"/>
                <w:szCs w:val="22"/>
                <w:color w:val="auto"/>
              </w:rPr>
            </w:pPr>
          </w:p>
        </w:tc>
        <w:tc>
          <w:tcPr>
            <w:tcW w:w="74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200" w:type="dxa"/>
            <w:vAlign w:val="bottom"/>
            <w:gridSpan w:val="4"/>
            <w:vMerge w:val="restart"/>
          </w:tcPr>
          <w:p>
            <w:pPr>
              <w:ind w:left="220"/>
              <w:spacing w:after="0"/>
              <w:rPr>
                <w:sz w:val="20"/>
                <w:szCs w:val="20"/>
                <w:color w:val="auto"/>
              </w:rPr>
            </w:pPr>
            <w:r>
              <w:rPr>
                <w:rFonts w:ascii="Arial" w:cs="Arial" w:eastAsia="Arial" w:hAnsi="Arial"/>
                <w:sz w:val="22"/>
                <w:szCs w:val="22"/>
                <w:color w:val="auto"/>
              </w:rPr>
              <w:t>/s/ Claude</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2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7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Sirois</w:t>
            </w:r>
          </w:p>
        </w:tc>
        <w:tc>
          <w:tcPr>
            <w:tcW w:w="2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20" w:type="dxa"/>
            <w:vAlign w:val="bottom"/>
          </w:tcPr>
          <w:p>
            <w:pPr>
              <w:spacing w:after="0"/>
              <w:rPr>
                <w:sz w:val="22"/>
                <w:szCs w:val="22"/>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Name: Claude Sirois</w:t>
            </w: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2940" w:type="dxa"/>
            <w:vAlign w:val="bottom"/>
            <w:gridSpan w:val="5"/>
          </w:tcPr>
          <w:p>
            <w:pPr>
              <w:spacing w:after="0" w:line="243" w:lineRule="exact"/>
              <w:rPr>
                <w:sz w:val="20"/>
                <w:szCs w:val="20"/>
                <w:color w:val="auto"/>
              </w:rPr>
            </w:pPr>
            <w:r>
              <w:rPr>
                <w:rFonts w:ascii="Arial" w:cs="Arial" w:eastAsia="Arial" w:hAnsi="Arial"/>
                <w:sz w:val="22"/>
                <w:szCs w:val="22"/>
                <w:color w:val="auto"/>
                <w:w w:val="89"/>
              </w:rPr>
              <w:t>Title: Vice President, Real Assets</w:t>
            </w:r>
          </w:p>
        </w:tc>
        <w:tc>
          <w:tcPr>
            <w:tcW w:w="0" w:type="dxa"/>
            <w:vAlign w:val="bottom"/>
          </w:tcPr>
          <w:p>
            <w:pPr>
              <w:spacing w:after="0"/>
              <w:rPr>
                <w:sz w:val="1"/>
                <w:szCs w:val="1"/>
                <w:color w:val="auto"/>
              </w:rPr>
            </w:pPr>
          </w:p>
        </w:tc>
      </w:tr>
      <w:tr>
        <w:trPr>
          <w:trHeight w:val="274"/>
        </w:trPr>
        <w:tc>
          <w:tcPr>
            <w:tcW w:w="6820" w:type="dxa"/>
            <w:vAlign w:val="bottom"/>
          </w:tcPr>
          <w:p>
            <w:pPr>
              <w:spacing w:after="0"/>
              <w:rPr>
                <w:sz w:val="23"/>
                <w:szCs w:val="23"/>
                <w:color w:val="auto"/>
              </w:rPr>
            </w:pPr>
          </w:p>
        </w:tc>
        <w:tc>
          <w:tcPr>
            <w:tcW w:w="2940" w:type="dxa"/>
            <w:vAlign w:val="bottom"/>
            <w:gridSpan w:val="5"/>
          </w:tcPr>
          <w:p>
            <w:pPr>
              <w:spacing w:after="0"/>
              <w:rPr>
                <w:sz w:val="20"/>
                <w:szCs w:val="20"/>
                <w:color w:val="auto"/>
              </w:rPr>
            </w:pPr>
            <w:r>
              <w:rPr>
                <w:rFonts w:ascii="Arial" w:cs="Arial" w:eastAsia="Arial" w:hAnsi="Arial"/>
                <w:sz w:val="22"/>
                <w:szCs w:val="22"/>
                <w:color w:val="auto"/>
              </w:rPr>
              <w:t>and Private Equity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8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22"/>
                <w:szCs w:val="22"/>
                <w:color w:val="auto"/>
              </w:rPr>
              <w:t>By</w:t>
            </w:r>
          </w:p>
        </w:tc>
        <w:tc>
          <w:tcPr>
            <w:tcW w:w="2600" w:type="dxa"/>
            <w:vAlign w:val="bottom"/>
            <w:gridSpan w:val="4"/>
          </w:tcPr>
          <w:p>
            <w:pPr>
              <w:ind w:left="420"/>
              <w:spacing w:after="0"/>
              <w:rPr>
                <w:sz w:val="20"/>
                <w:szCs w:val="20"/>
                <w:color w:val="auto"/>
              </w:rPr>
            </w:pPr>
            <w:r>
              <w:rPr>
                <w:rFonts w:ascii="Arial" w:cs="Arial" w:eastAsia="Arial" w:hAnsi="Arial"/>
                <w:sz w:val="22"/>
                <w:szCs w:val="22"/>
                <w:color w:val="auto"/>
              </w:rPr>
              <w:t>s/ Maxime</w:t>
            </w:r>
          </w:p>
        </w:tc>
      </w:tr>
      <w:tr>
        <w:trPr>
          <w:trHeight w:val="223"/>
        </w:trPr>
        <w:tc>
          <w:tcPr>
            <w:tcW w:w="6820" w:type="dxa"/>
            <w:vAlign w:val="bottom"/>
          </w:tcPr>
          <w:p>
            <w:pPr>
              <w:spacing w:after="0"/>
              <w:rPr>
                <w:sz w:val="19"/>
                <w:szCs w:val="19"/>
                <w:color w:val="auto"/>
              </w:rPr>
            </w:pPr>
          </w:p>
        </w:tc>
        <w:tc>
          <w:tcPr>
            <w:tcW w:w="96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Durivage</w:t>
            </w:r>
          </w:p>
        </w:tc>
        <w:tc>
          <w:tcPr>
            <w:tcW w:w="920" w:type="dxa"/>
            <w:vAlign w:val="bottom"/>
            <w:tcBorders>
              <w:top w:val="single" w:sz="8" w:color="auto"/>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56"/>
        </w:trPr>
        <w:tc>
          <w:tcPr>
            <w:tcW w:w="6820" w:type="dxa"/>
            <w:vAlign w:val="bottom"/>
          </w:tcPr>
          <w:p>
            <w:pPr>
              <w:spacing w:after="0"/>
              <w:rPr>
                <w:sz w:val="22"/>
                <w:szCs w:val="22"/>
                <w:color w:val="auto"/>
              </w:rPr>
            </w:pPr>
          </w:p>
        </w:tc>
        <w:tc>
          <w:tcPr>
            <w:tcW w:w="3140" w:type="dxa"/>
            <w:vAlign w:val="bottom"/>
            <w:gridSpan w:val="5"/>
          </w:tcPr>
          <w:p>
            <w:pPr>
              <w:spacing w:after="0"/>
              <w:rPr>
                <w:sz w:val="20"/>
                <w:szCs w:val="20"/>
                <w:color w:val="auto"/>
              </w:rPr>
            </w:pPr>
            <w:r>
              <w:rPr>
                <w:rFonts w:ascii="Arial" w:cs="Arial" w:eastAsia="Arial" w:hAnsi="Arial"/>
                <w:sz w:val="22"/>
                <w:szCs w:val="22"/>
                <w:color w:val="auto"/>
              </w:rPr>
              <w:t>Name: Maxime Durivage</w:t>
            </w:r>
          </w:p>
        </w:tc>
      </w:tr>
      <w:tr>
        <w:trPr>
          <w:trHeight w:val="243"/>
        </w:trPr>
        <w:tc>
          <w:tcPr>
            <w:tcW w:w="6820" w:type="dxa"/>
            <w:vAlign w:val="bottom"/>
          </w:tcPr>
          <w:p>
            <w:pPr>
              <w:spacing w:after="0"/>
              <w:rPr>
                <w:sz w:val="21"/>
                <w:szCs w:val="21"/>
                <w:color w:val="auto"/>
              </w:rPr>
            </w:pPr>
          </w:p>
        </w:tc>
        <w:tc>
          <w:tcPr>
            <w:tcW w:w="54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2600" w:type="dxa"/>
            <w:vAlign w:val="bottom"/>
            <w:gridSpan w:val="4"/>
          </w:tcPr>
          <w:p>
            <w:pPr>
              <w:ind w:left="80"/>
              <w:spacing w:after="0" w:line="243" w:lineRule="exact"/>
              <w:rPr>
                <w:sz w:val="20"/>
                <w:szCs w:val="20"/>
                <w:color w:val="auto"/>
              </w:rPr>
            </w:pPr>
            <w:r>
              <w:rPr>
                <w:rFonts w:ascii="Arial" w:cs="Arial" w:eastAsia="Arial" w:hAnsi="Arial"/>
                <w:sz w:val="22"/>
                <w:szCs w:val="22"/>
                <w:color w:val="auto"/>
              </w:rPr>
              <w:t>Senior Vice President,</w:t>
            </w:r>
          </w:p>
        </w:tc>
      </w:tr>
      <w:tr>
        <w:trPr>
          <w:trHeight w:val="243"/>
        </w:trPr>
        <w:tc>
          <w:tcPr>
            <w:tcW w:w="6820" w:type="dxa"/>
            <w:vAlign w:val="bottom"/>
          </w:tcPr>
          <w:p>
            <w:pPr>
              <w:spacing w:after="0"/>
              <w:rPr>
                <w:sz w:val="21"/>
                <w:szCs w:val="21"/>
                <w:color w:val="auto"/>
              </w:rPr>
            </w:pPr>
          </w:p>
        </w:tc>
        <w:tc>
          <w:tcPr>
            <w:tcW w:w="3140" w:type="dxa"/>
            <w:vAlign w:val="bottom"/>
            <w:gridSpan w:val="5"/>
          </w:tcPr>
          <w:p>
            <w:pPr>
              <w:spacing w:after="0" w:line="243" w:lineRule="exact"/>
              <w:rPr>
                <w:sz w:val="20"/>
                <w:szCs w:val="20"/>
                <w:color w:val="auto"/>
              </w:rPr>
            </w:pPr>
            <w:r>
              <w:rPr>
                <w:rFonts w:ascii="Arial" w:cs="Arial" w:eastAsia="Arial" w:hAnsi="Arial"/>
                <w:sz w:val="22"/>
                <w:szCs w:val="22"/>
                <w:color w:val="auto"/>
              </w:rPr>
              <w:t>Head of Private</w:t>
            </w:r>
          </w:p>
        </w:tc>
      </w:tr>
      <w:tr>
        <w:trPr>
          <w:trHeight w:val="274"/>
        </w:trPr>
        <w:tc>
          <w:tcPr>
            <w:tcW w:w="6820" w:type="dxa"/>
            <w:vAlign w:val="bottom"/>
          </w:tcPr>
          <w:p>
            <w:pPr>
              <w:spacing w:after="0"/>
              <w:rPr>
                <w:sz w:val="23"/>
                <w:szCs w:val="23"/>
                <w:color w:val="auto"/>
              </w:rPr>
            </w:pPr>
          </w:p>
        </w:tc>
        <w:tc>
          <w:tcPr>
            <w:tcW w:w="3140" w:type="dxa"/>
            <w:vAlign w:val="bottom"/>
            <w:gridSpan w:val="5"/>
          </w:tcPr>
          <w:p>
            <w:pPr>
              <w:spacing w:after="0"/>
              <w:rPr>
                <w:sz w:val="20"/>
                <w:szCs w:val="20"/>
                <w:color w:val="auto"/>
              </w:rPr>
            </w:pPr>
            <w:r>
              <w:rPr>
                <w:rFonts w:ascii="Arial" w:cs="Arial" w:eastAsia="Arial" w:hAnsi="Arial"/>
                <w:sz w:val="22"/>
                <w:szCs w:val="22"/>
                <w:color w:val="auto"/>
              </w:rPr>
              <w:t>Equity and Infrastructure</w:t>
            </w:r>
          </w:p>
        </w:tc>
      </w:tr>
      <w:tr>
        <w:trPr>
          <w:trHeight w:val="252"/>
        </w:trPr>
        <w:tc>
          <w:tcPr>
            <w:tcW w:w="6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7"/>
        </w:trPr>
        <w:tc>
          <w:tcPr>
            <w:tcW w:w="6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6"/>
        </w:trPr>
        <w:tc>
          <w:tcPr>
            <w:tcW w:w="6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7"/>
        </w:trPr>
        <w:tc>
          <w:tcPr>
            <w:tcW w:w="6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67"/>
        </w:trPr>
        <w:tc>
          <w:tcPr>
            <w:tcW w:w="6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r>
        <w:trPr>
          <w:trHeight w:val="20"/>
        </w:trPr>
        <w:tc>
          <w:tcPr>
            <w:tcW w:w="68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523" w:right="95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607060</wp:posOffset>
            </wp:positionH>
            <wp:positionV relativeFrom="page">
              <wp:posOffset>5348605</wp:posOffset>
            </wp:positionV>
            <wp:extent cx="6351905"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351905" cy="50800"/>
                    </a:xfrm>
                    <a:prstGeom prst="rect">
                      <a:avLst/>
                    </a:prstGeom>
                    <a:noFill/>
                  </pic:spPr>
                </pic:pic>
              </a:graphicData>
            </a:graphic>
          </wp:anchor>
        </w:drawing>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2880" w:type="dxa"/>
            <w:vAlign w:val="bottom"/>
            <w:gridSpan w:val="5"/>
          </w:tcPr>
          <w:p>
            <w:pPr>
              <w:spacing w:after="0"/>
              <w:rPr>
                <w:sz w:val="20"/>
                <w:szCs w:val="20"/>
                <w:color w:val="auto"/>
              </w:rPr>
            </w:pPr>
            <w:r>
              <w:rPr>
                <w:rFonts w:ascii="Arial" w:cs="Arial" w:eastAsia="Arial" w:hAnsi="Arial"/>
                <w:sz w:val="22"/>
                <w:szCs w:val="22"/>
                <w:color w:val="auto"/>
                <w:w w:val="94"/>
              </w:rPr>
              <w:t>THE MANUFACTURERS LIFE</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2880" w:type="dxa"/>
            <w:vAlign w:val="bottom"/>
            <w:gridSpan w:val="5"/>
          </w:tcPr>
          <w:p>
            <w:pPr>
              <w:spacing w:after="0" w:line="243" w:lineRule="exact"/>
              <w:rPr>
                <w:sz w:val="20"/>
                <w:szCs w:val="20"/>
                <w:color w:val="auto"/>
              </w:rPr>
            </w:pPr>
            <w:r>
              <w:rPr>
                <w:rFonts w:ascii="Arial" w:cs="Arial" w:eastAsia="Arial" w:hAnsi="Arial"/>
                <w:sz w:val="22"/>
                <w:szCs w:val="22"/>
                <w:color w:val="auto"/>
              </w:rPr>
              <w:t>INSURANCE</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2880" w:type="dxa"/>
            <w:vAlign w:val="bottom"/>
            <w:gridSpan w:val="5"/>
          </w:tcPr>
          <w:p>
            <w:pPr>
              <w:spacing w:after="0" w:line="243" w:lineRule="exact"/>
              <w:rPr>
                <w:sz w:val="20"/>
                <w:szCs w:val="20"/>
                <w:color w:val="auto"/>
              </w:rPr>
            </w:pPr>
            <w:r>
              <w:rPr>
                <w:rFonts w:ascii="Arial" w:cs="Arial" w:eastAsia="Arial" w:hAnsi="Arial"/>
                <w:sz w:val="22"/>
                <w:szCs w:val="22"/>
                <w:color w:val="auto"/>
              </w:rPr>
              <w:t>COMPANY (BARBADOS</w:t>
            </w:r>
          </w:p>
        </w:tc>
        <w:tc>
          <w:tcPr>
            <w:tcW w:w="0" w:type="dxa"/>
            <w:vAlign w:val="bottom"/>
          </w:tcPr>
          <w:p>
            <w:pPr>
              <w:spacing w:after="0"/>
              <w:rPr>
                <w:sz w:val="1"/>
                <w:szCs w:val="1"/>
                <w:color w:val="auto"/>
              </w:rPr>
            </w:pPr>
          </w:p>
        </w:tc>
      </w:tr>
      <w:tr>
        <w:trPr>
          <w:trHeight w:val="274"/>
        </w:trPr>
        <w:tc>
          <w:tcPr>
            <w:tcW w:w="6700" w:type="dxa"/>
            <w:vAlign w:val="bottom"/>
            <w:vMerge w:val="restart"/>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22"/>
                <w:szCs w:val="22"/>
                <w:color w:val="auto"/>
              </w:rPr>
              <w:t>BRANCH)</w:t>
            </w:r>
          </w:p>
        </w:tc>
        <w:tc>
          <w:tcPr>
            <w:tcW w:w="0" w:type="dxa"/>
            <w:vAlign w:val="bottom"/>
          </w:tcPr>
          <w:p>
            <w:pPr>
              <w:spacing w:after="0"/>
              <w:rPr>
                <w:sz w:val="1"/>
                <w:szCs w:val="1"/>
                <w:color w:val="auto"/>
              </w:rPr>
            </w:pPr>
          </w:p>
        </w:tc>
      </w:tr>
      <w:tr>
        <w:trPr>
          <w:trHeight w:val="238"/>
        </w:trPr>
        <w:tc>
          <w:tcPr>
            <w:tcW w:w="67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58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300" w:type="dxa"/>
            <w:vAlign w:val="bottom"/>
            <w:gridSpan w:val="4"/>
            <w:vMerge w:val="restart"/>
          </w:tcPr>
          <w:p>
            <w:pPr>
              <w:ind w:left="320"/>
              <w:spacing w:after="0"/>
              <w:rPr>
                <w:sz w:val="20"/>
                <w:szCs w:val="20"/>
                <w:color w:val="auto"/>
              </w:rPr>
            </w:pPr>
            <w:r>
              <w:rPr>
                <w:rFonts w:ascii="Arial" w:cs="Arial" w:eastAsia="Arial" w:hAnsi="Arial"/>
                <w:sz w:val="22"/>
                <w:szCs w:val="22"/>
                <w:color w:val="auto"/>
              </w:rPr>
              <w:t>/s/ Heliang</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5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Qu</w:t>
            </w:r>
          </w:p>
        </w:tc>
        <w:tc>
          <w:tcPr>
            <w:tcW w:w="3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00" w:type="dxa"/>
            <w:vAlign w:val="bottom"/>
          </w:tcPr>
          <w:p>
            <w:pPr>
              <w:spacing w:after="0"/>
              <w:rPr>
                <w:sz w:val="22"/>
                <w:szCs w:val="22"/>
                <w:color w:val="auto"/>
              </w:rPr>
            </w:pPr>
          </w:p>
        </w:tc>
        <w:tc>
          <w:tcPr>
            <w:tcW w:w="2880" w:type="dxa"/>
            <w:vAlign w:val="bottom"/>
            <w:gridSpan w:val="5"/>
          </w:tcPr>
          <w:p>
            <w:pPr>
              <w:spacing w:after="0"/>
              <w:rPr>
                <w:sz w:val="20"/>
                <w:szCs w:val="20"/>
                <w:color w:val="auto"/>
              </w:rPr>
            </w:pPr>
            <w:r>
              <w:rPr>
                <w:rFonts w:ascii="Arial" w:cs="Arial" w:eastAsia="Arial" w:hAnsi="Arial"/>
                <w:sz w:val="22"/>
                <w:szCs w:val="22"/>
                <w:color w:val="auto"/>
              </w:rPr>
              <w:t>Name: Heliang Qu</w:t>
            </w:r>
          </w:p>
        </w:tc>
        <w:tc>
          <w:tcPr>
            <w:tcW w:w="0" w:type="dxa"/>
            <w:vAlign w:val="bottom"/>
          </w:tcPr>
          <w:p>
            <w:pPr>
              <w:spacing w:after="0"/>
              <w:rPr>
                <w:sz w:val="1"/>
                <w:szCs w:val="1"/>
                <w:color w:val="auto"/>
              </w:rPr>
            </w:pPr>
          </w:p>
        </w:tc>
      </w:tr>
      <w:tr>
        <w:trPr>
          <w:trHeight w:val="274"/>
        </w:trPr>
        <w:tc>
          <w:tcPr>
            <w:tcW w:w="67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22"/>
                <w:szCs w:val="22"/>
                <w:color w:val="auto"/>
              </w:rPr>
              <w:t>Title: AVP, Reinsurance</w:t>
            </w: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670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22"/>
                <w:szCs w:val="22"/>
                <w:color w:val="auto"/>
              </w:rPr>
              <w:t>By</w:t>
            </w:r>
          </w:p>
        </w:tc>
        <w:tc>
          <w:tcPr>
            <w:tcW w:w="1960" w:type="dxa"/>
            <w:vAlign w:val="bottom"/>
            <w:gridSpan w:val="4"/>
          </w:tcPr>
          <w:p>
            <w:pPr>
              <w:ind w:left="120"/>
              <w:spacing w:after="0"/>
              <w:rPr>
                <w:sz w:val="20"/>
                <w:szCs w:val="20"/>
                <w:color w:val="auto"/>
              </w:rPr>
            </w:pPr>
            <w:r>
              <w:rPr>
                <w:rFonts w:ascii="Arial" w:cs="Arial" w:eastAsia="Arial" w:hAnsi="Arial"/>
                <w:sz w:val="22"/>
                <w:szCs w:val="22"/>
                <w:color w:val="auto"/>
                <w:w w:val="95"/>
              </w:rPr>
              <w:t>/s/ Renee Springer-</w:t>
            </w:r>
          </w:p>
        </w:tc>
      </w:tr>
      <w:tr>
        <w:trPr>
          <w:trHeight w:val="223"/>
        </w:trPr>
        <w:tc>
          <w:tcPr>
            <w:tcW w:w="6700" w:type="dxa"/>
            <w:vAlign w:val="bottom"/>
          </w:tcPr>
          <w:p>
            <w:pPr>
              <w:spacing w:after="0"/>
              <w:rPr>
                <w:sz w:val="19"/>
                <w:szCs w:val="19"/>
                <w:color w:val="auto"/>
              </w:rPr>
            </w:pPr>
          </w:p>
        </w:tc>
        <w:tc>
          <w:tcPr>
            <w:tcW w:w="7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Haynes</w:t>
            </w:r>
          </w:p>
        </w:tc>
        <w:tc>
          <w:tcPr>
            <w:tcW w:w="1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56"/>
        </w:trPr>
        <w:tc>
          <w:tcPr>
            <w:tcW w:w="6700" w:type="dxa"/>
            <w:vAlign w:val="bottom"/>
          </w:tcPr>
          <w:p>
            <w:pPr>
              <w:spacing w:after="0"/>
              <w:rPr>
                <w:sz w:val="22"/>
                <w:szCs w:val="22"/>
                <w:color w:val="auto"/>
              </w:rPr>
            </w:pPr>
          </w:p>
        </w:tc>
        <w:tc>
          <w:tcPr>
            <w:tcW w:w="2740" w:type="dxa"/>
            <w:vAlign w:val="bottom"/>
            <w:gridSpan w:val="5"/>
          </w:tcPr>
          <w:p>
            <w:pPr>
              <w:spacing w:after="0"/>
              <w:rPr>
                <w:sz w:val="20"/>
                <w:szCs w:val="20"/>
                <w:color w:val="auto"/>
              </w:rPr>
            </w:pPr>
            <w:r>
              <w:rPr>
                <w:rFonts w:ascii="Arial" w:cs="Arial" w:eastAsia="Arial" w:hAnsi="Arial"/>
                <w:sz w:val="22"/>
                <w:szCs w:val="22"/>
                <w:color w:val="auto"/>
                <w:w w:val="88"/>
              </w:rPr>
              <w:t>Name: Renee Springer-Haynes</w:t>
            </w:r>
          </w:p>
        </w:tc>
      </w:tr>
      <w:tr>
        <w:trPr>
          <w:trHeight w:val="274"/>
        </w:trPr>
        <w:tc>
          <w:tcPr>
            <w:tcW w:w="6700" w:type="dxa"/>
            <w:vAlign w:val="bottom"/>
          </w:tcPr>
          <w:p>
            <w:pPr>
              <w:spacing w:after="0"/>
              <w:rPr>
                <w:sz w:val="23"/>
                <w:szCs w:val="23"/>
                <w:color w:val="auto"/>
              </w:rPr>
            </w:pPr>
          </w:p>
        </w:tc>
        <w:tc>
          <w:tcPr>
            <w:tcW w:w="2740" w:type="dxa"/>
            <w:vAlign w:val="bottom"/>
            <w:gridSpan w:val="5"/>
          </w:tcPr>
          <w:p>
            <w:pPr>
              <w:spacing w:after="0"/>
              <w:rPr>
                <w:sz w:val="20"/>
                <w:szCs w:val="20"/>
                <w:color w:val="auto"/>
              </w:rPr>
            </w:pPr>
            <w:r>
              <w:rPr>
                <w:rFonts w:ascii="Arial" w:cs="Arial" w:eastAsia="Arial" w:hAnsi="Arial"/>
                <w:sz w:val="22"/>
                <w:szCs w:val="22"/>
                <w:color w:val="auto"/>
              </w:rPr>
              <w:t>Title: AVP &amp; Controller</w:t>
            </w:r>
          </w:p>
        </w:tc>
      </w:tr>
    </w:tbl>
    <w:p>
      <w:pPr>
        <w:sectPr>
          <w:pgSz w:w="11900" w:h="16838" w:orient="portrait"/>
          <w:cols w:equalWidth="0" w:num="1">
            <w:col w:w="9700"/>
          </w:cols>
          <w:pgMar w:left="980" w:top="118" w:right="121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607060</wp:posOffset>
            </wp:positionH>
            <wp:positionV relativeFrom="page">
              <wp:posOffset>5914390</wp:posOffset>
            </wp:positionV>
            <wp:extent cx="635190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698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62"/>
        </w:trPr>
        <w:tc>
          <w:tcPr>
            <w:tcW w:w="698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22"/>
                <w:szCs w:val="22"/>
                <w:color w:val="auto"/>
              </w:rPr>
              <w:t>MANULIFE (SINGAPORE)</w:t>
            </w:r>
          </w:p>
        </w:tc>
        <w:tc>
          <w:tcPr>
            <w:tcW w:w="0" w:type="dxa"/>
            <w:vAlign w:val="bottom"/>
          </w:tcPr>
          <w:p>
            <w:pPr>
              <w:spacing w:after="0"/>
              <w:rPr>
                <w:sz w:val="1"/>
                <w:szCs w:val="1"/>
                <w:color w:val="auto"/>
              </w:rPr>
            </w:pPr>
          </w:p>
        </w:tc>
      </w:tr>
      <w:tr>
        <w:trPr>
          <w:trHeight w:val="274"/>
        </w:trPr>
        <w:tc>
          <w:tcPr>
            <w:tcW w:w="6980" w:type="dxa"/>
            <w:vAlign w:val="bottom"/>
            <w:vMerge w:val="restart"/>
          </w:tcPr>
          <w:p>
            <w:pPr>
              <w:spacing w:after="0"/>
              <w:rPr>
                <w:sz w:val="23"/>
                <w:szCs w:val="23"/>
                <w:color w:val="auto"/>
              </w:rPr>
            </w:pPr>
          </w:p>
        </w:tc>
        <w:tc>
          <w:tcPr>
            <w:tcW w:w="900" w:type="dxa"/>
            <w:vAlign w:val="bottom"/>
          </w:tcPr>
          <w:p>
            <w:pPr>
              <w:spacing w:after="0"/>
              <w:rPr>
                <w:sz w:val="20"/>
                <w:szCs w:val="20"/>
                <w:color w:val="auto"/>
              </w:rPr>
            </w:pPr>
            <w:r>
              <w:rPr>
                <w:rFonts w:ascii="Arial" w:cs="Arial" w:eastAsia="Arial" w:hAnsi="Arial"/>
                <w:sz w:val="22"/>
                <w:szCs w:val="22"/>
                <w:color w:val="auto"/>
                <w:w w:val="91"/>
              </w:rPr>
              <w:t>PTE. LTD</w:t>
            </w: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98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780" w:type="dxa"/>
            <w:vAlign w:val="bottom"/>
            <w:gridSpan w:val="2"/>
            <w:vMerge w:val="restart"/>
          </w:tcPr>
          <w:p>
            <w:pPr>
              <w:spacing w:after="0"/>
              <w:rPr>
                <w:sz w:val="20"/>
                <w:szCs w:val="20"/>
                <w:color w:val="auto"/>
              </w:rPr>
            </w:pPr>
            <w:r>
              <w:rPr>
                <w:rFonts w:ascii="Arial" w:cs="Arial" w:eastAsia="Arial" w:hAnsi="Arial"/>
                <w:sz w:val="22"/>
                <w:szCs w:val="22"/>
                <w:color w:val="auto"/>
              </w:rPr>
              <w:t>/s/ Helen</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Lo</w:t>
            </w:r>
          </w:p>
        </w:tc>
        <w:tc>
          <w:tcPr>
            <w:tcW w:w="780" w:type="dxa"/>
            <w:vAlign w:val="bottom"/>
            <w:tcBorders>
              <w:top w:val="single" w:sz="8" w:color="auto"/>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98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22"/>
                <w:szCs w:val="22"/>
                <w:color w:val="auto"/>
              </w:rPr>
              <w:t>Name: Helen Lo</w:t>
            </w: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698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22"/>
                <w:szCs w:val="22"/>
                <w:color w:val="auto"/>
              </w:rPr>
              <w:t>Title: Director, Manulife</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680" w:type="dxa"/>
            <w:vAlign w:val="bottom"/>
            <w:gridSpan w:val="3"/>
          </w:tcPr>
          <w:p>
            <w:pPr>
              <w:spacing w:after="0" w:line="243" w:lineRule="exact"/>
              <w:rPr>
                <w:sz w:val="20"/>
                <w:szCs w:val="20"/>
                <w:color w:val="auto"/>
              </w:rPr>
            </w:pPr>
            <w:r>
              <w:rPr>
                <w:rFonts w:ascii="Arial" w:cs="Arial" w:eastAsia="Arial" w:hAnsi="Arial"/>
                <w:sz w:val="22"/>
                <w:szCs w:val="22"/>
                <w:color w:val="auto"/>
              </w:rPr>
              <w:t>General Account</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680" w:type="dxa"/>
            <w:vAlign w:val="bottom"/>
            <w:gridSpan w:val="3"/>
          </w:tcPr>
          <w:p>
            <w:pPr>
              <w:spacing w:after="0" w:line="243" w:lineRule="exact"/>
              <w:rPr>
                <w:sz w:val="20"/>
                <w:szCs w:val="20"/>
                <w:color w:val="auto"/>
              </w:rPr>
            </w:pPr>
            <w:r>
              <w:rPr>
                <w:rFonts w:ascii="Arial" w:cs="Arial" w:eastAsia="Arial" w:hAnsi="Arial"/>
                <w:sz w:val="22"/>
                <w:szCs w:val="22"/>
                <w:color w:val="auto"/>
                <w:w w:val="93"/>
              </w:rPr>
              <w:t>Investments (Singapore) Pte.</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680" w:type="dxa"/>
            <w:vAlign w:val="bottom"/>
            <w:gridSpan w:val="3"/>
          </w:tcPr>
          <w:p>
            <w:pPr>
              <w:spacing w:after="0" w:line="243" w:lineRule="exact"/>
              <w:rPr>
                <w:sz w:val="20"/>
                <w:szCs w:val="20"/>
                <w:color w:val="auto"/>
              </w:rPr>
            </w:pPr>
            <w:r>
              <w:rPr>
                <w:rFonts w:ascii="Arial" w:cs="Arial" w:eastAsia="Arial" w:hAnsi="Arial"/>
                <w:sz w:val="22"/>
                <w:szCs w:val="22"/>
                <w:color w:val="auto"/>
              </w:rPr>
              <w:t>Ltd. as investment</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680" w:type="dxa"/>
            <w:vAlign w:val="bottom"/>
            <w:gridSpan w:val="3"/>
          </w:tcPr>
          <w:p>
            <w:pPr>
              <w:spacing w:after="0" w:line="243" w:lineRule="exact"/>
              <w:rPr>
                <w:sz w:val="20"/>
                <w:szCs w:val="20"/>
                <w:color w:val="auto"/>
              </w:rPr>
            </w:pPr>
            <w:r>
              <w:rPr>
                <w:rFonts w:ascii="Arial" w:cs="Arial" w:eastAsia="Arial" w:hAnsi="Arial"/>
                <w:sz w:val="22"/>
                <w:szCs w:val="22"/>
                <w:color w:val="auto"/>
              </w:rPr>
              <w:t>manager of Manulife</w:t>
            </w:r>
          </w:p>
        </w:tc>
        <w:tc>
          <w:tcPr>
            <w:tcW w:w="0" w:type="dxa"/>
            <w:vAlign w:val="bottom"/>
          </w:tcPr>
          <w:p>
            <w:pPr>
              <w:spacing w:after="0"/>
              <w:rPr>
                <w:sz w:val="1"/>
                <w:szCs w:val="1"/>
                <w:color w:val="auto"/>
              </w:rPr>
            </w:pPr>
          </w:p>
        </w:tc>
      </w:tr>
      <w:tr>
        <w:trPr>
          <w:trHeight w:val="274"/>
        </w:trPr>
        <w:tc>
          <w:tcPr>
            <w:tcW w:w="698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22"/>
                <w:szCs w:val="22"/>
                <w:color w:val="auto"/>
              </w:rPr>
              <w:t>(Singapore) Pte. Ltd.</w:t>
            </w:r>
          </w:p>
        </w:tc>
        <w:tc>
          <w:tcPr>
            <w:tcW w:w="0" w:type="dxa"/>
            <w:vAlign w:val="bottom"/>
          </w:tcPr>
          <w:p>
            <w:pPr>
              <w:spacing w:after="0"/>
              <w:rPr>
                <w:sz w:val="1"/>
                <w:szCs w:val="1"/>
                <w:color w:val="auto"/>
              </w:rPr>
            </w:pPr>
          </w:p>
        </w:tc>
      </w:tr>
    </w:tbl>
    <w:p>
      <w:pPr>
        <w:sectPr>
          <w:pgSz w:w="11900" w:h="16838" w:orient="portrait"/>
          <w:cols w:equalWidth="0" w:num="1">
            <w:col w:w="9660"/>
          </w:cols>
          <w:pgMar w:left="980" w:top="118" w:right="125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607060</wp:posOffset>
            </wp:positionH>
            <wp:positionV relativeFrom="page">
              <wp:posOffset>5802630</wp:posOffset>
            </wp:positionV>
            <wp:extent cx="6351905"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5"/>
        </w:trPr>
        <w:tc>
          <w:tcPr>
            <w:tcW w:w="698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0"/>
        </w:trPr>
        <w:tc>
          <w:tcPr>
            <w:tcW w:w="6980" w:type="dxa"/>
            <w:vAlign w:val="bottom"/>
          </w:tcPr>
          <w:p>
            <w:pPr>
              <w:spacing w:after="0"/>
              <w:rPr>
                <w:sz w:val="24"/>
                <w:szCs w:val="24"/>
                <w:color w:val="auto"/>
              </w:rPr>
            </w:pPr>
          </w:p>
        </w:tc>
        <w:tc>
          <w:tcPr>
            <w:tcW w:w="2820" w:type="dxa"/>
            <w:vAlign w:val="bottom"/>
            <w:gridSpan w:val="5"/>
          </w:tcPr>
          <w:p>
            <w:pPr>
              <w:spacing w:after="0"/>
              <w:rPr>
                <w:sz w:val="20"/>
                <w:szCs w:val="20"/>
                <w:color w:val="auto"/>
              </w:rPr>
            </w:pPr>
            <w:r>
              <w:rPr>
                <w:rFonts w:ascii="Arial" w:cs="Arial" w:eastAsia="Arial" w:hAnsi="Arial"/>
                <w:sz w:val="22"/>
                <w:szCs w:val="22"/>
                <w:color w:val="auto"/>
              </w:rPr>
              <w:t>MANULIFE INSURANCE</w:t>
            </w:r>
          </w:p>
        </w:tc>
        <w:tc>
          <w:tcPr>
            <w:tcW w:w="0" w:type="dxa"/>
            <w:vAlign w:val="bottom"/>
          </w:tcPr>
          <w:p>
            <w:pPr>
              <w:spacing w:after="0"/>
              <w:rPr>
                <w:sz w:val="1"/>
                <w:szCs w:val="1"/>
                <w:color w:val="auto"/>
              </w:rPr>
            </w:pPr>
          </w:p>
        </w:tc>
      </w:tr>
      <w:tr>
        <w:trPr>
          <w:trHeight w:val="274"/>
        </w:trPr>
        <w:tc>
          <w:tcPr>
            <w:tcW w:w="6980" w:type="dxa"/>
            <w:vAlign w:val="bottom"/>
            <w:vMerge w:val="restart"/>
          </w:tcPr>
          <w:p>
            <w:pPr>
              <w:spacing w:after="0"/>
              <w:rPr>
                <w:sz w:val="23"/>
                <w:szCs w:val="23"/>
                <w:color w:val="auto"/>
              </w:rPr>
            </w:pPr>
          </w:p>
        </w:tc>
        <w:tc>
          <w:tcPr>
            <w:tcW w:w="2820" w:type="dxa"/>
            <w:vAlign w:val="bottom"/>
            <w:gridSpan w:val="5"/>
          </w:tcPr>
          <w:p>
            <w:pPr>
              <w:spacing w:after="0"/>
              <w:rPr>
                <w:sz w:val="20"/>
                <w:szCs w:val="20"/>
                <w:color w:val="auto"/>
              </w:rPr>
            </w:pPr>
            <w:r>
              <w:rPr>
                <w:rFonts w:ascii="Arial" w:cs="Arial" w:eastAsia="Arial" w:hAnsi="Arial"/>
                <w:sz w:val="22"/>
                <w:szCs w:val="22"/>
                <w:color w:val="auto"/>
              </w:rPr>
              <w:t>LABUAN LIMITED</w:t>
            </w:r>
          </w:p>
        </w:tc>
        <w:tc>
          <w:tcPr>
            <w:tcW w:w="0" w:type="dxa"/>
            <w:vAlign w:val="bottom"/>
          </w:tcPr>
          <w:p>
            <w:pPr>
              <w:spacing w:after="0"/>
              <w:rPr>
                <w:sz w:val="1"/>
                <w:szCs w:val="1"/>
                <w:color w:val="auto"/>
              </w:rPr>
            </w:pPr>
          </w:p>
        </w:tc>
      </w:tr>
      <w:tr>
        <w:trPr>
          <w:trHeight w:val="238"/>
        </w:trPr>
        <w:tc>
          <w:tcPr>
            <w:tcW w:w="698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74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080" w:type="dxa"/>
            <w:vAlign w:val="bottom"/>
            <w:gridSpan w:val="4"/>
            <w:vMerge w:val="restart"/>
          </w:tcPr>
          <w:p>
            <w:pPr>
              <w:ind w:left="160"/>
              <w:spacing w:after="0"/>
              <w:rPr>
                <w:sz w:val="20"/>
                <w:szCs w:val="20"/>
                <w:color w:val="auto"/>
              </w:rPr>
            </w:pPr>
            <w:r>
              <w:rPr>
                <w:rFonts w:ascii="Arial" w:cs="Arial" w:eastAsia="Arial" w:hAnsi="Arial"/>
                <w:sz w:val="22"/>
                <w:szCs w:val="22"/>
                <w:color w:val="auto"/>
              </w:rPr>
              <w:t>/s/ Helen</w:t>
            </w:r>
          </w:p>
        </w:tc>
        <w:tc>
          <w:tcPr>
            <w:tcW w:w="0" w:type="dxa"/>
            <w:vAlign w:val="bottom"/>
          </w:tcPr>
          <w:p>
            <w:pPr>
              <w:spacing w:after="0"/>
              <w:rPr>
                <w:sz w:val="1"/>
                <w:szCs w:val="1"/>
                <w:color w:val="auto"/>
              </w:rPr>
            </w:pPr>
          </w:p>
        </w:tc>
      </w:tr>
      <w:tr>
        <w:trPr>
          <w:trHeight w:val="211"/>
        </w:trPr>
        <w:tc>
          <w:tcPr>
            <w:tcW w:w="69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74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Lo</w:t>
            </w:r>
          </w:p>
        </w:tc>
        <w:tc>
          <w:tcPr>
            <w:tcW w:w="16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2820" w:type="dxa"/>
            <w:vAlign w:val="bottom"/>
            <w:gridSpan w:val="5"/>
          </w:tcPr>
          <w:p>
            <w:pPr>
              <w:spacing w:after="0"/>
              <w:rPr>
                <w:sz w:val="20"/>
                <w:szCs w:val="20"/>
                <w:color w:val="auto"/>
              </w:rPr>
            </w:pPr>
            <w:r>
              <w:rPr>
                <w:rFonts w:ascii="Arial" w:cs="Arial" w:eastAsia="Arial" w:hAnsi="Arial"/>
                <w:sz w:val="22"/>
                <w:szCs w:val="22"/>
                <w:color w:val="auto"/>
              </w:rPr>
              <w:t>Name: Helen Lo</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820" w:type="dxa"/>
            <w:vAlign w:val="bottom"/>
            <w:gridSpan w:val="5"/>
          </w:tcPr>
          <w:p>
            <w:pPr>
              <w:spacing w:after="0" w:line="243" w:lineRule="exact"/>
              <w:rPr>
                <w:sz w:val="20"/>
                <w:szCs w:val="20"/>
                <w:color w:val="auto"/>
              </w:rPr>
            </w:pPr>
            <w:r>
              <w:rPr>
                <w:rFonts w:ascii="Arial" w:cs="Arial" w:eastAsia="Arial" w:hAnsi="Arial"/>
                <w:sz w:val="22"/>
                <w:szCs w:val="22"/>
                <w:color w:val="auto"/>
              </w:rPr>
              <w:t>Title: Director, Manulife</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820" w:type="dxa"/>
            <w:vAlign w:val="bottom"/>
            <w:gridSpan w:val="5"/>
          </w:tcPr>
          <w:p>
            <w:pPr>
              <w:spacing w:after="0" w:line="243" w:lineRule="exact"/>
              <w:rPr>
                <w:sz w:val="20"/>
                <w:szCs w:val="20"/>
                <w:color w:val="auto"/>
              </w:rPr>
            </w:pPr>
            <w:r>
              <w:rPr>
                <w:rFonts w:ascii="Arial" w:cs="Arial" w:eastAsia="Arial" w:hAnsi="Arial"/>
                <w:sz w:val="22"/>
                <w:szCs w:val="22"/>
                <w:color w:val="auto"/>
              </w:rPr>
              <w:t>General Account</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820" w:type="dxa"/>
            <w:vAlign w:val="bottom"/>
            <w:gridSpan w:val="5"/>
          </w:tcPr>
          <w:p>
            <w:pPr>
              <w:spacing w:after="0" w:line="243" w:lineRule="exact"/>
              <w:rPr>
                <w:sz w:val="20"/>
                <w:szCs w:val="20"/>
                <w:color w:val="auto"/>
              </w:rPr>
            </w:pPr>
            <w:r>
              <w:rPr>
                <w:rFonts w:ascii="Arial" w:cs="Arial" w:eastAsia="Arial" w:hAnsi="Arial"/>
                <w:sz w:val="22"/>
                <w:szCs w:val="22"/>
                <w:color w:val="auto"/>
                <w:w w:val="98"/>
              </w:rPr>
              <w:t>Investments (Singapore) Pte.</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740" w:type="dxa"/>
            <w:vAlign w:val="bottom"/>
          </w:tcPr>
          <w:p>
            <w:pPr>
              <w:spacing w:after="0" w:line="243" w:lineRule="exact"/>
              <w:rPr>
                <w:sz w:val="20"/>
                <w:szCs w:val="20"/>
                <w:color w:val="auto"/>
              </w:rPr>
            </w:pPr>
            <w:r>
              <w:rPr>
                <w:rFonts w:ascii="Arial" w:cs="Arial" w:eastAsia="Arial" w:hAnsi="Arial"/>
                <w:sz w:val="22"/>
                <w:szCs w:val="22"/>
                <w:color w:val="auto"/>
              </w:rPr>
              <w:t>Ltd. as</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980" w:type="dxa"/>
            <w:vAlign w:val="bottom"/>
          </w:tcPr>
          <w:p>
            <w:pPr>
              <w:spacing w:after="0"/>
              <w:rPr>
                <w:sz w:val="22"/>
                <w:szCs w:val="22"/>
                <w:color w:val="auto"/>
              </w:rPr>
            </w:pPr>
          </w:p>
        </w:tc>
        <w:tc>
          <w:tcPr>
            <w:tcW w:w="2820" w:type="dxa"/>
            <w:vAlign w:val="bottom"/>
            <w:gridSpan w:val="5"/>
          </w:tcPr>
          <w:p>
            <w:pPr>
              <w:spacing w:after="0"/>
              <w:rPr>
                <w:sz w:val="20"/>
                <w:szCs w:val="20"/>
                <w:color w:val="auto"/>
              </w:rPr>
            </w:pPr>
            <w:r>
              <w:rPr>
                <w:rFonts w:ascii="Arial" w:cs="Arial" w:eastAsia="Arial" w:hAnsi="Arial"/>
                <w:sz w:val="22"/>
                <w:szCs w:val="22"/>
                <w:color w:val="auto"/>
                <w:w w:val="89"/>
              </w:rPr>
              <w:t>investment manager of Manulife</w:t>
            </w:r>
          </w:p>
        </w:tc>
        <w:tc>
          <w:tcPr>
            <w:tcW w:w="0" w:type="dxa"/>
            <w:vAlign w:val="bottom"/>
          </w:tcPr>
          <w:p>
            <w:pPr>
              <w:spacing w:after="0"/>
              <w:rPr>
                <w:sz w:val="1"/>
                <w:szCs w:val="1"/>
                <w:color w:val="auto"/>
              </w:rPr>
            </w:pPr>
          </w:p>
        </w:tc>
      </w:tr>
    </w:tbl>
    <w:p>
      <w:pPr>
        <w:ind w:left="6980"/>
        <w:spacing w:after="0" w:line="230" w:lineRule="auto"/>
        <w:rPr>
          <w:sz w:val="20"/>
          <w:szCs w:val="20"/>
          <w:color w:val="auto"/>
        </w:rPr>
      </w:pPr>
      <w:r>
        <w:rPr>
          <w:rFonts w:ascii="Arial" w:cs="Arial" w:eastAsia="Arial" w:hAnsi="Arial"/>
          <w:sz w:val="22"/>
          <w:szCs w:val="22"/>
          <w:color w:val="auto"/>
        </w:rPr>
        <w:t>Insurance</w:t>
      </w:r>
    </w:p>
    <w:p>
      <w:pPr>
        <w:ind w:left="6980"/>
        <w:spacing w:after="0" w:line="231" w:lineRule="auto"/>
        <w:rPr>
          <w:sz w:val="20"/>
          <w:szCs w:val="20"/>
          <w:color w:val="auto"/>
        </w:rPr>
      </w:pPr>
      <w:r>
        <w:rPr>
          <w:rFonts w:ascii="Arial" w:cs="Arial" w:eastAsia="Arial" w:hAnsi="Arial"/>
          <w:sz w:val="22"/>
          <w:szCs w:val="22"/>
          <w:color w:val="auto"/>
        </w:rPr>
        <w:t>Labuan Limited</w:t>
      </w:r>
    </w:p>
    <w:p>
      <w:pPr>
        <w:sectPr>
          <w:pgSz w:w="11900" w:h="16838" w:orient="portrait"/>
          <w:cols w:equalWidth="0" w:num="1">
            <w:col w:w="9800"/>
          </w:cols>
          <w:pgMar w:left="980" w:top="118" w:right="111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607060</wp:posOffset>
            </wp:positionH>
            <wp:positionV relativeFrom="page">
              <wp:posOffset>5459730</wp:posOffset>
            </wp:positionV>
            <wp:extent cx="6351905" cy="508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351905" cy="50800"/>
                    </a:xfrm>
                    <a:prstGeom prst="rect">
                      <a:avLst/>
                    </a:prstGeom>
                    <a:noFill/>
                  </pic:spPr>
                </pic:pic>
              </a:graphicData>
            </a:graphic>
          </wp:anchor>
        </w:drawing>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22"/>
                <w:szCs w:val="22"/>
                <w:color w:val="auto"/>
              </w:rPr>
              <w:t>JOHN HANCOCK LIFE</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740" w:type="dxa"/>
            <w:vAlign w:val="bottom"/>
            <w:gridSpan w:val="4"/>
          </w:tcPr>
          <w:p>
            <w:pPr>
              <w:spacing w:after="0" w:line="243" w:lineRule="exact"/>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74"/>
        </w:trPr>
        <w:tc>
          <w:tcPr>
            <w:tcW w:w="6860" w:type="dxa"/>
            <w:vAlign w:val="bottom"/>
            <w:vMerge w:val="restart"/>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(U.S.A.)</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920" w:type="dxa"/>
            <w:vAlign w:val="bottom"/>
            <w:gridSpan w:val="3"/>
            <w:vMerge w:val="restart"/>
          </w:tcPr>
          <w:p>
            <w:pPr>
              <w:ind w:left="80"/>
              <w:spacing w:after="0"/>
              <w:rPr>
                <w:sz w:val="20"/>
                <w:szCs w:val="20"/>
                <w:color w:val="auto"/>
              </w:rPr>
            </w:pPr>
            <w:r>
              <w:rPr>
                <w:rFonts w:ascii="Arial" w:cs="Arial" w:eastAsia="Arial" w:hAnsi="Arial"/>
                <w:sz w:val="22"/>
                <w:szCs w:val="22"/>
                <w:color w:val="auto"/>
              </w:rPr>
              <w:t>/s/ Mariana</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Primera</w:t>
            </w:r>
          </w:p>
        </w:tc>
        <w:tc>
          <w:tcPr>
            <w:tcW w:w="8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Arial" w:cs="Arial" w:eastAsia="Arial" w:hAnsi="Arial"/>
                <w:sz w:val="22"/>
                <w:szCs w:val="22"/>
                <w:color w:val="auto"/>
              </w:rPr>
              <w:t>Name: Mariana Primera</w:t>
            </w:r>
          </w:p>
        </w:tc>
        <w:tc>
          <w:tcPr>
            <w:tcW w:w="0" w:type="dxa"/>
            <w:vAlign w:val="bottom"/>
          </w:tcPr>
          <w:p>
            <w:pPr>
              <w:spacing w:after="0"/>
              <w:rPr>
                <w:sz w:val="1"/>
                <w:szCs w:val="1"/>
                <w:color w:val="auto"/>
              </w:rPr>
            </w:pPr>
          </w:p>
        </w:tc>
      </w:tr>
      <w:tr>
        <w:trPr>
          <w:trHeight w:val="274"/>
        </w:trPr>
        <w:tc>
          <w:tcPr>
            <w:tcW w:w="686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Arial" w:cs="Arial" w:eastAsia="Arial" w:hAnsi="Arial"/>
                <w:sz w:val="22"/>
                <w:szCs w:val="22"/>
                <w:color w:val="auto"/>
                <w:w w:val="93"/>
              </w:rPr>
              <w:t>Title: Assistant Vice President</w:t>
            </w:r>
          </w:p>
        </w:tc>
        <w:tc>
          <w:tcPr>
            <w:tcW w:w="0" w:type="dxa"/>
            <w:vAlign w:val="bottom"/>
          </w:tcPr>
          <w:p>
            <w:pPr>
              <w:spacing w:after="0"/>
              <w:rPr>
                <w:sz w:val="1"/>
                <w:szCs w:val="1"/>
                <w:color w:val="auto"/>
              </w:rPr>
            </w:pPr>
          </w:p>
        </w:tc>
      </w:tr>
      <w:tr>
        <w:trPr>
          <w:trHeight w:val="252"/>
        </w:trPr>
        <w:tc>
          <w:tcPr>
            <w:tcW w:w="6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980" w:top="118" w:right="119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607060</wp:posOffset>
            </wp:positionH>
            <wp:positionV relativeFrom="page">
              <wp:posOffset>5897245</wp:posOffset>
            </wp:positionV>
            <wp:extent cx="635190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351905" cy="51435"/>
                    </a:xfrm>
                    <a:prstGeom prst="rect">
                      <a:avLst/>
                    </a:prstGeom>
                    <a:noFill/>
                  </pic:spPr>
                </pic:pic>
              </a:graphicData>
            </a:graphic>
          </wp:anchor>
        </w:drawing>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780" w:type="dxa"/>
            <w:vAlign w:val="bottom"/>
          </w:tcPr>
          <w:p>
            <w:pPr>
              <w:spacing w:after="0"/>
              <w:rPr>
                <w:sz w:val="21"/>
                <w:szCs w:val="21"/>
                <w:color w:val="auto"/>
              </w:rPr>
            </w:pPr>
          </w:p>
        </w:tc>
        <w:tc>
          <w:tcPr>
            <w:tcW w:w="2900" w:type="dxa"/>
            <w:vAlign w:val="bottom"/>
            <w:gridSpan w:val="4"/>
          </w:tcPr>
          <w:p>
            <w:pPr>
              <w:spacing w:after="0"/>
              <w:rPr>
                <w:sz w:val="20"/>
                <w:szCs w:val="20"/>
                <w:color w:val="auto"/>
              </w:rPr>
            </w:pPr>
            <w:r>
              <w:rPr>
                <w:rFonts w:ascii="Arial" w:cs="Arial" w:eastAsia="Arial" w:hAnsi="Arial"/>
                <w:sz w:val="22"/>
                <w:szCs w:val="22"/>
                <w:color w:val="auto"/>
                <w:w w:val="94"/>
              </w:rPr>
              <w:t>PRINCIPAL LIFE INSURANCE</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2900" w:type="dxa"/>
            <w:vAlign w:val="bottom"/>
            <w:gridSpan w:val="4"/>
          </w:tcPr>
          <w:p>
            <w:pPr>
              <w:spacing w:after="0" w:line="243" w:lineRule="exact"/>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2900" w:type="dxa"/>
            <w:vAlign w:val="bottom"/>
            <w:gridSpan w:val="4"/>
          </w:tcPr>
          <w:p>
            <w:pPr>
              <w:spacing w:after="0" w:line="243" w:lineRule="exact"/>
              <w:rPr>
                <w:sz w:val="20"/>
                <w:szCs w:val="20"/>
                <w:color w:val="auto"/>
              </w:rPr>
            </w:pPr>
            <w:r>
              <w:rPr>
                <w:rFonts w:ascii="Arial" w:cs="Arial" w:eastAsia="Arial" w:hAnsi="Arial"/>
                <w:sz w:val="22"/>
                <w:szCs w:val="22"/>
                <w:color w:val="auto"/>
              </w:rPr>
              <w:t>BY: PRINCIPAL GLOBAL</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2900" w:type="dxa"/>
            <w:vAlign w:val="bottom"/>
            <w:gridSpan w:val="4"/>
          </w:tcPr>
          <w:p>
            <w:pPr>
              <w:spacing w:after="0" w:line="243" w:lineRule="exact"/>
              <w:rPr>
                <w:sz w:val="20"/>
                <w:szCs w:val="20"/>
                <w:color w:val="auto"/>
              </w:rPr>
            </w:pPr>
            <w:r>
              <w:rPr>
                <w:rFonts w:ascii="Arial" w:cs="Arial" w:eastAsia="Arial" w:hAnsi="Arial"/>
                <w:sz w:val="22"/>
                <w:szCs w:val="22"/>
                <w:color w:val="auto"/>
              </w:rPr>
              <w:t>INVESTORS, LLC, A</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2900" w:type="dxa"/>
            <w:vAlign w:val="bottom"/>
            <w:gridSpan w:val="4"/>
          </w:tcPr>
          <w:p>
            <w:pPr>
              <w:spacing w:after="0" w:line="243" w:lineRule="exact"/>
              <w:rPr>
                <w:sz w:val="20"/>
                <w:szCs w:val="20"/>
                <w:color w:val="auto"/>
              </w:rPr>
            </w:pPr>
            <w:r>
              <w:rPr>
                <w:rFonts w:ascii="Arial" w:cs="Arial" w:eastAsia="Arial" w:hAnsi="Arial"/>
                <w:sz w:val="22"/>
                <w:szCs w:val="22"/>
                <w:color w:val="auto"/>
              </w:rPr>
              <w:t>DELAWARE LIMITED</w:t>
            </w: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2900" w:type="dxa"/>
            <w:vAlign w:val="bottom"/>
            <w:gridSpan w:val="4"/>
          </w:tcPr>
          <w:p>
            <w:pPr>
              <w:spacing w:after="0" w:line="243" w:lineRule="exact"/>
              <w:rPr>
                <w:sz w:val="20"/>
                <w:szCs w:val="20"/>
                <w:color w:val="auto"/>
              </w:rPr>
            </w:pPr>
            <w:r>
              <w:rPr>
                <w:rFonts w:ascii="Arial" w:cs="Arial" w:eastAsia="Arial" w:hAnsi="Arial"/>
                <w:sz w:val="22"/>
                <w:szCs w:val="22"/>
                <w:color w:val="auto"/>
              </w:rPr>
              <w:t>LIABILITY COMPANY, ITS</w:t>
            </w:r>
          </w:p>
        </w:tc>
        <w:tc>
          <w:tcPr>
            <w:tcW w:w="0" w:type="dxa"/>
            <w:vAlign w:val="bottom"/>
          </w:tcPr>
          <w:p>
            <w:pPr>
              <w:spacing w:after="0"/>
              <w:rPr>
                <w:sz w:val="1"/>
                <w:szCs w:val="1"/>
                <w:color w:val="auto"/>
              </w:rPr>
            </w:pPr>
          </w:p>
        </w:tc>
      </w:tr>
      <w:tr>
        <w:trPr>
          <w:trHeight w:val="274"/>
        </w:trPr>
        <w:tc>
          <w:tcPr>
            <w:tcW w:w="6780" w:type="dxa"/>
            <w:vAlign w:val="bottom"/>
            <w:vMerge w:val="restart"/>
          </w:tcPr>
          <w:p>
            <w:pPr>
              <w:spacing w:after="0"/>
              <w:rPr>
                <w:sz w:val="23"/>
                <w:szCs w:val="23"/>
                <w:color w:val="auto"/>
              </w:rPr>
            </w:pPr>
          </w:p>
        </w:tc>
        <w:tc>
          <w:tcPr>
            <w:tcW w:w="2900" w:type="dxa"/>
            <w:vAlign w:val="bottom"/>
            <w:gridSpan w:val="4"/>
          </w:tcPr>
          <w:p>
            <w:pPr>
              <w:spacing w:after="0"/>
              <w:rPr>
                <w:sz w:val="20"/>
                <w:szCs w:val="20"/>
                <w:color w:val="auto"/>
              </w:rPr>
            </w:pPr>
            <w:r>
              <w:rPr>
                <w:rFonts w:ascii="Arial" w:cs="Arial" w:eastAsia="Arial" w:hAnsi="Arial"/>
                <w:sz w:val="22"/>
                <w:szCs w:val="22"/>
                <w:color w:val="auto"/>
              </w:rPr>
              <w:t>AUTHORIZED SIGNATORY</w:t>
            </w:r>
          </w:p>
        </w:tc>
        <w:tc>
          <w:tcPr>
            <w:tcW w:w="0" w:type="dxa"/>
            <w:vAlign w:val="bottom"/>
          </w:tcPr>
          <w:p>
            <w:pPr>
              <w:spacing w:after="0"/>
              <w:rPr>
                <w:sz w:val="1"/>
                <w:szCs w:val="1"/>
                <w:color w:val="auto"/>
              </w:rPr>
            </w:pPr>
          </w:p>
        </w:tc>
      </w:tr>
      <w:tr>
        <w:trPr>
          <w:trHeight w:val="238"/>
        </w:trPr>
        <w:tc>
          <w:tcPr>
            <w:tcW w:w="678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88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020" w:type="dxa"/>
            <w:vAlign w:val="bottom"/>
            <w:gridSpan w:val="3"/>
            <w:vMerge w:val="restart"/>
          </w:tcPr>
          <w:p>
            <w:pPr>
              <w:ind w:left="20"/>
              <w:spacing w:after="0"/>
              <w:rPr>
                <w:sz w:val="20"/>
                <w:szCs w:val="20"/>
                <w:color w:val="auto"/>
              </w:rPr>
            </w:pPr>
            <w:r>
              <w:rPr>
                <w:rFonts w:ascii="Arial" w:cs="Arial" w:eastAsia="Arial" w:hAnsi="Arial"/>
                <w:sz w:val="22"/>
                <w:szCs w:val="22"/>
                <w:color w:val="auto"/>
              </w:rPr>
              <w:t>/s/ Karl</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8"/>
              </w:rPr>
              <w:t>Goodman</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780" w:type="dxa"/>
            <w:vAlign w:val="bottom"/>
          </w:tcPr>
          <w:p>
            <w:pPr>
              <w:spacing w:after="0"/>
              <w:rPr>
                <w:sz w:val="22"/>
                <w:szCs w:val="22"/>
                <w:color w:val="auto"/>
              </w:rPr>
            </w:pPr>
          </w:p>
        </w:tc>
        <w:tc>
          <w:tcPr>
            <w:tcW w:w="2900" w:type="dxa"/>
            <w:vAlign w:val="bottom"/>
            <w:gridSpan w:val="4"/>
          </w:tcPr>
          <w:p>
            <w:pPr>
              <w:spacing w:after="0"/>
              <w:rPr>
                <w:sz w:val="20"/>
                <w:szCs w:val="20"/>
                <w:color w:val="auto"/>
              </w:rPr>
            </w:pPr>
            <w:r>
              <w:rPr>
                <w:rFonts w:ascii="Arial" w:cs="Arial" w:eastAsia="Arial" w:hAnsi="Arial"/>
                <w:sz w:val="22"/>
                <w:szCs w:val="22"/>
                <w:color w:val="auto"/>
              </w:rPr>
              <w:t>Name: Karl Goodman</w:t>
            </w:r>
          </w:p>
        </w:tc>
        <w:tc>
          <w:tcPr>
            <w:tcW w:w="0" w:type="dxa"/>
            <w:vAlign w:val="bottom"/>
          </w:tcPr>
          <w:p>
            <w:pPr>
              <w:spacing w:after="0"/>
              <w:rPr>
                <w:sz w:val="1"/>
                <w:szCs w:val="1"/>
                <w:color w:val="auto"/>
              </w:rPr>
            </w:pPr>
          </w:p>
        </w:tc>
      </w:tr>
      <w:tr>
        <w:trPr>
          <w:trHeight w:val="274"/>
        </w:trPr>
        <w:tc>
          <w:tcPr>
            <w:tcW w:w="6780" w:type="dxa"/>
            <w:vAlign w:val="bottom"/>
          </w:tcPr>
          <w:p>
            <w:pPr>
              <w:spacing w:after="0"/>
              <w:rPr>
                <w:sz w:val="23"/>
                <w:szCs w:val="23"/>
                <w:color w:val="auto"/>
              </w:rPr>
            </w:pPr>
          </w:p>
        </w:tc>
        <w:tc>
          <w:tcPr>
            <w:tcW w:w="2900" w:type="dxa"/>
            <w:vAlign w:val="bottom"/>
            <w:gridSpan w:val="4"/>
          </w:tcPr>
          <w:p>
            <w:pPr>
              <w:spacing w:after="0"/>
              <w:rPr>
                <w:sz w:val="20"/>
                <w:szCs w:val="20"/>
                <w:color w:val="auto"/>
              </w:rPr>
            </w:pPr>
            <w:r>
              <w:rPr>
                <w:rFonts w:ascii="Arial" w:cs="Arial" w:eastAsia="Arial" w:hAnsi="Arial"/>
                <w:sz w:val="22"/>
                <w:szCs w:val="22"/>
                <w:color w:val="auto"/>
              </w:rPr>
              <w:t>Title: Counsel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678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Arial" w:cs="Arial" w:eastAsia="Arial" w:hAnsi="Arial"/>
                <w:sz w:val="22"/>
                <w:szCs w:val="22"/>
                <w:color w:val="auto"/>
              </w:rPr>
              <w:t>By</w:t>
            </w:r>
          </w:p>
        </w:tc>
        <w:tc>
          <w:tcPr>
            <w:tcW w:w="1560" w:type="dxa"/>
            <w:vAlign w:val="bottom"/>
            <w:gridSpan w:val="3"/>
          </w:tcPr>
          <w:p>
            <w:pPr>
              <w:ind w:left="40"/>
              <w:spacing w:after="0"/>
              <w:rPr>
                <w:sz w:val="20"/>
                <w:szCs w:val="20"/>
                <w:color w:val="auto"/>
              </w:rPr>
            </w:pPr>
            <w:r>
              <w:rPr>
                <w:rFonts w:ascii="Arial" w:cs="Arial" w:eastAsia="Arial" w:hAnsi="Arial"/>
                <w:sz w:val="22"/>
                <w:szCs w:val="22"/>
                <w:color w:val="auto"/>
              </w:rPr>
              <w:t>/s/ Charles</w:t>
            </w:r>
          </w:p>
        </w:tc>
      </w:tr>
      <w:tr>
        <w:trPr>
          <w:trHeight w:val="223"/>
        </w:trPr>
        <w:tc>
          <w:tcPr>
            <w:tcW w:w="6780" w:type="dxa"/>
            <w:vAlign w:val="bottom"/>
          </w:tcPr>
          <w:p>
            <w:pPr>
              <w:spacing w:after="0"/>
              <w:rPr>
                <w:sz w:val="19"/>
                <w:szCs w:val="19"/>
                <w:color w:val="auto"/>
              </w:rPr>
            </w:pPr>
          </w:p>
        </w:tc>
        <w:tc>
          <w:tcPr>
            <w:tcW w:w="9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0"/>
              </w:rPr>
              <w:t>Schneider</w:t>
            </w:r>
          </w:p>
        </w:tc>
        <w:tc>
          <w:tcPr>
            <w:tcW w:w="4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56"/>
        </w:trPr>
        <w:tc>
          <w:tcPr>
            <w:tcW w:w="6780" w:type="dxa"/>
            <w:vAlign w:val="bottom"/>
          </w:tcPr>
          <w:p>
            <w:pPr>
              <w:spacing w:after="0"/>
              <w:rPr>
                <w:sz w:val="22"/>
                <w:szCs w:val="22"/>
                <w:color w:val="auto"/>
              </w:rPr>
            </w:pPr>
          </w:p>
        </w:tc>
        <w:tc>
          <w:tcPr>
            <w:tcW w:w="2480" w:type="dxa"/>
            <w:vAlign w:val="bottom"/>
            <w:gridSpan w:val="4"/>
          </w:tcPr>
          <w:p>
            <w:pPr>
              <w:spacing w:after="0"/>
              <w:rPr>
                <w:sz w:val="20"/>
                <w:szCs w:val="20"/>
                <w:color w:val="auto"/>
              </w:rPr>
            </w:pPr>
            <w:r>
              <w:rPr>
                <w:rFonts w:ascii="Arial" w:cs="Arial" w:eastAsia="Arial" w:hAnsi="Arial"/>
                <w:sz w:val="22"/>
                <w:szCs w:val="22"/>
                <w:color w:val="auto"/>
                <w:w w:val="97"/>
              </w:rPr>
              <w:t>Name: Charles Schneider</w:t>
            </w:r>
          </w:p>
        </w:tc>
      </w:tr>
      <w:tr>
        <w:trPr>
          <w:trHeight w:val="274"/>
        </w:trPr>
        <w:tc>
          <w:tcPr>
            <w:tcW w:w="678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22"/>
                <w:szCs w:val="22"/>
                <w:color w:val="auto"/>
              </w:rPr>
              <w:t>Title: Counsel</w:t>
            </w:r>
          </w:p>
        </w:tc>
      </w:tr>
    </w:tbl>
    <w:p>
      <w:pPr>
        <w:sectPr>
          <w:pgSz w:w="11900" w:h="16838" w:orient="portrait"/>
          <w:cols w:equalWidth="0" w:num="1">
            <w:col w:w="9800"/>
          </w:cols>
          <w:pgMar w:left="980" w:top="118" w:right="111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880" w:type="dxa"/>
            <w:vAlign w:val="bottom"/>
          </w:tcPr>
          <w:p>
            <w:pPr>
              <w:spacing w:after="0"/>
              <w:rPr>
                <w:sz w:val="21"/>
                <w:szCs w:val="21"/>
                <w:color w:val="auto"/>
              </w:rPr>
            </w:pPr>
          </w:p>
        </w:tc>
        <w:tc>
          <w:tcPr>
            <w:tcW w:w="2620" w:type="dxa"/>
            <w:vAlign w:val="bottom"/>
            <w:gridSpan w:val="4"/>
          </w:tcPr>
          <w:p>
            <w:pPr>
              <w:spacing w:after="0"/>
              <w:rPr>
                <w:sz w:val="20"/>
                <w:szCs w:val="20"/>
                <w:color w:val="auto"/>
              </w:rPr>
            </w:pPr>
            <w:r>
              <w:rPr>
                <w:rFonts w:ascii="Arial" w:cs="Arial" w:eastAsia="Arial" w:hAnsi="Arial"/>
                <w:sz w:val="22"/>
                <w:szCs w:val="22"/>
                <w:color w:val="auto"/>
              </w:rPr>
              <w:t>NEW YORK LIFE</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1"/>
                <w:szCs w:val="21"/>
                <w:color w:val="auto"/>
              </w:rPr>
            </w:pPr>
          </w:p>
        </w:tc>
        <w:tc>
          <w:tcPr>
            <w:tcW w:w="2620" w:type="dxa"/>
            <w:vAlign w:val="bottom"/>
            <w:gridSpan w:val="4"/>
          </w:tcPr>
          <w:p>
            <w:pPr>
              <w:spacing w:after="0" w:line="243" w:lineRule="exact"/>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1"/>
                <w:szCs w:val="21"/>
                <w:color w:val="auto"/>
              </w:rPr>
            </w:pPr>
          </w:p>
        </w:tc>
        <w:tc>
          <w:tcPr>
            <w:tcW w:w="2620" w:type="dxa"/>
            <w:vAlign w:val="bottom"/>
            <w:gridSpan w:val="4"/>
          </w:tcPr>
          <w:p>
            <w:pPr>
              <w:spacing w:after="0" w:line="243" w:lineRule="exact"/>
              <w:rPr>
                <w:sz w:val="20"/>
                <w:szCs w:val="20"/>
                <w:color w:val="auto"/>
              </w:rPr>
            </w:pPr>
            <w:r>
              <w:rPr>
                <w:rFonts w:ascii="Arial" w:cs="Arial" w:eastAsia="Arial" w:hAnsi="Arial"/>
                <w:sz w:val="22"/>
                <w:szCs w:val="22"/>
                <w:color w:val="auto"/>
                <w:w w:val="96"/>
              </w:rPr>
              <w:t>BY: NYL INVESTORS LLC,</w:t>
            </w:r>
          </w:p>
        </w:tc>
        <w:tc>
          <w:tcPr>
            <w:tcW w:w="0" w:type="dxa"/>
            <w:vAlign w:val="bottom"/>
          </w:tcPr>
          <w:p>
            <w:pPr>
              <w:spacing w:after="0"/>
              <w:rPr>
                <w:sz w:val="1"/>
                <w:szCs w:val="1"/>
                <w:color w:val="auto"/>
              </w:rPr>
            </w:pPr>
          </w:p>
        </w:tc>
      </w:tr>
      <w:tr>
        <w:trPr>
          <w:trHeight w:val="243"/>
        </w:trPr>
        <w:tc>
          <w:tcPr>
            <w:tcW w:w="6880" w:type="dxa"/>
            <w:vAlign w:val="bottom"/>
          </w:tcPr>
          <w:p>
            <w:pPr>
              <w:spacing w:after="0"/>
              <w:rPr>
                <w:sz w:val="21"/>
                <w:szCs w:val="21"/>
                <w:color w:val="auto"/>
              </w:rPr>
            </w:pPr>
          </w:p>
        </w:tc>
        <w:tc>
          <w:tcPr>
            <w:tcW w:w="2620" w:type="dxa"/>
            <w:vAlign w:val="bottom"/>
            <w:gridSpan w:val="4"/>
          </w:tcPr>
          <w:p>
            <w:pPr>
              <w:spacing w:after="0" w:line="243" w:lineRule="exact"/>
              <w:rPr>
                <w:sz w:val="20"/>
                <w:szCs w:val="20"/>
                <w:color w:val="auto"/>
              </w:rPr>
            </w:pPr>
            <w:r>
              <w:rPr>
                <w:rFonts w:ascii="Arial" w:cs="Arial" w:eastAsia="Arial" w:hAnsi="Arial"/>
                <w:sz w:val="22"/>
                <w:szCs w:val="22"/>
                <w:color w:val="auto"/>
              </w:rPr>
              <w:t>ITS INVESTMENT</w:t>
            </w:r>
          </w:p>
        </w:tc>
        <w:tc>
          <w:tcPr>
            <w:tcW w:w="0" w:type="dxa"/>
            <w:vAlign w:val="bottom"/>
          </w:tcPr>
          <w:p>
            <w:pPr>
              <w:spacing w:after="0"/>
              <w:rPr>
                <w:sz w:val="1"/>
                <w:szCs w:val="1"/>
                <w:color w:val="auto"/>
              </w:rPr>
            </w:pPr>
          </w:p>
        </w:tc>
      </w:tr>
      <w:tr>
        <w:trPr>
          <w:trHeight w:val="274"/>
        </w:trPr>
        <w:tc>
          <w:tcPr>
            <w:tcW w:w="6880" w:type="dxa"/>
            <w:vAlign w:val="bottom"/>
            <w:vMerge w:val="restart"/>
          </w:tcPr>
          <w:p>
            <w:pPr>
              <w:spacing w:after="0"/>
              <w:rPr>
                <w:sz w:val="23"/>
                <w:szCs w:val="23"/>
                <w:color w:val="auto"/>
              </w:rPr>
            </w:pPr>
          </w:p>
        </w:tc>
        <w:tc>
          <w:tcPr>
            <w:tcW w:w="2620" w:type="dxa"/>
            <w:vAlign w:val="bottom"/>
            <w:gridSpan w:val="4"/>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238"/>
        </w:trPr>
        <w:tc>
          <w:tcPr>
            <w:tcW w:w="6880" w:type="dxa"/>
            <w:vAlign w:val="bottom"/>
            <w:vMerge w:val="continue"/>
          </w:tcPr>
          <w:p>
            <w:pPr>
              <w:spacing w:after="0"/>
              <w:rPr>
                <w:sz w:val="20"/>
                <w:szCs w:val="20"/>
                <w:color w:val="auto"/>
              </w:rPr>
            </w:pPr>
          </w:p>
        </w:tc>
        <w:tc>
          <w:tcPr>
            <w:tcW w:w="9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660" w:type="dxa"/>
            <w:vAlign w:val="bottom"/>
            <w:gridSpan w:val="3"/>
            <w:vMerge w:val="restart"/>
          </w:tcPr>
          <w:p>
            <w:pPr>
              <w:spacing w:after="0"/>
              <w:rPr>
                <w:sz w:val="20"/>
                <w:szCs w:val="20"/>
                <w:color w:val="auto"/>
              </w:rPr>
            </w:pPr>
            <w:r>
              <w:rPr>
                <w:rFonts w:ascii="Arial" w:cs="Arial" w:eastAsia="Arial" w:hAnsi="Arial"/>
                <w:sz w:val="22"/>
                <w:szCs w:val="22"/>
                <w:color w:val="auto"/>
              </w:rPr>
              <w:t>/s/ Kimberly T.</w:t>
            </w:r>
          </w:p>
        </w:tc>
        <w:tc>
          <w:tcPr>
            <w:tcW w:w="0" w:type="dxa"/>
            <w:vAlign w:val="bottom"/>
          </w:tcPr>
          <w:p>
            <w:pPr>
              <w:spacing w:after="0"/>
              <w:rPr>
                <w:sz w:val="1"/>
                <w:szCs w:val="1"/>
                <w:color w:val="auto"/>
              </w:rPr>
            </w:pPr>
          </w:p>
        </w:tc>
      </w:tr>
      <w:tr>
        <w:trPr>
          <w:trHeight w:val="211"/>
        </w:trPr>
        <w:tc>
          <w:tcPr>
            <w:tcW w:w="68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9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7"/>
              </w:rPr>
              <w:t>Stepancic</w:t>
            </w:r>
          </w:p>
        </w:tc>
        <w:tc>
          <w:tcPr>
            <w:tcW w:w="13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80" w:type="dxa"/>
            <w:vAlign w:val="bottom"/>
          </w:tcPr>
          <w:p>
            <w:pPr>
              <w:spacing w:after="0"/>
              <w:rPr>
                <w:sz w:val="22"/>
                <w:szCs w:val="22"/>
                <w:color w:val="auto"/>
              </w:rPr>
            </w:pPr>
          </w:p>
        </w:tc>
        <w:tc>
          <w:tcPr>
            <w:tcW w:w="2620" w:type="dxa"/>
            <w:vAlign w:val="bottom"/>
            <w:gridSpan w:val="4"/>
          </w:tcPr>
          <w:p>
            <w:pPr>
              <w:spacing w:after="0"/>
              <w:rPr>
                <w:sz w:val="20"/>
                <w:szCs w:val="20"/>
                <w:color w:val="auto"/>
              </w:rPr>
            </w:pPr>
            <w:r>
              <w:rPr>
                <w:rFonts w:ascii="Arial" w:cs="Arial" w:eastAsia="Arial" w:hAnsi="Arial"/>
                <w:sz w:val="22"/>
                <w:szCs w:val="22"/>
                <w:color w:val="auto"/>
                <w:w w:val="91"/>
              </w:rPr>
              <w:t>Name: Kimberly T. Stepancic</w:t>
            </w:r>
          </w:p>
        </w:tc>
        <w:tc>
          <w:tcPr>
            <w:tcW w:w="0" w:type="dxa"/>
            <w:vAlign w:val="bottom"/>
          </w:tcPr>
          <w:p>
            <w:pPr>
              <w:spacing w:after="0"/>
              <w:rPr>
                <w:sz w:val="1"/>
                <w:szCs w:val="1"/>
                <w:color w:val="auto"/>
              </w:rPr>
            </w:pPr>
          </w:p>
        </w:tc>
      </w:tr>
      <w:tr>
        <w:trPr>
          <w:trHeight w:val="274"/>
        </w:trPr>
        <w:tc>
          <w:tcPr>
            <w:tcW w:w="688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Arial" w:cs="Arial" w:eastAsia="Arial" w:hAnsi="Arial"/>
                <w:sz w:val="22"/>
                <w:szCs w:val="22"/>
                <w:color w:val="auto"/>
              </w:rPr>
              <w:t>Title: Senior Director</w:t>
            </w:r>
          </w:p>
        </w:tc>
        <w:tc>
          <w:tcPr>
            <w:tcW w:w="0" w:type="dxa"/>
            <w:vAlign w:val="bottom"/>
          </w:tcPr>
          <w:p>
            <w:pPr>
              <w:spacing w:after="0"/>
              <w:rPr>
                <w:sz w:val="1"/>
                <w:szCs w:val="1"/>
                <w:color w:val="auto"/>
              </w:rPr>
            </w:pPr>
          </w:p>
        </w:tc>
      </w:tr>
      <w:tr>
        <w:trPr>
          <w:trHeight w:val="252"/>
        </w:trPr>
        <w:tc>
          <w:tcPr>
            <w:tcW w:w="6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Pr>
          <w:p>
            <w:pPr>
              <w:spacing w:after="0"/>
              <w:rPr>
                <w:sz w:val="21"/>
                <w:szCs w:val="21"/>
                <w:color w:val="auto"/>
              </w:rPr>
            </w:pPr>
          </w:p>
        </w:tc>
        <w:tc>
          <w:tcPr>
            <w:tcW w:w="2960" w:type="dxa"/>
            <w:vAlign w:val="bottom"/>
            <w:gridSpan w:val="4"/>
          </w:tcPr>
          <w:p>
            <w:pPr>
              <w:spacing w:after="0"/>
              <w:rPr>
                <w:sz w:val="20"/>
                <w:szCs w:val="20"/>
                <w:color w:val="auto"/>
              </w:rPr>
            </w:pPr>
            <w:r>
              <w:rPr>
                <w:rFonts w:ascii="Arial" w:cs="Arial" w:eastAsia="Arial" w:hAnsi="Arial"/>
                <w:sz w:val="22"/>
                <w:szCs w:val="22"/>
                <w:color w:val="auto"/>
              </w:rPr>
              <w:t>NEW YORK LIFE</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2960" w:type="dxa"/>
            <w:vAlign w:val="bottom"/>
            <w:gridSpan w:val="4"/>
          </w:tcPr>
          <w:p>
            <w:pPr>
              <w:spacing w:after="0" w:line="243" w:lineRule="exact"/>
              <w:rPr>
                <w:sz w:val="20"/>
                <w:szCs w:val="20"/>
                <w:color w:val="auto"/>
              </w:rPr>
            </w:pPr>
            <w:r>
              <w:rPr>
                <w:rFonts w:ascii="Arial" w:cs="Arial" w:eastAsia="Arial" w:hAnsi="Arial"/>
                <w:sz w:val="22"/>
                <w:szCs w:val="22"/>
                <w:color w:val="auto"/>
              </w:rPr>
              <w:t>INSURANCE AND ANNUITY</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2960" w:type="dxa"/>
            <w:vAlign w:val="bottom"/>
            <w:gridSpan w:val="4"/>
          </w:tcPr>
          <w:p>
            <w:pPr>
              <w:spacing w:after="0" w:line="243" w:lineRule="exact"/>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2960" w:type="dxa"/>
            <w:vAlign w:val="bottom"/>
            <w:gridSpan w:val="4"/>
          </w:tcPr>
          <w:p>
            <w:pPr>
              <w:spacing w:after="0" w:line="243" w:lineRule="exact"/>
              <w:rPr>
                <w:sz w:val="20"/>
                <w:szCs w:val="20"/>
                <w:color w:val="auto"/>
              </w:rPr>
            </w:pPr>
            <w:r>
              <w:rPr>
                <w:rFonts w:ascii="Arial" w:cs="Arial" w:eastAsia="Arial" w:hAnsi="Arial"/>
                <w:sz w:val="22"/>
                <w:szCs w:val="22"/>
                <w:color w:val="auto"/>
              </w:rPr>
              <w:t>BY: NYL INVESTORS LLC,</w:t>
            </w:r>
          </w:p>
        </w:tc>
        <w:tc>
          <w:tcPr>
            <w:tcW w:w="0" w:type="dxa"/>
            <w:vAlign w:val="bottom"/>
          </w:tcPr>
          <w:p>
            <w:pPr>
              <w:spacing w:after="0"/>
              <w:rPr>
                <w:sz w:val="1"/>
                <w:szCs w:val="1"/>
                <w:color w:val="auto"/>
              </w:rPr>
            </w:pPr>
          </w:p>
        </w:tc>
      </w:tr>
      <w:tr>
        <w:trPr>
          <w:trHeight w:val="243"/>
        </w:trPr>
        <w:tc>
          <w:tcPr>
            <w:tcW w:w="7000" w:type="dxa"/>
            <w:vAlign w:val="bottom"/>
          </w:tcPr>
          <w:p>
            <w:pPr>
              <w:spacing w:after="0"/>
              <w:rPr>
                <w:sz w:val="21"/>
                <w:szCs w:val="21"/>
                <w:color w:val="auto"/>
              </w:rPr>
            </w:pPr>
          </w:p>
        </w:tc>
        <w:tc>
          <w:tcPr>
            <w:tcW w:w="2960" w:type="dxa"/>
            <w:vAlign w:val="bottom"/>
            <w:gridSpan w:val="4"/>
          </w:tcPr>
          <w:p>
            <w:pPr>
              <w:spacing w:after="0" w:line="243" w:lineRule="exact"/>
              <w:rPr>
                <w:sz w:val="20"/>
                <w:szCs w:val="20"/>
                <w:color w:val="auto"/>
              </w:rPr>
            </w:pPr>
            <w:r>
              <w:rPr>
                <w:rFonts w:ascii="Arial" w:cs="Arial" w:eastAsia="Arial" w:hAnsi="Arial"/>
                <w:sz w:val="22"/>
                <w:szCs w:val="22"/>
                <w:color w:val="auto"/>
              </w:rPr>
              <w:t>ITS INVESTMENT</w:t>
            </w:r>
          </w:p>
        </w:tc>
        <w:tc>
          <w:tcPr>
            <w:tcW w:w="0" w:type="dxa"/>
            <w:vAlign w:val="bottom"/>
          </w:tcPr>
          <w:p>
            <w:pPr>
              <w:spacing w:after="0"/>
              <w:rPr>
                <w:sz w:val="1"/>
                <w:szCs w:val="1"/>
                <w:color w:val="auto"/>
              </w:rPr>
            </w:pPr>
          </w:p>
        </w:tc>
      </w:tr>
      <w:tr>
        <w:trPr>
          <w:trHeight w:val="274"/>
        </w:trPr>
        <w:tc>
          <w:tcPr>
            <w:tcW w:w="7000" w:type="dxa"/>
            <w:vAlign w:val="bottom"/>
            <w:vMerge w:val="restart"/>
          </w:tcPr>
          <w:p>
            <w:pPr>
              <w:spacing w:after="0"/>
              <w:rPr>
                <w:sz w:val="23"/>
                <w:szCs w:val="23"/>
                <w:color w:val="auto"/>
              </w:rPr>
            </w:pPr>
          </w:p>
        </w:tc>
        <w:tc>
          <w:tcPr>
            <w:tcW w:w="2960" w:type="dxa"/>
            <w:vAlign w:val="bottom"/>
            <w:gridSpan w:val="4"/>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238"/>
        </w:trPr>
        <w:tc>
          <w:tcPr>
            <w:tcW w:w="700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00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060" w:type="dxa"/>
            <w:vAlign w:val="bottom"/>
            <w:gridSpan w:val="3"/>
            <w:vMerge w:val="restart"/>
          </w:tcPr>
          <w:p>
            <w:pPr>
              <w:ind w:left="60"/>
              <w:spacing w:after="0"/>
              <w:rPr>
                <w:sz w:val="20"/>
                <w:szCs w:val="20"/>
                <w:color w:val="auto"/>
              </w:rPr>
            </w:pPr>
            <w:r>
              <w:rPr>
                <w:rFonts w:ascii="Arial" w:cs="Arial" w:eastAsia="Arial" w:hAnsi="Arial"/>
                <w:sz w:val="22"/>
                <w:szCs w:val="22"/>
                <w:color w:val="auto"/>
              </w:rPr>
              <w:t>/s/ Kimberly T.</w:t>
            </w: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91"/>
              </w:rPr>
              <w:t>Stepancic</w:t>
            </w:r>
          </w:p>
        </w:tc>
        <w:tc>
          <w:tcPr>
            <w:tcW w:w="136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00" w:type="dxa"/>
            <w:vAlign w:val="bottom"/>
          </w:tcPr>
          <w:p>
            <w:pPr>
              <w:spacing w:after="0"/>
              <w:rPr>
                <w:sz w:val="22"/>
                <w:szCs w:val="22"/>
                <w:color w:val="auto"/>
              </w:rPr>
            </w:pPr>
          </w:p>
        </w:tc>
        <w:tc>
          <w:tcPr>
            <w:tcW w:w="2960" w:type="dxa"/>
            <w:vAlign w:val="bottom"/>
            <w:gridSpan w:val="4"/>
          </w:tcPr>
          <w:p>
            <w:pPr>
              <w:spacing w:after="0"/>
              <w:rPr>
                <w:sz w:val="20"/>
                <w:szCs w:val="20"/>
                <w:color w:val="auto"/>
              </w:rPr>
            </w:pPr>
            <w:r>
              <w:rPr>
                <w:rFonts w:ascii="Arial" w:cs="Arial" w:eastAsia="Arial" w:hAnsi="Arial"/>
                <w:sz w:val="22"/>
                <w:szCs w:val="22"/>
                <w:color w:val="auto"/>
              </w:rPr>
              <w:t>Name: Kimberly T. Stepancic</w:t>
            </w:r>
          </w:p>
        </w:tc>
        <w:tc>
          <w:tcPr>
            <w:tcW w:w="0" w:type="dxa"/>
            <w:vAlign w:val="bottom"/>
          </w:tcPr>
          <w:p>
            <w:pPr>
              <w:spacing w:after="0"/>
              <w:rPr>
                <w:sz w:val="1"/>
                <w:szCs w:val="1"/>
                <w:color w:val="auto"/>
              </w:rPr>
            </w:pPr>
          </w:p>
        </w:tc>
      </w:tr>
      <w:tr>
        <w:trPr>
          <w:trHeight w:val="274"/>
        </w:trPr>
        <w:tc>
          <w:tcPr>
            <w:tcW w:w="7000" w:type="dxa"/>
            <w:vAlign w:val="bottom"/>
          </w:tcPr>
          <w:p>
            <w:pPr>
              <w:spacing w:after="0"/>
              <w:rPr>
                <w:sz w:val="23"/>
                <w:szCs w:val="23"/>
                <w:color w:val="auto"/>
              </w:rPr>
            </w:pPr>
          </w:p>
        </w:tc>
        <w:tc>
          <w:tcPr>
            <w:tcW w:w="2960" w:type="dxa"/>
            <w:vAlign w:val="bottom"/>
            <w:gridSpan w:val="4"/>
          </w:tcPr>
          <w:p>
            <w:pPr>
              <w:spacing w:after="0"/>
              <w:rPr>
                <w:sz w:val="20"/>
                <w:szCs w:val="20"/>
                <w:color w:val="auto"/>
              </w:rPr>
            </w:pPr>
            <w:r>
              <w:rPr>
                <w:rFonts w:ascii="Arial" w:cs="Arial" w:eastAsia="Arial" w:hAnsi="Arial"/>
                <w:sz w:val="22"/>
                <w:szCs w:val="22"/>
                <w:color w:val="auto"/>
              </w:rPr>
              <w:t>Title: Senior Director</w:t>
            </w:r>
          </w:p>
        </w:tc>
        <w:tc>
          <w:tcPr>
            <w:tcW w:w="0" w:type="dxa"/>
            <w:vAlign w:val="bottom"/>
          </w:tcPr>
          <w:p>
            <w:pPr>
              <w:spacing w:after="0"/>
              <w:rPr>
                <w:sz w:val="1"/>
                <w:szCs w:val="1"/>
                <w:color w:val="auto"/>
              </w:rPr>
            </w:pPr>
          </w:p>
        </w:tc>
      </w:tr>
      <w:tr>
        <w:trPr>
          <w:trHeight w:val="252"/>
        </w:trPr>
        <w:tc>
          <w:tcPr>
            <w:tcW w:w="7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5"/>
        </w:trPr>
        <w:tc>
          <w:tcPr>
            <w:tcW w:w="7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607060</wp:posOffset>
            </wp:positionH>
            <wp:positionV relativeFrom="page">
              <wp:posOffset>6223000</wp:posOffset>
            </wp:positionV>
            <wp:extent cx="635190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351905" cy="50800"/>
                    </a:xfrm>
                    <a:prstGeom prst="rect">
                      <a:avLst/>
                    </a:prstGeom>
                    <a:noFill/>
                  </pic:spPr>
                </pic:pic>
              </a:graphicData>
            </a:graphic>
          </wp:anchor>
        </w:drawing>
        <w:t>Accepted as of the date first written above</w:t>
      </w:r>
    </w:p>
    <w:p>
      <w:pPr>
        <w:sectPr>
          <w:pgSz w:w="11900" w:h="16838" w:orient="portrait"/>
          <w:cols w:equalWidth="0" w:num="1">
            <w:col w:w="9620"/>
          </w:cols>
          <w:pgMar w:left="980" w:top="118" w:right="129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BLUE CROSS AND BLUE</w:t>
      </w:r>
    </w:p>
    <w:p>
      <w:pPr>
        <w:spacing w:after="0" w:line="8" w:lineRule="exact"/>
        <w:rPr>
          <w:sz w:val="20"/>
          <w:szCs w:val="20"/>
          <w:color w:val="auto"/>
        </w:rPr>
      </w:pPr>
    </w:p>
    <w:p>
      <w:pPr>
        <w:ind w:left="6980"/>
        <w:spacing w:after="0"/>
        <w:rPr>
          <w:sz w:val="20"/>
          <w:szCs w:val="20"/>
          <w:color w:val="auto"/>
        </w:rPr>
      </w:pPr>
      <w:r>
        <w:rPr>
          <w:rFonts w:ascii="Arial" w:cs="Arial" w:eastAsia="Arial" w:hAnsi="Arial"/>
          <w:sz w:val="21"/>
          <w:szCs w:val="21"/>
          <w:color w:val="auto"/>
        </w:rPr>
        <w:t>SHIELD OF FLORIDA, INC.</w:t>
      </w:r>
    </w:p>
    <w:p>
      <w:pPr>
        <w:ind w:left="6980"/>
        <w:spacing w:after="0" w:line="231" w:lineRule="auto"/>
        <w:rPr>
          <w:sz w:val="20"/>
          <w:szCs w:val="20"/>
          <w:color w:val="auto"/>
        </w:rPr>
      </w:pPr>
      <w:r>
        <w:rPr>
          <w:rFonts w:ascii="Arial" w:cs="Arial" w:eastAsia="Arial" w:hAnsi="Arial"/>
          <w:sz w:val="22"/>
          <w:szCs w:val="22"/>
          <w:color w:val="auto"/>
        </w:rPr>
        <w:t>FIDELITY LIFE</w:t>
      </w:r>
    </w:p>
    <w:p>
      <w:pPr>
        <w:ind w:left="6980"/>
        <w:spacing w:after="0" w:line="231" w:lineRule="auto"/>
        <w:rPr>
          <w:sz w:val="20"/>
          <w:szCs w:val="20"/>
          <w:color w:val="auto"/>
        </w:rPr>
      </w:pPr>
      <w:r>
        <w:rPr>
          <w:rFonts w:ascii="Arial" w:cs="Arial" w:eastAsia="Arial" w:hAnsi="Arial"/>
          <w:sz w:val="22"/>
          <w:szCs w:val="22"/>
          <w:color w:val="auto"/>
        </w:rPr>
        <w:t>ASSOCIATION, A LEGAL</w:t>
      </w:r>
    </w:p>
    <w:p>
      <w:pPr>
        <w:ind w:left="6980"/>
        <w:spacing w:after="0" w:line="231" w:lineRule="auto"/>
        <w:rPr>
          <w:sz w:val="20"/>
          <w:szCs w:val="20"/>
          <w:color w:val="auto"/>
        </w:rPr>
      </w:pPr>
      <w:r>
        <w:rPr>
          <w:rFonts w:ascii="Arial" w:cs="Arial" w:eastAsia="Arial" w:hAnsi="Arial"/>
          <w:sz w:val="22"/>
          <w:szCs w:val="22"/>
          <w:color w:val="auto"/>
        </w:rPr>
        <w:t>RESERVE</w:t>
      </w:r>
    </w:p>
    <w:p>
      <w:pPr>
        <w:ind w:left="6980"/>
        <w:spacing w:after="0" w:line="230" w:lineRule="auto"/>
        <w:rPr>
          <w:sz w:val="20"/>
          <w:szCs w:val="20"/>
          <w:color w:val="auto"/>
        </w:rPr>
      </w:pPr>
      <w:r>
        <w:rPr>
          <w:rFonts w:ascii="Arial" w:cs="Arial" w:eastAsia="Arial" w:hAnsi="Arial"/>
          <w:sz w:val="22"/>
          <w:szCs w:val="22"/>
          <w:color w:val="auto"/>
        </w:rPr>
        <w:t>LIFE INSURANCE</w:t>
      </w:r>
    </w:p>
    <w:p>
      <w:pPr>
        <w:ind w:left="6980"/>
        <w:spacing w:after="0" w:line="231" w:lineRule="auto"/>
        <w:rPr>
          <w:sz w:val="20"/>
          <w:szCs w:val="20"/>
          <w:color w:val="auto"/>
        </w:rPr>
      </w:pPr>
      <w:r>
        <w:rPr>
          <w:rFonts w:ascii="Arial" w:cs="Arial" w:eastAsia="Arial" w:hAnsi="Arial"/>
          <w:sz w:val="22"/>
          <w:szCs w:val="22"/>
          <w:color w:val="auto"/>
        </w:rPr>
        <w:t>COMPANY</w:t>
      </w:r>
    </w:p>
    <w:p>
      <w:pPr>
        <w:ind w:left="6980"/>
        <w:spacing w:after="0"/>
        <w:rPr>
          <w:sz w:val="20"/>
          <w:szCs w:val="20"/>
          <w:color w:val="auto"/>
        </w:rPr>
      </w:pPr>
      <w:r>
        <w:rPr>
          <w:rFonts w:ascii="Arial" w:cs="Arial" w:eastAsia="Arial" w:hAnsi="Arial"/>
          <w:sz w:val="21"/>
          <w:szCs w:val="21"/>
          <w:color w:val="auto"/>
        </w:rPr>
        <w:t>LINCOLN HERITAGE LIFE</w:t>
      </w:r>
    </w:p>
    <w:p>
      <w:pPr>
        <w:ind w:left="6980"/>
        <w:spacing w:after="0" w:line="231" w:lineRule="auto"/>
        <w:rPr>
          <w:sz w:val="20"/>
          <w:szCs w:val="20"/>
          <w:color w:val="auto"/>
        </w:rPr>
      </w:pPr>
      <w:r>
        <w:rPr>
          <w:rFonts w:ascii="Arial" w:cs="Arial" w:eastAsia="Arial" w:hAnsi="Arial"/>
          <w:sz w:val="22"/>
          <w:szCs w:val="22"/>
          <w:color w:val="auto"/>
        </w:rPr>
        <w:t>INSURANCE COMPANY</w:t>
      </w:r>
    </w:p>
    <w:p>
      <w:pPr>
        <w:ind w:left="6980"/>
        <w:spacing w:after="0" w:line="231" w:lineRule="auto"/>
        <w:rPr>
          <w:sz w:val="20"/>
          <w:szCs w:val="20"/>
          <w:color w:val="auto"/>
        </w:rPr>
      </w:pPr>
      <w:r>
        <w:rPr>
          <w:rFonts w:ascii="Arial" w:cs="Arial" w:eastAsia="Arial" w:hAnsi="Arial"/>
          <w:sz w:val="22"/>
          <w:szCs w:val="22"/>
          <w:color w:val="auto"/>
        </w:rPr>
        <w:t>MINNESOTA LIFE</w:t>
      </w:r>
    </w:p>
    <w:p>
      <w:pPr>
        <w:ind w:left="6980"/>
        <w:spacing w:after="0" w:line="231" w:lineRule="auto"/>
        <w:rPr>
          <w:sz w:val="20"/>
          <w:szCs w:val="20"/>
          <w:color w:val="auto"/>
        </w:rPr>
      </w:pPr>
      <w:r>
        <w:rPr>
          <w:rFonts w:ascii="Arial" w:cs="Arial" w:eastAsia="Arial" w:hAnsi="Arial"/>
          <w:sz w:val="22"/>
          <w:szCs w:val="22"/>
          <w:color w:val="auto"/>
        </w:rPr>
        <w:t>INSURANCE COMPANY</w:t>
      </w:r>
    </w:p>
    <w:p>
      <w:pPr>
        <w:ind w:left="6980"/>
        <w:spacing w:after="0" w:line="230" w:lineRule="auto"/>
        <w:rPr>
          <w:sz w:val="20"/>
          <w:szCs w:val="20"/>
          <w:color w:val="auto"/>
        </w:rPr>
      </w:pPr>
      <w:r>
        <w:rPr>
          <w:rFonts w:ascii="Arial" w:cs="Arial" w:eastAsia="Arial" w:hAnsi="Arial"/>
          <w:sz w:val="22"/>
          <w:szCs w:val="22"/>
          <w:color w:val="auto"/>
        </w:rPr>
        <w:t>SECURIAN LIFE</w:t>
      </w:r>
    </w:p>
    <w:p>
      <w:pPr>
        <w:ind w:left="6980"/>
        <w:spacing w:after="0" w:line="231" w:lineRule="auto"/>
        <w:rPr>
          <w:sz w:val="20"/>
          <w:szCs w:val="20"/>
          <w:color w:val="auto"/>
        </w:rPr>
      </w:pPr>
      <w:r>
        <w:rPr>
          <w:rFonts w:ascii="Arial" w:cs="Arial" w:eastAsia="Arial" w:hAnsi="Arial"/>
          <w:sz w:val="22"/>
          <w:szCs w:val="22"/>
          <w:color w:val="auto"/>
        </w:rPr>
        <w:t>INSURANCE COMPANY</w:t>
      </w:r>
    </w:p>
    <w:p>
      <w:pPr>
        <w:ind w:left="6980"/>
        <w:spacing w:after="0"/>
        <w:rPr>
          <w:sz w:val="20"/>
          <w:szCs w:val="20"/>
          <w:color w:val="auto"/>
        </w:rPr>
      </w:pPr>
      <w:r>
        <w:rPr>
          <w:rFonts w:ascii="Arial" w:cs="Arial" w:eastAsia="Arial" w:hAnsi="Arial"/>
          <w:sz w:val="21"/>
          <w:szCs w:val="21"/>
          <w:color w:val="auto"/>
        </w:rPr>
        <w:t>TRUSTMARK INSURANCE</w:t>
      </w:r>
    </w:p>
    <w:p>
      <w:pPr>
        <w:ind w:left="6980"/>
        <w:spacing w:after="0" w:line="231" w:lineRule="auto"/>
        <w:rPr>
          <w:sz w:val="20"/>
          <w:szCs w:val="20"/>
          <w:color w:val="auto"/>
        </w:rPr>
      </w:pPr>
      <w:r>
        <w:rPr>
          <w:rFonts w:ascii="Arial" w:cs="Arial" w:eastAsia="Arial" w:hAnsi="Arial"/>
          <w:sz w:val="22"/>
          <w:szCs w:val="22"/>
          <w:color w:val="auto"/>
        </w:rPr>
        <w:t>COMPANY</w:t>
      </w:r>
    </w:p>
    <w:p>
      <w:pPr>
        <w:ind w:left="6980"/>
        <w:spacing w:after="0" w:line="231" w:lineRule="auto"/>
        <w:rPr>
          <w:sz w:val="20"/>
          <w:szCs w:val="20"/>
          <w:color w:val="auto"/>
        </w:rPr>
      </w:pPr>
      <w:r>
        <w:rPr>
          <w:rFonts w:ascii="Arial" w:cs="Arial" w:eastAsia="Arial" w:hAnsi="Arial"/>
          <w:sz w:val="22"/>
          <w:szCs w:val="22"/>
          <w:color w:val="auto"/>
        </w:rPr>
        <w:t>BY: SECURIAN ASSET</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22"/>
          <w:szCs w:val="22"/>
          <w:color w:val="auto"/>
        </w:rPr>
        <w:t>MANAGEMENT, INC.</w:t>
      </w:r>
    </w:p>
    <w:p>
      <w:pPr>
        <w:sectPr>
          <w:pgSz w:w="11900" w:h="16838" w:orient="portrait"/>
          <w:cols w:equalWidth="0" w:num="1">
            <w:col w:w="9620"/>
          </w:cols>
          <w:pgMar w:left="980" w:top="118"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686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By</w:t>
            </w:r>
          </w:p>
        </w:tc>
        <w:tc>
          <w:tcPr>
            <w:tcW w:w="11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/s/ Johnathan</w:t>
            </w:r>
          </w:p>
        </w:tc>
        <w:tc>
          <w:tcPr>
            <w:tcW w:w="540" w:type="dxa"/>
            <w:vAlign w:val="bottom"/>
          </w:tcPr>
          <w:p>
            <w:pPr>
              <w:spacing w:after="0"/>
              <w:rPr>
                <w:sz w:val="23"/>
                <w:szCs w:val="23"/>
                <w:color w:val="auto"/>
              </w:rPr>
            </w:pPr>
          </w:p>
        </w:tc>
      </w:tr>
      <w:tr>
        <w:trPr>
          <w:trHeight w:val="223"/>
        </w:trPr>
        <w:tc>
          <w:tcPr>
            <w:tcW w:w="6860" w:type="dxa"/>
            <w:vAlign w:val="bottom"/>
          </w:tcPr>
          <w:p>
            <w:pPr>
              <w:spacing w:after="0"/>
              <w:rPr>
                <w:sz w:val="19"/>
                <w:szCs w:val="19"/>
                <w:color w:val="auto"/>
              </w:rPr>
            </w:pPr>
          </w:p>
        </w:tc>
        <w:tc>
          <w:tcPr>
            <w:tcW w:w="264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rPr>
              <w:t>Heshelman</w:t>
            </w:r>
          </w:p>
        </w:tc>
      </w:tr>
      <w:tr>
        <w:trPr>
          <w:trHeight w:val="256"/>
        </w:trPr>
        <w:tc>
          <w:tcPr>
            <w:tcW w:w="6860" w:type="dxa"/>
            <w:vAlign w:val="bottom"/>
          </w:tcPr>
          <w:p>
            <w:pPr>
              <w:spacing w:after="0"/>
              <w:rPr>
                <w:sz w:val="22"/>
                <w:szCs w:val="22"/>
                <w:color w:val="auto"/>
              </w:rPr>
            </w:pPr>
          </w:p>
        </w:tc>
        <w:tc>
          <w:tcPr>
            <w:tcW w:w="2640" w:type="dxa"/>
            <w:vAlign w:val="bottom"/>
            <w:gridSpan w:val="3"/>
          </w:tcPr>
          <w:p>
            <w:pPr>
              <w:spacing w:after="0"/>
              <w:rPr>
                <w:sz w:val="20"/>
                <w:szCs w:val="20"/>
                <w:color w:val="auto"/>
              </w:rPr>
            </w:pPr>
            <w:r>
              <w:rPr>
                <w:rFonts w:ascii="Arial" w:cs="Arial" w:eastAsia="Arial" w:hAnsi="Arial"/>
                <w:sz w:val="22"/>
                <w:szCs w:val="22"/>
                <w:color w:val="auto"/>
                <w:w w:val="90"/>
              </w:rPr>
              <w:t>Name: Johnathan Heshelman</w:t>
            </w:r>
          </w:p>
        </w:tc>
      </w:tr>
      <w:tr>
        <w:trPr>
          <w:trHeight w:val="274"/>
        </w:trPr>
        <w:tc>
          <w:tcPr>
            <w:tcW w:w="6860" w:type="dxa"/>
            <w:vAlign w:val="bottom"/>
          </w:tcPr>
          <w:p>
            <w:pPr>
              <w:spacing w:after="0"/>
              <w:rPr>
                <w:sz w:val="23"/>
                <w:szCs w:val="23"/>
                <w:color w:val="auto"/>
              </w:rPr>
            </w:pPr>
          </w:p>
        </w:tc>
        <w:tc>
          <w:tcPr>
            <w:tcW w:w="2640" w:type="dxa"/>
            <w:vAlign w:val="bottom"/>
            <w:gridSpan w:val="3"/>
          </w:tcPr>
          <w:p>
            <w:pPr>
              <w:spacing w:after="0"/>
              <w:rPr>
                <w:sz w:val="20"/>
                <w:szCs w:val="20"/>
                <w:color w:val="auto"/>
              </w:rPr>
            </w:pPr>
            <w:r>
              <w:rPr>
                <w:rFonts w:ascii="Arial" w:cs="Arial" w:eastAsia="Arial" w:hAnsi="Arial"/>
                <w:sz w:val="22"/>
                <w:szCs w:val="22"/>
                <w:color w:val="auto"/>
              </w:rPr>
              <w:t>Title: Vice President</w:t>
            </w:r>
          </w:p>
        </w:tc>
      </w:tr>
    </w:tbl>
    <w:p>
      <w:pPr>
        <w:sectPr>
          <w:pgSz w:w="11900" w:h="16838" w:orient="portrait"/>
          <w:cols w:equalWidth="0" w:num="1">
            <w:col w:w="9620"/>
          </w:cols>
          <w:pgMar w:left="980" w:top="118" w:right="12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607060</wp:posOffset>
            </wp:positionH>
            <wp:positionV relativeFrom="page">
              <wp:posOffset>5596890</wp:posOffset>
            </wp:positionV>
            <wp:extent cx="6351905" cy="50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351905" cy="50800"/>
                    </a:xfrm>
                    <a:prstGeom prst="rect">
                      <a:avLst/>
                    </a:prstGeom>
                    <a:noFill/>
                  </pic:spPr>
                </pic:pic>
              </a:graphicData>
            </a:graphic>
          </wp:anchor>
        </w:drawing>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22"/>
                <w:szCs w:val="22"/>
                <w:color w:val="auto"/>
                <w:w w:val="97"/>
              </w:rPr>
              <w:t>AMERICAN GENERAL LIFE</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color w:val="auto"/>
              </w:rPr>
              <w:t>INSURANCE</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color w:val="auto"/>
              </w:rPr>
              <w:t>BY: AIG ASSET</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760" w:type="dxa"/>
            <w:vAlign w:val="bottom"/>
            <w:gridSpan w:val="3"/>
          </w:tcPr>
          <w:p>
            <w:pPr>
              <w:spacing w:after="0" w:line="243" w:lineRule="exact"/>
              <w:rPr>
                <w:sz w:val="20"/>
                <w:szCs w:val="20"/>
                <w:color w:val="auto"/>
              </w:rPr>
            </w:pPr>
            <w:r>
              <w:rPr>
                <w:rFonts w:ascii="Arial" w:cs="Arial" w:eastAsia="Arial" w:hAnsi="Arial"/>
                <w:sz w:val="22"/>
                <w:szCs w:val="22"/>
                <w:color w:val="auto"/>
                <w:w w:val="97"/>
              </w:rPr>
              <w:t>MANAGEMENT (U.S.), LLC,</w:t>
            </w:r>
          </w:p>
        </w:tc>
        <w:tc>
          <w:tcPr>
            <w:tcW w:w="0" w:type="dxa"/>
            <w:vAlign w:val="bottom"/>
          </w:tcPr>
          <w:p>
            <w:pPr>
              <w:spacing w:after="0"/>
              <w:rPr>
                <w:sz w:val="1"/>
                <w:szCs w:val="1"/>
                <w:color w:val="auto"/>
              </w:rPr>
            </w:pPr>
          </w:p>
        </w:tc>
      </w:tr>
      <w:tr>
        <w:trPr>
          <w:trHeight w:val="274"/>
        </w:trPr>
        <w:tc>
          <w:tcPr>
            <w:tcW w:w="6860" w:type="dxa"/>
            <w:vAlign w:val="bottom"/>
            <w:vMerge w:val="restart"/>
          </w:tcPr>
          <w:p>
            <w:pPr>
              <w:spacing w:after="0"/>
              <w:rPr>
                <w:sz w:val="23"/>
                <w:szCs w:val="23"/>
                <w:color w:val="auto"/>
              </w:rPr>
            </w:pPr>
          </w:p>
        </w:tc>
        <w:tc>
          <w:tcPr>
            <w:tcW w:w="2760" w:type="dxa"/>
            <w:vAlign w:val="bottom"/>
            <w:gridSpan w:val="3"/>
          </w:tcPr>
          <w:p>
            <w:pPr>
              <w:spacing w:after="0"/>
              <w:rPr>
                <w:sz w:val="20"/>
                <w:szCs w:val="20"/>
                <w:color w:val="auto"/>
              </w:rPr>
            </w:pPr>
            <w:r>
              <w:rPr>
                <w:rFonts w:ascii="Arial" w:cs="Arial" w:eastAsia="Arial" w:hAnsi="Arial"/>
                <w:sz w:val="22"/>
                <w:szCs w:val="22"/>
                <w:color w:val="auto"/>
                <w:w w:val="97"/>
              </w:rPr>
              <w:t>AS INVESTMENT ADVISER</w:t>
            </w:r>
          </w:p>
        </w:tc>
        <w:tc>
          <w:tcPr>
            <w:tcW w:w="0" w:type="dxa"/>
            <w:vAlign w:val="bottom"/>
          </w:tcPr>
          <w:p>
            <w:pPr>
              <w:spacing w:after="0"/>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860" w:type="dxa"/>
            <w:vAlign w:val="bottom"/>
            <w:gridSpan w:val="2"/>
            <w:vMerge w:val="restart"/>
          </w:tcPr>
          <w:p>
            <w:pPr>
              <w:ind w:left="60"/>
              <w:spacing w:after="0"/>
              <w:rPr>
                <w:sz w:val="20"/>
                <w:szCs w:val="20"/>
                <w:color w:val="auto"/>
              </w:rPr>
            </w:pPr>
            <w:r>
              <w:rPr>
                <w:rFonts w:ascii="Arial" w:cs="Arial" w:eastAsia="Arial" w:hAnsi="Arial"/>
                <w:sz w:val="22"/>
                <w:szCs w:val="22"/>
                <w:color w:val="auto"/>
              </w:rPr>
              <w:t>/s/ David</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Etlinger</w:t>
            </w:r>
          </w:p>
        </w:tc>
        <w:tc>
          <w:tcPr>
            <w:tcW w:w="840" w:type="dxa"/>
            <w:vAlign w:val="bottom"/>
            <w:tcBorders>
              <w:top w:val="single" w:sz="8" w:color="auto"/>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2760" w:type="dxa"/>
            <w:vAlign w:val="bottom"/>
            <w:gridSpan w:val="3"/>
          </w:tcPr>
          <w:p>
            <w:pPr>
              <w:spacing w:after="0"/>
              <w:rPr>
                <w:sz w:val="20"/>
                <w:szCs w:val="20"/>
                <w:color w:val="auto"/>
              </w:rPr>
            </w:pPr>
            <w:r>
              <w:rPr>
                <w:rFonts w:ascii="Arial" w:cs="Arial" w:eastAsia="Arial" w:hAnsi="Arial"/>
                <w:sz w:val="22"/>
                <w:szCs w:val="22"/>
                <w:color w:val="auto"/>
              </w:rPr>
              <w:t>Name: David Etlinger</w:t>
            </w:r>
          </w:p>
        </w:tc>
        <w:tc>
          <w:tcPr>
            <w:tcW w:w="0" w:type="dxa"/>
            <w:vAlign w:val="bottom"/>
          </w:tcPr>
          <w:p>
            <w:pPr>
              <w:spacing w:after="0"/>
              <w:rPr>
                <w:sz w:val="1"/>
                <w:szCs w:val="1"/>
                <w:color w:val="auto"/>
              </w:rPr>
            </w:pPr>
          </w:p>
        </w:tc>
      </w:tr>
      <w:tr>
        <w:trPr>
          <w:trHeight w:val="274"/>
        </w:trPr>
        <w:tc>
          <w:tcPr>
            <w:tcW w:w="6860" w:type="dxa"/>
            <w:vAlign w:val="bottom"/>
          </w:tcPr>
          <w:p>
            <w:pPr>
              <w:spacing w:after="0"/>
              <w:rPr>
                <w:sz w:val="23"/>
                <w:szCs w:val="23"/>
                <w:color w:val="auto"/>
              </w:rPr>
            </w:pPr>
          </w:p>
        </w:tc>
        <w:tc>
          <w:tcPr>
            <w:tcW w:w="276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0" w:type="dxa"/>
            <w:vAlign w:val="bottom"/>
          </w:tcPr>
          <w:p>
            <w:pPr>
              <w:spacing w:after="0"/>
              <w:rPr>
                <w:sz w:val="1"/>
                <w:szCs w:val="1"/>
                <w:color w:val="auto"/>
              </w:rPr>
            </w:pPr>
          </w:p>
        </w:tc>
      </w:tr>
    </w:tbl>
    <w:p>
      <w:pPr>
        <w:sectPr>
          <w:pgSz w:w="11900" w:h="16838" w:orient="portrait"/>
          <w:cols w:equalWidth="0" w:num="1">
            <w:col w:w="9740"/>
          </w:cols>
          <w:pgMar w:left="980" w:top="118" w:right="117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EMPLOYERS</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820" w:type="dxa"/>
            <w:vAlign w:val="bottom"/>
            <w:gridSpan w:val="3"/>
          </w:tcPr>
          <w:p>
            <w:pPr>
              <w:spacing w:after="0" w:line="243" w:lineRule="exact"/>
              <w:rPr>
                <w:sz w:val="20"/>
                <w:szCs w:val="20"/>
                <w:color w:val="auto"/>
              </w:rPr>
            </w:pPr>
            <w:r>
              <w:rPr>
                <w:rFonts w:ascii="Arial" w:cs="Arial" w:eastAsia="Arial" w:hAnsi="Arial"/>
                <w:sz w:val="22"/>
                <w:szCs w:val="22"/>
                <w:color w:val="auto"/>
              </w:rPr>
              <w:t>REASSURANCE</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820" w:type="dxa"/>
            <w:vAlign w:val="bottom"/>
            <w:gridSpan w:val="3"/>
          </w:tcPr>
          <w:p>
            <w:pPr>
              <w:spacing w:after="0" w:line="243" w:lineRule="exact"/>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820" w:type="dxa"/>
            <w:vAlign w:val="bottom"/>
            <w:gridSpan w:val="3"/>
          </w:tcPr>
          <w:p>
            <w:pPr>
              <w:spacing w:after="0" w:line="243" w:lineRule="exact"/>
              <w:rPr>
                <w:sz w:val="20"/>
                <w:szCs w:val="20"/>
                <w:color w:val="auto"/>
              </w:rPr>
            </w:pPr>
            <w:r>
              <w:rPr>
                <w:rFonts w:ascii="Arial" w:cs="Arial" w:eastAsia="Arial" w:hAnsi="Arial"/>
                <w:sz w:val="22"/>
                <w:szCs w:val="22"/>
                <w:color w:val="auto"/>
              </w:rPr>
              <w:t>BY: GOLDMAN SACHS</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820" w:type="dxa"/>
            <w:vAlign w:val="bottom"/>
            <w:gridSpan w:val="3"/>
          </w:tcPr>
          <w:p>
            <w:pPr>
              <w:spacing w:after="0" w:line="243" w:lineRule="exact"/>
              <w:rPr>
                <w:sz w:val="20"/>
                <w:szCs w:val="20"/>
                <w:color w:val="auto"/>
              </w:rPr>
            </w:pPr>
            <w:r>
              <w:rPr>
                <w:rFonts w:ascii="Arial" w:cs="Arial" w:eastAsia="Arial" w:hAnsi="Arial"/>
                <w:sz w:val="22"/>
                <w:szCs w:val="22"/>
                <w:color w:val="auto"/>
                <w:w w:val="95"/>
              </w:rPr>
              <w:t>ASSET MANAGEMENT, L.P.,</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1"/>
                <w:szCs w:val="21"/>
                <w:color w:val="auto"/>
              </w:rPr>
            </w:pPr>
          </w:p>
        </w:tc>
        <w:tc>
          <w:tcPr>
            <w:tcW w:w="2820" w:type="dxa"/>
            <w:vAlign w:val="bottom"/>
            <w:gridSpan w:val="3"/>
          </w:tcPr>
          <w:p>
            <w:pPr>
              <w:spacing w:after="0" w:line="243" w:lineRule="exact"/>
              <w:rPr>
                <w:sz w:val="20"/>
                <w:szCs w:val="20"/>
                <w:color w:val="auto"/>
              </w:rPr>
            </w:pPr>
            <w:r>
              <w:rPr>
                <w:rFonts w:ascii="Arial" w:cs="Arial" w:eastAsia="Arial" w:hAnsi="Arial"/>
                <w:sz w:val="22"/>
                <w:szCs w:val="22"/>
                <w:color w:val="auto"/>
              </w:rPr>
              <w:t>AS INVESTMENT</w:t>
            </w:r>
          </w:p>
        </w:tc>
        <w:tc>
          <w:tcPr>
            <w:tcW w:w="0" w:type="dxa"/>
            <w:vAlign w:val="bottom"/>
          </w:tcPr>
          <w:p>
            <w:pPr>
              <w:spacing w:after="0"/>
              <w:rPr>
                <w:sz w:val="1"/>
                <w:szCs w:val="1"/>
                <w:color w:val="auto"/>
              </w:rPr>
            </w:pPr>
          </w:p>
        </w:tc>
      </w:tr>
      <w:tr>
        <w:trPr>
          <w:trHeight w:val="274"/>
        </w:trPr>
        <w:tc>
          <w:tcPr>
            <w:tcW w:w="6860" w:type="dxa"/>
            <w:vAlign w:val="bottom"/>
            <w:vMerge w:val="restart"/>
          </w:tcPr>
          <w:p>
            <w:pPr>
              <w:spacing w:after="0"/>
              <w:rPr>
                <w:sz w:val="23"/>
                <w:szCs w:val="23"/>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238"/>
        </w:trPr>
        <w:tc>
          <w:tcPr>
            <w:tcW w:w="68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920" w:type="dxa"/>
            <w:vAlign w:val="bottom"/>
            <w:gridSpan w:val="2"/>
            <w:vMerge w:val="restart"/>
          </w:tcPr>
          <w:p>
            <w:pPr>
              <w:ind w:left="60"/>
              <w:spacing w:after="0"/>
              <w:rPr>
                <w:sz w:val="20"/>
                <w:szCs w:val="20"/>
                <w:color w:val="auto"/>
              </w:rPr>
            </w:pPr>
            <w:r>
              <w:rPr>
                <w:rFonts w:ascii="Arial" w:cs="Arial" w:eastAsia="Arial" w:hAnsi="Arial"/>
                <w:sz w:val="22"/>
                <w:szCs w:val="22"/>
                <w:color w:val="auto"/>
              </w:rPr>
              <w:t>/s/ Jessica</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Maizel</w:t>
            </w:r>
          </w:p>
        </w:tc>
        <w:tc>
          <w:tcPr>
            <w:tcW w:w="920" w:type="dxa"/>
            <w:vAlign w:val="bottom"/>
            <w:tcBorders>
              <w:top w:val="single" w:sz="8" w:color="auto"/>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Name: Jessica Maizel</w:t>
            </w:r>
          </w:p>
        </w:tc>
        <w:tc>
          <w:tcPr>
            <w:tcW w:w="0" w:type="dxa"/>
            <w:vAlign w:val="bottom"/>
          </w:tcPr>
          <w:p>
            <w:pPr>
              <w:spacing w:after="0"/>
              <w:rPr>
                <w:sz w:val="1"/>
                <w:szCs w:val="1"/>
                <w:color w:val="auto"/>
              </w:rPr>
            </w:pPr>
          </w:p>
        </w:tc>
      </w:tr>
      <w:tr>
        <w:trPr>
          <w:trHeight w:val="274"/>
        </w:trPr>
        <w:tc>
          <w:tcPr>
            <w:tcW w:w="6860" w:type="dxa"/>
            <w:vAlign w:val="bottom"/>
          </w:tcPr>
          <w:p>
            <w:pPr>
              <w:spacing w:after="0"/>
              <w:rPr>
                <w:sz w:val="23"/>
                <w:szCs w:val="23"/>
                <w:color w:val="auto"/>
              </w:rPr>
            </w:pPr>
          </w:p>
        </w:tc>
        <w:tc>
          <w:tcPr>
            <w:tcW w:w="2820" w:type="dxa"/>
            <w:vAlign w:val="bottom"/>
            <w:gridSpan w:val="3"/>
          </w:tcPr>
          <w:p>
            <w:pPr>
              <w:spacing w:after="0"/>
              <w:rPr>
                <w:sz w:val="20"/>
                <w:szCs w:val="20"/>
                <w:color w:val="auto"/>
              </w:rPr>
            </w:pPr>
            <w:r>
              <w:rPr>
                <w:rFonts w:ascii="Arial" w:cs="Arial" w:eastAsia="Arial" w:hAnsi="Arial"/>
                <w:sz w:val="22"/>
                <w:szCs w:val="22"/>
                <w:color w:val="auto"/>
              </w:rPr>
              <w:t>Title: 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22"/>
                <w:szCs w:val="22"/>
                <w:color w:val="auto"/>
              </w:rPr>
              <w:t>BENEFICIAL LIFE</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980" w:type="dxa"/>
            <w:vAlign w:val="bottom"/>
            <w:gridSpan w:val="5"/>
          </w:tcPr>
          <w:p>
            <w:pPr>
              <w:spacing w:after="0" w:line="243" w:lineRule="exact"/>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980" w:type="dxa"/>
            <w:vAlign w:val="bottom"/>
            <w:gridSpan w:val="5"/>
          </w:tcPr>
          <w:p>
            <w:pPr>
              <w:spacing w:after="0" w:line="243" w:lineRule="exact"/>
              <w:rPr>
                <w:sz w:val="20"/>
                <w:szCs w:val="20"/>
                <w:color w:val="auto"/>
              </w:rPr>
            </w:pPr>
            <w:r>
              <w:rPr>
                <w:rFonts w:ascii="Arial" w:cs="Arial" w:eastAsia="Arial" w:hAnsi="Arial"/>
                <w:sz w:val="22"/>
                <w:szCs w:val="22"/>
                <w:color w:val="auto"/>
              </w:rPr>
              <w:t>BY: GOLDMAN SACHS</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820" w:type="dxa"/>
            <w:vAlign w:val="bottom"/>
          </w:tcPr>
          <w:p>
            <w:pPr>
              <w:spacing w:after="0" w:line="243" w:lineRule="exact"/>
              <w:rPr>
                <w:sz w:val="20"/>
                <w:szCs w:val="20"/>
                <w:color w:val="auto"/>
              </w:rPr>
            </w:pPr>
            <w:r>
              <w:rPr>
                <w:rFonts w:ascii="Arial" w:cs="Arial" w:eastAsia="Arial" w:hAnsi="Arial"/>
                <w:sz w:val="22"/>
                <w:szCs w:val="22"/>
                <w:color w:val="auto"/>
              </w:rPr>
              <w:t>ASSET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980" w:type="dxa"/>
            <w:vAlign w:val="bottom"/>
            <w:gridSpan w:val="5"/>
          </w:tcPr>
          <w:p>
            <w:pPr>
              <w:spacing w:after="0" w:line="243" w:lineRule="exact"/>
              <w:rPr>
                <w:sz w:val="20"/>
                <w:szCs w:val="20"/>
                <w:color w:val="auto"/>
              </w:rPr>
            </w:pPr>
            <w:r>
              <w:rPr>
                <w:rFonts w:ascii="Arial" w:cs="Arial" w:eastAsia="Arial" w:hAnsi="Arial"/>
                <w:sz w:val="22"/>
                <w:szCs w:val="22"/>
                <w:color w:val="auto"/>
              </w:rPr>
              <w:t>MANAGEMENT,</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1"/>
                <w:szCs w:val="21"/>
                <w:color w:val="auto"/>
              </w:rPr>
            </w:pPr>
          </w:p>
        </w:tc>
        <w:tc>
          <w:tcPr>
            <w:tcW w:w="2980" w:type="dxa"/>
            <w:vAlign w:val="bottom"/>
            <w:gridSpan w:val="5"/>
          </w:tcPr>
          <w:p>
            <w:pPr>
              <w:spacing w:after="0" w:line="243" w:lineRule="exact"/>
              <w:rPr>
                <w:sz w:val="20"/>
                <w:szCs w:val="20"/>
                <w:color w:val="auto"/>
              </w:rPr>
            </w:pPr>
            <w:r>
              <w:rPr>
                <w:rFonts w:ascii="Arial" w:cs="Arial" w:eastAsia="Arial" w:hAnsi="Arial"/>
                <w:sz w:val="22"/>
                <w:szCs w:val="22"/>
                <w:color w:val="auto"/>
              </w:rPr>
              <w:t>L.P., AS INVESTMENT</w:t>
            </w:r>
          </w:p>
        </w:tc>
        <w:tc>
          <w:tcPr>
            <w:tcW w:w="0" w:type="dxa"/>
            <w:vAlign w:val="bottom"/>
          </w:tcPr>
          <w:p>
            <w:pPr>
              <w:spacing w:after="0"/>
              <w:rPr>
                <w:sz w:val="1"/>
                <w:szCs w:val="1"/>
                <w:color w:val="auto"/>
              </w:rPr>
            </w:pPr>
          </w:p>
        </w:tc>
      </w:tr>
      <w:tr>
        <w:trPr>
          <w:trHeight w:val="274"/>
        </w:trPr>
        <w:tc>
          <w:tcPr>
            <w:tcW w:w="6980" w:type="dxa"/>
            <w:vAlign w:val="bottom"/>
            <w:vMerge w:val="restart"/>
          </w:tcPr>
          <w:p>
            <w:pPr>
              <w:spacing w:after="0"/>
              <w:rPr>
                <w:sz w:val="23"/>
                <w:szCs w:val="23"/>
                <w:color w:val="auto"/>
              </w:rPr>
            </w:pPr>
          </w:p>
        </w:tc>
        <w:tc>
          <w:tcPr>
            <w:tcW w:w="2980" w:type="dxa"/>
            <w:vAlign w:val="bottom"/>
            <w:gridSpan w:val="5"/>
          </w:tcPr>
          <w:p>
            <w:pPr>
              <w:spacing w:after="0"/>
              <w:rPr>
                <w:sz w:val="20"/>
                <w:szCs w:val="20"/>
                <w:color w:val="auto"/>
              </w:rPr>
            </w:pPr>
            <w:r>
              <w:rPr>
                <w:rFonts w:ascii="Arial" w:cs="Arial" w:eastAsia="Arial" w:hAnsi="Arial"/>
                <w:sz w:val="22"/>
                <w:szCs w:val="22"/>
                <w:color w:val="auto"/>
              </w:rPr>
              <w:t>MANAGER</w:t>
            </w:r>
          </w:p>
        </w:tc>
        <w:tc>
          <w:tcPr>
            <w:tcW w:w="0" w:type="dxa"/>
            <w:vAlign w:val="bottom"/>
          </w:tcPr>
          <w:p>
            <w:pPr>
              <w:spacing w:after="0"/>
              <w:rPr>
                <w:sz w:val="1"/>
                <w:szCs w:val="1"/>
                <w:color w:val="auto"/>
              </w:rPr>
            </w:pPr>
          </w:p>
        </w:tc>
      </w:tr>
      <w:tr>
        <w:trPr>
          <w:trHeight w:val="238"/>
        </w:trPr>
        <w:tc>
          <w:tcPr>
            <w:tcW w:w="698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22"/>
                <w:szCs w:val="22"/>
                <w:color w:val="auto"/>
              </w:rPr>
              <w:t>By</w:t>
            </w:r>
          </w:p>
        </w:tc>
        <w:tc>
          <w:tcPr>
            <w:tcW w:w="2160" w:type="dxa"/>
            <w:vAlign w:val="bottom"/>
            <w:gridSpan w:val="4"/>
            <w:vMerge w:val="restart"/>
          </w:tcPr>
          <w:p>
            <w:pPr>
              <w:ind w:left="140"/>
              <w:spacing w:after="0"/>
              <w:rPr>
                <w:sz w:val="20"/>
                <w:szCs w:val="20"/>
                <w:color w:val="auto"/>
              </w:rPr>
            </w:pPr>
            <w:r>
              <w:rPr>
                <w:rFonts w:ascii="Arial" w:cs="Arial" w:eastAsia="Arial" w:hAnsi="Arial"/>
                <w:sz w:val="22"/>
                <w:szCs w:val="22"/>
                <w:color w:val="auto"/>
              </w:rPr>
              <w:t>/s/ Jessica</w:t>
            </w:r>
          </w:p>
        </w:tc>
        <w:tc>
          <w:tcPr>
            <w:tcW w:w="0" w:type="dxa"/>
            <w:vAlign w:val="bottom"/>
          </w:tcPr>
          <w:p>
            <w:pPr>
              <w:spacing w:after="0"/>
              <w:rPr>
                <w:sz w:val="1"/>
                <w:szCs w:val="1"/>
                <w:color w:val="auto"/>
              </w:rPr>
            </w:pPr>
          </w:p>
        </w:tc>
      </w:tr>
      <w:tr>
        <w:trPr>
          <w:trHeight w:val="211"/>
        </w:trPr>
        <w:tc>
          <w:tcPr>
            <w:tcW w:w="69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1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8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Maizel</w:t>
            </w:r>
          </w:p>
        </w:tc>
        <w:tc>
          <w:tcPr>
            <w:tcW w:w="14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2980" w:type="dxa"/>
            <w:vAlign w:val="bottom"/>
            <w:gridSpan w:val="5"/>
          </w:tcPr>
          <w:p>
            <w:pPr>
              <w:spacing w:after="0"/>
              <w:rPr>
                <w:sz w:val="20"/>
                <w:szCs w:val="20"/>
                <w:color w:val="auto"/>
              </w:rPr>
            </w:pPr>
            <w:r>
              <w:rPr>
                <w:rFonts w:ascii="Arial" w:cs="Arial" w:eastAsia="Arial" w:hAnsi="Arial"/>
                <w:sz w:val="22"/>
                <w:szCs w:val="22"/>
                <w:color w:val="auto"/>
              </w:rPr>
              <w:t>Name: Jessica Maizel</w:t>
            </w:r>
          </w:p>
        </w:tc>
        <w:tc>
          <w:tcPr>
            <w:tcW w:w="0" w:type="dxa"/>
            <w:vAlign w:val="bottom"/>
          </w:tcPr>
          <w:p>
            <w:pPr>
              <w:spacing w:after="0"/>
              <w:rPr>
                <w:sz w:val="1"/>
                <w:szCs w:val="1"/>
                <w:color w:val="auto"/>
              </w:rPr>
            </w:pPr>
          </w:p>
        </w:tc>
      </w:tr>
      <w:tr>
        <w:trPr>
          <w:trHeight w:val="274"/>
        </w:trPr>
        <w:tc>
          <w:tcPr>
            <w:tcW w:w="6980" w:type="dxa"/>
            <w:vAlign w:val="bottom"/>
          </w:tcPr>
          <w:p>
            <w:pPr>
              <w:spacing w:after="0"/>
              <w:rPr>
                <w:sz w:val="23"/>
                <w:szCs w:val="23"/>
                <w:color w:val="auto"/>
              </w:rPr>
            </w:pPr>
          </w:p>
        </w:tc>
        <w:tc>
          <w:tcPr>
            <w:tcW w:w="2980" w:type="dxa"/>
            <w:vAlign w:val="bottom"/>
            <w:gridSpan w:val="5"/>
          </w:tcPr>
          <w:p>
            <w:pPr>
              <w:spacing w:after="0"/>
              <w:rPr>
                <w:sz w:val="20"/>
                <w:szCs w:val="20"/>
                <w:color w:val="auto"/>
              </w:rPr>
            </w:pPr>
            <w:r>
              <w:rPr>
                <w:rFonts w:ascii="Arial" w:cs="Arial" w:eastAsia="Arial" w:hAnsi="Arial"/>
                <w:sz w:val="22"/>
                <w:szCs w:val="22"/>
                <w:color w:val="auto"/>
              </w:rPr>
              <w:t>Title: Managing Director</w:t>
            </w:r>
          </w:p>
        </w:tc>
        <w:tc>
          <w:tcPr>
            <w:tcW w:w="0" w:type="dxa"/>
            <w:vAlign w:val="bottom"/>
          </w:tcPr>
          <w:p>
            <w:pPr>
              <w:spacing w:after="0"/>
              <w:rPr>
                <w:sz w:val="1"/>
                <w:szCs w:val="1"/>
                <w:color w:val="auto"/>
              </w:rPr>
            </w:pPr>
          </w:p>
        </w:tc>
      </w:tr>
      <w:tr>
        <w:trPr>
          <w:trHeight w:val="1110"/>
        </w:trPr>
        <w:tc>
          <w:tcPr>
            <w:tcW w:w="6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75"/>
        </w:trPr>
        <w:tc>
          <w:tcPr>
            <w:tcW w:w="700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0"/>
        </w:trPr>
        <w:tc>
          <w:tcPr>
            <w:tcW w:w="7000" w:type="dxa"/>
            <w:vAlign w:val="bottom"/>
          </w:tcPr>
          <w:p>
            <w:pPr>
              <w:spacing w:after="0"/>
              <w:rPr>
                <w:sz w:val="24"/>
                <w:szCs w:val="24"/>
                <w:color w:val="auto"/>
              </w:rPr>
            </w:pPr>
          </w:p>
        </w:tc>
        <w:tc>
          <w:tcPr>
            <w:tcW w:w="2520" w:type="dxa"/>
            <w:vAlign w:val="bottom"/>
            <w:gridSpan w:val="3"/>
          </w:tcPr>
          <w:p>
            <w:pPr>
              <w:spacing w:after="0"/>
              <w:rPr>
                <w:sz w:val="20"/>
                <w:szCs w:val="20"/>
                <w:color w:val="auto"/>
              </w:rPr>
            </w:pPr>
            <w:r>
              <w:rPr>
                <w:rFonts w:ascii="Arial" w:cs="Arial" w:eastAsia="Arial" w:hAnsi="Arial"/>
                <w:sz w:val="22"/>
                <w:szCs w:val="22"/>
                <w:color w:val="auto"/>
              </w:rPr>
              <w:t>GENWORTH LIFE</w:t>
            </w:r>
          </w:p>
        </w:tc>
        <w:tc>
          <w:tcPr>
            <w:tcW w:w="0" w:type="dxa"/>
            <w:vAlign w:val="bottom"/>
          </w:tcPr>
          <w:p>
            <w:pPr>
              <w:spacing w:after="0"/>
              <w:rPr>
                <w:sz w:val="1"/>
                <w:szCs w:val="1"/>
                <w:color w:val="auto"/>
              </w:rPr>
            </w:pPr>
          </w:p>
        </w:tc>
      </w:tr>
      <w:tr>
        <w:trPr>
          <w:trHeight w:val="274"/>
        </w:trPr>
        <w:tc>
          <w:tcPr>
            <w:tcW w:w="7000" w:type="dxa"/>
            <w:vAlign w:val="bottom"/>
            <w:vMerge w:val="restart"/>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38"/>
        </w:trPr>
        <w:tc>
          <w:tcPr>
            <w:tcW w:w="7000" w:type="dxa"/>
            <w:vAlign w:val="bottom"/>
            <w:vMerge w:val="continue"/>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620" w:type="dxa"/>
            <w:vAlign w:val="bottom"/>
            <w:gridSpan w:val="2"/>
            <w:vMerge w:val="restart"/>
          </w:tcPr>
          <w:p>
            <w:pPr>
              <w:ind w:left="60"/>
              <w:spacing w:after="0"/>
              <w:rPr>
                <w:sz w:val="20"/>
                <w:szCs w:val="20"/>
                <w:color w:val="auto"/>
              </w:rPr>
            </w:pPr>
            <w:r>
              <w:rPr>
                <w:rFonts w:ascii="Arial" w:cs="Arial" w:eastAsia="Arial" w:hAnsi="Arial"/>
                <w:sz w:val="22"/>
                <w:szCs w:val="22"/>
                <w:color w:val="auto"/>
              </w:rPr>
              <w:t>/s/ Elizabeth</w:t>
            </w:r>
          </w:p>
        </w:tc>
        <w:tc>
          <w:tcPr>
            <w:tcW w:w="0" w:type="dxa"/>
            <w:vAlign w:val="bottom"/>
          </w:tcPr>
          <w:p>
            <w:pPr>
              <w:spacing w:after="0"/>
              <w:rPr>
                <w:sz w:val="1"/>
                <w:szCs w:val="1"/>
                <w:color w:val="auto"/>
              </w:rPr>
            </w:pPr>
          </w:p>
        </w:tc>
      </w:tr>
      <w:tr>
        <w:trPr>
          <w:trHeight w:val="211"/>
        </w:trPr>
        <w:tc>
          <w:tcPr>
            <w:tcW w:w="70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19"/>
                <w:szCs w:val="19"/>
                <w:color w:val="auto"/>
              </w:rPr>
            </w:pPr>
          </w:p>
        </w:tc>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Coley</w:t>
            </w:r>
          </w:p>
        </w:tc>
        <w:tc>
          <w:tcPr>
            <w:tcW w:w="1120" w:type="dxa"/>
            <w:vAlign w:val="bottom"/>
            <w:tcBorders>
              <w:top w:val="single" w:sz="8" w:color="auto"/>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00" w:type="dxa"/>
            <w:vAlign w:val="bottom"/>
          </w:tcPr>
          <w:p>
            <w:pPr>
              <w:spacing w:after="0"/>
              <w:rPr>
                <w:sz w:val="22"/>
                <w:szCs w:val="22"/>
                <w:color w:val="auto"/>
              </w:rPr>
            </w:pPr>
          </w:p>
        </w:tc>
        <w:tc>
          <w:tcPr>
            <w:tcW w:w="2520" w:type="dxa"/>
            <w:vAlign w:val="bottom"/>
            <w:gridSpan w:val="3"/>
          </w:tcPr>
          <w:p>
            <w:pPr>
              <w:spacing w:after="0"/>
              <w:rPr>
                <w:sz w:val="20"/>
                <w:szCs w:val="20"/>
                <w:color w:val="auto"/>
              </w:rPr>
            </w:pPr>
            <w:r>
              <w:rPr>
                <w:rFonts w:ascii="Arial" w:cs="Arial" w:eastAsia="Arial" w:hAnsi="Arial"/>
                <w:sz w:val="22"/>
                <w:szCs w:val="22"/>
                <w:color w:val="auto"/>
              </w:rPr>
              <w:t>Name: Elizabeth Coley</w:t>
            </w:r>
          </w:p>
        </w:tc>
        <w:tc>
          <w:tcPr>
            <w:tcW w:w="0" w:type="dxa"/>
            <w:vAlign w:val="bottom"/>
          </w:tcPr>
          <w:p>
            <w:pPr>
              <w:spacing w:after="0"/>
              <w:rPr>
                <w:sz w:val="1"/>
                <w:szCs w:val="1"/>
                <w:color w:val="auto"/>
              </w:rPr>
            </w:pPr>
          </w:p>
        </w:tc>
      </w:tr>
      <w:tr>
        <w:trPr>
          <w:trHeight w:val="274"/>
        </w:trPr>
        <w:tc>
          <w:tcPr>
            <w:tcW w:w="700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22"/>
                <w:szCs w:val="22"/>
                <w:color w:val="auto"/>
              </w:rPr>
              <w:t>Title: Investment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22"/>
                <w:szCs w:val="22"/>
                <w:color w:val="auto"/>
              </w:rPr>
              <w:t>GENWORTH LIFE AND</w:t>
            </w:r>
          </w:p>
        </w:tc>
      </w:tr>
      <w:tr>
        <w:trPr>
          <w:trHeight w:val="243"/>
        </w:trPr>
        <w:tc>
          <w:tcPr>
            <w:tcW w:w="7000" w:type="dxa"/>
            <w:vAlign w:val="bottom"/>
          </w:tcPr>
          <w:p>
            <w:pPr>
              <w:spacing w:after="0"/>
              <w:rPr>
                <w:sz w:val="21"/>
                <w:szCs w:val="21"/>
                <w:color w:val="auto"/>
              </w:rPr>
            </w:pPr>
          </w:p>
        </w:tc>
        <w:tc>
          <w:tcPr>
            <w:tcW w:w="1000" w:type="dxa"/>
            <w:vAlign w:val="bottom"/>
            <w:gridSpan w:val="2"/>
          </w:tcPr>
          <w:p>
            <w:pPr>
              <w:spacing w:after="0" w:line="243" w:lineRule="exact"/>
              <w:rPr>
                <w:sz w:val="20"/>
                <w:szCs w:val="20"/>
                <w:color w:val="auto"/>
              </w:rPr>
            </w:pPr>
            <w:r>
              <w:rPr>
                <w:rFonts w:ascii="Arial" w:cs="Arial" w:eastAsia="Arial" w:hAnsi="Arial"/>
                <w:sz w:val="22"/>
                <w:szCs w:val="22"/>
                <w:color w:val="auto"/>
              </w:rPr>
              <w:t>ANNUITY</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7000" w:type="dxa"/>
            <w:vAlign w:val="bottom"/>
          </w:tcPr>
          <w:p>
            <w:pPr>
              <w:spacing w:after="0"/>
              <w:rPr>
                <w:sz w:val="21"/>
                <w:szCs w:val="21"/>
                <w:color w:val="auto"/>
              </w:rPr>
            </w:pPr>
          </w:p>
        </w:tc>
        <w:tc>
          <w:tcPr>
            <w:tcW w:w="2960" w:type="dxa"/>
            <w:vAlign w:val="bottom"/>
            <w:gridSpan w:val="5"/>
          </w:tcPr>
          <w:p>
            <w:pPr>
              <w:spacing w:after="0" w:line="243" w:lineRule="exact"/>
              <w:rPr>
                <w:sz w:val="20"/>
                <w:szCs w:val="20"/>
                <w:color w:val="auto"/>
              </w:rPr>
            </w:pPr>
            <w:r>
              <w:rPr>
                <w:rFonts w:ascii="Arial" w:cs="Arial" w:eastAsia="Arial" w:hAnsi="Arial"/>
                <w:sz w:val="22"/>
                <w:szCs w:val="22"/>
                <w:color w:val="auto"/>
              </w:rPr>
              <w:t>INSURANCE COMPANY</w:t>
            </w:r>
          </w:p>
        </w:tc>
      </w:tr>
      <w:tr>
        <w:trPr>
          <w:trHeight w:val="224"/>
        </w:trPr>
        <w:tc>
          <w:tcPr>
            <w:tcW w:w="7000" w:type="dxa"/>
            <w:vAlign w:val="bottom"/>
          </w:tcPr>
          <w:p>
            <w:pPr>
              <w:spacing w:after="0"/>
              <w:rPr>
                <w:sz w:val="19"/>
                <w:szCs w:val="19"/>
                <w:color w:val="auto"/>
              </w:rPr>
            </w:pPr>
          </w:p>
        </w:tc>
        <w:tc>
          <w:tcPr>
            <w:tcW w:w="960" w:type="dxa"/>
            <w:vAlign w:val="bottom"/>
          </w:tcPr>
          <w:p>
            <w:pPr>
              <w:spacing w:after="0" w:line="204" w:lineRule="exact"/>
              <w:rPr>
                <w:sz w:val="20"/>
                <w:szCs w:val="20"/>
                <w:color w:val="auto"/>
              </w:rPr>
            </w:pPr>
            <w:r>
              <w:rPr>
                <w:rFonts w:ascii="Arial" w:cs="Arial" w:eastAsia="Arial" w:hAnsi="Arial"/>
                <w:sz w:val="22"/>
                <w:szCs w:val="22"/>
                <w:color w:val="auto"/>
              </w:rPr>
              <w:t>By</w:t>
            </w:r>
          </w:p>
        </w:tc>
        <w:tc>
          <w:tcPr>
            <w:tcW w:w="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line="204" w:lineRule="exact"/>
              <w:rPr>
                <w:sz w:val="20"/>
                <w:szCs w:val="20"/>
                <w:color w:val="auto"/>
              </w:rPr>
            </w:pPr>
            <w:r>
              <w:rPr>
                <w:rFonts w:ascii="Arial" w:cs="Arial" w:eastAsia="Arial" w:hAnsi="Arial"/>
                <w:sz w:val="22"/>
                <w:szCs w:val="22"/>
                <w:color w:val="auto"/>
                <w:w w:val="88"/>
              </w:rPr>
              <w:t>/s/ Elizabeth</w:t>
            </w:r>
          </w:p>
        </w:tc>
        <w:tc>
          <w:tcPr>
            <w:tcW w:w="880" w:type="dxa"/>
            <w:vAlign w:val="bottom"/>
            <w:gridSpan w:val="2"/>
          </w:tcPr>
          <w:p>
            <w:pPr>
              <w:spacing w:after="0"/>
              <w:rPr>
                <w:sz w:val="19"/>
                <w:szCs w:val="19"/>
                <w:color w:val="auto"/>
              </w:rPr>
            </w:pPr>
          </w:p>
        </w:tc>
      </w:tr>
      <w:tr>
        <w:trPr>
          <w:trHeight w:val="223"/>
        </w:trPr>
        <w:tc>
          <w:tcPr>
            <w:tcW w:w="7000" w:type="dxa"/>
            <w:vAlign w:val="bottom"/>
          </w:tcPr>
          <w:p>
            <w:pPr>
              <w:spacing w:after="0"/>
              <w:rPr>
                <w:sz w:val="19"/>
                <w:szCs w:val="19"/>
                <w:color w:val="auto"/>
              </w:rPr>
            </w:pPr>
          </w:p>
        </w:tc>
        <w:tc>
          <w:tcPr>
            <w:tcW w:w="100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rPr>
              <w:t>Coley</w:t>
            </w: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r>
      <w:tr>
        <w:trPr>
          <w:trHeight w:val="256"/>
        </w:trPr>
        <w:tc>
          <w:tcPr>
            <w:tcW w:w="7000" w:type="dxa"/>
            <w:vAlign w:val="bottom"/>
          </w:tcPr>
          <w:p>
            <w:pPr>
              <w:spacing w:after="0"/>
              <w:rPr>
                <w:sz w:val="22"/>
                <w:szCs w:val="22"/>
                <w:color w:val="auto"/>
              </w:rPr>
            </w:pPr>
          </w:p>
        </w:tc>
        <w:tc>
          <w:tcPr>
            <w:tcW w:w="2960" w:type="dxa"/>
            <w:vAlign w:val="bottom"/>
            <w:gridSpan w:val="5"/>
          </w:tcPr>
          <w:p>
            <w:pPr>
              <w:spacing w:after="0"/>
              <w:rPr>
                <w:sz w:val="20"/>
                <w:szCs w:val="20"/>
                <w:color w:val="auto"/>
              </w:rPr>
            </w:pPr>
            <w:r>
              <w:rPr>
                <w:rFonts w:ascii="Arial" w:cs="Arial" w:eastAsia="Arial" w:hAnsi="Arial"/>
                <w:sz w:val="22"/>
                <w:szCs w:val="22"/>
                <w:color w:val="auto"/>
              </w:rPr>
              <w:t>Name: Elizabeth Coley</w:t>
            </w:r>
          </w:p>
        </w:tc>
      </w:tr>
      <w:tr>
        <w:trPr>
          <w:trHeight w:val="274"/>
        </w:trPr>
        <w:tc>
          <w:tcPr>
            <w:tcW w:w="7000" w:type="dxa"/>
            <w:vAlign w:val="bottom"/>
          </w:tcPr>
          <w:p>
            <w:pPr>
              <w:spacing w:after="0"/>
              <w:rPr>
                <w:sz w:val="23"/>
                <w:szCs w:val="23"/>
                <w:color w:val="auto"/>
              </w:rPr>
            </w:pPr>
          </w:p>
        </w:tc>
        <w:tc>
          <w:tcPr>
            <w:tcW w:w="2960" w:type="dxa"/>
            <w:vAlign w:val="bottom"/>
            <w:gridSpan w:val="5"/>
          </w:tcPr>
          <w:p>
            <w:pPr>
              <w:spacing w:after="0"/>
              <w:rPr>
                <w:sz w:val="20"/>
                <w:szCs w:val="20"/>
                <w:color w:val="auto"/>
              </w:rPr>
            </w:pPr>
            <w:r>
              <w:rPr>
                <w:rFonts w:ascii="Arial" w:cs="Arial" w:eastAsia="Arial" w:hAnsi="Arial"/>
                <w:sz w:val="22"/>
                <w:szCs w:val="22"/>
                <w:color w:val="auto"/>
              </w:rPr>
              <w:t>Title: Investment Officer</w:t>
            </w:r>
          </w:p>
        </w:tc>
      </w:tr>
      <w:tr>
        <w:trPr>
          <w:trHeight w:val="252"/>
        </w:trPr>
        <w:tc>
          <w:tcPr>
            <w:tcW w:w="7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467"/>
        </w:trPr>
        <w:tc>
          <w:tcPr>
            <w:tcW w:w="7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r>
        <w:trPr>
          <w:trHeight w:val="20"/>
        </w:trPr>
        <w:tc>
          <w:tcPr>
            <w:tcW w:w="70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75"/>
        </w:trPr>
        <w:tc>
          <w:tcPr>
            <w:tcW w:w="702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9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0"/>
        </w:trPr>
        <w:tc>
          <w:tcPr>
            <w:tcW w:w="702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Arial" w:cs="Arial" w:eastAsia="Arial" w:hAnsi="Arial"/>
                <w:sz w:val="22"/>
                <w:szCs w:val="22"/>
                <w:color w:val="auto"/>
                <w:w w:val="96"/>
              </w:rPr>
              <w:t>UNITED OF OMAHA LIFE</w:t>
            </w:r>
          </w:p>
        </w:tc>
        <w:tc>
          <w:tcPr>
            <w:tcW w:w="0" w:type="dxa"/>
            <w:vAlign w:val="bottom"/>
          </w:tcPr>
          <w:p>
            <w:pPr>
              <w:spacing w:after="0"/>
              <w:rPr>
                <w:sz w:val="1"/>
                <w:szCs w:val="1"/>
                <w:color w:val="auto"/>
              </w:rPr>
            </w:pPr>
          </w:p>
        </w:tc>
      </w:tr>
      <w:tr>
        <w:trPr>
          <w:trHeight w:val="274"/>
        </w:trPr>
        <w:tc>
          <w:tcPr>
            <w:tcW w:w="7020" w:type="dxa"/>
            <w:vAlign w:val="bottom"/>
            <w:vMerge w:val="restart"/>
          </w:tcPr>
          <w:p>
            <w:pPr>
              <w:spacing w:after="0"/>
              <w:rPr>
                <w:sz w:val="23"/>
                <w:szCs w:val="23"/>
                <w:color w:val="auto"/>
              </w:rPr>
            </w:pPr>
          </w:p>
        </w:tc>
        <w:tc>
          <w:tcPr>
            <w:tcW w:w="2520" w:type="dxa"/>
            <w:vAlign w:val="bottom"/>
            <w:gridSpan w:val="4"/>
          </w:tcPr>
          <w:p>
            <w:pPr>
              <w:spacing w:after="0"/>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38"/>
        </w:trPr>
        <w:tc>
          <w:tcPr>
            <w:tcW w:w="7020" w:type="dxa"/>
            <w:vAlign w:val="bottom"/>
            <w:vMerge w:val="continue"/>
          </w:tcPr>
          <w:p>
            <w:pPr>
              <w:spacing w:after="0"/>
              <w:rPr>
                <w:sz w:val="20"/>
                <w:szCs w:val="20"/>
                <w:color w:val="auto"/>
              </w:rPr>
            </w:pPr>
          </w:p>
        </w:tc>
        <w:tc>
          <w:tcPr>
            <w:tcW w:w="9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560" w:type="dxa"/>
            <w:vAlign w:val="bottom"/>
            <w:gridSpan w:val="3"/>
            <w:vMerge w:val="restart"/>
          </w:tcPr>
          <w:p>
            <w:pPr>
              <w:spacing w:after="0"/>
              <w:rPr>
                <w:sz w:val="20"/>
                <w:szCs w:val="20"/>
                <w:color w:val="auto"/>
              </w:rPr>
            </w:pPr>
            <w:r>
              <w:rPr>
                <w:rFonts w:ascii="Arial" w:cs="Arial" w:eastAsia="Arial" w:hAnsi="Arial"/>
                <w:sz w:val="22"/>
                <w:szCs w:val="22"/>
                <w:color w:val="auto"/>
              </w:rPr>
              <w:t>/s/ Justin P.</w:t>
            </w:r>
          </w:p>
        </w:tc>
        <w:tc>
          <w:tcPr>
            <w:tcW w:w="0" w:type="dxa"/>
            <w:vAlign w:val="bottom"/>
          </w:tcPr>
          <w:p>
            <w:pPr>
              <w:spacing w:after="0"/>
              <w:rPr>
                <w:sz w:val="1"/>
                <w:szCs w:val="1"/>
                <w:color w:val="auto"/>
              </w:rPr>
            </w:pPr>
          </w:p>
        </w:tc>
      </w:tr>
      <w:tr>
        <w:trPr>
          <w:trHeight w:val="211"/>
        </w:trPr>
        <w:tc>
          <w:tcPr>
            <w:tcW w:w="70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9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Kavan</w:t>
            </w:r>
          </w:p>
        </w:tc>
        <w:tc>
          <w:tcPr>
            <w:tcW w:w="96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2"/>
                <w:szCs w:val="22"/>
                <w:color w:val="auto"/>
              </w:rPr>
            </w:pPr>
          </w:p>
        </w:tc>
        <w:tc>
          <w:tcPr>
            <w:tcW w:w="2520" w:type="dxa"/>
            <w:vAlign w:val="bottom"/>
            <w:gridSpan w:val="4"/>
          </w:tcPr>
          <w:p>
            <w:pPr>
              <w:spacing w:after="0"/>
              <w:rPr>
                <w:sz w:val="20"/>
                <w:szCs w:val="20"/>
                <w:color w:val="auto"/>
              </w:rPr>
            </w:pPr>
            <w:r>
              <w:rPr>
                <w:rFonts w:ascii="Arial" w:cs="Arial" w:eastAsia="Arial" w:hAnsi="Arial"/>
                <w:sz w:val="22"/>
                <w:szCs w:val="22"/>
                <w:color w:val="auto"/>
              </w:rPr>
              <w:t>Name: Justin P. Kavan</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2520" w:type="dxa"/>
            <w:vAlign w:val="bottom"/>
            <w:gridSpan w:val="4"/>
          </w:tcPr>
          <w:p>
            <w:pPr>
              <w:spacing w:after="0" w:line="243" w:lineRule="exact"/>
              <w:rPr>
                <w:sz w:val="20"/>
                <w:szCs w:val="20"/>
                <w:color w:val="auto"/>
              </w:rPr>
            </w:pPr>
            <w:r>
              <w:rPr>
                <w:rFonts w:ascii="Arial" w:cs="Arial" w:eastAsia="Arial" w:hAnsi="Arial"/>
                <w:sz w:val="22"/>
                <w:szCs w:val="22"/>
                <w:color w:val="auto"/>
              </w:rPr>
              <w:t>Title: Head of Private</w:t>
            </w:r>
          </w:p>
        </w:tc>
        <w:tc>
          <w:tcPr>
            <w:tcW w:w="0" w:type="dxa"/>
            <w:vAlign w:val="bottom"/>
          </w:tcPr>
          <w:p>
            <w:pPr>
              <w:spacing w:after="0"/>
              <w:rPr>
                <w:sz w:val="1"/>
                <w:szCs w:val="1"/>
                <w:color w:val="auto"/>
              </w:rPr>
            </w:pPr>
          </w:p>
        </w:tc>
      </w:tr>
      <w:tr>
        <w:trPr>
          <w:trHeight w:val="274"/>
        </w:trPr>
        <w:tc>
          <w:tcPr>
            <w:tcW w:w="7020" w:type="dxa"/>
            <w:vAlign w:val="bottom"/>
          </w:tcPr>
          <w:p>
            <w:pPr>
              <w:spacing w:after="0"/>
              <w:rPr>
                <w:sz w:val="23"/>
                <w:szCs w:val="23"/>
                <w:color w:val="auto"/>
              </w:rPr>
            </w:pPr>
          </w:p>
        </w:tc>
        <w:tc>
          <w:tcPr>
            <w:tcW w:w="2520" w:type="dxa"/>
            <w:vAlign w:val="bottom"/>
            <w:gridSpan w:val="4"/>
          </w:tcPr>
          <w:p>
            <w:pPr>
              <w:spacing w:after="0"/>
              <w:rPr>
                <w:sz w:val="20"/>
                <w:szCs w:val="20"/>
                <w:color w:val="auto"/>
              </w:rPr>
            </w:pPr>
            <w:r>
              <w:rPr>
                <w:rFonts w:ascii="Arial" w:cs="Arial" w:eastAsia="Arial" w:hAnsi="Arial"/>
                <w:sz w:val="22"/>
                <w:szCs w:val="22"/>
                <w:color w:val="auto"/>
              </w:rPr>
              <w:t>Placements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20" w:type="dxa"/>
            <w:vAlign w:val="bottom"/>
          </w:tcPr>
          <w:p>
            <w:pPr>
              <w:spacing w:after="0"/>
              <w:rPr>
                <w:sz w:val="21"/>
                <w:szCs w:val="21"/>
                <w:color w:val="auto"/>
              </w:rPr>
            </w:pPr>
          </w:p>
        </w:tc>
        <w:tc>
          <w:tcPr>
            <w:tcW w:w="2940" w:type="dxa"/>
            <w:vAlign w:val="bottom"/>
            <w:gridSpan w:val="4"/>
          </w:tcPr>
          <w:p>
            <w:pPr>
              <w:spacing w:after="0"/>
              <w:rPr>
                <w:sz w:val="20"/>
                <w:szCs w:val="20"/>
                <w:color w:val="auto"/>
              </w:rPr>
            </w:pPr>
            <w:r>
              <w:rPr>
                <w:rFonts w:ascii="Arial" w:cs="Arial" w:eastAsia="Arial" w:hAnsi="Arial"/>
                <w:sz w:val="22"/>
                <w:szCs w:val="22"/>
                <w:color w:val="auto"/>
              </w:rPr>
              <w:t>MUTUAL OF OMAHA</w:t>
            </w:r>
          </w:p>
        </w:tc>
        <w:tc>
          <w:tcPr>
            <w:tcW w:w="0" w:type="dxa"/>
            <w:vAlign w:val="bottom"/>
          </w:tcPr>
          <w:p>
            <w:pPr>
              <w:spacing w:after="0"/>
              <w:rPr>
                <w:sz w:val="1"/>
                <w:szCs w:val="1"/>
                <w:color w:val="auto"/>
              </w:rPr>
            </w:pPr>
          </w:p>
        </w:tc>
      </w:tr>
      <w:tr>
        <w:trPr>
          <w:trHeight w:val="274"/>
        </w:trPr>
        <w:tc>
          <w:tcPr>
            <w:tcW w:w="7020" w:type="dxa"/>
            <w:vAlign w:val="bottom"/>
            <w:vMerge w:val="restart"/>
          </w:tcPr>
          <w:p>
            <w:pPr>
              <w:spacing w:after="0"/>
              <w:rPr>
                <w:sz w:val="23"/>
                <w:szCs w:val="23"/>
                <w:color w:val="auto"/>
              </w:rPr>
            </w:pPr>
          </w:p>
        </w:tc>
        <w:tc>
          <w:tcPr>
            <w:tcW w:w="2940" w:type="dxa"/>
            <w:vAlign w:val="bottom"/>
            <w:gridSpan w:val="4"/>
          </w:tcPr>
          <w:p>
            <w:pPr>
              <w:spacing w:after="0"/>
              <w:rPr>
                <w:sz w:val="20"/>
                <w:szCs w:val="20"/>
                <w:color w:val="auto"/>
              </w:rPr>
            </w:pPr>
            <w:r>
              <w:rPr>
                <w:rFonts w:ascii="Arial" w:cs="Arial" w:eastAsia="Arial" w:hAnsi="Arial"/>
                <w:sz w:val="22"/>
                <w:szCs w:val="22"/>
                <w:color w:val="auto"/>
              </w:rPr>
              <w:t>INSURANCE COMPANY</w:t>
            </w:r>
          </w:p>
        </w:tc>
        <w:tc>
          <w:tcPr>
            <w:tcW w:w="0" w:type="dxa"/>
            <w:vAlign w:val="bottom"/>
          </w:tcPr>
          <w:p>
            <w:pPr>
              <w:spacing w:after="0"/>
              <w:rPr>
                <w:sz w:val="1"/>
                <w:szCs w:val="1"/>
                <w:color w:val="auto"/>
              </w:rPr>
            </w:pPr>
          </w:p>
        </w:tc>
      </w:tr>
      <w:tr>
        <w:trPr>
          <w:trHeight w:val="238"/>
        </w:trPr>
        <w:tc>
          <w:tcPr>
            <w:tcW w:w="7020" w:type="dxa"/>
            <w:vAlign w:val="bottom"/>
            <w:vMerge w:val="continue"/>
          </w:tcPr>
          <w:p>
            <w:pPr>
              <w:spacing w:after="0"/>
              <w:rPr>
                <w:sz w:val="20"/>
                <w:szCs w:val="20"/>
                <w:color w:val="auto"/>
              </w:rPr>
            </w:pPr>
          </w:p>
        </w:tc>
        <w:tc>
          <w:tcPr>
            <w:tcW w:w="9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1980" w:type="dxa"/>
            <w:vAlign w:val="bottom"/>
            <w:gridSpan w:val="3"/>
            <w:vMerge w:val="restart"/>
          </w:tcPr>
          <w:p>
            <w:pPr>
              <w:spacing w:after="0"/>
              <w:rPr>
                <w:sz w:val="20"/>
                <w:szCs w:val="20"/>
                <w:color w:val="auto"/>
              </w:rPr>
            </w:pPr>
            <w:r>
              <w:rPr>
                <w:rFonts w:ascii="Arial" w:cs="Arial" w:eastAsia="Arial" w:hAnsi="Arial"/>
                <w:sz w:val="22"/>
                <w:szCs w:val="22"/>
                <w:color w:val="auto"/>
              </w:rPr>
              <w:t>/s/ Justin P.</w:t>
            </w:r>
          </w:p>
        </w:tc>
        <w:tc>
          <w:tcPr>
            <w:tcW w:w="0" w:type="dxa"/>
            <w:vAlign w:val="bottom"/>
          </w:tcPr>
          <w:p>
            <w:pPr>
              <w:spacing w:after="0"/>
              <w:rPr>
                <w:sz w:val="1"/>
                <w:szCs w:val="1"/>
                <w:color w:val="auto"/>
              </w:rPr>
            </w:pPr>
          </w:p>
        </w:tc>
      </w:tr>
      <w:tr>
        <w:trPr>
          <w:trHeight w:val="211"/>
        </w:trPr>
        <w:tc>
          <w:tcPr>
            <w:tcW w:w="70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9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19"/>
                <w:szCs w:val="19"/>
                <w:color w:val="auto"/>
              </w:rPr>
            </w:pPr>
          </w:p>
        </w:tc>
        <w:tc>
          <w:tcPr>
            <w:tcW w:w="9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Kavan</w:t>
            </w:r>
          </w:p>
        </w:tc>
        <w:tc>
          <w:tcPr>
            <w:tcW w:w="96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020" w:type="dxa"/>
            <w:vAlign w:val="bottom"/>
          </w:tcPr>
          <w:p>
            <w:pPr>
              <w:spacing w:after="0"/>
              <w:rPr>
                <w:sz w:val="22"/>
                <w:szCs w:val="22"/>
                <w:color w:val="auto"/>
              </w:rPr>
            </w:pPr>
          </w:p>
        </w:tc>
        <w:tc>
          <w:tcPr>
            <w:tcW w:w="2940" w:type="dxa"/>
            <w:vAlign w:val="bottom"/>
            <w:gridSpan w:val="4"/>
          </w:tcPr>
          <w:p>
            <w:pPr>
              <w:spacing w:after="0"/>
              <w:rPr>
                <w:sz w:val="20"/>
                <w:szCs w:val="20"/>
                <w:color w:val="auto"/>
              </w:rPr>
            </w:pPr>
            <w:r>
              <w:rPr>
                <w:rFonts w:ascii="Arial" w:cs="Arial" w:eastAsia="Arial" w:hAnsi="Arial"/>
                <w:sz w:val="22"/>
                <w:szCs w:val="22"/>
                <w:color w:val="auto"/>
              </w:rPr>
              <w:t>Name: Justin P. Kavan</w:t>
            </w: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1"/>
                <w:szCs w:val="21"/>
                <w:color w:val="auto"/>
              </w:rPr>
            </w:pPr>
          </w:p>
        </w:tc>
        <w:tc>
          <w:tcPr>
            <w:tcW w:w="2940" w:type="dxa"/>
            <w:vAlign w:val="bottom"/>
            <w:gridSpan w:val="4"/>
          </w:tcPr>
          <w:p>
            <w:pPr>
              <w:spacing w:after="0" w:line="243" w:lineRule="exact"/>
              <w:rPr>
                <w:sz w:val="20"/>
                <w:szCs w:val="20"/>
                <w:color w:val="auto"/>
              </w:rPr>
            </w:pPr>
            <w:r>
              <w:rPr>
                <w:rFonts w:ascii="Arial" w:cs="Arial" w:eastAsia="Arial" w:hAnsi="Arial"/>
                <w:sz w:val="22"/>
                <w:szCs w:val="22"/>
                <w:color w:val="auto"/>
              </w:rPr>
              <w:t>Title: Head of Private</w:t>
            </w:r>
          </w:p>
        </w:tc>
        <w:tc>
          <w:tcPr>
            <w:tcW w:w="0" w:type="dxa"/>
            <w:vAlign w:val="bottom"/>
          </w:tcPr>
          <w:p>
            <w:pPr>
              <w:spacing w:after="0"/>
              <w:rPr>
                <w:sz w:val="1"/>
                <w:szCs w:val="1"/>
                <w:color w:val="auto"/>
              </w:rPr>
            </w:pPr>
          </w:p>
        </w:tc>
      </w:tr>
      <w:tr>
        <w:trPr>
          <w:trHeight w:val="274"/>
        </w:trPr>
        <w:tc>
          <w:tcPr>
            <w:tcW w:w="7020" w:type="dxa"/>
            <w:vAlign w:val="bottom"/>
          </w:tcPr>
          <w:p>
            <w:pPr>
              <w:spacing w:after="0"/>
              <w:rPr>
                <w:sz w:val="23"/>
                <w:szCs w:val="23"/>
                <w:color w:val="auto"/>
              </w:rPr>
            </w:pPr>
          </w:p>
        </w:tc>
        <w:tc>
          <w:tcPr>
            <w:tcW w:w="2940" w:type="dxa"/>
            <w:vAlign w:val="bottom"/>
            <w:gridSpan w:val="4"/>
          </w:tcPr>
          <w:p>
            <w:pPr>
              <w:spacing w:after="0"/>
              <w:rPr>
                <w:sz w:val="20"/>
                <w:szCs w:val="20"/>
                <w:color w:val="auto"/>
              </w:rPr>
            </w:pPr>
            <w:r>
              <w:rPr>
                <w:rFonts w:ascii="Arial" w:cs="Arial" w:eastAsia="Arial" w:hAnsi="Arial"/>
                <w:sz w:val="22"/>
                <w:szCs w:val="22"/>
                <w:color w:val="auto"/>
              </w:rPr>
              <w:t>Placements</w:t>
            </w:r>
          </w:p>
        </w:tc>
        <w:tc>
          <w:tcPr>
            <w:tcW w:w="0" w:type="dxa"/>
            <w:vAlign w:val="bottom"/>
          </w:tcPr>
          <w:p>
            <w:pPr>
              <w:spacing w:after="0"/>
              <w:rPr>
                <w:sz w:val="1"/>
                <w:szCs w:val="1"/>
                <w:color w:val="auto"/>
              </w:rPr>
            </w:pPr>
          </w:p>
        </w:tc>
      </w:tr>
      <w:tr>
        <w:trPr>
          <w:trHeight w:val="449"/>
        </w:trPr>
        <w:tc>
          <w:tcPr>
            <w:tcW w:w="7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5"/>
        </w:trPr>
        <w:tc>
          <w:tcPr>
            <w:tcW w:w="5340" w:type="dxa"/>
            <w:vAlign w:val="bottom"/>
          </w:tcPr>
          <w:p>
            <w:pPr>
              <w:spacing w:after="0"/>
              <w:rPr>
                <w:sz w:val="20"/>
                <w:szCs w:val="20"/>
                <w:color w:val="auto"/>
              </w:rPr>
            </w:pPr>
            <w:r>
              <w:rPr>
                <w:rFonts w:ascii="Arial" w:cs="Arial" w:eastAsia="Arial" w:hAnsi="Arial"/>
                <w:sz w:val="22"/>
                <w:szCs w:val="22"/>
                <w:color w:val="auto"/>
              </w:rPr>
              <w:t>Accepted as of the date first written above</w:t>
            </w:r>
          </w:p>
        </w:tc>
        <w:tc>
          <w:tcPr>
            <w:tcW w:w="4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0"/>
        </w:trPr>
        <w:tc>
          <w:tcPr>
            <w:tcW w:w="5340" w:type="dxa"/>
            <w:vAlign w:val="bottom"/>
          </w:tcPr>
          <w:p>
            <w:pPr>
              <w:spacing w:after="0"/>
              <w:rPr>
                <w:sz w:val="24"/>
                <w:szCs w:val="24"/>
                <w:color w:val="auto"/>
              </w:rPr>
            </w:pPr>
          </w:p>
        </w:tc>
        <w:tc>
          <w:tcPr>
            <w:tcW w:w="4180" w:type="dxa"/>
            <w:vAlign w:val="bottom"/>
          </w:tcPr>
          <w:p>
            <w:pPr>
              <w:ind w:left="1680"/>
              <w:spacing w:after="0"/>
              <w:rPr>
                <w:sz w:val="20"/>
                <w:szCs w:val="20"/>
                <w:color w:val="auto"/>
              </w:rPr>
            </w:pPr>
            <w:r>
              <w:rPr>
                <w:rFonts w:ascii="Arial" w:cs="Arial" w:eastAsia="Arial" w:hAnsi="Arial"/>
                <w:sz w:val="22"/>
                <w:szCs w:val="22"/>
                <w:color w:val="auto"/>
                <w:w w:val="97"/>
              </w:rPr>
              <w:t>UNUM LIFE INSURANCE</w:t>
            </w:r>
          </w:p>
        </w:tc>
        <w:tc>
          <w:tcPr>
            <w:tcW w:w="0" w:type="dxa"/>
            <w:vAlign w:val="bottom"/>
          </w:tcPr>
          <w:p>
            <w:pPr>
              <w:spacing w:after="0"/>
              <w:rPr>
                <w:sz w:val="1"/>
                <w:szCs w:val="1"/>
                <w:color w:val="auto"/>
              </w:rPr>
            </w:pPr>
          </w:p>
        </w:tc>
      </w:tr>
      <w:tr>
        <w:trPr>
          <w:trHeight w:val="274"/>
        </w:trPr>
        <w:tc>
          <w:tcPr>
            <w:tcW w:w="5340" w:type="dxa"/>
            <w:vAlign w:val="bottom"/>
            <w:vMerge w:val="restart"/>
          </w:tcPr>
          <w:p>
            <w:pPr>
              <w:spacing w:after="0"/>
              <w:rPr>
                <w:sz w:val="23"/>
                <w:szCs w:val="23"/>
                <w:color w:val="auto"/>
              </w:rPr>
            </w:pPr>
          </w:p>
        </w:tc>
        <w:tc>
          <w:tcPr>
            <w:tcW w:w="4180" w:type="dxa"/>
            <w:vAlign w:val="bottom"/>
          </w:tcPr>
          <w:p>
            <w:pPr>
              <w:ind w:left="1680"/>
              <w:spacing w:after="0"/>
              <w:rPr>
                <w:sz w:val="20"/>
                <w:szCs w:val="20"/>
                <w:color w:val="auto"/>
              </w:rPr>
            </w:pPr>
            <w:r>
              <w:rPr>
                <w:rFonts w:ascii="Arial" w:cs="Arial" w:eastAsia="Arial" w:hAnsi="Arial"/>
                <w:sz w:val="22"/>
                <w:szCs w:val="22"/>
                <w:color w:val="auto"/>
                <w:w w:val="97"/>
              </w:rPr>
              <w:t>COMPANY OF AMERICA</w:t>
            </w:r>
          </w:p>
        </w:tc>
        <w:tc>
          <w:tcPr>
            <w:tcW w:w="0" w:type="dxa"/>
            <w:vAlign w:val="bottom"/>
          </w:tcPr>
          <w:p>
            <w:pPr>
              <w:spacing w:after="0"/>
              <w:rPr>
                <w:sz w:val="1"/>
                <w:szCs w:val="1"/>
                <w:color w:val="auto"/>
              </w:rPr>
            </w:pPr>
          </w:p>
        </w:tc>
      </w:tr>
      <w:tr>
        <w:trPr>
          <w:trHeight w:val="238"/>
        </w:trPr>
        <w:tc>
          <w:tcPr>
            <w:tcW w:w="5340" w:type="dxa"/>
            <w:vAlign w:val="bottom"/>
            <w:vMerge w:val="continue"/>
          </w:tcPr>
          <w:p>
            <w:pPr>
              <w:spacing w:after="0"/>
              <w:rPr>
                <w:sz w:val="20"/>
                <w:szCs w:val="20"/>
                <w:color w:val="auto"/>
              </w:rPr>
            </w:pPr>
          </w:p>
        </w:tc>
        <w:tc>
          <w:tcPr>
            <w:tcW w:w="4180" w:type="dxa"/>
            <w:vAlign w:val="bottom"/>
            <w:vMerge w:val="restart"/>
          </w:tcPr>
          <w:p>
            <w:pPr>
              <w:ind w:left="1680"/>
              <w:spacing w:after="0"/>
              <w:rPr>
                <w:sz w:val="20"/>
                <w:szCs w:val="20"/>
                <w:color w:val="auto"/>
              </w:rPr>
            </w:pPr>
            <w:r>
              <w:rPr>
                <w:rFonts w:ascii="Arial" w:cs="Arial" w:eastAsia="Arial" w:hAnsi="Arial"/>
                <w:sz w:val="22"/>
                <w:szCs w:val="22"/>
                <w:color w:val="auto"/>
              </w:rPr>
              <w:t>BY: PROVIDENT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4180" w:type="dxa"/>
            <w:vAlign w:val="bottom"/>
          </w:tcPr>
          <w:p>
            <w:pPr>
              <w:ind w:left="1680"/>
              <w:spacing w:after="0" w:line="243" w:lineRule="exact"/>
              <w:rPr>
                <w:sz w:val="20"/>
                <w:szCs w:val="20"/>
                <w:color w:val="auto"/>
              </w:rPr>
            </w:pPr>
            <w:r>
              <w:rPr>
                <w:rFonts w:ascii="Arial" w:cs="Arial" w:eastAsia="Arial" w:hAnsi="Arial"/>
                <w:sz w:val="22"/>
                <w:szCs w:val="22"/>
                <w:color w:val="auto"/>
              </w:rPr>
              <w:t>INVESTMENT</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1"/>
                <w:szCs w:val="21"/>
                <w:color w:val="auto"/>
              </w:rPr>
            </w:pPr>
          </w:p>
        </w:tc>
        <w:tc>
          <w:tcPr>
            <w:tcW w:w="4180" w:type="dxa"/>
            <w:vAlign w:val="bottom"/>
          </w:tcPr>
          <w:p>
            <w:pPr>
              <w:ind w:left="1680"/>
              <w:spacing w:after="0" w:line="243" w:lineRule="exact"/>
              <w:rPr>
                <w:sz w:val="20"/>
                <w:szCs w:val="20"/>
                <w:color w:val="auto"/>
              </w:rPr>
            </w:pPr>
            <w:r>
              <w:rPr>
                <w:rFonts w:ascii="Arial" w:cs="Arial" w:eastAsia="Arial" w:hAnsi="Arial"/>
                <w:sz w:val="22"/>
                <w:szCs w:val="22"/>
                <w:color w:val="auto"/>
                <w:w w:val="96"/>
              </w:rPr>
              <w:t>MANAGEMENT, LLC, ITS</w:t>
            </w:r>
          </w:p>
        </w:tc>
        <w:tc>
          <w:tcPr>
            <w:tcW w:w="0" w:type="dxa"/>
            <w:vAlign w:val="bottom"/>
          </w:tcPr>
          <w:p>
            <w:pPr>
              <w:spacing w:after="0"/>
              <w:rPr>
                <w:sz w:val="1"/>
                <w:szCs w:val="1"/>
                <w:color w:val="auto"/>
              </w:rPr>
            </w:pPr>
          </w:p>
        </w:tc>
      </w:tr>
      <w:tr>
        <w:trPr>
          <w:trHeight w:val="274"/>
        </w:trPr>
        <w:tc>
          <w:tcPr>
            <w:tcW w:w="5340" w:type="dxa"/>
            <w:vAlign w:val="bottom"/>
            <w:vMerge w:val="restart"/>
          </w:tcPr>
          <w:p>
            <w:pPr>
              <w:spacing w:after="0"/>
              <w:rPr>
                <w:sz w:val="23"/>
                <w:szCs w:val="23"/>
                <w:color w:val="auto"/>
              </w:rPr>
            </w:pPr>
          </w:p>
        </w:tc>
        <w:tc>
          <w:tcPr>
            <w:tcW w:w="4180" w:type="dxa"/>
            <w:vAlign w:val="bottom"/>
          </w:tcPr>
          <w:p>
            <w:pPr>
              <w:ind w:left="1680"/>
              <w:spacing w:after="0"/>
              <w:rPr>
                <w:sz w:val="20"/>
                <w:szCs w:val="20"/>
                <w:color w:val="auto"/>
              </w:rPr>
            </w:pPr>
            <w:r>
              <w:rPr>
                <w:rFonts w:ascii="Arial" w:cs="Arial" w:eastAsia="Arial" w:hAnsi="Arial"/>
                <w:sz w:val="22"/>
                <w:szCs w:val="22"/>
                <w:color w:val="auto"/>
              </w:rPr>
              <w:t>AGENT</w:t>
            </w:r>
          </w:p>
        </w:tc>
        <w:tc>
          <w:tcPr>
            <w:tcW w:w="0" w:type="dxa"/>
            <w:vAlign w:val="bottom"/>
          </w:tcPr>
          <w:p>
            <w:pPr>
              <w:spacing w:after="0"/>
              <w:rPr>
                <w:sz w:val="1"/>
                <w:szCs w:val="1"/>
                <w:color w:val="auto"/>
              </w:rPr>
            </w:pPr>
          </w:p>
        </w:tc>
      </w:tr>
      <w:tr>
        <w:trPr>
          <w:trHeight w:val="238"/>
        </w:trPr>
        <w:tc>
          <w:tcPr>
            <w:tcW w:w="534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0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By</w:t>
            </w:r>
          </w:p>
        </w:tc>
        <w:tc>
          <w:tcPr>
            <w:tcW w:w="1980" w:type="dxa"/>
            <w:vAlign w:val="bottom"/>
            <w:gridSpan w:val="3"/>
          </w:tcPr>
          <w:p>
            <w:pPr>
              <w:spacing w:after="0"/>
              <w:rPr>
                <w:sz w:val="20"/>
                <w:szCs w:val="20"/>
                <w:color w:val="auto"/>
              </w:rPr>
            </w:pPr>
            <w:r>
              <w:rPr>
                <w:rFonts w:ascii="Arial" w:cs="Arial" w:eastAsia="Arial" w:hAnsi="Arial"/>
                <w:sz w:val="22"/>
                <w:szCs w:val="22"/>
                <w:color w:val="auto"/>
              </w:rPr>
              <w:t>/s/ Ben</w:t>
            </w:r>
          </w:p>
        </w:tc>
      </w:tr>
      <w:tr>
        <w:trPr>
          <w:trHeight w:val="223"/>
        </w:trPr>
        <w:tc>
          <w:tcPr>
            <w:tcW w:w="7020" w:type="dxa"/>
            <w:vAlign w:val="bottom"/>
          </w:tcPr>
          <w:p>
            <w:pPr>
              <w:spacing w:after="0"/>
              <w:rPr>
                <w:sz w:val="19"/>
                <w:szCs w:val="19"/>
                <w:color w:val="auto"/>
              </w:rPr>
            </w:pPr>
          </w:p>
        </w:tc>
        <w:tc>
          <w:tcPr>
            <w:tcW w:w="96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rPr>
              <w:t>Vance</w:t>
            </w:r>
          </w:p>
        </w:tc>
        <w:tc>
          <w:tcPr>
            <w:tcW w:w="600" w:type="dxa"/>
            <w:vAlign w:val="bottom"/>
            <w:tcBorders>
              <w:top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r>
      <w:tr>
        <w:trPr>
          <w:trHeight w:val="256"/>
        </w:trPr>
        <w:tc>
          <w:tcPr>
            <w:tcW w:w="7020" w:type="dxa"/>
            <w:vAlign w:val="bottom"/>
          </w:tcPr>
          <w:p>
            <w:pPr>
              <w:spacing w:after="0"/>
              <w:rPr>
                <w:sz w:val="22"/>
                <w:szCs w:val="22"/>
                <w:color w:val="auto"/>
              </w:rPr>
            </w:pPr>
          </w:p>
        </w:tc>
        <w:tc>
          <w:tcPr>
            <w:tcW w:w="2940" w:type="dxa"/>
            <w:vAlign w:val="bottom"/>
            <w:gridSpan w:val="4"/>
          </w:tcPr>
          <w:p>
            <w:pPr>
              <w:spacing w:after="0"/>
              <w:rPr>
                <w:sz w:val="20"/>
                <w:szCs w:val="20"/>
                <w:color w:val="auto"/>
              </w:rPr>
            </w:pPr>
            <w:r>
              <w:rPr>
                <w:rFonts w:ascii="Arial" w:cs="Arial" w:eastAsia="Arial" w:hAnsi="Arial"/>
                <w:sz w:val="22"/>
                <w:szCs w:val="22"/>
                <w:color w:val="auto"/>
              </w:rPr>
              <w:t>Name: Ben Vance</w:t>
            </w:r>
          </w:p>
        </w:tc>
      </w:tr>
      <w:tr>
        <w:trPr>
          <w:trHeight w:val="243"/>
        </w:trPr>
        <w:tc>
          <w:tcPr>
            <w:tcW w:w="7020" w:type="dxa"/>
            <w:vAlign w:val="bottom"/>
          </w:tcPr>
          <w:p>
            <w:pPr>
              <w:spacing w:after="0"/>
              <w:rPr>
                <w:sz w:val="21"/>
                <w:szCs w:val="21"/>
                <w:color w:val="auto"/>
              </w:rPr>
            </w:pPr>
          </w:p>
        </w:tc>
        <w:tc>
          <w:tcPr>
            <w:tcW w:w="2940" w:type="dxa"/>
            <w:vAlign w:val="bottom"/>
            <w:gridSpan w:val="4"/>
          </w:tcPr>
          <w:p>
            <w:pPr>
              <w:spacing w:after="0" w:line="243" w:lineRule="exact"/>
              <w:rPr>
                <w:sz w:val="20"/>
                <w:szCs w:val="20"/>
                <w:color w:val="auto"/>
              </w:rPr>
            </w:pPr>
            <w:r>
              <w:rPr>
                <w:rFonts w:ascii="Arial" w:cs="Arial" w:eastAsia="Arial" w:hAnsi="Arial"/>
                <w:sz w:val="22"/>
                <w:szCs w:val="22"/>
                <w:color w:val="auto"/>
              </w:rPr>
              <w:t>Title: Vice President, Senior</w:t>
            </w:r>
          </w:p>
        </w:tc>
      </w:tr>
      <w:tr>
        <w:trPr>
          <w:trHeight w:val="243"/>
        </w:trPr>
        <w:tc>
          <w:tcPr>
            <w:tcW w:w="7020" w:type="dxa"/>
            <w:vAlign w:val="bottom"/>
          </w:tcPr>
          <w:p>
            <w:pPr>
              <w:spacing w:after="0"/>
              <w:rPr>
                <w:sz w:val="21"/>
                <w:szCs w:val="21"/>
                <w:color w:val="auto"/>
              </w:rPr>
            </w:pPr>
          </w:p>
        </w:tc>
        <w:tc>
          <w:tcPr>
            <w:tcW w:w="960" w:type="dxa"/>
            <w:vAlign w:val="bottom"/>
          </w:tcPr>
          <w:p>
            <w:pPr>
              <w:spacing w:after="0" w:line="243" w:lineRule="exact"/>
              <w:rPr>
                <w:sz w:val="20"/>
                <w:szCs w:val="20"/>
                <w:color w:val="auto"/>
              </w:rPr>
            </w:pPr>
            <w:r>
              <w:rPr>
                <w:rFonts w:ascii="Arial" w:cs="Arial" w:eastAsia="Arial" w:hAnsi="Arial"/>
                <w:sz w:val="22"/>
                <w:szCs w:val="22"/>
                <w:color w:val="auto"/>
                <w:w w:val="97"/>
              </w:rPr>
              <w:t>Managing</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4"/>
        </w:trPr>
        <w:tc>
          <w:tcPr>
            <w:tcW w:w="702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22"/>
                <w:szCs w:val="22"/>
                <w:color w:val="auto"/>
              </w:rPr>
              <w:t>Director</w:t>
            </w:r>
          </w:p>
        </w:tc>
        <w:tc>
          <w:tcPr>
            <w:tcW w:w="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52"/>
        </w:trPr>
        <w:tc>
          <w:tcPr>
            <w:tcW w:w="7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710"/>
        </w:trPr>
        <w:tc>
          <w:tcPr>
            <w:tcW w:w="7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r>
        <w:trPr>
          <w:trHeight w:val="20"/>
        </w:trPr>
        <w:tc>
          <w:tcPr>
            <w:tcW w:w="70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118" w:right="95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Information Related to Purchasers</w:t>
      </w:r>
    </w:p>
    <w:p>
      <w:pPr>
        <w:spacing w:after="0" w:line="200" w:lineRule="exact"/>
        <w:rPr>
          <w:sz w:val="20"/>
          <w:szCs w:val="20"/>
          <w:color w:val="auto"/>
        </w:rPr>
      </w:pPr>
    </w:p>
    <w:p>
      <w:pPr>
        <w:spacing w:after="0" w:line="35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Name and Address of PurchaserPrincipal Amount of Bonds to be Purchased</w:t>
      </w:r>
    </w:p>
    <w:p>
      <w:pPr>
        <w:spacing w:after="0" w:line="200" w:lineRule="exact"/>
        <w:rPr>
          <w:sz w:val="20"/>
          <w:szCs w:val="20"/>
          <w:color w:val="auto"/>
        </w:rPr>
      </w:pPr>
    </w:p>
    <w:p>
      <w:pPr>
        <w:spacing w:after="0" w:line="357" w:lineRule="exact"/>
        <w:rPr>
          <w:sz w:val="20"/>
          <w:szCs w:val="20"/>
          <w:color w:val="auto"/>
        </w:rPr>
      </w:pPr>
    </w:p>
    <w:p>
      <w:pPr>
        <w:ind w:left="840"/>
        <w:spacing w:after="0"/>
        <w:tabs>
          <w:tab w:leader="none" w:pos="2880" w:val="left"/>
        </w:tabs>
        <w:rPr>
          <w:sz w:val="20"/>
          <w:szCs w:val="20"/>
          <w:color w:val="auto"/>
        </w:rPr>
      </w:pPr>
      <w:r>
        <w:rPr>
          <w:rFonts w:ascii="Arial" w:cs="Arial" w:eastAsia="Arial" w:hAnsi="Arial"/>
          <w:sz w:val="22"/>
          <w:szCs w:val="22"/>
          <w:color w:val="auto"/>
        </w:rPr>
        <w:t>[Name of Purchaser]</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40" w:right="1700" w:hanging="8"/>
        <w:spacing w:after="0" w:line="444" w:lineRule="auto"/>
        <w:tabs>
          <w:tab w:leader="none" w:pos="2181"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payments by wire transfer of immediately available funds to: with sufficient information to identify the source and application of such funds.</w:t>
      </w:r>
    </w:p>
    <w:p>
      <w:pPr>
        <w:spacing w:after="0" w:line="1" w:lineRule="exact"/>
        <w:rPr>
          <w:rFonts w:ascii="Arial" w:cs="Arial" w:eastAsia="Arial" w:hAnsi="Arial"/>
          <w:sz w:val="19"/>
          <w:szCs w:val="19"/>
          <w:color w:val="auto"/>
        </w:rPr>
      </w:pPr>
    </w:p>
    <w:p>
      <w:pPr>
        <w:ind w:left="2180" w:hanging="1348"/>
        <w:spacing w:after="0"/>
        <w:tabs>
          <w:tab w:leader="none" w:pos="21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notices of payments and written confirmations of such wire transfers:</w:t>
      </w:r>
    </w:p>
    <w:p>
      <w:pPr>
        <w:spacing w:after="0" w:line="152" w:lineRule="exact"/>
        <w:rPr>
          <w:rFonts w:ascii="Arial" w:cs="Arial" w:eastAsia="Arial" w:hAnsi="Arial"/>
          <w:sz w:val="22"/>
          <w:szCs w:val="22"/>
          <w:color w:val="auto"/>
        </w:rPr>
      </w:pPr>
    </w:p>
    <w:p>
      <w:pPr>
        <w:ind w:left="2180" w:hanging="1348"/>
        <w:spacing w:after="0"/>
        <w:tabs>
          <w:tab w:leader="none" w:pos="21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SCHEDULE A</w:t>
      </w:r>
    </w:p>
    <w:p>
      <w:pPr>
        <w:spacing w:after="0" w:line="152"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(to Bond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388620</wp:posOffset>
            </wp:positionV>
            <wp:extent cx="635190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523" w:right="97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b w:val="1"/>
          <w:bCs w:val="1"/>
          <w:color w:val="auto"/>
        </w:rPr>
        <w:t>DEFINED TERMS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As used herein, the following terms have the respective meanings set forth below or set forth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hereof following such term:</w:t>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5.48% Series due August 1, 2053 Bonds</w:t>
      </w:r>
      <w:r>
        <w:rPr>
          <w:rFonts w:ascii="Arial" w:cs="Arial" w:eastAsia="Arial" w:hAnsi="Arial"/>
          <w:sz w:val="22"/>
          <w:szCs w:val="22"/>
          <w:color w:val="auto"/>
        </w:rPr>
        <w:t xml:space="preserve">” is defined in </w:t>
      </w:r>
      <w:r>
        <w:rPr>
          <w:rFonts w:ascii="Arial" w:cs="Arial" w:eastAsia="Arial" w:hAnsi="Arial"/>
          <w:sz w:val="22"/>
          <w:szCs w:val="22"/>
          <w:b w:val="1"/>
          <w:bCs w:val="1"/>
          <w:u w:val="single" w:color="auto"/>
          <w:color w:val="auto"/>
        </w:rPr>
        <w:t>Section 1</w:t>
      </w:r>
      <w:r>
        <w:rPr>
          <w:rFonts w:ascii="Arial" w:cs="Arial" w:eastAsia="Arial" w:hAnsi="Arial"/>
          <w:sz w:val="22"/>
          <w:szCs w:val="22"/>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“5.56% Series due August 1, 2061 Bonds” is defined in </w:t>
      </w:r>
      <w:r>
        <w:rPr>
          <w:rFonts w:ascii="Arial" w:cs="Arial" w:eastAsia="Arial" w:hAnsi="Arial"/>
          <w:sz w:val="22"/>
          <w:szCs w:val="22"/>
          <w:b w:val="1"/>
          <w:bCs w:val="1"/>
          <w:color w:val="auto"/>
        </w:rPr>
        <w:t>Section 1.</w:t>
      </w:r>
    </w:p>
    <w:p>
      <w:pPr>
        <w:spacing w:after="0" w:line="15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means,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w:t>
      </w:r>
      <w:r>
        <w:rPr>
          <w:rFonts w:ascii="Arial" w:cs="Arial" w:eastAsia="Arial" w:hAnsi="Arial"/>
          <w:sz w:val="21"/>
          <w:szCs w:val="21"/>
          <w:i w:val="1"/>
          <w:iCs w:val="1"/>
          <w:color w:val="auto"/>
        </w:rPr>
        <w:t>Affiliate</w:t>
      </w:r>
      <w:r>
        <w:rPr>
          <w:rFonts w:ascii="Arial" w:cs="Arial" w:eastAsia="Arial" w:hAnsi="Arial"/>
          <w:sz w:val="21"/>
          <w:szCs w:val="21"/>
          <w:color w:val="auto"/>
        </w:rPr>
        <w:t>” is a reference to an Affiliate of the Company.</w:t>
      </w:r>
    </w:p>
    <w:p>
      <w:pPr>
        <w:spacing w:after="0" w:line="12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Agreement</w:t>
      </w:r>
      <w:r>
        <w:rPr>
          <w:rFonts w:ascii="Arial" w:cs="Arial" w:eastAsia="Arial" w:hAnsi="Arial"/>
          <w:sz w:val="22"/>
          <w:szCs w:val="22"/>
          <w:color w:val="auto"/>
        </w:rPr>
        <w:t>” means this Bond Purchase Agreement, including all Schedules and Exhibits attached to this Agreement.</w:t>
      </w:r>
    </w:p>
    <w:p>
      <w:pPr>
        <w:spacing w:after="0" w:line="121" w:lineRule="exact"/>
        <w:rPr>
          <w:sz w:val="20"/>
          <w:szCs w:val="20"/>
          <w:color w:val="auto"/>
        </w:rPr>
      </w:pPr>
    </w:p>
    <w:p>
      <w:pPr>
        <w:jc w:val="both"/>
        <w:ind w:right="20" w:firstLine="1296"/>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Corruption Laws</w:t>
      </w:r>
      <w:r>
        <w:rPr>
          <w:rFonts w:ascii="Arial" w:cs="Arial" w:eastAsia="Arial" w:hAnsi="Arial"/>
          <w:sz w:val="22"/>
          <w:szCs w:val="22"/>
          <w:color w:val="auto"/>
        </w:rPr>
        <w:t>” 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 regarding bribery or any other corrupt activity, including the U.S. Foreign Corrupt Practices Act and the U.K. Bribery Act 2010.</w:t>
      </w:r>
    </w:p>
    <w:p>
      <w:pPr>
        <w:spacing w:after="0" w:line="132" w:lineRule="exact"/>
        <w:rPr>
          <w:sz w:val="20"/>
          <w:szCs w:val="20"/>
          <w:color w:val="auto"/>
        </w:rPr>
      </w:pPr>
    </w:p>
    <w:p>
      <w:pPr>
        <w:jc w:val="both"/>
        <w:ind w:firstLine="1296"/>
        <w:spacing w:after="0" w:line="251"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Anti</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Money Laundering Laws</w:t>
      </w:r>
      <w:r>
        <w:rPr>
          <w:rFonts w:ascii="Arial" w:cs="Arial" w:eastAsia="Arial" w:hAnsi="Arial"/>
          <w:sz w:val="22"/>
          <w:szCs w:val="22"/>
          <w:color w:val="auto"/>
        </w:rPr>
        <w:t>” means any law or regulation in a U.S. or any non</w:t>
      </w:r>
      <w:r>
        <w:rPr>
          <w:rFonts w:ascii="MS PGothic" w:cs="MS PGothic" w:eastAsia="MS PGothic" w:hAnsi="MS PGothic"/>
          <w:sz w:val="22"/>
          <w:szCs w:val="22"/>
          <w:color w:val="auto"/>
        </w:rPr>
        <w:t>‑</w:t>
      </w:r>
      <w:r>
        <w:rPr>
          <w:rFonts w:ascii="Arial" w:cs="Arial" w:eastAsia="Arial" w:hAnsi="Arial"/>
          <w:sz w:val="22"/>
          <w:szCs w:val="22"/>
          <w:color w:val="auto"/>
        </w:rPr>
        <w:t>U.S. jurisdiction regarding money laundering, drug trafficking, terrorist</w:t>
      </w:r>
      <w:r>
        <w:rPr>
          <w:rFonts w:ascii="MS PGothic" w:cs="MS PGothic" w:eastAsia="MS PGothic" w:hAnsi="MS PGothic"/>
          <w:sz w:val="22"/>
          <w:szCs w:val="22"/>
          <w:color w:val="auto"/>
        </w:rPr>
        <w:t>‑</w:t>
      </w:r>
      <w:r>
        <w:rPr>
          <w:rFonts w:ascii="Arial" w:cs="Arial" w:eastAsia="Arial" w:hAnsi="Arial"/>
          <w:sz w:val="22"/>
          <w:szCs w:val="22"/>
          <w:color w:val="auto"/>
        </w:rPr>
        <w:t>related activities or other money laundering predicate crimes, including the Currency and Foreign Transactions Reporting Act of 1970 (otherwise known as the Bank Secrecy Act) and the USA Patriot Act.</w:t>
      </w:r>
    </w:p>
    <w:p>
      <w:pPr>
        <w:spacing w:after="0" w:line="13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Blocked Person</w:t>
      </w:r>
      <w:r>
        <w:rPr>
          <w:rFonts w:ascii="Arial" w:cs="Arial" w:eastAsia="Arial" w:hAnsi="Arial"/>
          <w:sz w:val="19"/>
          <w:szCs w:val="19"/>
          <w:color w:val="auto"/>
        </w:rPr>
        <w:t xml:space="preserve">”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w:t>
      </w:r>
      <w:r>
        <w:rPr>
          <w:rFonts w:ascii="Arial" w:cs="Arial" w:eastAsia="Arial" w:hAnsi="Arial"/>
          <w:sz w:val="19"/>
          <w:szCs w:val="19"/>
          <w:b w:val="1"/>
          <w:bCs w:val="1"/>
          <w:color w:val="auto"/>
        </w:rPr>
        <w:t>clause (a)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p>
    <w:p>
      <w:pPr>
        <w:spacing w:after="0" w:line="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Bonds</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15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for the purposes of any provision of this Agreement, any day other than a Saturday, a Sunday or a day on which commercial banks in New York, New York or Philadelphia, Pennsylvania are required or authorized to be closed.</w:t>
      </w:r>
    </w:p>
    <w:p>
      <w:pPr>
        <w:spacing w:after="0" w:line="132" w:lineRule="exact"/>
        <w:rPr>
          <w:sz w:val="20"/>
          <w:szCs w:val="20"/>
          <w:color w:val="auto"/>
        </w:rPr>
      </w:pPr>
    </w:p>
    <w:p>
      <w:pPr>
        <w:jc w:val="both"/>
        <w:ind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w:t>
      </w:r>
      <w:r>
        <w:rPr>
          <w:rFonts w:ascii="Arial" w:cs="Arial" w:eastAsia="Arial" w:hAnsi="Arial"/>
          <w:sz w:val="19"/>
          <w:szCs w:val="19"/>
          <w:color w:val="auto"/>
        </w:rPr>
        <w:t>” means, at any time, a lease with respect to which the lessee is required concurrently to recognize the acquisition of an asset and the incurrence of a liability in accordance with GAAP.</w:t>
      </w:r>
    </w:p>
    <w:p>
      <w:pPr>
        <w:spacing w:after="0" w:line="5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xml:space="preserve"> means, with respect to any Person and a Capital Lease, the amount of the obligation of such Person as the lessee under such Capital Lease which would, in accordance with GAAP, appear as a liability on a balance sheet of such Person.</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3</w:t>
      </w:r>
      <w:r>
        <w:rPr>
          <w:rFonts w:ascii="Arial" w:cs="Arial" w:eastAsia="Arial" w:hAnsi="Arial"/>
          <w:sz w:val="22"/>
          <w:szCs w:val="22"/>
          <w:color w:val="auto"/>
        </w:rPr>
        <w:t>.</w:t>
      </w:r>
    </w:p>
    <w:p>
      <w:pPr>
        <w:spacing w:after="0" w:line="15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 from time to time, and the rules and regulations promulgated thereunder from time to time.</w:t>
      </w:r>
    </w:p>
    <w:p>
      <w:pPr>
        <w:spacing w:after="0" w:line="12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Aqua Pennsylvania, Inc., a corporation existing under the laws of the Commonwealth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1" w:right="979" w:bottom="1440" w:gutter="0" w:footer="0" w:header="0"/>
        </w:sectPr>
      </w:pPr>
    </w:p>
    <w:bookmarkStart w:id="95" w:name="page96"/>
    <w:bookmarkEnd w:id="95"/>
    <w:p>
      <w:pPr>
        <w:jc w:val="both"/>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Controlled Entity</w:t>
      </w:r>
      <w:r>
        <w:rPr>
          <w:rFonts w:ascii="Arial" w:cs="Arial" w:eastAsia="Arial" w:hAnsi="Arial"/>
          <w:sz w:val="22"/>
          <w:szCs w:val="22"/>
          <w:color w:val="auto"/>
        </w:rPr>
        <w:t>” means any of the Subsidiaries of the Company and any of their or the Company’s respective Controlled Affiliates. As used in this definition, “</w:t>
      </w:r>
      <w:r>
        <w:rPr>
          <w:rFonts w:ascii="Arial" w:cs="Arial" w:eastAsia="Arial" w:hAnsi="Arial"/>
          <w:sz w:val="22"/>
          <w:szCs w:val="22"/>
          <w:i w:val="1"/>
          <w:iCs w:val="1"/>
          <w:color w:val="auto"/>
        </w:rPr>
        <w:t>Control</w:t>
      </w:r>
      <w:r>
        <w:rPr>
          <w:rFonts w:ascii="Arial" w:cs="Arial" w:eastAsia="Arial" w:hAnsi="Arial"/>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Debt</w:t>
      </w:r>
      <w:r>
        <w:rPr>
          <w:rFonts w:ascii="Arial" w:cs="Arial" w:eastAsia="Arial" w:hAnsi="Arial"/>
          <w:sz w:val="22"/>
          <w:szCs w:val="22"/>
          <w:color w:val="auto"/>
        </w:rPr>
        <w:t>” means, with respect to any Person, without duplication,</w:t>
      </w:r>
    </w:p>
    <w:p>
      <w:pPr>
        <w:spacing w:after="0" w:line="152" w:lineRule="exact"/>
        <w:rPr>
          <w:sz w:val="20"/>
          <w:szCs w:val="20"/>
          <w:color w:val="auto"/>
        </w:rPr>
      </w:pPr>
    </w:p>
    <w:p>
      <w:pPr>
        <w:ind w:left="3920" w:hanging="1332"/>
        <w:spacing w:after="0"/>
        <w:tabs>
          <w:tab w:leader="none" w:pos="39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its liabilities for borrowed money;</w:t>
      </w:r>
    </w:p>
    <w:p>
      <w:pPr>
        <w:spacing w:after="0" w:line="152" w:lineRule="exact"/>
        <w:rPr>
          <w:rFonts w:ascii="Arial" w:cs="Arial" w:eastAsia="Arial" w:hAnsi="Arial"/>
          <w:sz w:val="22"/>
          <w:szCs w:val="22"/>
          <w:color w:val="auto"/>
        </w:rPr>
      </w:pPr>
    </w:p>
    <w:p>
      <w:pPr>
        <w:jc w:val="both"/>
        <w:ind w:firstLine="2588"/>
        <w:spacing w:after="0" w:line="238" w:lineRule="auto"/>
        <w:tabs>
          <w:tab w:leader="none" w:pos="3937" w:val="left"/>
        </w:tabs>
        <w:numPr>
          <w:ilvl w:val="0"/>
          <w:numId w:val="46"/>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and other accrued liabilities arising in the ordinary course of business but including, without limitation, all liabilities created or arising under any conditional sale or other title retention agreement with respect to any such property);</w:t>
      </w:r>
    </w:p>
    <w:p>
      <w:pPr>
        <w:spacing w:after="0" w:line="130" w:lineRule="exact"/>
        <w:rPr>
          <w:rFonts w:ascii="Arial" w:cs="Arial" w:eastAsia="Arial" w:hAnsi="Arial"/>
          <w:sz w:val="22"/>
          <w:szCs w:val="22"/>
          <w:color w:val="auto"/>
        </w:rPr>
      </w:pPr>
    </w:p>
    <w:p>
      <w:pPr>
        <w:ind w:left="3920" w:hanging="1332"/>
        <w:spacing w:after="0"/>
        <w:tabs>
          <w:tab w:leader="none" w:pos="39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its Capital Lease Obligations;</w:t>
      </w:r>
    </w:p>
    <w:p>
      <w:pPr>
        <w:spacing w:after="0" w:line="152" w:lineRule="exact"/>
        <w:rPr>
          <w:rFonts w:ascii="Arial" w:cs="Arial" w:eastAsia="Arial" w:hAnsi="Arial"/>
          <w:sz w:val="22"/>
          <w:szCs w:val="22"/>
          <w:color w:val="auto"/>
        </w:rPr>
      </w:pPr>
    </w:p>
    <w:p>
      <w:pPr>
        <w:jc w:val="both"/>
        <w:ind w:right="20" w:firstLine="2588"/>
        <w:spacing w:after="0"/>
        <w:tabs>
          <w:tab w:leader="none" w:pos="3937"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132" w:lineRule="exact"/>
        <w:rPr>
          <w:rFonts w:ascii="Arial" w:cs="Arial" w:eastAsia="Arial" w:hAnsi="Arial"/>
          <w:sz w:val="22"/>
          <w:szCs w:val="22"/>
          <w:color w:val="auto"/>
        </w:rPr>
      </w:pPr>
    </w:p>
    <w:p>
      <w:pPr>
        <w:jc w:val="both"/>
        <w:ind w:right="20" w:firstLine="2588"/>
        <w:spacing w:after="0"/>
        <w:tabs>
          <w:tab w:leader="none" w:pos="3925"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non-contingent liabilities in respect of reimbursement agreements or similar agreements in respect of letters of credit or instruments serving a similar function issued or accepted for its account by banks and other financial institutions;</w:t>
      </w:r>
    </w:p>
    <w:p>
      <w:pPr>
        <w:spacing w:after="0" w:line="132" w:lineRule="exact"/>
        <w:rPr>
          <w:rFonts w:ascii="Arial" w:cs="Arial" w:eastAsia="Arial" w:hAnsi="Arial"/>
          <w:sz w:val="22"/>
          <w:szCs w:val="22"/>
          <w:color w:val="auto"/>
        </w:rPr>
      </w:pPr>
    </w:p>
    <w:p>
      <w:pPr>
        <w:ind w:left="3900" w:hanging="1312"/>
        <w:spacing w:after="0"/>
        <w:tabs>
          <w:tab w:leader="none" w:pos="39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152" w:lineRule="exact"/>
        <w:rPr>
          <w:rFonts w:ascii="Arial" w:cs="Arial" w:eastAsia="Arial" w:hAnsi="Arial"/>
          <w:sz w:val="22"/>
          <w:szCs w:val="22"/>
          <w:color w:val="auto"/>
        </w:rPr>
      </w:pPr>
    </w:p>
    <w:p>
      <w:pPr>
        <w:ind w:firstLine="2588"/>
        <w:spacing w:after="0" w:line="250" w:lineRule="auto"/>
        <w:tabs>
          <w:tab w:leader="none" w:pos="3937" w:val="left"/>
        </w:tabs>
        <w:numPr>
          <w:ilvl w:val="0"/>
          <w:numId w:val="46"/>
        </w:numPr>
        <w:rPr>
          <w:rFonts w:ascii="Arial" w:cs="Arial" w:eastAsia="Arial" w:hAnsi="Arial"/>
          <w:sz w:val="22"/>
          <w:szCs w:val="22"/>
          <w:color w:val="auto"/>
        </w:rPr>
      </w:pPr>
      <w:r>
        <w:rPr>
          <w:rFonts w:ascii="Arial" w:cs="Arial" w:eastAsia="Arial" w:hAnsi="Arial"/>
          <w:sz w:val="22"/>
          <w:szCs w:val="22"/>
          <w:color w:val="auto"/>
        </w:rPr>
        <w:t>Guaranties of such Person with respect to liabilities of a type described in any of clauses (a) through (f) hereof.</w:t>
      </w:r>
    </w:p>
    <w:p>
      <w:pPr>
        <w:spacing w:after="0" w:line="12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Debt of any Person shall include all obligations of such Person of the character described in clauses (a) through (g) to the extent such Person remains legally liable in respect thereof notwithstanding that any such obligation is deemed to be extinguished under GAAP.</w:t>
      </w:r>
    </w:p>
    <w:p>
      <w:pPr>
        <w:spacing w:after="0" w:line="13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w:t>
      </w:r>
      <w:r>
        <w:rPr>
          <w:rFonts w:ascii="Arial" w:cs="Arial" w:eastAsia="Arial" w:hAnsi="Arial"/>
          <w:sz w:val="22"/>
          <w:szCs w:val="22"/>
          <w:color w:val="auto"/>
        </w:rPr>
        <w:t>” means an event or condition the occurrence or existence of which would, with the lapse of time or the giving of notice or both, become an Event of Default.</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Disclosure Documents</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5.3</w:t>
      </w:r>
      <w:r>
        <w:rPr>
          <w:rFonts w:ascii="Arial" w:cs="Arial" w:eastAsia="Arial" w:hAnsi="Arial"/>
          <w:sz w:val="22"/>
          <w:szCs w:val="22"/>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EMMA</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7.1(a).</w:t>
      </w:r>
    </w:p>
    <w:p>
      <w:pPr>
        <w:spacing w:after="0" w:line="15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Environmental Laws</w:t>
      </w:r>
      <w:r>
        <w:rPr>
          <w:rFonts w:ascii="Arial" w:cs="Arial" w:eastAsia="Arial" w:hAnsi="Arial"/>
          <w:sz w:val="19"/>
          <w:szCs w:val="19"/>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w:t>
      </w:r>
    </w:p>
    <w:p>
      <w:pPr>
        <w:spacing w:after="0" w:line="8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 from time to time in effect.</w:t>
      </w:r>
    </w:p>
    <w:p>
      <w:pPr>
        <w:spacing w:after="0" w:line="12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 Affiliate</w:t>
      </w:r>
      <w:r>
        <w:rPr>
          <w:rFonts w:ascii="Arial" w:cs="Arial" w:eastAsia="Arial" w:hAnsi="Arial"/>
          <w:sz w:val="22"/>
          <w:szCs w:val="22"/>
          <w:color w:val="auto"/>
        </w:rPr>
        <w:t>” means any trade or business (whether or not incorporated) that is treated as a single employer together with the Company under section 414 of the Code.</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 is an “event of default” as defined in the Indenture.</w:t>
      </w:r>
    </w:p>
    <w:p>
      <w:pPr>
        <w:spacing w:after="0" w:line="15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Financing Agreements</w:t>
      </w:r>
      <w:r>
        <w:rPr>
          <w:rFonts w:ascii="Arial" w:cs="Arial" w:eastAsia="Arial" w:hAnsi="Arial"/>
          <w:sz w:val="22"/>
          <w:szCs w:val="22"/>
          <w:color w:val="auto"/>
        </w:rPr>
        <w:t>” means this Agreement, the Indenture (including without limitation the Supplement), and the Bonds.</w:t>
      </w:r>
    </w:p>
    <w:p>
      <w:pPr>
        <w:spacing w:after="0" w:line="12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as in effect from time to time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111760</wp:posOffset>
            </wp:positionV>
            <wp:extent cx="6351905"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96" w:name="page97"/>
    <w:bookmarkEnd w:id="9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Governmental Authority</w:t>
      </w:r>
      <w:r>
        <w:rPr>
          <w:rFonts w:ascii="Arial" w:cs="Arial" w:eastAsia="Arial" w:hAnsi="Arial"/>
          <w:sz w:val="22"/>
          <w:szCs w:val="22"/>
          <w:color w:val="auto"/>
        </w:rPr>
        <w:t>” means:</w:t>
      </w:r>
    </w:p>
    <w:p>
      <w:pPr>
        <w:spacing w:after="0" w:line="153" w:lineRule="exact"/>
        <w:rPr>
          <w:sz w:val="20"/>
          <w:szCs w:val="20"/>
          <w:color w:val="auto"/>
        </w:rPr>
      </w:pPr>
    </w:p>
    <w:p>
      <w:pPr>
        <w:ind w:left="3920" w:hanging="1332"/>
        <w:spacing w:after="0"/>
        <w:tabs>
          <w:tab w:leader="none" w:pos="39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152" w:lineRule="exact"/>
        <w:rPr>
          <w:rFonts w:ascii="Arial" w:cs="Arial" w:eastAsia="Arial" w:hAnsi="Arial"/>
          <w:sz w:val="22"/>
          <w:szCs w:val="22"/>
          <w:color w:val="auto"/>
        </w:rPr>
      </w:pPr>
    </w:p>
    <w:p>
      <w:pPr>
        <w:ind w:left="4540" w:hanging="1304"/>
        <w:spacing w:after="0"/>
        <w:tabs>
          <w:tab w:leader="none" w:pos="454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United States of America or any State or other political</w:t>
      </w:r>
    </w:p>
    <w:p>
      <w:pPr>
        <w:spacing w:after="0" w:line="42"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subdivision thereof, or</w:t>
      </w:r>
    </w:p>
    <w:p>
      <w:pPr>
        <w:spacing w:after="0" w:line="134" w:lineRule="exact"/>
        <w:rPr>
          <w:rFonts w:ascii="Arial" w:cs="Arial" w:eastAsia="Arial" w:hAnsi="Arial"/>
          <w:sz w:val="19"/>
          <w:szCs w:val="19"/>
          <w:color w:val="auto"/>
        </w:rPr>
      </w:pPr>
    </w:p>
    <w:p>
      <w:pPr>
        <w:jc w:val="both"/>
        <w:ind w:left="640" w:right="20" w:firstLine="2596"/>
        <w:spacing w:after="0"/>
        <w:tabs>
          <w:tab w:leader="none" w:pos="4522" w:val="left"/>
        </w:tabs>
        <w:numPr>
          <w:ilvl w:val="1"/>
          <w:numId w:val="47"/>
        </w:numPr>
        <w:rPr>
          <w:rFonts w:ascii="Arial" w:cs="Arial" w:eastAsia="Arial" w:hAnsi="Arial"/>
          <w:sz w:val="22"/>
          <w:szCs w:val="22"/>
          <w:color w:val="auto"/>
        </w:rPr>
      </w:pPr>
      <w:r>
        <w:rPr>
          <w:rFonts w:ascii="Arial" w:cs="Arial" w:eastAsia="Arial" w:hAnsi="Arial"/>
          <w:sz w:val="22"/>
          <w:szCs w:val="22"/>
          <w:color w:val="auto"/>
        </w:rPr>
        <w:t>any other jurisdiction in which the Company or any Subsidiary conducts all or any part of its business, or which asserts jurisdiction over any properties of the Company or any Subsidiary, or</w:t>
      </w:r>
    </w:p>
    <w:p>
      <w:pPr>
        <w:spacing w:after="0" w:line="132" w:lineRule="exact"/>
        <w:rPr>
          <w:rFonts w:ascii="Arial" w:cs="Arial" w:eastAsia="Arial" w:hAnsi="Arial"/>
          <w:sz w:val="22"/>
          <w:szCs w:val="22"/>
          <w:color w:val="auto"/>
        </w:rPr>
      </w:pPr>
    </w:p>
    <w:p>
      <w:pPr>
        <w:ind w:right="20" w:firstLine="2588"/>
        <w:spacing w:after="0" w:line="250" w:lineRule="auto"/>
        <w:tabs>
          <w:tab w:leader="none" w:pos="3937"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21" w:lineRule="exact"/>
        <w:rPr>
          <w:sz w:val="20"/>
          <w:szCs w:val="20"/>
          <w:color w:val="auto"/>
        </w:rPr>
      </w:pPr>
    </w:p>
    <w:p>
      <w:pPr>
        <w:jc w:val="both"/>
        <w:ind w:right="20" w:firstLine="1296"/>
        <w:spacing w:after="0" w:line="254"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Governmental Official</w:t>
      </w:r>
      <w:r>
        <w:rPr>
          <w:rFonts w:ascii="Arial" w:cs="Arial" w:eastAsia="Arial" w:hAnsi="Arial"/>
          <w:sz w:val="19"/>
          <w:szCs w:val="19"/>
          <w:color w:val="auto"/>
        </w:rPr>
        <w:t>” means any governmental official or employee, employee of any government</w:t>
      </w:r>
      <w:r>
        <w:rPr>
          <w:rFonts w:ascii="MS PGothic" w:cs="MS PGothic" w:eastAsia="MS PGothic" w:hAnsi="MS PGothic"/>
          <w:sz w:val="19"/>
          <w:szCs w:val="19"/>
          <w:color w:val="auto"/>
        </w:rPr>
        <w:t>‑</w:t>
      </w:r>
      <w:r>
        <w:rPr>
          <w:rFonts w:ascii="Arial" w:cs="Arial" w:eastAsia="Arial" w:hAnsi="Arial"/>
          <w:sz w:val="19"/>
          <w:szCs w:val="19"/>
          <w:color w:val="auto"/>
        </w:rPr>
        <w:t>owned or government</w:t>
      </w:r>
      <w:r>
        <w:rPr>
          <w:rFonts w:ascii="MS PGothic" w:cs="MS PGothic" w:eastAsia="MS PGothic" w:hAnsi="MS PGothic"/>
          <w:sz w:val="19"/>
          <w:szCs w:val="19"/>
          <w:color w:val="auto"/>
        </w:rPr>
        <w:t>‑</w:t>
      </w:r>
      <w:r>
        <w:rPr>
          <w:rFonts w:ascii="Arial" w:cs="Arial" w:eastAsia="Arial" w:hAnsi="Arial"/>
          <w:sz w:val="19"/>
          <w:szCs w:val="19"/>
          <w:color w:val="auto"/>
        </w:rPr>
        <w:t>controlled entity, political party, any official of a political party, candidate for political office, official of any public international organization or anyone else acting in an official capacity.</w:t>
      </w:r>
    </w:p>
    <w:p>
      <w:pPr>
        <w:spacing w:after="0" w:line="132" w:lineRule="exact"/>
        <w:rPr>
          <w:sz w:val="20"/>
          <w:szCs w:val="20"/>
          <w:color w:val="auto"/>
        </w:rPr>
      </w:pPr>
    </w:p>
    <w:p>
      <w:pPr>
        <w:jc w:val="both"/>
        <w:ind w:right="2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Guaranty</w:t>
      </w:r>
      <w:r>
        <w:rPr>
          <w:rFonts w:ascii="Arial" w:cs="Arial" w:eastAsia="Arial" w:hAnsi="Arial"/>
          <w:sz w:val="22"/>
          <w:szCs w:val="22"/>
          <w:color w:val="auto"/>
        </w:rPr>
        <w:t>” means, with respect to any Person, any obligation (except the endorsement in the ordinary course of business of negotiable instruments for deposit or collection) of such Person guaranteeing or in effect guaranteeing any Debt, dividend or other obligation of any other Person in any manner, whether directly or indirectly, including (without limitation) obligations incurred through an agreement, contingent or otherwise, by such Person:</w:t>
      </w:r>
    </w:p>
    <w:p>
      <w:pPr>
        <w:spacing w:after="0" w:line="133" w:lineRule="exact"/>
        <w:rPr>
          <w:sz w:val="20"/>
          <w:szCs w:val="20"/>
          <w:color w:val="auto"/>
        </w:rPr>
      </w:pPr>
    </w:p>
    <w:p>
      <w:pPr>
        <w:jc w:val="both"/>
        <w:ind w:firstLine="2588"/>
        <w:spacing w:after="0"/>
        <w:tabs>
          <w:tab w:leader="none" w:pos="392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purchase such Debt or obligation or any property constituting security therefor primarily for the purpose of assuring the owner of such Debt or obligation of the ability of any other Person to make payment of the Debt or obligation;</w:t>
      </w:r>
    </w:p>
    <w:p>
      <w:pPr>
        <w:spacing w:after="0" w:line="132" w:lineRule="exact"/>
        <w:rPr>
          <w:rFonts w:ascii="Arial" w:cs="Arial" w:eastAsia="Arial" w:hAnsi="Arial"/>
          <w:sz w:val="22"/>
          <w:szCs w:val="22"/>
          <w:color w:val="auto"/>
        </w:rPr>
      </w:pPr>
    </w:p>
    <w:p>
      <w:pPr>
        <w:jc w:val="both"/>
        <w:ind w:right="20" w:firstLine="2588"/>
        <w:spacing w:after="0" w:line="238" w:lineRule="auto"/>
        <w:tabs>
          <w:tab w:leader="none" w:pos="393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advance or supply funds (i) for the purchase or payment of such Debt or obligation, or (ii) to maintain any working capital or other balance sheet condition or any income statement condition of any other Person or otherwise to advance or make available funds for the purchase or payment of such Debt or obligation;</w:t>
      </w:r>
    </w:p>
    <w:p>
      <w:pPr>
        <w:spacing w:after="0" w:line="130" w:lineRule="exact"/>
        <w:rPr>
          <w:rFonts w:ascii="Arial" w:cs="Arial" w:eastAsia="Arial" w:hAnsi="Arial"/>
          <w:sz w:val="22"/>
          <w:szCs w:val="22"/>
          <w:color w:val="auto"/>
        </w:rPr>
      </w:pPr>
    </w:p>
    <w:p>
      <w:pPr>
        <w:jc w:val="both"/>
        <w:ind w:right="20" w:firstLine="2588"/>
        <w:spacing w:after="0"/>
        <w:tabs>
          <w:tab w:leader="none" w:pos="3925"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lease properties or to purchase properties or services primarily for the purpose of assuring the owner of such Debt or obligation of the ability of any other Person to make payment of the Debt or obligation; or</w:t>
      </w:r>
    </w:p>
    <w:p>
      <w:pPr>
        <w:spacing w:after="0" w:line="132" w:lineRule="exact"/>
        <w:rPr>
          <w:rFonts w:ascii="Arial" w:cs="Arial" w:eastAsia="Arial" w:hAnsi="Arial"/>
          <w:sz w:val="22"/>
          <w:szCs w:val="22"/>
          <w:color w:val="auto"/>
        </w:rPr>
      </w:pPr>
    </w:p>
    <w:p>
      <w:pPr>
        <w:ind w:left="3940" w:hanging="1352"/>
        <w:spacing w:after="0"/>
        <w:tabs>
          <w:tab w:leader="none" w:pos="39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otherwise to assure the owner of such Debt or obligation against loss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respect thereof.</w:t>
      </w:r>
    </w:p>
    <w:p>
      <w:pPr>
        <w:spacing w:after="0" w:line="134" w:lineRule="exact"/>
        <w:rPr>
          <w:sz w:val="20"/>
          <w:szCs w:val="20"/>
          <w:color w:val="auto"/>
        </w:rPr>
      </w:pPr>
    </w:p>
    <w:p>
      <w:pPr>
        <w:jc w:val="both"/>
        <w:ind w:right="20" w:firstLine="1296"/>
        <w:spacing w:after="0" w:line="238" w:lineRule="auto"/>
        <w:rPr>
          <w:sz w:val="20"/>
          <w:szCs w:val="20"/>
          <w:color w:val="auto"/>
        </w:rPr>
      </w:pPr>
      <w:r>
        <w:rPr>
          <w:rFonts w:ascii="Arial" w:cs="Arial" w:eastAsia="Arial" w:hAnsi="Arial"/>
          <w:sz w:val="22"/>
          <w:szCs w:val="22"/>
          <w:color w:val="auto"/>
        </w:rPr>
        <w:t>In any computation of the Debt or other liabilities of the obligor under any Guaranty, the Debt or other obligations that are the subject of such Guaranty shall be assumed to be direct obligations of such obligor, provided that the amount of such Debt outstanding for purposes of this Agreement shall not exceed the maximum amount of Debt that is the subject of such Guaranty.</w:t>
      </w:r>
    </w:p>
    <w:p>
      <w:pPr>
        <w:spacing w:after="0" w:line="131"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Hazardous Material</w:t>
      </w:r>
      <w:r>
        <w:rPr>
          <w:rFonts w:ascii="Arial" w:cs="Arial" w:eastAsia="Arial" w:hAnsi="Arial"/>
          <w:sz w:val="22"/>
          <w:szCs w:val="22"/>
          <w:color w:val="auto"/>
        </w:rPr>
        <w:t>”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is defined in the Indenture.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635190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97" w:name="page98"/>
    <w:bookmarkEnd w:id="97"/>
    <w:p>
      <w:pPr>
        <w:jc w:val="both"/>
        <w:ind w:firstLine="1296"/>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Institutional Investor”</w:t>
      </w:r>
      <w:r>
        <w:rPr>
          <w:rFonts w:ascii="Arial" w:cs="Arial" w:eastAsia="Arial" w:hAnsi="Arial"/>
          <w:sz w:val="19"/>
          <w:szCs w:val="19"/>
          <w:color w:val="auto"/>
        </w:rPr>
        <w:t xml:space="preserve"> means (a) any Purchaser of a Bond, (b) any holder of a Bond holding (together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Bond.</w:t>
      </w:r>
    </w:p>
    <w:p>
      <w:pPr>
        <w:spacing w:after="0" w:line="94"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Make-Whole Amount</w:t>
      </w:r>
      <w:r>
        <w:rPr>
          <w:rFonts w:ascii="Arial" w:cs="Arial" w:eastAsia="Arial" w:hAnsi="Arial"/>
          <w:sz w:val="22"/>
          <w:szCs w:val="22"/>
          <w:color w:val="auto"/>
        </w:rPr>
        <w:t>” is defined in the Supplement.</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Material</w:t>
      </w:r>
      <w:r>
        <w:rPr>
          <w:rFonts w:ascii="Arial" w:cs="Arial" w:eastAsia="Arial" w:hAnsi="Arial"/>
          <w:sz w:val="22"/>
          <w:szCs w:val="22"/>
          <w:color w:val="auto"/>
        </w:rPr>
        <w:t>” means material in relation to the business, operations, affairs, financial condition, assets or properties of the Company and its Subsidiaries taken as a whole.</w:t>
      </w:r>
    </w:p>
    <w:p>
      <w:pPr>
        <w:spacing w:after="0" w:line="121" w:lineRule="exact"/>
        <w:rPr>
          <w:sz w:val="20"/>
          <w:szCs w:val="20"/>
          <w:color w:val="auto"/>
        </w:rPr>
      </w:pPr>
    </w:p>
    <w:p>
      <w:pPr>
        <w:jc w:val="both"/>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Material Adverse Effect</w:t>
      </w:r>
      <w:r>
        <w:rPr>
          <w:rFonts w:ascii="Arial" w:cs="Arial" w:eastAsia="Arial" w:hAnsi="Arial"/>
          <w:sz w:val="22"/>
          <w:szCs w:val="22"/>
          <w:color w:val="auto"/>
        </w:rPr>
        <w:t>” means a material adverse effect on (a) the business, operations, affairs, financial condition, assets or properties of the Company and its Subsidiaries taken as a whole, (b) the ability of the Company to perform its obligations under this Agreement, the Bonds or the Indenture, or (c) the validity or enforceability of any Financing Agreement.</w:t>
      </w:r>
    </w:p>
    <w:p>
      <w:pPr>
        <w:spacing w:after="0" w:line="13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Multiemployer Plan</w:t>
      </w:r>
      <w:r>
        <w:rPr>
          <w:rFonts w:ascii="Arial" w:cs="Arial" w:eastAsia="Arial" w:hAnsi="Arial"/>
          <w:sz w:val="22"/>
          <w:szCs w:val="22"/>
          <w:color w:val="auto"/>
        </w:rPr>
        <w:t>” means any Plan that is a “multiemployer plan” (as such term is defined in section 4001(a)(3) of ERISA).</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NAIC</w:t>
      </w:r>
      <w:r>
        <w:rPr>
          <w:rFonts w:ascii="Arial" w:cs="Arial" w:eastAsia="Arial" w:hAnsi="Arial"/>
          <w:sz w:val="19"/>
          <w:szCs w:val="19"/>
          <w:color w:val="auto"/>
        </w:rPr>
        <w:t>” means the National Association of Insurance Commissioners or any successor thereto.</w:t>
      </w:r>
    </w:p>
    <w:p>
      <w:pPr>
        <w:spacing w:after="0" w:line="187" w:lineRule="exact"/>
        <w:rPr>
          <w:sz w:val="20"/>
          <w:szCs w:val="20"/>
          <w:color w:val="auto"/>
        </w:rPr>
      </w:pPr>
    </w:p>
    <w:p>
      <w:pPr>
        <w:jc w:val="both"/>
        <w:ind w:right="20" w:firstLine="1296"/>
        <w:spacing w:after="0" w:line="249"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U.S. Plan</w:t>
      </w:r>
      <w:r>
        <w:rPr>
          <w:rFonts w:ascii="Arial" w:cs="Arial" w:eastAsia="Arial" w:hAnsi="Arial"/>
          <w:sz w:val="19"/>
          <w:szCs w:val="19"/>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3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OFAC</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means the Office of Foreign Assets Control of the United States Department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Treasury.</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OFAC Sanctions Program</w:t>
      </w:r>
      <w:r>
        <w:rPr>
          <w:rFonts w:ascii="Arial" w:cs="Arial" w:eastAsia="Arial" w:hAnsi="Arial"/>
          <w:sz w:val="19"/>
          <w:szCs w:val="19"/>
          <w:color w:val="auto"/>
        </w:rPr>
        <w:t>” means any economic or trade sanction that OFAC is responsible for</w:t>
      </w:r>
    </w:p>
    <w:p>
      <w:pPr>
        <w:spacing w:after="0" w:line="43"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administering and enforcing. A list of OFAC Sanctions Programs may be found at http://www.treasury.gov/resource-center/sanctions/Programs/Pages/Programs.aspx.</w:t>
      </w:r>
    </w:p>
    <w:p>
      <w:pPr>
        <w:spacing w:after="0" w:line="13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of a Senior Financial Officer or of any other officer of the Company whose responsibilities extend to the subject matter of such certificate.</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Original Indenture</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1.</w:t>
      </w:r>
    </w:p>
    <w:p>
      <w:pPr>
        <w:spacing w:after="0" w:line="15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PBGC</w:t>
      </w:r>
      <w:r>
        <w:rPr>
          <w:rFonts w:ascii="Arial" w:cs="Arial" w:eastAsia="Arial" w:hAnsi="Arial"/>
          <w:sz w:val="22"/>
          <w:szCs w:val="22"/>
          <w:color w:val="auto"/>
        </w:rPr>
        <w:t>” means the Pension Benefit Guaranty Corporation referred to and defined in ERISA or any successor thereto.</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Liens</w:t>
      </w:r>
      <w:r>
        <w:rPr>
          <w:rFonts w:ascii="Arial" w:cs="Arial" w:eastAsia="Arial" w:hAnsi="Arial"/>
          <w:sz w:val="22"/>
          <w:szCs w:val="22"/>
          <w:color w:val="auto"/>
        </w:rPr>
        <w:t>” shall have the meaning assigned to such term in the Indenture.</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partnership, corporation, limited liability company, association, trust, unincorporated organization, business entity or Governmental Authority.</w:t>
      </w:r>
    </w:p>
    <w:p>
      <w:pPr>
        <w:spacing w:after="0" w:line="121"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an “</w:t>
      </w:r>
      <w:r>
        <w:rPr>
          <w:rFonts w:ascii="Arial" w:cs="Arial" w:eastAsia="Arial" w:hAnsi="Arial"/>
          <w:sz w:val="19"/>
          <w:szCs w:val="19"/>
          <w:i w:val="1"/>
          <w:iCs w:val="1"/>
          <w:color w:val="auto"/>
        </w:rPr>
        <w:t>employee benefit plan</w:t>
      </w:r>
      <w:r>
        <w:rPr>
          <w:rFonts w:ascii="Arial" w:cs="Arial" w:eastAsia="Arial" w:hAnsi="Arial"/>
          <w:sz w:val="19"/>
          <w:szCs w:val="19"/>
          <w:color w:val="auto"/>
        </w:rPr>
        <w:t>” (as defined in section 3(2) of ERISA) subject to Title I of ERISA that is or, within the preceding five years, has been established or maintained, or to which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67310</wp:posOffset>
            </wp:positionV>
            <wp:extent cx="635190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98" w:name="page99"/>
    <w:bookmarkEnd w:id="98"/>
    <w:p>
      <w:pPr>
        <w:jc w:val="both"/>
        <w:ind w:right="20"/>
        <w:spacing w:after="0" w:line="274" w:lineRule="auto"/>
        <w:rPr>
          <w:sz w:val="20"/>
          <w:szCs w:val="20"/>
          <w:color w:val="auto"/>
        </w:rPr>
      </w:pPr>
      <w:r>
        <w:rPr>
          <w:rFonts w:ascii="Arial" w:cs="Arial" w:eastAsia="Arial" w:hAnsi="Arial"/>
          <w:sz w:val="21"/>
          <w:szCs w:val="21"/>
          <w:color w:val="auto"/>
        </w:rPr>
        <w:t>are or, within the preceding five years, have been made or required to be made, by the Company or any ERISA Affiliate or with respect to which the Company or any ERISA Affiliate may have any liability.</w:t>
      </w:r>
    </w:p>
    <w:p>
      <w:pPr>
        <w:spacing w:after="0" w:line="97"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property</w:t>
      </w:r>
      <w:r>
        <w:rPr>
          <w:rFonts w:ascii="Arial" w:cs="Arial" w:eastAsia="Arial" w:hAnsi="Arial"/>
          <w:sz w:val="22"/>
          <w:szCs w:val="22"/>
          <w:color w:val="auto"/>
        </w:rPr>
        <w:t>” or “</w:t>
      </w:r>
      <w:r>
        <w:rPr>
          <w:rFonts w:ascii="Arial" w:cs="Arial" w:eastAsia="Arial" w:hAnsi="Arial"/>
          <w:sz w:val="22"/>
          <w:szCs w:val="22"/>
          <w:i w:val="1"/>
          <w:iCs w:val="1"/>
          <w:color w:val="auto"/>
        </w:rPr>
        <w:t>properties</w:t>
      </w:r>
      <w:r>
        <w:rPr>
          <w:rFonts w:ascii="Arial" w:cs="Arial" w:eastAsia="Arial" w:hAnsi="Arial"/>
          <w:sz w:val="22"/>
          <w:szCs w:val="22"/>
          <w:color w:val="auto"/>
        </w:rPr>
        <w:t>” means, unless otherwise specifically limited, real or personal property of any kind, tangible or intangible, choate or inchoate.</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PTE</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6.2(a).</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Purchaser</w:t>
      </w:r>
      <w:r>
        <w:rPr>
          <w:rFonts w:ascii="Arial" w:cs="Arial" w:eastAsia="Arial" w:hAnsi="Arial"/>
          <w:sz w:val="22"/>
          <w:szCs w:val="22"/>
          <w:color w:val="auto"/>
        </w:rPr>
        <w:t>” is defined in the first paragraph of this Agreement.</w:t>
      </w:r>
    </w:p>
    <w:p>
      <w:pPr>
        <w:spacing w:after="0" w:line="15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Qualified Investor</w:t>
      </w:r>
      <w:r>
        <w:rPr>
          <w:rFonts w:ascii="Arial" w:cs="Arial" w:eastAsia="Arial" w:hAnsi="Arial"/>
          <w:sz w:val="22"/>
          <w:szCs w:val="22"/>
          <w:color w:val="auto"/>
        </w:rPr>
        <w:t>” means Persons or entities that are listed in clauses (1) to (4) of Section I of Annex II to Directive 2014/65/EU (known as MiFID II), which includes (among others): entities which are required to be authorized or regulated to operate in the financial markets, including: (a) credit institutions; (b) investment firms; (c) other authorized or regulated financial institutions; (d) insurance companies; (e) collective investment schemes and management companies of such schemes; (f) pension funds and management companies of such funds; (g) commodity and commodity derivatives dealers; (h) local public authorities; and (i) other institutional investors.</w:t>
      </w:r>
    </w:p>
    <w:p>
      <w:pPr>
        <w:spacing w:after="0" w:line="137"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Fund</w:t>
      </w:r>
      <w:r>
        <w:rPr>
          <w:rFonts w:ascii="Arial" w:cs="Arial" w:eastAsia="Arial" w:hAnsi="Arial"/>
          <w:sz w:val="22"/>
          <w:szCs w:val="22"/>
          <w:color w:val="auto"/>
        </w:rPr>
        <w:t>” means, with respect to any holder of any Bond, any fund or entity that (i) invests in Securities or bank loans, and (ii) is advised or managed by such holder, the same investment advisor as such holder or by an affiliate of such holder or such investment advisor.</w:t>
      </w:r>
    </w:p>
    <w:p>
      <w:pPr>
        <w:spacing w:after="0" w:line="132" w:lineRule="exact"/>
        <w:rPr>
          <w:sz w:val="20"/>
          <w:szCs w:val="20"/>
          <w:color w:val="auto"/>
        </w:rPr>
      </w:pPr>
    </w:p>
    <w:p>
      <w:pPr>
        <w:jc w:val="both"/>
        <w:ind w:right="2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Holders</w:t>
      </w:r>
      <w:r>
        <w:rPr>
          <w:rFonts w:ascii="Arial" w:cs="Arial" w:eastAsia="Arial" w:hAnsi="Arial"/>
          <w:sz w:val="22"/>
          <w:szCs w:val="22"/>
          <w:color w:val="auto"/>
        </w:rPr>
        <w:t>” means at any time on or after the Closing, the holders of at least 51% in principal amount of the Bonds at the time outstanding (exclusive of Bonds then owned by the Company or any of its Affiliates).</w:t>
      </w:r>
    </w:p>
    <w:p>
      <w:pPr>
        <w:spacing w:after="0" w:line="132"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any Senior Financial Officer and any other officer of the Company with responsibility for the administration of the relevant portion of this Agreement.</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w:t>
      </w:r>
      <w:r>
        <w:rPr>
          <w:rFonts w:ascii="Arial" w:cs="Arial" w:eastAsia="Arial" w:hAnsi="Arial"/>
          <w:sz w:val="19"/>
          <w:szCs w:val="19"/>
          <w:color w:val="auto"/>
        </w:rPr>
        <w:t>” means the Securities and Exchange Commission of the United States, or any successor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Securities”</w:t>
      </w:r>
      <w:r>
        <w:rPr>
          <w:rFonts w:ascii="Arial" w:cs="Arial" w:eastAsia="Arial" w:hAnsi="Arial"/>
          <w:sz w:val="19"/>
          <w:szCs w:val="19"/>
          <w:color w:val="auto"/>
        </w:rPr>
        <w:t xml:space="preserve"> or </w:t>
      </w:r>
      <w:r>
        <w:rPr>
          <w:rFonts w:ascii="Arial" w:cs="Arial" w:eastAsia="Arial" w:hAnsi="Arial"/>
          <w:sz w:val="19"/>
          <w:szCs w:val="19"/>
          <w:i w:val="1"/>
          <w:iCs w:val="1"/>
          <w:color w:val="auto"/>
        </w:rPr>
        <w:t>“Security</w:t>
      </w:r>
      <w:r>
        <w:rPr>
          <w:rFonts w:ascii="Arial" w:cs="Arial" w:eastAsia="Arial" w:hAnsi="Arial"/>
          <w:sz w:val="19"/>
          <w:szCs w:val="19"/>
          <w:color w:val="auto"/>
        </w:rPr>
        <w:t>” shall have the meaning specified in section 2(a)(1) of the Securities Act.</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from time to time, and the rules and regulations promulgated thereunder from time to time in effect.</w:t>
      </w:r>
    </w:p>
    <w:p>
      <w:pPr>
        <w:spacing w:after="0" w:line="12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Senior Financial Officer</w:t>
      </w:r>
      <w:r>
        <w:rPr>
          <w:rFonts w:ascii="Arial" w:cs="Arial" w:eastAsia="Arial" w:hAnsi="Arial"/>
          <w:sz w:val="22"/>
          <w:szCs w:val="22"/>
          <w:color w:val="auto"/>
        </w:rPr>
        <w:t>” means the chief financial officer, principal accounting officer, treasurer or comptroller of the Company.</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Source</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6.2.</w:t>
      </w:r>
    </w:p>
    <w:p>
      <w:pPr>
        <w:spacing w:after="0" w:line="158"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 Sanctions List</w:t>
      </w:r>
      <w:r>
        <w:rPr>
          <w:rFonts w:ascii="Arial" w:cs="Arial" w:eastAsia="Arial" w:hAnsi="Arial"/>
          <w:sz w:val="19"/>
          <w:szCs w:val="19"/>
          <w:color w:val="auto"/>
        </w:rPr>
        <w: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spacing w:after="0" w:line="80" w:lineRule="exact"/>
        <w:rPr>
          <w:sz w:val="20"/>
          <w:szCs w:val="20"/>
          <w:color w:val="auto"/>
        </w:rPr>
      </w:pPr>
    </w:p>
    <w:p>
      <w:pPr>
        <w:jc w:val="both"/>
        <w:ind w:right="20"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Subsidiary</w:t>
      </w:r>
      <w:r>
        <w:rPr>
          <w:rFonts w:ascii="Arial" w:cs="Arial" w:eastAsia="Arial" w:hAnsi="Arial"/>
          <w:sz w:val="21"/>
          <w:szCs w:val="21"/>
          <w:color w:val="auto"/>
        </w:rPr>
        <w:t>”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w:t>
      </w:r>
      <w:r>
        <w:rPr>
          <w:rFonts w:ascii="Arial" w:cs="Arial" w:eastAsia="Arial" w:hAnsi="Arial"/>
          <w:sz w:val="21"/>
          <w:szCs w:val="21"/>
          <w:i w:val="1"/>
          <w:iCs w:val="1"/>
          <w:color w:val="auto"/>
        </w:rPr>
        <w:t>Subsidiary</w:t>
      </w:r>
      <w:r>
        <w:rPr>
          <w:rFonts w:ascii="Arial" w:cs="Arial" w:eastAsia="Arial" w:hAnsi="Arial"/>
          <w:sz w:val="21"/>
          <w:szCs w:val="21"/>
          <w:color w:val="auto"/>
        </w:rPr>
        <w:t>” is a reference to a Subsidiary of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Supplement</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135255</wp:posOffset>
            </wp:positionV>
            <wp:extent cx="635190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99" w:name="page100"/>
    <w:bookmarkEnd w:id="99"/>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SVO</w:t>
      </w:r>
      <w:r>
        <w:rPr>
          <w:rFonts w:ascii="Arial" w:cs="Arial" w:eastAsia="Arial" w:hAnsi="Arial"/>
          <w:sz w:val="21"/>
          <w:szCs w:val="21"/>
          <w:color w:val="auto"/>
        </w:rPr>
        <w:t>” means the Securities Valuation Office of the NAIC or any successor to such Office.</w:t>
      </w:r>
    </w:p>
    <w:p>
      <w:pPr>
        <w:spacing w:after="0" w:line="16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Swaps</w:t>
      </w:r>
      <w:r>
        <w:rPr>
          <w:rFonts w:ascii="Arial" w:cs="Arial" w:eastAsia="Arial" w:hAnsi="Arial"/>
          <w:sz w:val="19"/>
          <w:szCs w:val="19"/>
          <w:color w:val="auto"/>
        </w:rPr>
        <w:t>” means, with respect to any Person, payment obligations with respect to interest rate swaps, currency 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 Estate</w:t>
      </w:r>
      <w:r>
        <w:rPr>
          <w:rFonts w:ascii="Arial" w:cs="Arial" w:eastAsia="Arial" w:hAnsi="Arial"/>
          <w:sz w:val="22"/>
          <w:szCs w:val="22"/>
          <w:color w:val="auto"/>
        </w:rPr>
        <w:t>” is defined in the Indenture.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xml:space="preserve">” is defined in </w:t>
      </w:r>
      <w:r>
        <w:rPr>
          <w:rFonts w:ascii="Arial" w:cs="Arial" w:eastAsia="Arial" w:hAnsi="Arial"/>
          <w:sz w:val="22"/>
          <w:szCs w:val="22"/>
          <w:b w:val="1"/>
          <w:bCs w:val="1"/>
          <w:color w:val="auto"/>
        </w:rPr>
        <w:t>Section 1.</w:t>
      </w:r>
    </w:p>
    <w:p>
      <w:pPr>
        <w:spacing w:after="0" w:line="15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UCC</w:t>
      </w:r>
      <w:r>
        <w:rPr>
          <w:rFonts w:ascii="Arial" w:cs="Arial" w:eastAsia="Arial" w:hAnsi="Arial"/>
          <w:sz w:val="22"/>
          <w:szCs w:val="22"/>
          <w:color w:val="auto"/>
        </w:rPr>
        <w:t>” means, the Uniform Commercial Code as enacted and in effect from time to time in the state whose laws are treated as applying to the Trust Estate.</w:t>
      </w:r>
    </w:p>
    <w:p>
      <w:pPr>
        <w:spacing w:after="0" w:line="121" w:lineRule="exact"/>
        <w:rPr>
          <w:sz w:val="20"/>
          <w:szCs w:val="20"/>
          <w:color w:val="auto"/>
        </w:rPr>
      </w:pPr>
    </w:p>
    <w:p>
      <w:pPr>
        <w:jc w:val="both"/>
        <w:ind w:right="20" w:firstLine="1296"/>
        <w:spacing w:after="0" w:line="254"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USA Patriot Act”</w:t>
      </w:r>
      <w:r>
        <w:rPr>
          <w:rFonts w:ascii="Arial" w:cs="Arial" w:eastAsia="Arial" w:hAnsi="Arial"/>
          <w:sz w:val="19"/>
          <w:szCs w:val="19"/>
          <w:color w:val="auto"/>
        </w:rPr>
        <w:t xml:space="preserve"> means United States Public Law 107</w:t>
      </w:r>
      <w:r>
        <w:rPr>
          <w:rFonts w:ascii="MS PGothic" w:cs="MS PGothic" w:eastAsia="MS PGothic" w:hAnsi="MS PGothic"/>
          <w:sz w:val="19"/>
          <w:szCs w:val="19"/>
          <w:color w:val="auto"/>
        </w:rPr>
        <w:t>‑</w:t>
      </w:r>
      <w:r>
        <w:rPr>
          <w:rFonts w:ascii="Arial" w:cs="Arial" w:eastAsia="Arial" w:hAnsi="Arial"/>
          <w:sz w:val="19"/>
          <w:szCs w:val="19"/>
          <w:color w:val="auto"/>
        </w:rPr>
        <w:t>56, Uniting and Strengthening America by Providing Appropriate Tools Required to Intercept and Obstruct Terrorism (USA PATRIOT ACT) Act of 2001, as amended from time to time, and the rules and regulations promulgated thereunder from time to time in effect.</w:t>
      </w:r>
    </w:p>
    <w:p>
      <w:pPr>
        <w:spacing w:after="0" w:line="13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U.S. Economic Sanctions Laws</w:t>
      </w:r>
      <w:r>
        <w:rPr>
          <w:rFonts w:ascii="Arial" w:cs="Arial" w:eastAsia="Arial" w:hAnsi="Arial"/>
          <w:sz w:val="21"/>
          <w:szCs w:val="21"/>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each as amended from time to time, and any other OFAC Sanctions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371475</wp:posOffset>
            </wp:positionV>
            <wp:extent cx="635190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100" w:name="page101"/>
    <w:bookmarkEnd w:id="100"/>
    <w:p>
      <w:pPr>
        <w:jc w:val="center"/>
        <w:ind w:right="-440"/>
        <w:spacing w:after="0"/>
        <w:rPr>
          <w:sz w:val="20"/>
          <w:szCs w:val="20"/>
          <w:color w:val="auto"/>
        </w:rPr>
      </w:pPr>
      <w:r>
        <w:rPr>
          <w:rFonts w:ascii="Arial" w:cs="Arial" w:eastAsia="Arial" w:hAnsi="Arial"/>
          <w:sz w:val="22"/>
          <w:szCs w:val="22"/>
          <w:b w:val="1"/>
          <w:bCs w:val="1"/>
          <w:color w:val="auto"/>
        </w:rPr>
        <w:t>Aqua Pennsylvania, Inc.</w:t>
      </w:r>
    </w:p>
    <w:p>
      <w:pPr>
        <w:spacing w:after="0" w:line="5"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Subsidiaries of the Company,</w:t>
      </w:r>
    </w:p>
    <w:p>
      <w:pPr>
        <w:jc w:val="center"/>
        <w:ind w:right="-440"/>
        <w:spacing w:after="0"/>
        <w:rPr>
          <w:sz w:val="20"/>
          <w:szCs w:val="20"/>
          <w:color w:val="auto"/>
        </w:rPr>
      </w:pPr>
      <w:r>
        <w:rPr>
          <w:rFonts w:ascii="Arial" w:cs="Arial" w:eastAsia="Arial" w:hAnsi="Arial"/>
          <w:sz w:val="22"/>
          <w:szCs w:val="22"/>
          <w:b w:val="1"/>
          <w:bCs w:val="1"/>
          <w:color w:val="auto"/>
        </w:rPr>
        <w:t>Ownership of Subsidiary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40" w:type="dxa"/>
            <w:vAlign w:val="bottom"/>
            <w:shd w:val="clear" w:color="auto" w:fill="DBE5F1"/>
          </w:tcPr>
          <w:p>
            <w:pPr>
              <w:spacing w:after="0"/>
              <w:rPr>
                <w:sz w:val="21"/>
                <w:szCs w:val="21"/>
                <w:color w:val="auto"/>
              </w:rPr>
            </w:pPr>
          </w:p>
        </w:tc>
        <w:tc>
          <w:tcPr>
            <w:tcW w:w="3580" w:type="dxa"/>
            <w:vAlign w:val="bottom"/>
            <w:shd w:val="clear" w:color="auto" w:fill="DBE5F1"/>
          </w:tcPr>
          <w:p>
            <w:pPr>
              <w:ind w:left="580"/>
              <w:spacing w:after="0"/>
              <w:rPr>
                <w:sz w:val="20"/>
                <w:szCs w:val="20"/>
                <w:color w:val="auto"/>
              </w:rPr>
            </w:pPr>
            <w:r>
              <w:rPr>
                <w:rFonts w:ascii="Arial" w:cs="Arial" w:eastAsia="Arial" w:hAnsi="Arial"/>
                <w:sz w:val="22"/>
                <w:szCs w:val="22"/>
                <w:b w:val="1"/>
                <w:bCs w:val="1"/>
                <w:color w:val="auto"/>
              </w:rPr>
              <w:t>Company Name</w:t>
            </w:r>
          </w:p>
        </w:tc>
        <w:tc>
          <w:tcPr>
            <w:tcW w:w="2060" w:type="dxa"/>
            <w:vAlign w:val="bottom"/>
            <w:shd w:val="clear" w:color="auto" w:fill="DBE5F1"/>
          </w:tcPr>
          <w:p>
            <w:pPr>
              <w:jc w:val="center"/>
              <w:spacing w:after="0"/>
              <w:rPr>
                <w:sz w:val="20"/>
                <w:szCs w:val="20"/>
                <w:color w:val="auto"/>
              </w:rPr>
            </w:pPr>
            <w:r>
              <w:rPr>
                <w:rFonts w:ascii="Arial" w:cs="Arial" w:eastAsia="Arial" w:hAnsi="Arial"/>
                <w:sz w:val="22"/>
                <w:szCs w:val="22"/>
                <w:b w:val="1"/>
                <w:bCs w:val="1"/>
                <w:color w:val="auto"/>
                <w:w w:val="86"/>
              </w:rPr>
              <w:t>State of</w:t>
            </w:r>
          </w:p>
        </w:tc>
        <w:tc>
          <w:tcPr>
            <w:tcW w:w="2580" w:type="dxa"/>
            <w:vAlign w:val="bottom"/>
            <w:shd w:val="clear" w:color="auto" w:fill="DBE5F1"/>
          </w:tcPr>
          <w:p>
            <w:pPr>
              <w:jc w:val="center"/>
              <w:spacing w:after="0"/>
              <w:rPr>
                <w:sz w:val="20"/>
                <w:szCs w:val="20"/>
                <w:color w:val="auto"/>
              </w:rPr>
            </w:pPr>
            <w:r>
              <w:rPr>
                <w:rFonts w:ascii="Arial" w:cs="Arial" w:eastAsia="Arial" w:hAnsi="Arial"/>
                <w:sz w:val="22"/>
                <w:szCs w:val="22"/>
                <w:b w:val="1"/>
                <w:bCs w:val="1"/>
                <w:color w:val="auto"/>
                <w:w w:val="91"/>
              </w:rPr>
              <w:t>% of Ownership</w:t>
            </w:r>
          </w:p>
        </w:tc>
      </w:tr>
      <w:tr>
        <w:trPr>
          <w:trHeight w:val="297"/>
        </w:trPr>
        <w:tc>
          <w:tcPr>
            <w:tcW w:w="940" w:type="dxa"/>
            <w:vAlign w:val="bottom"/>
            <w:shd w:val="clear" w:color="auto" w:fill="DBE5F1"/>
          </w:tcPr>
          <w:p>
            <w:pPr>
              <w:spacing w:after="0"/>
              <w:rPr>
                <w:sz w:val="24"/>
                <w:szCs w:val="24"/>
                <w:color w:val="auto"/>
              </w:rPr>
            </w:pPr>
          </w:p>
        </w:tc>
        <w:tc>
          <w:tcPr>
            <w:tcW w:w="3580" w:type="dxa"/>
            <w:vAlign w:val="bottom"/>
            <w:shd w:val="clear" w:color="auto" w:fill="DBE5F1"/>
          </w:tcPr>
          <w:p>
            <w:pPr>
              <w:spacing w:after="0"/>
              <w:rPr>
                <w:sz w:val="24"/>
                <w:szCs w:val="24"/>
                <w:color w:val="auto"/>
              </w:rPr>
            </w:pPr>
          </w:p>
        </w:tc>
        <w:tc>
          <w:tcPr>
            <w:tcW w:w="2060" w:type="dxa"/>
            <w:vAlign w:val="bottom"/>
            <w:shd w:val="clear" w:color="auto" w:fill="DBE5F1"/>
          </w:tcPr>
          <w:p>
            <w:pPr>
              <w:jc w:val="center"/>
              <w:spacing w:after="0"/>
              <w:rPr>
                <w:sz w:val="20"/>
                <w:szCs w:val="20"/>
                <w:color w:val="auto"/>
              </w:rPr>
            </w:pPr>
            <w:r>
              <w:rPr>
                <w:rFonts w:ascii="Arial" w:cs="Arial" w:eastAsia="Arial" w:hAnsi="Arial"/>
                <w:sz w:val="22"/>
                <w:szCs w:val="22"/>
                <w:b w:val="1"/>
                <w:bCs w:val="1"/>
                <w:color w:val="auto"/>
                <w:w w:val="91"/>
              </w:rPr>
              <w:t>Incorporation</w:t>
            </w:r>
          </w:p>
        </w:tc>
        <w:tc>
          <w:tcPr>
            <w:tcW w:w="2580" w:type="dxa"/>
            <w:vAlign w:val="bottom"/>
            <w:shd w:val="clear" w:color="auto" w:fill="DBE5F1"/>
          </w:tcPr>
          <w:p>
            <w:pPr>
              <w:jc w:val="center"/>
              <w:spacing w:after="0"/>
              <w:rPr>
                <w:sz w:val="20"/>
                <w:szCs w:val="20"/>
                <w:color w:val="auto"/>
              </w:rPr>
            </w:pPr>
            <w:r>
              <w:rPr>
                <w:rFonts w:ascii="Arial" w:cs="Arial" w:eastAsia="Arial" w:hAnsi="Arial"/>
                <w:sz w:val="22"/>
                <w:szCs w:val="22"/>
                <w:b w:val="1"/>
                <w:bCs w:val="1"/>
                <w:color w:val="auto"/>
                <w:w w:val="94"/>
              </w:rPr>
              <w:t>(Direct &amp; Indirect)</w:t>
            </w:r>
          </w:p>
        </w:tc>
      </w:tr>
      <w:tr>
        <w:trPr>
          <w:trHeight w:val="274"/>
        </w:trPr>
        <w:tc>
          <w:tcPr>
            <w:tcW w:w="4520" w:type="dxa"/>
            <w:vAlign w:val="bottom"/>
            <w:gridSpan w:val="2"/>
          </w:tcPr>
          <w:p>
            <w:pPr>
              <w:ind w:left="120"/>
              <w:spacing w:after="0"/>
              <w:rPr>
                <w:sz w:val="20"/>
                <w:szCs w:val="20"/>
                <w:color w:val="auto"/>
              </w:rPr>
            </w:pPr>
            <w:r>
              <w:rPr>
                <w:rFonts w:ascii="Arial" w:cs="Arial" w:eastAsia="Arial" w:hAnsi="Arial"/>
                <w:sz w:val="22"/>
                <w:szCs w:val="22"/>
                <w:color w:val="auto"/>
              </w:rPr>
              <w:t>Aqua Pennsylvania, Inc.</w:t>
            </w:r>
          </w:p>
        </w:tc>
        <w:tc>
          <w:tcPr>
            <w:tcW w:w="206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58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384"/>
        </w:trPr>
        <w:tc>
          <w:tcPr>
            <w:tcW w:w="940" w:type="dxa"/>
            <w:vAlign w:val="bottom"/>
          </w:tcPr>
          <w:p>
            <w:pPr>
              <w:jc w:val="right"/>
              <w:spacing w:after="0"/>
              <w:rPr>
                <w:sz w:val="20"/>
                <w:szCs w:val="20"/>
                <w:color w:val="auto"/>
              </w:rPr>
            </w:pPr>
            <w:r>
              <w:rPr>
                <w:rFonts w:ascii="Arial" w:cs="Arial" w:eastAsia="Arial" w:hAnsi="Arial"/>
                <w:sz w:val="22"/>
                <w:szCs w:val="22"/>
                <w:color w:val="auto"/>
              </w:rPr>
              <w:t>1.</w:t>
            </w:r>
          </w:p>
        </w:tc>
        <w:tc>
          <w:tcPr>
            <w:tcW w:w="3580" w:type="dxa"/>
            <w:vAlign w:val="bottom"/>
          </w:tcPr>
          <w:p>
            <w:pPr>
              <w:ind w:left="40"/>
              <w:spacing w:after="0"/>
              <w:rPr>
                <w:sz w:val="20"/>
                <w:szCs w:val="20"/>
                <w:color w:val="auto"/>
              </w:rPr>
            </w:pPr>
            <w:r>
              <w:rPr>
                <w:rFonts w:ascii="Arial" w:cs="Arial" w:eastAsia="Arial" w:hAnsi="Arial"/>
                <w:sz w:val="22"/>
                <w:szCs w:val="22"/>
                <w:color w:val="auto"/>
                <w:w w:val="98"/>
              </w:rPr>
              <w:t>Aqua Pennsylvania Wastewater, Inc.</w:t>
            </w:r>
          </w:p>
        </w:tc>
        <w:tc>
          <w:tcPr>
            <w:tcW w:w="206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580" w:type="dxa"/>
            <w:vAlign w:val="bottom"/>
          </w:tcPr>
          <w:p>
            <w:pPr>
              <w:jc w:val="center"/>
              <w:spacing w:after="0"/>
              <w:rPr>
                <w:sz w:val="20"/>
                <w:szCs w:val="20"/>
                <w:color w:val="auto"/>
              </w:rPr>
            </w:pPr>
            <w:r>
              <w:rPr>
                <w:rFonts w:ascii="Arial" w:cs="Arial" w:eastAsia="Arial" w:hAnsi="Arial"/>
                <w:sz w:val="22"/>
                <w:szCs w:val="22"/>
                <w:color w:val="auto"/>
                <w:w w:val="88"/>
              </w:rPr>
              <w:t>100%</w:t>
            </w:r>
          </w:p>
        </w:tc>
      </w:tr>
      <w:tr>
        <w:trPr>
          <w:trHeight w:val="567"/>
        </w:trPr>
        <w:tc>
          <w:tcPr>
            <w:tcW w:w="940" w:type="dxa"/>
            <w:vAlign w:val="bottom"/>
          </w:tcPr>
          <w:p>
            <w:pPr>
              <w:jc w:val="right"/>
              <w:spacing w:after="0"/>
              <w:rPr>
                <w:sz w:val="20"/>
                <w:szCs w:val="20"/>
                <w:color w:val="auto"/>
              </w:rPr>
            </w:pPr>
            <w:r>
              <w:rPr>
                <w:rFonts w:ascii="Arial" w:cs="Arial" w:eastAsia="Arial" w:hAnsi="Arial"/>
                <w:sz w:val="22"/>
                <w:szCs w:val="22"/>
                <w:color w:val="auto"/>
              </w:rPr>
              <w:t>2.</w:t>
            </w:r>
          </w:p>
        </w:tc>
        <w:tc>
          <w:tcPr>
            <w:tcW w:w="3580" w:type="dxa"/>
            <w:vAlign w:val="bottom"/>
          </w:tcPr>
          <w:p>
            <w:pPr>
              <w:ind w:left="40"/>
              <w:spacing w:after="0"/>
              <w:rPr>
                <w:sz w:val="20"/>
                <w:szCs w:val="20"/>
                <w:color w:val="auto"/>
              </w:rPr>
            </w:pPr>
            <w:r>
              <w:rPr>
                <w:rFonts w:ascii="Arial" w:cs="Arial" w:eastAsia="Arial" w:hAnsi="Arial"/>
                <w:sz w:val="22"/>
                <w:szCs w:val="22"/>
                <w:color w:val="auto"/>
              </w:rPr>
              <w:t>Honesdale Consolidated Water</w:t>
            </w:r>
          </w:p>
        </w:tc>
        <w:tc>
          <w:tcPr>
            <w:tcW w:w="2060" w:type="dxa"/>
            <w:vAlign w:val="bottom"/>
          </w:tcPr>
          <w:p>
            <w:pPr>
              <w:jc w:val="center"/>
              <w:spacing w:after="0"/>
              <w:rPr>
                <w:sz w:val="20"/>
                <w:szCs w:val="20"/>
                <w:color w:val="auto"/>
              </w:rPr>
            </w:pPr>
            <w:r>
              <w:rPr>
                <w:rFonts w:ascii="Arial" w:cs="Arial" w:eastAsia="Arial" w:hAnsi="Arial"/>
                <w:sz w:val="22"/>
                <w:szCs w:val="22"/>
                <w:color w:val="auto"/>
                <w:w w:val="88"/>
              </w:rPr>
              <w:t>Pennsylvania</w:t>
            </w:r>
          </w:p>
        </w:tc>
        <w:tc>
          <w:tcPr>
            <w:tcW w:w="2580" w:type="dxa"/>
            <w:vAlign w:val="bottom"/>
          </w:tcPr>
          <w:p>
            <w:pPr>
              <w:jc w:val="center"/>
              <w:spacing w:after="0"/>
              <w:rPr>
                <w:sz w:val="20"/>
                <w:szCs w:val="20"/>
                <w:color w:val="auto"/>
              </w:rPr>
            </w:pPr>
            <w:r>
              <w:rPr>
                <w:rFonts w:ascii="Arial" w:cs="Arial" w:eastAsia="Arial" w:hAnsi="Arial"/>
                <w:sz w:val="22"/>
                <w:szCs w:val="22"/>
                <w:color w:val="auto"/>
                <w:w w:val="88"/>
              </w:rPr>
              <w:t>100%</w:t>
            </w:r>
          </w:p>
        </w:tc>
      </w:tr>
    </w:tbl>
    <w:p>
      <w:pPr>
        <w:ind w:left="760"/>
        <w:spacing w:after="0"/>
        <w:rPr>
          <w:sz w:val="20"/>
          <w:szCs w:val="20"/>
          <w:color w:val="auto"/>
        </w:rPr>
      </w:pPr>
      <w:r>
        <w:rPr>
          <w:rFonts w:ascii="Arial" w:cs="Arial" w:eastAsia="Arial" w:hAnsi="Arial"/>
          <w:sz w:val="22"/>
          <w:szCs w:val="22"/>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685800</wp:posOffset>
            </wp:positionV>
            <wp:extent cx="6351905" cy="508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79"/>
          </w:cols>
          <w:pgMar w:left="980" w:top="111"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FINANCIAL STATEMENTS</w:t>
      </w:r>
    </w:p>
    <w:p>
      <w:pPr>
        <w:spacing w:after="0" w:line="200" w:lineRule="exact"/>
        <w:rPr>
          <w:sz w:val="20"/>
          <w:szCs w:val="20"/>
          <w:color w:val="auto"/>
        </w:rPr>
      </w:pPr>
    </w:p>
    <w:p>
      <w:pPr>
        <w:spacing w:after="0" w:line="364" w:lineRule="exact"/>
        <w:rPr>
          <w:sz w:val="20"/>
          <w:szCs w:val="20"/>
          <w:color w:val="auto"/>
        </w:rPr>
      </w:pPr>
    </w:p>
    <w:p>
      <w:pPr>
        <w:ind w:firstLine="1292"/>
        <w:spacing w:after="0" w:line="250" w:lineRule="auto"/>
        <w:tabs>
          <w:tab w:leader="none" w:pos="2619" w:val="left"/>
        </w:tabs>
        <w:numPr>
          <w:ilvl w:val="0"/>
          <w:numId w:val="49"/>
        </w:numPr>
        <w:rPr>
          <w:rFonts w:ascii="Arial" w:cs="Arial" w:eastAsia="Arial" w:hAnsi="Arial"/>
          <w:sz w:val="22"/>
          <w:szCs w:val="22"/>
          <w:color w:val="auto"/>
        </w:rPr>
      </w:pPr>
      <w:r>
        <w:rPr>
          <w:rFonts w:ascii="Arial" w:cs="Arial" w:eastAsia="Arial" w:hAnsi="Arial"/>
          <w:sz w:val="22"/>
          <w:szCs w:val="22"/>
          <w:color w:val="auto"/>
        </w:rPr>
        <w:t>Aqua Pennsylvania, Inc. Consolidated Financial Statements as of and for the years ended December 31, 2022, 2021, and 2020 (audited)</w:t>
      </w:r>
    </w:p>
    <w:p>
      <w:pPr>
        <w:spacing w:after="0" w:line="120" w:lineRule="exact"/>
        <w:rPr>
          <w:rFonts w:ascii="Arial" w:cs="Arial" w:eastAsia="Arial" w:hAnsi="Arial"/>
          <w:sz w:val="22"/>
          <w:szCs w:val="22"/>
          <w:color w:val="auto"/>
        </w:rPr>
      </w:pPr>
    </w:p>
    <w:p>
      <w:pPr>
        <w:ind w:left="2620" w:hanging="1328"/>
        <w:spacing w:after="0"/>
        <w:tabs>
          <w:tab w:leader="none" w:pos="2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Aqua Pennsylvania, Inc. Report for Quarter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1160145</wp:posOffset>
            </wp:positionV>
            <wp:extent cx="635190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22"/>
          <w:szCs w:val="22"/>
          <w:b w:val="1"/>
          <w:bCs w:val="1"/>
          <w:color w:val="auto"/>
        </w:rPr>
        <w:t>Aqua Pennsylvania and Subsidiaries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Schedule 5.15(a) – Existing Debt</w:t>
      </w:r>
    </w:p>
    <w:p>
      <w:pPr>
        <w:jc w:val="center"/>
        <w:ind w:right="40"/>
        <w:spacing w:after="0"/>
        <w:rPr>
          <w:sz w:val="20"/>
          <w:szCs w:val="20"/>
          <w:color w:val="auto"/>
        </w:rPr>
      </w:pPr>
      <w:r>
        <w:rPr>
          <w:rFonts w:ascii="Arial" w:cs="Arial" w:eastAsia="Arial" w:hAnsi="Arial"/>
          <w:sz w:val="22"/>
          <w:szCs w:val="22"/>
          <w:b w:val="1"/>
          <w:bCs w:val="1"/>
          <w:color w:val="auto"/>
        </w:rPr>
        <w:t>as of 6/30/2023</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00" w:type="dxa"/>
            <w:vAlign w:val="bottom"/>
            <w:vMerge w:val="restart"/>
          </w:tcPr>
          <w:p>
            <w:pPr>
              <w:spacing w:after="0"/>
              <w:rPr>
                <w:sz w:val="23"/>
                <w:szCs w:val="23"/>
                <w:color w:val="auto"/>
              </w:rPr>
            </w:pPr>
          </w:p>
        </w:tc>
        <w:tc>
          <w:tcPr>
            <w:tcW w:w="2680" w:type="dxa"/>
            <w:vAlign w:val="bottom"/>
          </w:tcPr>
          <w:p>
            <w:pPr>
              <w:spacing w:after="0"/>
              <w:rPr>
                <w:sz w:val="23"/>
                <w:szCs w:val="23"/>
                <w:color w:val="auto"/>
              </w:rPr>
            </w:pPr>
          </w:p>
        </w:tc>
        <w:tc>
          <w:tcPr>
            <w:tcW w:w="3760" w:type="dxa"/>
            <w:vAlign w:val="bottom"/>
          </w:tcPr>
          <w:p>
            <w:pPr>
              <w:jc w:val="right"/>
              <w:ind w:right="1392"/>
              <w:spacing w:after="0"/>
              <w:rPr>
                <w:sz w:val="20"/>
                <w:szCs w:val="20"/>
                <w:color w:val="auto"/>
              </w:rPr>
            </w:pPr>
            <w:r>
              <w:rPr>
                <w:rFonts w:ascii="Arial" w:cs="Arial" w:eastAsia="Arial" w:hAnsi="Arial"/>
                <w:sz w:val="22"/>
                <w:szCs w:val="22"/>
                <w:color w:val="auto"/>
              </w:rPr>
              <w:t>Outstanding</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3760" w:type="dxa"/>
            <w:vAlign w:val="bottom"/>
            <w:vMerge w:val="restart"/>
          </w:tcPr>
          <w:p>
            <w:pPr>
              <w:jc w:val="right"/>
              <w:ind w:right="1572"/>
              <w:spacing w:after="0"/>
              <w:rPr>
                <w:sz w:val="20"/>
                <w:szCs w:val="20"/>
                <w:color w:val="auto"/>
              </w:rPr>
            </w:pPr>
            <w:r>
              <w:rPr>
                <w:rFonts w:ascii="Arial" w:cs="Arial" w:eastAsia="Arial" w:hAnsi="Arial"/>
                <w:sz w:val="22"/>
                <w:szCs w:val="22"/>
                <w:color w:val="auto"/>
              </w:rPr>
              <w:t>Balance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Unsecured Note</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5.95%</w:t>
            </w:r>
          </w:p>
        </w:tc>
        <w:tc>
          <w:tcPr>
            <w:tcW w:w="3760" w:type="dxa"/>
            <w:vAlign w:val="bottom"/>
            <w:shd w:val="clear" w:color="auto" w:fill="CCEEFF"/>
          </w:tcPr>
          <w:p>
            <w:pPr>
              <w:jc w:val="right"/>
              <w:ind w:right="1132"/>
              <w:spacing w:after="0"/>
              <w:rPr>
                <w:sz w:val="20"/>
                <w:szCs w:val="20"/>
                <w:color w:val="auto"/>
              </w:rPr>
            </w:pPr>
            <w:r>
              <w:rPr>
                <w:rFonts w:ascii="Arial" w:cs="Arial" w:eastAsia="Arial" w:hAnsi="Arial"/>
                <w:sz w:val="22"/>
                <w:szCs w:val="22"/>
                <w:color w:val="auto"/>
              </w:rPr>
              <w:t>10,000,000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Unsecured Note</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5.95%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10,000,000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Unsecured Note</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5.95%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b w:val="1"/>
                <w:bCs w:val="1"/>
                <w:color w:val="auto"/>
              </w:rPr>
              <w:t>Total Unsecured Notes</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b w:val="1"/>
                <w:bCs w:val="1"/>
                <w:color w:val="auto"/>
              </w:rPr>
              <w:t>30,000,000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 Exempt-Bond Premium</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1,104,759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Tax Exempt-Bond Premium</w:t>
            </w:r>
          </w:p>
        </w:tc>
        <w:tc>
          <w:tcPr>
            <w:tcW w:w="2680" w:type="dxa"/>
            <w:vAlign w:val="bottom"/>
          </w:tcPr>
          <w:p>
            <w:pPr>
              <w:spacing w:after="0"/>
              <w:rPr>
                <w:sz w:val="24"/>
                <w:szCs w:val="24"/>
                <w:color w:val="auto"/>
              </w:rPr>
            </w:pP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188,218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 Exempt-Bond Discount</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(1,090,571)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Tax Exempt-Bond Premium</w:t>
            </w:r>
          </w:p>
        </w:tc>
        <w:tc>
          <w:tcPr>
            <w:tcW w:w="2680" w:type="dxa"/>
            <w:vAlign w:val="bottom"/>
          </w:tcPr>
          <w:p>
            <w:pPr>
              <w:spacing w:after="0"/>
              <w:rPr>
                <w:sz w:val="24"/>
                <w:szCs w:val="24"/>
                <w:color w:val="auto"/>
              </w:rPr>
            </w:pP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341,893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 Exempt-Bond Discount</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(167,319)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Tax Exempt-Bond Discount</w:t>
            </w:r>
          </w:p>
        </w:tc>
        <w:tc>
          <w:tcPr>
            <w:tcW w:w="2680" w:type="dxa"/>
            <w:vAlign w:val="bottom"/>
          </w:tcPr>
          <w:p>
            <w:pPr>
              <w:spacing w:after="0"/>
              <w:rPr>
                <w:sz w:val="24"/>
                <w:szCs w:val="24"/>
                <w:color w:val="auto"/>
              </w:rPr>
            </w:pPr>
          </w:p>
        </w:tc>
        <w:tc>
          <w:tcPr>
            <w:tcW w:w="3760" w:type="dxa"/>
            <w:vAlign w:val="bottom"/>
          </w:tcPr>
          <w:p>
            <w:pPr>
              <w:jc w:val="right"/>
              <w:ind w:right="172"/>
              <w:spacing w:after="0"/>
              <w:rPr>
                <w:sz w:val="20"/>
                <w:szCs w:val="20"/>
                <w:color w:val="auto"/>
              </w:rPr>
            </w:pPr>
            <w:r>
              <w:rPr>
                <w:rFonts w:ascii="Arial" w:cs="Arial" w:eastAsia="Arial" w:hAnsi="Arial"/>
                <w:sz w:val="22"/>
                <w:szCs w:val="22"/>
                <w:color w:val="auto"/>
              </w:rPr>
              <w:t>(63,385)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Tax Exempt-Bond Discount</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172"/>
              <w:spacing w:after="0"/>
              <w:rPr>
                <w:sz w:val="20"/>
                <w:szCs w:val="20"/>
                <w:color w:val="auto"/>
              </w:rPr>
            </w:pPr>
            <w:r>
              <w:rPr>
                <w:rFonts w:ascii="Arial" w:cs="Arial" w:eastAsia="Arial" w:hAnsi="Arial"/>
                <w:sz w:val="22"/>
                <w:szCs w:val="22"/>
                <w:color w:val="auto"/>
              </w:rPr>
              <w:t>(372,000)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00" w:type="dxa"/>
            <w:vAlign w:val="bottom"/>
          </w:tcPr>
          <w:p>
            <w:pPr>
              <w:ind w:left="120"/>
              <w:spacing w:after="0"/>
              <w:rPr>
                <w:sz w:val="20"/>
                <w:szCs w:val="20"/>
                <w:color w:val="auto"/>
              </w:rPr>
            </w:pPr>
            <w:r>
              <w:rPr>
                <w:rFonts w:ascii="Arial" w:cs="Arial" w:eastAsia="Arial" w:hAnsi="Arial"/>
                <w:sz w:val="22"/>
                <w:szCs w:val="22"/>
                <w:color w:val="auto"/>
              </w:rPr>
              <w:t>Tax Exempt-Bond Premium</w:t>
            </w:r>
          </w:p>
        </w:tc>
        <w:tc>
          <w:tcPr>
            <w:tcW w:w="2680" w:type="dxa"/>
            <w:vAlign w:val="bottom"/>
          </w:tcPr>
          <w:p>
            <w:pPr>
              <w:spacing w:after="0"/>
              <w:rPr>
                <w:sz w:val="22"/>
                <w:szCs w:val="22"/>
                <w:color w:val="auto"/>
              </w:rPr>
            </w:pP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1,597,294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3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b w:val="1"/>
                <w:bCs w:val="1"/>
                <w:color w:val="auto"/>
              </w:rPr>
              <w:t>Total Tax Exempt Bonds</w:t>
            </w:r>
          </w:p>
        </w:tc>
        <w:tc>
          <w:tcPr>
            <w:tcW w:w="2680" w:type="dxa"/>
            <w:vAlign w:val="bottom"/>
            <w:shd w:val="clear" w:color="auto" w:fill="CCEEFF"/>
          </w:tcPr>
          <w:p>
            <w:pPr>
              <w:spacing w:after="0"/>
              <w:rPr>
                <w:sz w:val="24"/>
                <w:szCs w:val="24"/>
                <w:color w:val="auto"/>
              </w:rPr>
            </w:pP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b w:val="1"/>
                <w:bCs w:val="1"/>
                <w:color w:val="auto"/>
              </w:rPr>
              <w:t>1,538,889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2.71%</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165,596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475,475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154,260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2.69%</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505,891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1,020,994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346,877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1.05%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1,294,736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1.00%</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602,075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3.46%</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912,298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3.47%</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122,791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2.77%</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636,454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3.79%</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23,481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2.77%</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85,148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3.47%</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518,087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3.47%</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34,887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3.20%</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595,558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2.56%</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282,524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398,340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221,649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3.05%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528,486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0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shd w:val="clear" w:color="auto" w:fill="CCEEFF"/>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621,720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500" w:type="dxa"/>
            <w:vAlign w:val="bottom"/>
          </w:tcPr>
          <w:p>
            <w:pPr>
              <w:ind w:left="120"/>
              <w:spacing w:after="0"/>
              <w:rPr>
                <w:sz w:val="20"/>
                <w:szCs w:val="20"/>
                <w:color w:val="auto"/>
              </w:rPr>
            </w:pPr>
            <w:r>
              <w:rPr>
                <w:rFonts w:ascii="Arial" w:cs="Arial" w:eastAsia="Arial" w:hAnsi="Arial"/>
                <w:sz w:val="22"/>
                <w:szCs w:val="22"/>
                <w:color w:val="auto"/>
              </w:rPr>
              <w:t>PennVest</w:t>
            </w:r>
          </w:p>
        </w:tc>
        <w:tc>
          <w:tcPr>
            <w:tcW w:w="2680" w:type="dxa"/>
            <w:vAlign w:val="bottom"/>
          </w:tcPr>
          <w:p>
            <w:pPr>
              <w:jc w:val="right"/>
              <w:ind w:right="1072"/>
              <w:spacing w:after="0"/>
              <w:rPr>
                <w:sz w:val="20"/>
                <w:szCs w:val="20"/>
                <w:color w:val="auto"/>
              </w:rPr>
            </w:pPr>
            <w:r>
              <w:rPr>
                <w:rFonts w:ascii="Arial" w:cs="Arial" w:eastAsia="Arial" w:hAnsi="Arial"/>
                <w:sz w:val="22"/>
                <w:szCs w:val="22"/>
                <w:color w:val="auto"/>
              </w:rPr>
              <w:t>2.55%</w:t>
            </w:r>
          </w:p>
        </w:tc>
        <w:tc>
          <w:tcPr>
            <w:tcW w:w="3760" w:type="dxa"/>
            <w:vAlign w:val="bottom"/>
          </w:tcPr>
          <w:p>
            <w:pPr>
              <w:jc w:val="right"/>
              <w:ind w:right="212"/>
              <w:spacing w:after="0"/>
              <w:rPr>
                <w:sz w:val="20"/>
                <w:szCs w:val="20"/>
                <w:color w:val="auto"/>
              </w:rPr>
            </w:pPr>
            <w:r>
              <w:rPr>
                <w:rFonts w:ascii="Arial" w:cs="Arial" w:eastAsia="Arial" w:hAnsi="Arial"/>
                <w:sz w:val="22"/>
                <w:szCs w:val="22"/>
                <w:color w:val="auto"/>
              </w:rPr>
              <w:t>458,331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500" w:type="dxa"/>
            <w:vAlign w:val="bottom"/>
            <w:tcBorders>
              <w:bottom w:val="single" w:sz="8" w:color="9A9A9A"/>
            </w:tcBorders>
          </w:tcPr>
          <w:p>
            <w:pPr>
              <w:spacing w:after="0"/>
              <w:rPr>
                <w:sz w:val="19"/>
                <w:szCs w:val="19"/>
                <w:color w:val="auto"/>
              </w:rPr>
            </w:pPr>
          </w:p>
        </w:tc>
        <w:tc>
          <w:tcPr>
            <w:tcW w:w="2680" w:type="dxa"/>
            <w:vAlign w:val="bottom"/>
            <w:tcBorders>
              <w:bottom w:val="single" w:sz="8" w:color="9A9A9A"/>
            </w:tcBorders>
          </w:tcPr>
          <w:p>
            <w:pPr>
              <w:spacing w:after="0"/>
              <w:rPr>
                <w:sz w:val="19"/>
                <w:szCs w:val="19"/>
                <w:color w:val="auto"/>
              </w:rPr>
            </w:pPr>
          </w:p>
        </w:tc>
        <w:tc>
          <w:tcPr>
            <w:tcW w:w="37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c>
          <w:tcPr>
            <w:tcW w:w="3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11" w:right="9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83"/>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2.55%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545,985</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3.14%</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909,937</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2.55%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462,611</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1.51%</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4,495,658</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2.73%</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255,250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2.67%</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298,750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2.55%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517,824</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1.00%</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226,804</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2.77%</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54,663</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2.77%</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20,758</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3.05%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217,501</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2.77%</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116,317</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1.16%</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17,237</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2.77%</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471,568</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3.37%</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513,112</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2.55%</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760,155</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1.00%</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921,207</w:t>
            </w:r>
          </w:p>
        </w:tc>
        <w:tc>
          <w:tcPr>
            <w:tcW w:w="20" w:type="dxa"/>
            <w:vAlign w:val="bottom"/>
          </w:tcPr>
          <w:p>
            <w:pPr>
              <w:spacing w:after="0"/>
              <w:rPr>
                <w:sz w:val="24"/>
                <w:szCs w:val="24"/>
                <w:color w:val="auto"/>
              </w:rPr>
            </w:pPr>
          </w:p>
        </w:tc>
      </w:tr>
      <w:tr>
        <w:trPr>
          <w:trHeight w:val="279"/>
        </w:trPr>
        <w:tc>
          <w:tcPr>
            <w:tcW w:w="29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296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shd w:val="clear" w:color="auto" w:fill="CCEEFF"/>
          </w:tcPr>
          <w:p>
            <w:pPr>
              <w:spacing w:after="0"/>
              <w:rPr>
                <w:sz w:val="23"/>
                <w:szCs w:val="23"/>
                <w:color w:val="auto"/>
              </w:rPr>
            </w:pPr>
          </w:p>
        </w:tc>
        <w:tc>
          <w:tcPr>
            <w:tcW w:w="312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82"/>
        </w:trPr>
        <w:tc>
          <w:tcPr>
            <w:tcW w:w="2960" w:type="dxa"/>
            <w:vAlign w:val="bottom"/>
          </w:tcPr>
          <w:p>
            <w:pPr>
              <w:ind w:left="120"/>
              <w:spacing w:after="0"/>
              <w:rPr>
                <w:sz w:val="20"/>
                <w:szCs w:val="20"/>
                <w:color w:val="auto"/>
              </w:rPr>
            </w:pPr>
            <w:r>
              <w:rPr>
                <w:rFonts w:ascii="Arial" w:cs="Arial" w:eastAsia="Arial" w:hAnsi="Arial"/>
                <w:sz w:val="22"/>
                <w:szCs w:val="22"/>
                <w:b w:val="1"/>
                <w:bCs w:val="1"/>
                <w:color w:val="auto"/>
              </w:rPr>
              <w:t>Total PennVest</w:t>
            </w:r>
          </w:p>
        </w:tc>
        <w:tc>
          <w:tcPr>
            <w:tcW w:w="3860" w:type="dxa"/>
            <w:vAlign w:val="bottom"/>
          </w:tcPr>
          <w:p>
            <w:pPr>
              <w:spacing w:after="0"/>
              <w:rPr>
                <w:sz w:val="24"/>
                <w:szCs w:val="24"/>
                <w:color w:val="auto"/>
              </w:rPr>
            </w:pPr>
          </w:p>
        </w:tc>
        <w:tc>
          <w:tcPr>
            <w:tcW w:w="3120" w:type="dxa"/>
            <w:vAlign w:val="bottom"/>
          </w:tcPr>
          <w:p>
            <w:pPr>
              <w:jc w:val="right"/>
              <w:ind w:right="212"/>
              <w:spacing w:after="0"/>
              <w:rPr>
                <w:sz w:val="20"/>
                <w:szCs w:val="20"/>
                <w:color w:val="auto"/>
              </w:rPr>
            </w:pPr>
            <w:r>
              <w:rPr>
                <w:rFonts w:ascii="Arial" w:cs="Arial" w:eastAsia="Arial" w:hAnsi="Arial"/>
                <w:sz w:val="22"/>
                <w:szCs w:val="22"/>
                <w:b w:val="1"/>
                <w:bCs w:val="1"/>
                <w:color w:val="auto"/>
              </w:rPr>
              <w:t>20,810,997</w:t>
            </w:r>
          </w:p>
        </w:tc>
        <w:tc>
          <w:tcPr>
            <w:tcW w:w="20" w:type="dxa"/>
            <w:vAlign w:val="bottom"/>
          </w:tcPr>
          <w:p>
            <w:pPr>
              <w:spacing w:after="0"/>
              <w:rPr>
                <w:sz w:val="24"/>
                <w:szCs w:val="24"/>
                <w:color w:val="auto"/>
              </w:rPr>
            </w:pPr>
          </w:p>
        </w:tc>
      </w:tr>
      <w:tr>
        <w:trPr>
          <w:trHeight w:val="285"/>
        </w:trPr>
        <w:tc>
          <w:tcPr>
            <w:tcW w:w="2960" w:type="dxa"/>
            <w:vAlign w:val="bottom"/>
            <w:shd w:val="clear" w:color="auto" w:fill="CCEEFF"/>
          </w:tcPr>
          <w:p>
            <w:pPr>
              <w:spacing w:after="0"/>
              <w:rPr>
                <w:sz w:val="24"/>
                <w:szCs w:val="24"/>
                <w:color w:val="auto"/>
              </w:rPr>
            </w:pPr>
          </w:p>
        </w:tc>
        <w:tc>
          <w:tcPr>
            <w:tcW w:w="38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5.98%</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3,000,000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6.06%</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6.06%</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5,000,000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7.72%</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9.29%</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11,800,000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3.79%</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40,000,000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3.80%</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3.85%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3.94%</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4.61%</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4.62%</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3.64%</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4.01%</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15,000,000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4.06%</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13,000,000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32"/>
              <w:spacing w:after="0"/>
              <w:rPr>
                <w:sz w:val="20"/>
                <w:szCs w:val="20"/>
                <w:color w:val="auto"/>
              </w:rPr>
            </w:pPr>
            <w:r>
              <w:rPr>
                <w:rFonts w:ascii="Arial" w:cs="Arial" w:eastAsia="Arial" w:hAnsi="Arial"/>
                <w:sz w:val="22"/>
                <w:szCs w:val="22"/>
                <w:color w:val="auto"/>
              </w:rPr>
              <w:t>4.11%</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12,000,000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3.77%</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65,000,000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3.82%</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3.85%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4.16%</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60,000,000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4.18%</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4.20%</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3.85%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79"/>
        </w:trPr>
        <w:tc>
          <w:tcPr>
            <w:tcW w:w="2960" w:type="dxa"/>
            <w:vAlign w:val="bottom"/>
          </w:tcPr>
          <w:p>
            <w:pPr>
              <w:ind w:left="120"/>
              <w:spacing w:after="0"/>
              <w:rPr>
                <w:sz w:val="20"/>
                <w:szCs w:val="20"/>
                <w:color w:val="auto"/>
              </w:rPr>
            </w:pPr>
            <w:r>
              <w:rPr>
                <w:rFonts w:ascii="Arial" w:cs="Arial" w:eastAsia="Arial" w:hAnsi="Arial"/>
                <w:sz w:val="22"/>
                <w:szCs w:val="22"/>
                <w:color w:val="auto"/>
              </w:rPr>
              <w:t>FMB</w:t>
            </w:r>
          </w:p>
        </w:tc>
        <w:tc>
          <w:tcPr>
            <w:tcW w:w="3860" w:type="dxa"/>
            <w:vAlign w:val="bottom"/>
          </w:tcPr>
          <w:p>
            <w:pPr>
              <w:jc w:val="right"/>
              <w:ind w:right="1712"/>
              <w:spacing w:after="0"/>
              <w:rPr>
                <w:sz w:val="20"/>
                <w:szCs w:val="20"/>
                <w:color w:val="auto"/>
              </w:rPr>
            </w:pPr>
            <w:r>
              <w:rPr>
                <w:rFonts w:ascii="Arial" w:cs="Arial" w:eastAsia="Arial" w:hAnsi="Arial"/>
                <w:sz w:val="22"/>
                <w:szCs w:val="22"/>
                <w:color w:val="auto"/>
              </w:rPr>
              <w:t>3.95%</w:t>
            </w:r>
          </w:p>
        </w:tc>
        <w:tc>
          <w:tcPr>
            <w:tcW w:w="3120" w:type="dxa"/>
            <w:vAlign w:val="bottom"/>
          </w:tcPr>
          <w:p>
            <w:pPr>
              <w:jc w:val="right"/>
              <w:ind w:right="212"/>
              <w:spacing w:after="0"/>
              <w:rPr>
                <w:sz w:val="20"/>
                <w:szCs w:val="20"/>
                <w:color w:val="auto"/>
              </w:rPr>
            </w:pPr>
            <w:r>
              <w:rPr>
                <w:rFonts w:ascii="Arial" w:cs="Arial" w:eastAsia="Arial" w:hAnsi="Arial"/>
                <w:sz w:val="22"/>
                <w:szCs w:val="22"/>
                <w:color w:val="auto"/>
              </w:rPr>
              <w:t>60,000,000</w:t>
            </w:r>
          </w:p>
        </w:tc>
        <w:tc>
          <w:tcPr>
            <w:tcW w:w="20" w:type="dxa"/>
            <w:vAlign w:val="bottom"/>
          </w:tcPr>
          <w:p>
            <w:pPr>
              <w:spacing w:after="0"/>
              <w:rPr>
                <w:sz w:val="24"/>
                <w:szCs w:val="24"/>
                <w:color w:val="auto"/>
              </w:rPr>
            </w:pPr>
          </w:p>
        </w:tc>
      </w:tr>
      <w:tr>
        <w:trPr>
          <w:trHeight w:val="288"/>
        </w:trPr>
        <w:tc>
          <w:tcPr>
            <w:tcW w:w="296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860" w:type="dxa"/>
            <w:vAlign w:val="bottom"/>
            <w:shd w:val="clear" w:color="auto" w:fill="CCEEFF"/>
          </w:tcPr>
          <w:p>
            <w:pPr>
              <w:jc w:val="right"/>
              <w:ind w:right="1712"/>
              <w:spacing w:after="0"/>
              <w:rPr>
                <w:sz w:val="20"/>
                <w:szCs w:val="20"/>
                <w:color w:val="auto"/>
              </w:rPr>
            </w:pPr>
            <w:r>
              <w:rPr>
                <w:rFonts w:ascii="Arial" w:cs="Arial" w:eastAsia="Arial" w:hAnsi="Arial"/>
                <w:sz w:val="22"/>
                <w:szCs w:val="22"/>
                <w:color w:val="auto"/>
              </w:rPr>
              <w:t>3.65%</w:t>
            </w:r>
          </w:p>
        </w:tc>
        <w:tc>
          <w:tcPr>
            <w:tcW w:w="312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10,000,000</w:t>
            </w:r>
          </w:p>
        </w:tc>
        <w:tc>
          <w:tcPr>
            <w:tcW w:w="20" w:type="dxa"/>
            <w:vAlign w:val="bottom"/>
          </w:tcPr>
          <w:p>
            <w:pPr>
              <w:spacing w:after="0"/>
              <w:rPr>
                <w:sz w:val="24"/>
                <w:szCs w:val="24"/>
                <w:color w:val="auto"/>
              </w:rPr>
            </w:pPr>
          </w:p>
        </w:tc>
      </w:tr>
      <w:tr>
        <w:trPr>
          <w:trHeight w:val="216"/>
        </w:trPr>
        <w:tc>
          <w:tcPr>
            <w:tcW w:w="2960" w:type="dxa"/>
            <w:vAlign w:val="bottom"/>
            <w:tcBorders>
              <w:bottom w:val="single" w:sz="8" w:color="9A9A9A"/>
            </w:tcBorders>
          </w:tcPr>
          <w:p>
            <w:pPr>
              <w:spacing w:after="0"/>
              <w:rPr>
                <w:sz w:val="18"/>
                <w:szCs w:val="18"/>
                <w:color w:val="auto"/>
              </w:rPr>
            </w:pPr>
          </w:p>
        </w:tc>
        <w:tc>
          <w:tcPr>
            <w:tcW w:w="3860" w:type="dxa"/>
            <w:vAlign w:val="bottom"/>
            <w:tcBorders>
              <w:bottom w:val="single" w:sz="8" w:color="9A9A9A"/>
            </w:tcBorders>
          </w:tcPr>
          <w:p>
            <w:pPr>
              <w:spacing w:after="0"/>
              <w:rPr>
                <w:sz w:val="18"/>
                <w:szCs w:val="18"/>
                <w:color w:val="auto"/>
              </w:rPr>
            </w:pPr>
          </w:p>
        </w:tc>
        <w:tc>
          <w:tcPr>
            <w:tcW w:w="3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386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40" w:right="9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3"/>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3.69%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40,000,000</w:t>
            </w:r>
          </w:p>
        </w:tc>
        <w:tc>
          <w:tcPr>
            <w:tcW w:w="20" w:type="dxa"/>
            <w:vAlign w:val="bottom"/>
          </w:tcPr>
          <w:p>
            <w:pPr>
              <w:spacing w:after="0"/>
              <w:rPr>
                <w:sz w:val="24"/>
                <w:szCs w:val="24"/>
                <w:color w:val="auto"/>
              </w:rPr>
            </w:pPr>
          </w:p>
        </w:tc>
      </w:tr>
      <w:tr>
        <w:trPr>
          <w:trHeight w:val="292"/>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4.04%</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40,000,000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4.06%</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40,000,000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4.06%</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35,000,000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4.07%</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4.09%</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3.99%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4.04%</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10,000,000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4.09%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65,000,000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4.44%</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65,000,000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4.49%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30,000,000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4.51%</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30,000,000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4.02%</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75,000,000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4.07%</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4.12%</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25,000,000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4.09%</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4.13%</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75,000,000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4.14%</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3.39%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75,000,000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3.41%</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3.49%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75,000,000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3.54%</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3.55%</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2.85%</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2.89%</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2.90%</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50,000,000</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FMB</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4.50%</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125,000,000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FMB</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5.60%</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75,000,000</w:t>
            </w:r>
          </w:p>
        </w:tc>
        <w:tc>
          <w:tcPr>
            <w:tcW w:w="20" w:type="dxa"/>
            <w:vAlign w:val="bottom"/>
          </w:tcPr>
          <w:p>
            <w:pPr>
              <w:spacing w:after="0"/>
              <w:rPr>
                <w:sz w:val="24"/>
                <w:szCs w:val="24"/>
                <w:color w:val="auto"/>
              </w:rPr>
            </w:pPr>
          </w:p>
        </w:tc>
      </w:tr>
      <w:tr>
        <w:trPr>
          <w:trHeight w:val="279"/>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b w:val="1"/>
                <w:bCs w:val="1"/>
                <w:color w:val="auto"/>
              </w:rPr>
              <w:t>Total First Mortgage Bonds</w:t>
            </w:r>
          </w:p>
        </w:tc>
        <w:tc>
          <w:tcPr>
            <w:tcW w:w="3000" w:type="dxa"/>
            <w:vAlign w:val="bottom"/>
            <w:shd w:val="clear" w:color="auto" w:fill="CCEEFF"/>
          </w:tcPr>
          <w:p>
            <w:pPr>
              <w:spacing w:after="0"/>
              <w:rPr>
                <w:sz w:val="24"/>
                <w:szCs w:val="24"/>
                <w:color w:val="auto"/>
              </w:rPr>
            </w:pP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b w:val="1"/>
                <w:bCs w:val="1"/>
                <w:color w:val="auto"/>
              </w:rPr>
              <w:t>1,944,800,000</w:t>
            </w:r>
          </w:p>
        </w:tc>
        <w:tc>
          <w:tcPr>
            <w:tcW w:w="20" w:type="dxa"/>
            <w:vAlign w:val="bottom"/>
          </w:tcPr>
          <w:p>
            <w:pPr>
              <w:spacing w:after="0"/>
              <w:rPr>
                <w:sz w:val="24"/>
                <w:szCs w:val="24"/>
                <w:color w:val="auto"/>
              </w:rPr>
            </w:pPr>
          </w:p>
        </w:tc>
      </w:tr>
      <w:tr>
        <w:trPr>
          <w:trHeight w:val="282"/>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3680" w:type="dxa"/>
            <w:vAlign w:val="bottom"/>
            <w:shd w:val="clear" w:color="auto" w:fill="CCEEFF"/>
          </w:tcPr>
          <w:p>
            <w:pPr>
              <w:ind w:left="120"/>
              <w:spacing w:after="0"/>
              <w:rPr>
                <w:sz w:val="20"/>
                <w:szCs w:val="20"/>
                <w:color w:val="auto"/>
              </w:rPr>
            </w:pPr>
            <w:r>
              <w:rPr>
                <w:rFonts w:ascii="Arial" w:cs="Arial" w:eastAsia="Arial" w:hAnsi="Arial"/>
                <w:sz w:val="22"/>
                <w:szCs w:val="22"/>
                <w:color w:val="auto"/>
              </w:rPr>
              <w:t>PennVest - Aqua PA WW</w:t>
            </w:r>
          </w:p>
        </w:tc>
        <w:tc>
          <w:tcPr>
            <w:tcW w:w="3000" w:type="dxa"/>
            <w:vAlign w:val="bottom"/>
            <w:shd w:val="clear" w:color="auto" w:fill="CCEEFF"/>
          </w:tcPr>
          <w:p>
            <w:pPr>
              <w:jc w:val="right"/>
              <w:ind w:right="1572"/>
              <w:spacing w:after="0"/>
              <w:rPr>
                <w:sz w:val="20"/>
                <w:szCs w:val="20"/>
                <w:color w:val="auto"/>
              </w:rPr>
            </w:pPr>
            <w:r>
              <w:rPr>
                <w:rFonts w:ascii="Arial" w:cs="Arial" w:eastAsia="Arial" w:hAnsi="Arial"/>
                <w:sz w:val="22"/>
                <w:szCs w:val="22"/>
                <w:color w:val="auto"/>
              </w:rPr>
              <w:t>1.00%</w:t>
            </w:r>
          </w:p>
        </w:tc>
        <w:tc>
          <w:tcPr>
            <w:tcW w:w="3260" w:type="dxa"/>
            <w:vAlign w:val="bottom"/>
            <w:shd w:val="clear" w:color="auto" w:fill="CCEEFF"/>
          </w:tcPr>
          <w:p>
            <w:pPr>
              <w:jc w:val="right"/>
              <w:ind w:right="212"/>
              <w:spacing w:after="0"/>
              <w:rPr>
                <w:sz w:val="20"/>
                <w:szCs w:val="20"/>
                <w:color w:val="auto"/>
              </w:rPr>
            </w:pPr>
            <w:r>
              <w:rPr>
                <w:rFonts w:ascii="Arial" w:cs="Arial" w:eastAsia="Arial" w:hAnsi="Arial"/>
                <w:sz w:val="22"/>
                <w:szCs w:val="22"/>
                <w:color w:val="auto"/>
              </w:rPr>
              <w:t>367,514</w:t>
            </w:r>
          </w:p>
        </w:tc>
        <w:tc>
          <w:tcPr>
            <w:tcW w:w="20" w:type="dxa"/>
            <w:vAlign w:val="bottom"/>
          </w:tcPr>
          <w:p>
            <w:pPr>
              <w:spacing w:after="0"/>
              <w:rPr>
                <w:sz w:val="24"/>
                <w:szCs w:val="24"/>
                <w:color w:val="auto"/>
              </w:rPr>
            </w:pPr>
          </w:p>
        </w:tc>
      </w:tr>
      <w:tr>
        <w:trPr>
          <w:trHeight w:val="279"/>
        </w:trPr>
        <w:tc>
          <w:tcPr>
            <w:tcW w:w="3680" w:type="dxa"/>
            <w:vAlign w:val="bottom"/>
          </w:tcPr>
          <w:p>
            <w:pPr>
              <w:ind w:left="120"/>
              <w:spacing w:after="0"/>
              <w:rPr>
                <w:sz w:val="20"/>
                <w:szCs w:val="20"/>
                <w:color w:val="auto"/>
              </w:rPr>
            </w:pPr>
            <w:r>
              <w:rPr>
                <w:rFonts w:ascii="Arial" w:cs="Arial" w:eastAsia="Arial" w:hAnsi="Arial"/>
                <w:sz w:val="22"/>
                <w:szCs w:val="22"/>
                <w:color w:val="auto"/>
              </w:rPr>
              <w:t>PennVest - Aqua PA WW</w:t>
            </w:r>
          </w:p>
        </w:tc>
        <w:tc>
          <w:tcPr>
            <w:tcW w:w="3000" w:type="dxa"/>
            <w:vAlign w:val="bottom"/>
          </w:tcPr>
          <w:p>
            <w:pPr>
              <w:jc w:val="right"/>
              <w:ind w:right="1572"/>
              <w:spacing w:after="0"/>
              <w:rPr>
                <w:sz w:val="20"/>
                <w:szCs w:val="20"/>
                <w:color w:val="auto"/>
              </w:rPr>
            </w:pPr>
            <w:r>
              <w:rPr>
                <w:rFonts w:ascii="Arial" w:cs="Arial" w:eastAsia="Arial" w:hAnsi="Arial"/>
                <w:sz w:val="22"/>
                <w:szCs w:val="22"/>
                <w:color w:val="auto"/>
              </w:rPr>
              <w:t>2.77%</w:t>
            </w:r>
          </w:p>
        </w:tc>
        <w:tc>
          <w:tcPr>
            <w:tcW w:w="3260" w:type="dxa"/>
            <w:vAlign w:val="bottom"/>
          </w:tcPr>
          <w:p>
            <w:pPr>
              <w:jc w:val="right"/>
              <w:ind w:right="212"/>
              <w:spacing w:after="0"/>
              <w:rPr>
                <w:sz w:val="20"/>
                <w:szCs w:val="20"/>
                <w:color w:val="auto"/>
              </w:rPr>
            </w:pPr>
            <w:r>
              <w:rPr>
                <w:rFonts w:ascii="Arial" w:cs="Arial" w:eastAsia="Arial" w:hAnsi="Arial"/>
                <w:sz w:val="22"/>
                <w:szCs w:val="22"/>
                <w:color w:val="auto"/>
              </w:rPr>
              <w:t>54,060</w:t>
            </w:r>
          </w:p>
        </w:tc>
        <w:tc>
          <w:tcPr>
            <w:tcW w:w="20" w:type="dxa"/>
            <w:vAlign w:val="bottom"/>
          </w:tcPr>
          <w:p>
            <w:pPr>
              <w:spacing w:after="0"/>
              <w:rPr>
                <w:sz w:val="24"/>
                <w:szCs w:val="24"/>
                <w:color w:val="auto"/>
              </w:rPr>
            </w:pPr>
          </w:p>
        </w:tc>
      </w:tr>
      <w:tr>
        <w:trPr>
          <w:trHeight w:val="288"/>
        </w:trPr>
        <w:tc>
          <w:tcPr>
            <w:tcW w:w="368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680" w:type="dxa"/>
            <w:vAlign w:val="bottom"/>
          </w:tcPr>
          <w:p>
            <w:pPr>
              <w:ind w:left="120"/>
              <w:spacing w:after="0"/>
              <w:rPr>
                <w:sz w:val="20"/>
                <w:szCs w:val="20"/>
                <w:color w:val="auto"/>
              </w:rPr>
            </w:pPr>
            <w:r>
              <w:rPr>
                <w:rFonts w:ascii="Arial" w:cs="Arial" w:eastAsia="Arial" w:hAnsi="Arial"/>
                <w:sz w:val="22"/>
                <w:szCs w:val="22"/>
                <w:b w:val="1"/>
                <w:bCs w:val="1"/>
                <w:color w:val="auto"/>
              </w:rPr>
              <w:t>Total PennVest LWW</w:t>
            </w:r>
          </w:p>
        </w:tc>
        <w:tc>
          <w:tcPr>
            <w:tcW w:w="3000" w:type="dxa"/>
            <w:vAlign w:val="bottom"/>
          </w:tcPr>
          <w:p>
            <w:pPr>
              <w:spacing w:after="0"/>
              <w:rPr>
                <w:sz w:val="24"/>
                <w:szCs w:val="24"/>
                <w:color w:val="auto"/>
              </w:rPr>
            </w:pPr>
          </w:p>
        </w:tc>
        <w:tc>
          <w:tcPr>
            <w:tcW w:w="3260" w:type="dxa"/>
            <w:vAlign w:val="bottom"/>
          </w:tcPr>
          <w:p>
            <w:pPr>
              <w:jc w:val="right"/>
              <w:ind w:right="212"/>
              <w:spacing w:after="0"/>
              <w:rPr>
                <w:sz w:val="20"/>
                <w:szCs w:val="20"/>
                <w:color w:val="auto"/>
              </w:rPr>
            </w:pPr>
            <w:r>
              <w:rPr>
                <w:rFonts w:ascii="Arial" w:cs="Arial" w:eastAsia="Arial" w:hAnsi="Arial"/>
                <w:sz w:val="22"/>
                <w:szCs w:val="22"/>
                <w:b w:val="1"/>
                <w:bCs w:val="1"/>
                <w:color w:val="auto"/>
              </w:rPr>
              <w:t>421,574</w:t>
            </w:r>
          </w:p>
        </w:tc>
        <w:tc>
          <w:tcPr>
            <w:tcW w:w="20" w:type="dxa"/>
            <w:vAlign w:val="bottom"/>
          </w:tcPr>
          <w:p>
            <w:pPr>
              <w:spacing w:after="0"/>
              <w:rPr>
                <w:sz w:val="24"/>
                <w:szCs w:val="24"/>
                <w:color w:val="auto"/>
              </w:rPr>
            </w:pPr>
          </w:p>
        </w:tc>
      </w:tr>
      <w:tr>
        <w:trPr>
          <w:trHeight w:val="285"/>
        </w:trPr>
        <w:tc>
          <w:tcPr>
            <w:tcW w:w="368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9"/>
        </w:trPr>
        <w:tc>
          <w:tcPr>
            <w:tcW w:w="3680" w:type="dxa"/>
            <w:vAlign w:val="bottom"/>
          </w:tcPr>
          <w:p>
            <w:pPr>
              <w:ind w:left="120"/>
              <w:spacing w:after="0"/>
              <w:rPr>
                <w:sz w:val="20"/>
                <w:szCs w:val="20"/>
                <w:color w:val="auto"/>
              </w:rPr>
            </w:pPr>
            <w:r>
              <w:rPr>
                <w:rFonts w:ascii="Arial" w:cs="Arial" w:eastAsia="Arial" w:hAnsi="Arial"/>
                <w:sz w:val="22"/>
                <w:szCs w:val="22"/>
                <w:color w:val="auto"/>
              </w:rPr>
              <w:t>Total Long Term Debt</w:t>
            </w:r>
          </w:p>
        </w:tc>
        <w:tc>
          <w:tcPr>
            <w:tcW w:w="3000" w:type="dxa"/>
            <w:vAlign w:val="bottom"/>
          </w:tcPr>
          <w:p>
            <w:pPr>
              <w:spacing w:after="0"/>
              <w:rPr>
                <w:sz w:val="24"/>
                <w:szCs w:val="24"/>
                <w:color w:val="auto"/>
              </w:rPr>
            </w:pPr>
          </w:p>
        </w:tc>
        <w:tc>
          <w:tcPr>
            <w:tcW w:w="3260" w:type="dxa"/>
            <w:vAlign w:val="bottom"/>
          </w:tcPr>
          <w:p>
            <w:pPr>
              <w:jc w:val="right"/>
              <w:ind w:right="212"/>
              <w:spacing w:after="0"/>
              <w:rPr>
                <w:sz w:val="20"/>
                <w:szCs w:val="20"/>
                <w:color w:val="auto"/>
              </w:rPr>
            </w:pPr>
            <w:r>
              <w:rPr>
                <w:rFonts w:ascii="Arial" w:cs="Arial" w:eastAsia="Arial" w:hAnsi="Arial"/>
                <w:sz w:val="22"/>
                <w:szCs w:val="22"/>
                <w:b w:val="1"/>
                <w:bCs w:val="1"/>
                <w:color w:val="auto"/>
              </w:rPr>
              <w:t>1,997,571,460</w:t>
            </w:r>
          </w:p>
        </w:tc>
        <w:tc>
          <w:tcPr>
            <w:tcW w:w="20" w:type="dxa"/>
            <w:vAlign w:val="bottom"/>
          </w:tcPr>
          <w:p>
            <w:pPr>
              <w:spacing w:after="0"/>
              <w:rPr>
                <w:sz w:val="24"/>
                <w:szCs w:val="24"/>
                <w:color w:val="auto"/>
              </w:rPr>
            </w:pPr>
          </w:p>
        </w:tc>
      </w:tr>
      <w:tr>
        <w:trPr>
          <w:trHeight w:val="305"/>
        </w:trPr>
        <w:tc>
          <w:tcPr>
            <w:tcW w:w="368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3680" w:type="dxa"/>
            <w:vAlign w:val="bottom"/>
          </w:tcPr>
          <w:p>
            <w:pPr>
              <w:ind w:left="120"/>
              <w:spacing w:after="0"/>
              <w:rPr>
                <w:sz w:val="20"/>
                <w:szCs w:val="20"/>
                <w:color w:val="auto"/>
              </w:rPr>
            </w:pPr>
            <w:r>
              <w:rPr>
                <w:rFonts w:ascii="Arial" w:cs="Arial" w:eastAsia="Arial" w:hAnsi="Arial"/>
                <w:sz w:val="22"/>
                <w:szCs w:val="22"/>
                <w:b w:val="1"/>
                <w:bCs w:val="1"/>
                <w:color w:val="auto"/>
              </w:rPr>
              <w:t>PNC Revolver</w:t>
            </w:r>
          </w:p>
        </w:tc>
        <w:tc>
          <w:tcPr>
            <w:tcW w:w="3000" w:type="dxa"/>
            <w:vAlign w:val="bottom"/>
          </w:tcPr>
          <w:p>
            <w:pPr>
              <w:spacing w:after="0"/>
              <w:rPr>
                <w:sz w:val="24"/>
                <w:szCs w:val="24"/>
                <w:color w:val="auto"/>
              </w:rPr>
            </w:pPr>
          </w:p>
        </w:tc>
        <w:tc>
          <w:tcPr>
            <w:tcW w:w="3260" w:type="dxa"/>
            <w:vAlign w:val="bottom"/>
          </w:tcPr>
          <w:p>
            <w:pPr>
              <w:jc w:val="right"/>
              <w:ind w:right="212"/>
              <w:spacing w:after="0"/>
              <w:rPr>
                <w:sz w:val="20"/>
                <w:szCs w:val="20"/>
                <w:color w:val="auto"/>
              </w:rPr>
            </w:pPr>
            <w:r>
              <w:rPr>
                <w:rFonts w:ascii="Arial" w:cs="Arial" w:eastAsia="Arial" w:hAnsi="Arial"/>
                <w:sz w:val="22"/>
                <w:szCs w:val="22"/>
                <w:b w:val="1"/>
                <w:bCs w:val="1"/>
                <w:color w:val="auto"/>
              </w:rPr>
              <w:t>27,542,619</w:t>
            </w:r>
          </w:p>
        </w:tc>
        <w:tc>
          <w:tcPr>
            <w:tcW w:w="20" w:type="dxa"/>
            <w:vAlign w:val="bottom"/>
          </w:tcPr>
          <w:p>
            <w:pPr>
              <w:spacing w:after="0"/>
              <w:rPr>
                <w:sz w:val="24"/>
                <w:szCs w:val="24"/>
                <w:color w:val="auto"/>
              </w:rPr>
            </w:pPr>
          </w:p>
        </w:tc>
      </w:tr>
      <w:tr>
        <w:trPr>
          <w:trHeight w:val="285"/>
        </w:trPr>
        <w:tc>
          <w:tcPr>
            <w:tcW w:w="368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32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3680" w:type="dxa"/>
            <w:vAlign w:val="bottom"/>
          </w:tcPr>
          <w:p>
            <w:pPr>
              <w:ind w:left="120"/>
              <w:spacing w:after="0"/>
              <w:rPr>
                <w:sz w:val="20"/>
                <w:szCs w:val="20"/>
                <w:color w:val="auto"/>
              </w:rPr>
            </w:pPr>
            <w:r>
              <w:rPr>
                <w:rFonts w:ascii="Arial" w:cs="Arial" w:eastAsia="Arial" w:hAnsi="Arial"/>
                <w:sz w:val="22"/>
                <w:szCs w:val="22"/>
                <w:b w:val="1"/>
                <w:bCs w:val="1"/>
                <w:color w:val="auto"/>
              </w:rPr>
              <w:t>Total Debt Aqua Pennsylvania</w:t>
            </w:r>
          </w:p>
        </w:tc>
        <w:tc>
          <w:tcPr>
            <w:tcW w:w="3000" w:type="dxa"/>
            <w:vAlign w:val="bottom"/>
          </w:tcPr>
          <w:p>
            <w:pPr>
              <w:spacing w:after="0"/>
              <w:rPr>
                <w:sz w:val="24"/>
                <w:szCs w:val="24"/>
                <w:color w:val="auto"/>
              </w:rPr>
            </w:pPr>
          </w:p>
        </w:tc>
        <w:tc>
          <w:tcPr>
            <w:tcW w:w="3260" w:type="dxa"/>
            <w:vAlign w:val="bottom"/>
          </w:tcPr>
          <w:p>
            <w:pPr>
              <w:jc w:val="right"/>
              <w:ind w:right="212"/>
              <w:spacing w:after="0"/>
              <w:rPr>
                <w:sz w:val="20"/>
                <w:szCs w:val="20"/>
                <w:color w:val="auto"/>
              </w:rPr>
            </w:pPr>
            <w:r>
              <w:rPr>
                <w:rFonts w:ascii="Arial" w:cs="Arial" w:eastAsia="Arial" w:hAnsi="Arial"/>
                <w:sz w:val="22"/>
                <w:szCs w:val="22"/>
                <w:b w:val="1"/>
                <w:bCs w:val="1"/>
                <w:color w:val="auto"/>
              </w:rPr>
              <w:t>2,025,060,079</w:t>
            </w:r>
          </w:p>
        </w:tc>
        <w:tc>
          <w:tcPr>
            <w:tcW w:w="20" w:type="dxa"/>
            <w:vAlign w:val="bottom"/>
          </w:tcPr>
          <w:p>
            <w:pPr>
              <w:spacing w:after="0"/>
              <w:rPr>
                <w:sz w:val="24"/>
                <w:szCs w:val="24"/>
                <w:color w:val="auto"/>
              </w:rPr>
            </w:pPr>
          </w:p>
        </w:tc>
      </w:tr>
      <w:tr>
        <w:trPr>
          <w:trHeight w:val="881"/>
        </w:trPr>
        <w:tc>
          <w:tcPr>
            <w:tcW w:w="36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368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3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-38100</wp:posOffset>
            </wp:positionV>
            <wp:extent cx="3365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365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3655" cy="51435"/>
                    </a:xfrm>
                    <a:prstGeom prst="rect">
                      <a:avLst/>
                    </a:prstGeom>
                    <a:noFill/>
                  </pic:spPr>
                </pic:pic>
              </a:graphicData>
            </a:graphic>
          </wp:anchor>
        </w:drawing>
      </w:r>
    </w:p>
    <w:p>
      <w:pPr>
        <w:sectPr>
          <w:pgSz w:w="11900" w:h="16838" w:orient="portrait"/>
          <w:cols w:equalWidth="0" w:num="1">
            <w:col w:w="9960"/>
          </w:cols>
          <w:pgMar w:left="980" w:top="132" w:right="9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SCHEDULE 5.15(B)</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Aqua Pennsylvania, Inc. and Subsidiaries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Debt Issuance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Indenture of Mortgage dated as of January 1, 1941 of Aqua Pennsylvania, Inc. as Supplemented and Amended</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$100 million Amended and Restated Credit Agreement among Aqua Pennsylvania, Inc. and PNC Bank, National Association as Agent dated as of November 17, 2016, as amended</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Aqua Pennsylvania, Inc. $40,000,000 5.95% Senior Notes dated March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1160145</wp:posOffset>
            </wp:positionV>
            <wp:extent cx="635190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22"/>
          <w:szCs w:val="22"/>
          <w:b w:val="1"/>
          <w:bCs w:val="1"/>
          <w:color w:val="auto"/>
        </w:rPr>
        <w:t>FORM OF SUPPLEMENT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Attached Sixty-second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1182370</wp:posOffset>
            </wp:positionV>
            <wp:extent cx="635190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1"/>
          <w:szCs w:val="21"/>
          <w:b w:val="1"/>
          <w:bCs w:val="1"/>
          <w:color w:val="auto"/>
        </w:rPr>
        <w:t>FORM OF OPINION OF GENERAL COUNSEL</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388620</wp:posOffset>
            </wp:positionV>
            <wp:extent cx="635190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8" w:name="page109"/>
    <w:bookmarkEnd w:id="108"/>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388620</wp:posOffset>
            </wp:positionV>
            <wp:extent cx="6351905" cy="508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21"/>
          <w:szCs w:val="21"/>
          <w:b w:val="1"/>
          <w:bCs w:val="1"/>
          <w:color w:val="auto"/>
        </w:rPr>
        <w:t>FORM OF OPINION OF SPECIAL COUNSEL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PURCHASERS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[DELIVERED TO PURCHASERS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388620</wp:posOffset>
            </wp:positionV>
            <wp:extent cx="635190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color w:val="auto"/>
        </w:rPr>
        <w:t>[FORM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TAX COMPLIANCE CERTIFICATE</w:t>
      </w:r>
    </w:p>
    <w:p>
      <w:pPr>
        <w:spacing w:after="0" w:line="200" w:lineRule="exact"/>
        <w:rPr>
          <w:sz w:val="20"/>
          <w:szCs w:val="20"/>
          <w:color w:val="auto"/>
        </w:rPr>
      </w:pPr>
    </w:p>
    <w:p>
      <w:pPr>
        <w:spacing w:after="0" w:line="363" w:lineRule="exact"/>
        <w:rPr>
          <w:sz w:val="20"/>
          <w:szCs w:val="20"/>
          <w:color w:val="auto"/>
        </w:rPr>
      </w:pPr>
    </w:p>
    <w:p>
      <w:pPr>
        <w:jc w:val="both"/>
        <w:ind w:right="20" w:firstLine="2592"/>
        <w:spacing w:after="0" w:line="238" w:lineRule="auto"/>
        <w:rPr>
          <w:sz w:val="20"/>
          <w:szCs w:val="20"/>
          <w:color w:val="auto"/>
        </w:rPr>
      </w:pPr>
      <w:r>
        <w:rPr>
          <w:rFonts w:ascii="Arial" w:cs="Arial" w:eastAsia="Arial" w:hAnsi="Arial"/>
          <w:sz w:val="22"/>
          <w:szCs w:val="22"/>
          <w:color w:val="auto"/>
        </w:rPr>
        <w:t>Reference is hereby made to the Bond Purchase Agreement dated as of August 24, 2023 (as amended, supplemented or otherwise modified from time to time, the “Bond Purchase Agreement”), among Aqua Pennsylvania, Inc., a corporation organized under the laws of the Commonwealth of Pennsylvania (the “Company”) and the Purchasers that are signatories thereto.</w:t>
      </w:r>
    </w:p>
    <w:p>
      <w:pPr>
        <w:spacing w:after="0" w:line="131" w:lineRule="exact"/>
        <w:rPr>
          <w:sz w:val="20"/>
          <w:szCs w:val="20"/>
          <w:color w:val="auto"/>
        </w:rPr>
      </w:pPr>
    </w:p>
    <w:p>
      <w:pPr>
        <w:jc w:val="both"/>
        <w:ind w:firstLine="2592"/>
        <w:spacing w:after="0" w:line="274" w:lineRule="auto"/>
        <w:rPr>
          <w:sz w:val="20"/>
          <w:szCs w:val="20"/>
          <w:color w:val="auto"/>
        </w:rPr>
      </w:pPr>
      <w:r>
        <w:rPr>
          <w:rFonts w:ascii="Arial" w:cs="Arial" w:eastAsia="Arial" w:hAnsi="Arial"/>
          <w:sz w:val="21"/>
          <w:szCs w:val="21"/>
          <w:color w:val="auto"/>
        </w:rPr>
        <w:t>Unless otherwise defined herein, capitalized terms defined in the Bond Purchase Agreement and used herein have the meanings given to them in the Bond Purchase Agreement.</w:t>
      </w:r>
    </w:p>
    <w:p>
      <w:pPr>
        <w:spacing w:after="0" w:line="97" w:lineRule="exact"/>
        <w:rPr>
          <w:sz w:val="20"/>
          <w:szCs w:val="20"/>
          <w:color w:val="auto"/>
        </w:rPr>
      </w:pPr>
    </w:p>
    <w:p>
      <w:pPr>
        <w:jc w:val="both"/>
        <w:ind w:firstLine="2592"/>
        <w:spacing w:after="0" w:line="250" w:lineRule="auto"/>
        <w:rPr>
          <w:sz w:val="20"/>
          <w:szCs w:val="20"/>
          <w:color w:val="auto"/>
        </w:rPr>
      </w:pPr>
      <w:r>
        <w:rPr>
          <w:rFonts w:ascii="Arial" w:cs="Arial" w:eastAsia="Arial" w:hAnsi="Arial"/>
          <w:sz w:val="22"/>
          <w:szCs w:val="22"/>
          <w:color w:val="auto"/>
        </w:rPr>
        <w:t>Pursuant to the provisions of Section 12.4 (Tax Withholding) of the Bond Purchase Agreement, the undersigned hereby certifies that:</w:t>
      </w:r>
    </w:p>
    <w:p>
      <w:pPr>
        <w:spacing w:after="0" w:line="121" w:lineRule="exact"/>
        <w:rPr>
          <w:sz w:val="20"/>
          <w:szCs w:val="20"/>
          <w:color w:val="auto"/>
        </w:rPr>
      </w:pPr>
    </w:p>
    <w:p>
      <w:pPr>
        <w:ind w:left="2580" w:hanging="1288"/>
        <w:spacing w:after="0"/>
        <w:tabs>
          <w:tab w:leader="none" w:pos="25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it is the sole record and beneficial owner of the Bonds in respect of which it 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providing this certificate;</w:t>
      </w:r>
    </w:p>
    <w:p>
      <w:pPr>
        <w:spacing w:after="0" w:line="134" w:lineRule="exact"/>
        <w:rPr>
          <w:rFonts w:ascii="Arial" w:cs="Arial" w:eastAsia="Arial" w:hAnsi="Arial"/>
          <w:sz w:val="21"/>
          <w:szCs w:val="21"/>
          <w:color w:val="auto"/>
        </w:rPr>
      </w:pPr>
    </w:p>
    <w:p>
      <w:pPr>
        <w:ind w:left="2580" w:hanging="1288"/>
        <w:spacing w:after="0"/>
        <w:tabs>
          <w:tab w:leader="none" w:pos="25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 is not a bank within the meaning of Section 881(c)(3)(A) of the Code;</w:t>
      </w:r>
    </w:p>
    <w:p>
      <w:pPr>
        <w:spacing w:after="0" w:line="152" w:lineRule="exact"/>
        <w:rPr>
          <w:rFonts w:ascii="Arial" w:cs="Arial" w:eastAsia="Arial" w:hAnsi="Arial"/>
          <w:sz w:val="22"/>
          <w:szCs w:val="22"/>
          <w:color w:val="auto"/>
        </w:rPr>
      </w:pPr>
    </w:p>
    <w:p>
      <w:pPr>
        <w:ind w:right="20" w:firstLine="1292"/>
        <w:spacing w:after="0" w:line="250" w:lineRule="auto"/>
        <w:tabs>
          <w:tab w:leader="none" w:pos="2592"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 is not a ten percent shareholder of the Company within the meaning of Section 871(h)(3)(B) of the Code; and</w:t>
      </w:r>
    </w:p>
    <w:p>
      <w:pPr>
        <w:spacing w:after="0" w:line="120" w:lineRule="exact"/>
        <w:rPr>
          <w:rFonts w:ascii="Arial" w:cs="Arial" w:eastAsia="Arial" w:hAnsi="Arial"/>
          <w:sz w:val="22"/>
          <w:szCs w:val="22"/>
          <w:color w:val="auto"/>
        </w:rPr>
      </w:pPr>
    </w:p>
    <w:p>
      <w:pPr>
        <w:ind w:right="20" w:firstLine="1292"/>
        <w:spacing w:after="0" w:line="250" w:lineRule="auto"/>
        <w:tabs>
          <w:tab w:leader="none" w:pos="263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it is not a controlled foreign corporation related to the Company as described in Section 881(c)(3)(C) of the Code.</w:t>
      </w:r>
    </w:p>
    <w:p>
      <w:pPr>
        <w:spacing w:after="0" w:line="121"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The undersigned has furnished the Company with a certificate of its non-U.S. Person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status on IRS W-8BEN-E.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[Purchaser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By:___________________________________</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Date: ________ 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131445</wp:posOffset>
            </wp:positionV>
            <wp:extent cx="635190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111" w:name="page112"/>
    <w:bookmarkEnd w:id="111"/>
    <w:p>
      <w:pPr>
        <w:ind w:left="8904"/>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607060</wp:posOffset>
            </wp:positionH>
            <wp:positionV relativeFrom="page">
              <wp:posOffset>6436995</wp:posOffset>
            </wp:positionV>
            <wp:extent cx="6351905" cy="508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60"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64" w:lineRule="exact"/>
        <w:rPr>
          <w:sz w:val="20"/>
          <w:szCs w:val="20"/>
          <w:color w:val="auto"/>
        </w:rPr>
      </w:pPr>
    </w:p>
    <w:p>
      <w:pPr>
        <w:ind w:left="324" w:hanging="324"/>
        <w:spacing w:after="0"/>
        <w:tabs>
          <w:tab w:leader="none" w:pos="324" w:val="left"/>
        </w:tabs>
        <w:numPr>
          <w:ilvl w:val="0"/>
          <w:numId w:val="5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24" w:right="180" w:hanging="324"/>
        <w:spacing w:after="0" w:line="206" w:lineRule="auto"/>
        <w:tabs>
          <w:tab w:leader="none" w:pos="324" w:val="left"/>
        </w:tabs>
        <w:numPr>
          <w:ilvl w:val="0"/>
          <w:numId w:val="5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24" w:right="100" w:hanging="324"/>
        <w:spacing w:after="0" w:line="217" w:lineRule="auto"/>
        <w:tabs>
          <w:tab w:leader="none" w:pos="324"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207"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20"/>
          <w:szCs w:val="20"/>
          <w:color w:val="auto"/>
        </w:rPr>
      </w:pPr>
    </w:p>
    <w:p>
      <w:pPr>
        <w:ind w:left="644" w:right="60" w:hanging="320"/>
        <w:spacing w:after="0" w:line="207"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20"/>
          <w:szCs w:val="20"/>
          <w:color w:val="auto"/>
        </w:rPr>
      </w:pPr>
    </w:p>
    <w:p>
      <w:pPr>
        <w:ind w:left="644" w:right="100" w:hanging="320"/>
        <w:spacing w:after="0" w:line="206"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44" w:right="240" w:hanging="320"/>
        <w:spacing w:after="0" w:line="207"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20"/>
          <w:szCs w:val="20"/>
          <w:color w:val="auto"/>
        </w:rPr>
      </w:pPr>
    </w:p>
    <w:p>
      <w:pPr>
        <w:ind w:left="324" w:right="40" w:hanging="324"/>
        <w:spacing w:after="0" w:line="206" w:lineRule="auto"/>
        <w:tabs>
          <w:tab w:leader="none" w:pos="324"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44" w:right="300" w:hanging="320"/>
        <w:spacing w:after="0" w:line="206"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44" w:right="80" w:hanging="320"/>
        <w:spacing w:after="0" w:line="220" w:lineRule="auto"/>
        <w:tabs>
          <w:tab w:leader="none" w:pos="644" w:val="left"/>
        </w:tabs>
        <w:numPr>
          <w:ilvl w:val="1"/>
          <w:numId w:val="5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92" w:lineRule="auto"/>
        <w:rPr>
          <w:sz w:val="20"/>
          <w:szCs w:val="20"/>
          <w:color w:val="auto"/>
        </w:rPr>
      </w:pPr>
      <w:r>
        <w:rPr>
          <w:rFonts w:ascii="Arial" w:cs="Arial" w:eastAsia="Arial" w:hAnsi="Arial"/>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861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124"/>
        <w:spacing w:after="0" w:line="193" w:lineRule="auto"/>
        <w:rPr>
          <w:sz w:val="20"/>
          <w:szCs w:val="20"/>
          <w:color w:val="auto"/>
        </w:rPr>
      </w:pPr>
      <w:r>
        <w:rPr>
          <w:rFonts w:ascii="Arial" w:cs="Arial" w:eastAsia="Arial" w:hAnsi="Arial"/>
          <w:sz w:val="19"/>
          <w:szCs w:val="19"/>
          <w:color w:val="auto"/>
        </w:rPr>
        <w:t>President and Chief Executive Officer</w:t>
      </w:r>
    </w:p>
    <w:p>
      <w:pPr>
        <w:ind w:left="124"/>
        <w:spacing w:after="0" w:line="193" w:lineRule="auto"/>
        <w:rPr>
          <w:sz w:val="20"/>
          <w:szCs w:val="20"/>
          <w:color w:val="auto"/>
        </w:rPr>
      </w:pPr>
      <w:r>
        <w:rPr>
          <w:rFonts w:ascii="Arial" w:cs="Arial" w:eastAsia="Arial" w:hAnsi="Arial"/>
          <w:sz w:val="19"/>
          <w:szCs w:val="19"/>
          <w:color w:val="auto"/>
        </w:rPr>
        <w:t>November 7, 2023</w:t>
      </w:r>
    </w:p>
    <w:p>
      <w:pPr>
        <w:sectPr>
          <w:pgSz w:w="11900" w:h="16838" w:orient="portrait"/>
          <w:cols w:equalWidth="0" w:num="1">
            <w:col w:w="9924"/>
          </w:cols>
          <w:pgMar w:left="976" w:top="8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20"/>
          <w:szCs w:val="20"/>
          <w:color w:val="auto"/>
        </w:rPr>
        <w:t>Exhibit 31.2</w:t>
      </w:r>
    </w:p>
    <w:p>
      <w:pPr>
        <w:spacing w:after="0" w:line="163"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64" w:lineRule="exact"/>
        <w:rPr>
          <w:sz w:val="20"/>
          <w:szCs w:val="20"/>
          <w:color w:val="auto"/>
        </w:rPr>
      </w:pPr>
    </w:p>
    <w:p>
      <w:pPr>
        <w:ind w:left="324" w:hanging="324"/>
        <w:spacing w:after="0"/>
        <w:tabs>
          <w:tab w:leader="none" w:pos="324" w:val="left"/>
        </w:tabs>
        <w:numPr>
          <w:ilvl w:val="0"/>
          <w:numId w:val="5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24" w:right="200" w:hanging="324"/>
        <w:spacing w:after="0" w:line="206" w:lineRule="auto"/>
        <w:tabs>
          <w:tab w:leader="none" w:pos="324" w:val="left"/>
        </w:tabs>
        <w:numPr>
          <w:ilvl w:val="0"/>
          <w:numId w:val="5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24" w:right="120" w:hanging="324"/>
        <w:spacing w:after="0" w:line="217" w:lineRule="auto"/>
        <w:tabs>
          <w:tab w:leader="none" w:pos="324"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207"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20"/>
          <w:szCs w:val="20"/>
          <w:color w:val="auto"/>
        </w:rPr>
      </w:pPr>
    </w:p>
    <w:p>
      <w:pPr>
        <w:ind w:left="644" w:right="80" w:hanging="320"/>
        <w:spacing w:after="0" w:line="207"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20"/>
          <w:szCs w:val="20"/>
          <w:color w:val="auto"/>
        </w:rPr>
      </w:pPr>
    </w:p>
    <w:p>
      <w:pPr>
        <w:ind w:left="644" w:right="120" w:hanging="320"/>
        <w:spacing w:after="0" w:line="206"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44" w:right="260" w:hanging="320"/>
        <w:spacing w:after="0" w:line="207"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20"/>
          <w:szCs w:val="20"/>
          <w:color w:val="auto"/>
        </w:rPr>
      </w:pPr>
    </w:p>
    <w:p>
      <w:pPr>
        <w:ind w:left="324" w:right="60" w:hanging="324"/>
        <w:spacing w:after="0" w:line="206" w:lineRule="auto"/>
        <w:tabs>
          <w:tab w:leader="none" w:pos="32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44" w:right="320" w:hanging="320"/>
        <w:spacing w:after="0" w:line="206"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44" w:right="100" w:hanging="320"/>
        <w:spacing w:after="0" w:line="220" w:lineRule="auto"/>
        <w:tabs>
          <w:tab w:leader="none" w:pos="644" w:val="left"/>
        </w:tabs>
        <w:numPr>
          <w:ilvl w:val="1"/>
          <w:numId w:val="5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92" w:lineRule="auto"/>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ind w:left="124"/>
        <w:spacing w:after="0"/>
        <w:rPr>
          <w:sz w:val="20"/>
          <w:szCs w:val="20"/>
          <w:color w:val="auto"/>
        </w:rPr>
      </w:pPr>
      <w:r>
        <w:rPr>
          <w:rFonts w:ascii="Arial" w:cs="Arial" w:eastAsia="Arial" w:hAnsi="Arial"/>
          <w:sz w:val="22"/>
          <w:szCs w:val="22"/>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Exhibit 32.1</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93" w:lineRule="exact"/>
        <w:rPr>
          <w:sz w:val="20"/>
          <w:szCs w:val="20"/>
          <w:color w:val="auto"/>
        </w:rPr>
      </w:pPr>
    </w:p>
    <w:p>
      <w:pPr>
        <w:ind w:left="4" w:right="60"/>
        <w:spacing w:after="0" w:line="182" w:lineRule="auto"/>
        <w:rPr>
          <w:sz w:val="20"/>
          <w:szCs w:val="20"/>
          <w:color w:val="auto"/>
        </w:rPr>
      </w:pPr>
      <w:r>
        <w:rPr>
          <w:rFonts w:ascii="Arial" w:cs="Arial" w:eastAsia="Arial" w:hAnsi="Arial"/>
          <w:sz w:val="22"/>
          <w:szCs w:val="22"/>
          <w:color w:val="auto"/>
        </w:rPr>
        <w:t>In connection with the Quarterly Report on Form 10-Q for the period ended September 30, 2023 of Essential Utilities, Inc. (the “Company”) as filed with the Securities and Exchange Commission on the date hereof (the “Report”), I, Christopher H. Franklin, President and Chief Executive Officer of the Company, certify, pursuant to 18 U.S.C. Section 1350, as adopted pursuant to Section 906 of the Sarbanes-Oxley Act of 2002, that, to my knowledge:</w:t>
      </w:r>
    </w:p>
    <w:p>
      <w:pPr>
        <w:spacing w:after="0" w:line="256" w:lineRule="exact"/>
        <w:rPr>
          <w:sz w:val="20"/>
          <w:szCs w:val="20"/>
          <w:color w:val="auto"/>
        </w:rPr>
      </w:pPr>
    </w:p>
    <w:p>
      <w:pPr>
        <w:ind w:left="324" w:right="220" w:hanging="324"/>
        <w:spacing w:after="0" w:line="207" w:lineRule="auto"/>
        <w:tabs>
          <w:tab w:leader="none" w:pos="3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76" w:lineRule="exact"/>
        <w:rPr>
          <w:rFonts w:ascii="Arial" w:cs="Arial" w:eastAsia="Arial" w:hAnsi="Arial"/>
          <w:sz w:val="22"/>
          <w:szCs w:val="22"/>
          <w:color w:val="auto"/>
        </w:rPr>
      </w:pPr>
    </w:p>
    <w:p>
      <w:pPr>
        <w:ind w:left="324" w:right="320" w:hanging="324"/>
        <w:spacing w:after="0" w:line="213" w:lineRule="auto"/>
        <w:tabs>
          <w:tab w:leader="none" w:pos="32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92" w:lineRule="auto"/>
        <w:rPr>
          <w:sz w:val="20"/>
          <w:szCs w:val="20"/>
          <w:color w:val="auto"/>
        </w:rPr>
      </w:pPr>
      <w:r>
        <w:rPr>
          <w:rFonts w:ascii="Arial" w:cs="Arial" w:eastAsia="Arial" w:hAnsi="Arial"/>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Arial" w:cs="Arial" w:eastAsia="Arial" w:hAnsi="Arial"/>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635190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Exhibit 32.2</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FINANCIAL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93" w:lineRule="exact"/>
        <w:rPr>
          <w:sz w:val="20"/>
          <w:szCs w:val="20"/>
          <w:color w:val="auto"/>
        </w:rPr>
      </w:pPr>
    </w:p>
    <w:p>
      <w:pPr>
        <w:ind w:left="4" w:right="320"/>
        <w:spacing w:after="0" w:line="216" w:lineRule="auto"/>
        <w:rPr>
          <w:sz w:val="20"/>
          <w:szCs w:val="20"/>
          <w:color w:val="auto"/>
        </w:rPr>
      </w:pPr>
      <w:r>
        <w:rPr>
          <w:rFonts w:ascii="Arial" w:cs="Arial" w:eastAsia="Arial" w:hAnsi="Arial"/>
          <w:sz w:val="19"/>
          <w:szCs w:val="19"/>
          <w:color w:val="auto"/>
        </w:rPr>
        <w:t>In connection with the Quarterly Report on Form 10-Q for the period ended September 30, 2023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53" w:lineRule="exact"/>
        <w:rPr>
          <w:sz w:val="20"/>
          <w:szCs w:val="20"/>
          <w:color w:val="auto"/>
        </w:rPr>
      </w:pPr>
    </w:p>
    <w:p>
      <w:pPr>
        <w:ind w:left="324" w:right="220" w:hanging="324"/>
        <w:spacing w:after="0" w:line="213" w:lineRule="auto"/>
        <w:tabs>
          <w:tab w:leader="none" w:pos="3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77" w:lineRule="exact"/>
        <w:rPr>
          <w:rFonts w:ascii="Arial" w:cs="Arial" w:eastAsia="Arial" w:hAnsi="Arial"/>
          <w:sz w:val="22"/>
          <w:szCs w:val="22"/>
          <w:color w:val="auto"/>
        </w:rPr>
      </w:pPr>
    </w:p>
    <w:p>
      <w:pPr>
        <w:ind w:left="324" w:right="320" w:hanging="324"/>
        <w:spacing w:after="0" w:line="207" w:lineRule="auto"/>
        <w:tabs>
          <w:tab w:leader="none" w:pos="3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92" w:lineRule="auto"/>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02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ind w:left="124"/>
        <w:spacing w:after="0"/>
        <w:rPr>
          <w:sz w:val="20"/>
          <w:szCs w:val="20"/>
          <w:color w:val="auto"/>
        </w:rPr>
      </w:pPr>
      <w:r>
        <w:rPr>
          <w:rFonts w:ascii="Arial" w:cs="Arial" w:eastAsia="Arial" w:hAnsi="Arial"/>
          <w:sz w:val="22"/>
          <w:szCs w:val="22"/>
          <w:color w:val="auto"/>
        </w:rPr>
        <w:t>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0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sectPr>
      <w:pgSz w:w="11900" w:h="16838" w:orient="portrait"/>
      <w:cols w:equalWidth="0" w:num="1">
        <w:col w:w="9884"/>
      </w:cols>
      <w:pgMar w:left="976" w:top="78"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
      <w:numFmt w:val="bullet"/>
      <w:start w:val="1"/>
    </w:lvl>
  </w:abstractNum>
  <w:abstractNum w:abstractNumId="2">
    <w:nsid w:val="2901D82"/>
    <w:multiLevelType w:val="hybridMultilevel"/>
    <w:lvl w:ilvl="0">
      <w:lvlJc w:val="left"/>
      <w:lvlText w:val=" "/>
      <w:numFmt w:val="bullet"/>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 "/>
      <w:numFmt w:val="bullet"/>
      <w:start w:val="1"/>
    </w:lvl>
  </w:abstractNum>
  <w:abstractNum w:abstractNumId="5">
    <w:nsid w:val="1E7FF521"/>
    <w:multiLevelType w:val="hybridMultilevel"/>
    <w:lvl w:ilvl="0">
      <w:lvlJc w:val="left"/>
      <w:lvlText w:val=" "/>
      <w:numFmt w:val="bullet"/>
      <w:start w:val="1"/>
    </w:lvl>
  </w:abstractNum>
  <w:abstractNum w:abstractNumId="6">
    <w:nsid w:val="7C3DBD3D"/>
    <w:multiLevelType w:val="hybridMultilevel"/>
    <w:lvl w:ilvl="0">
      <w:lvlJc w:val="left"/>
      <w:lvlText w:val=" "/>
      <w:numFmt w:val="bullet"/>
      <w:start w:val="1"/>
    </w:lvl>
  </w:abstractNum>
  <w:abstractNum w:abstractNumId="7">
    <w:nsid w:val="737B8DDC"/>
    <w:multiLevelType w:val="hybridMultilevel"/>
    <w:lvl w:ilvl="0">
      <w:lvlJc w:val="left"/>
      <w:lvlText w:val=" "/>
      <w:numFmt w:val="bullet"/>
      <w:start w:val="1"/>
    </w:lvl>
  </w:abstractNum>
  <w:abstractNum w:abstractNumId="8">
    <w:nsid w:val="6CEAF087"/>
    <w:multiLevelType w:val="hybridMultilevel"/>
    <w:lvl w:ilvl="0">
      <w:lvlJc w:val="left"/>
      <w:lvlText w:val=" "/>
      <w:numFmt w:val="bullet"/>
      <w:start w:val="1"/>
    </w:lvl>
  </w:abstractNum>
  <w:abstractNum w:abstractNumId="9">
    <w:nsid w:val="22221A70"/>
    <w:multiLevelType w:val="hybridMultilevel"/>
    <w:lvl w:ilvl="0">
      <w:lvlJc w:val="left"/>
      <w:lvlText w:val=" "/>
      <w:numFmt w:val="bullet"/>
      <w:start w:val="1"/>
    </w:lvl>
  </w:abstractNum>
  <w:abstractNum w:abstractNumId="10">
    <w:nsid w:val="4516DDE9"/>
    <w:multiLevelType w:val="hybridMultilevel"/>
    <w:lvl w:ilvl="0">
      <w:lvlJc w:val="left"/>
      <w:lvlText w:val=" "/>
      <w:numFmt w:val="bullet"/>
      <w:start w:val="1"/>
    </w:lvl>
  </w:abstractNum>
  <w:abstractNum w:abstractNumId="11">
    <w:nsid w:val="3006C83E"/>
    <w:multiLevelType w:val="hybridMultilevel"/>
    <w:lvl w:ilvl="0">
      <w:lvlJc w:val="left"/>
      <w:lvlText w:val=" "/>
      <w:numFmt w:val="bullet"/>
      <w:start w:val="1"/>
    </w:lvl>
  </w:abstractNum>
  <w:abstractNum w:abstractNumId="12">
    <w:nsid w:val="614FD4A1"/>
    <w:multiLevelType w:val="hybridMultilevel"/>
    <w:lvl w:ilvl="0">
      <w:lvlJc w:val="left"/>
      <w:lvlText w:val=" "/>
      <w:numFmt w:val="bullet"/>
      <w:start w:val="1"/>
    </w:lvl>
  </w:abstractNum>
  <w:abstractNum w:abstractNumId="13">
    <w:nsid w:val="419AC241"/>
    <w:multiLevelType w:val="hybridMultilevel"/>
    <w:lvl w:ilvl="0">
      <w:lvlJc w:val="left"/>
      <w:lvlText w:val=" "/>
      <w:numFmt w:val="bullet"/>
      <w:start w:val="1"/>
    </w:lvl>
  </w:abstractNum>
  <w:abstractNum w:abstractNumId="14">
    <w:nsid w:val="5577F8E1"/>
    <w:multiLevelType w:val="hybridMultilevel"/>
    <w:lvl w:ilvl="0">
      <w:lvlJc w:val="left"/>
      <w:lvlText w:val=" "/>
      <w:numFmt w:val="bullet"/>
      <w:start w:val="1"/>
    </w:lvl>
  </w:abstractNum>
  <w:abstractNum w:abstractNumId="15">
    <w:nsid w:val="440BADFC"/>
    <w:multiLevelType w:val="hybridMultilevel"/>
    <w:lvl w:ilvl="0">
      <w:lvlJc w:val="left"/>
      <w:lvlText w:val=" "/>
      <w:numFmt w:val="bullet"/>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lowerLetter"/>
      <w:start w:val="2"/>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lowerRoman"/>
      <w:start w:val="2"/>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3"/>
    </w:lvl>
  </w:abstractNum>
  <w:abstractNum w:abstractNumId="22">
    <w:nsid w:val="5E884ADC"/>
    <w:multiLevelType w:val="hybridMultilevel"/>
    <w:lvl w:ilvl="0">
      <w:lvlJc w:val="left"/>
      <w:lvlText w:val="(%1)"/>
      <w:numFmt w:val="lowerLetter"/>
      <w:start w:val="2"/>
    </w:lvl>
  </w:abstractNum>
  <w:abstractNum w:abstractNumId="23">
    <w:nsid w:val="51EAD36B"/>
    <w:multiLevelType w:val="hybridMultilevel"/>
    <w:lvl w:ilvl="0">
      <w:lvlJc w:val="left"/>
      <w:lvlText w:val="(%1)"/>
      <w:numFmt w:val="lowerLetter"/>
      <w:start w:val="2"/>
    </w:lvl>
  </w:abstractNum>
  <w:abstractNum w:abstractNumId="24">
    <w:nsid w:val="2D517796"/>
    <w:multiLevelType w:val="hybridMultilevel"/>
    <w:lvl w:ilvl="0">
      <w:lvlJc w:val="left"/>
      <w:lvlText w:val="(%1)"/>
      <w:numFmt w:val="lowerLetter"/>
      <w:start w:val="2"/>
    </w:lvl>
  </w:abstractNum>
  <w:abstractNum w:abstractNumId="25">
    <w:nsid w:val="580BD78F"/>
    <w:multiLevelType w:val="hybridMultilevel"/>
    <w:lvl w:ilvl="0">
      <w:lvlJc w:val="left"/>
      <w:lvlText w:val="(%1)"/>
      <w:numFmt w:val="lowerLetter"/>
      <w:start w:val="2"/>
    </w:lvl>
  </w:abstractNum>
  <w:abstractNum w:abstractNumId="26">
    <w:nsid w:val="153EA438"/>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7">
    <w:nsid w:val="3855585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8">
    <w:nsid w:val="70A64E2A"/>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5"/>
    </w:lvl>
  </w:abstractNum>
  <w:abstractNum w:abstractNumId="32">
    <w:nsid w:val="725A06FB"/>
    <w:multiLevelType w:val="hybridMultilevel"/>
    <w:lvl w:ilvl="0">
      <w:lvlJc w:val="left"/>
      <w:lvlText w:val="(%1)"/>
      <w:numFmt w:val="lowerLetter"/>
      <w:start w:val="1"/>
    </w:lvl>
    <w:lvl w:ilvl="1">
      <w:lvlJc w:val="left"/>
      <w:lvlText w:val="(%2)"/>
      <w:numFmt w:val="lowerRoman"/>
      <w:start w:val="1"/>
    </w:lvl>
  </w:abstractNum>
  <w:abstractNum w:abstractNumId="33">
    <w:nsid w:val="2CD89A32"/>
    <w:multiLevelType w:val="hybridMultilevel"/>
    <w:lvl w:ilvl="0">
      <w:lvlJc w:val="left"/>
      <w:lvlText w:val="(%1)"/>
      <w:numFmt w:val="lowerLetter"/>
      <w:start w:val="2"/>
    </w:lvl>
    <w:lvl w:ilvl="1">
      <w:lvlJc w:val="left"/>
      <w:lvlText w:val="(%2)"/>
      <w:numFmt w:val="lowerRoman"/>
      <w:start w:val="1"/>
    </w:lvl>
  </w:abstractNum>
  <w:abstractNum w:abstractNumId="34">
    <w:nsid w:val="57E4CCAF"/>
    <w:multiLevelType w:val="hybridMultilevel"/>
    <w:lvl w:ilvl="0">
      <w:lvlJc w:val="left"/>
      <w:lvlText w:val="(%1)"/>
      <w:numFmt w:val="lowerLetter"/>
      <w:start w:val="3"/>
    </w:lvl>
    <w:lvl w:ilvl="1">
      <w:lvlJc w:val="left"/>
      <w:lvlText w:val="(%2)"/>
      <w:numFmt w:val="lowerRoman"/>
      <w:start w:val="1"/>
    </w:lvl>
  </w:abstractNum>
  <w:abstractNum w:abstractNumId="35">
    <w:nsid w:val="7A6D8D3C"/>
    <w:multiLevelType w:val="hybridMultilevel"/>
    <w:lvl w:ilvl="0">
      <w:lvlJc w:val="left"/>
      <w:lvlText w:val="(%1)"/>
      <w:numFmt w:val="lowerLetter"/>
      <w:start w:val="6"/>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abstractNum>
  <w:abstractNum w:abstractNumId="40">
    <w:nsid w:val="7644A45C"/>
    <w:multiLevelType w:val="hybridMultilevel"/>
    <w:lvl w:ilvl="0">
      <w:lvlJc w:val="left"/>
      <w:lvlText w:val="(%1)"/>
      <w:numFmt w:val="lowerRoman"/>
      <w:start w:val="1"/>
    </w:lvl>
  </w:abstractNum>
  <w:abstractNum w:abstractNumId="41">
    <w:nsid w:val="32FFF902"/>
    <w:multiLevelType w:val="hybridMultilevel"/>
    <w:lvl w:ilvl="0">
      <w:lvlJc w:val="left"/>
      <w:lvlText w:val="(%1)"/>
      <w:numFmt w:val="lowerLetter"/>
      <w:start w:val="25"/>
    </w:lvl>
  </w:abstractNum>
  <w:abstractNum w:abstractNumId="42">
    <w:nsid w:val="684A481A"/>
    <w:multiLevelType w:val="hybridMultilevel"/>
    <w:lvl w:ilvl="0">
      <w:lvlJc w:val="left"/>
      <w:lvlText w:val="%1"/>
      <w:numFmt w:val="lowerLetter"/>
      <w:start w:val="1"/>
    </w:lvl>
    <w:lvl w:ilvl="1">
      <w:lvlJc w:val="left"/>
      <w:lvlText w:val="(%2)"/>
      <w:numFmt w:val="lowerLetter"/>
      <w:start w:val="2"/>
    </w:lvl>
  </w:abstractNum>
  <w:abstractNum w:abstractNumId="43">
    <w:nsid w:val="579478FE"/>
    <w:multiLevelType w:val="hybridMultilevel"/>
    <w:lvl w:ilvl="0">
      <w:lvlJc w:val="left"/>
      <w:lvlText w:val="(%1)"/>
      <w:numFmt w:val="lowerLetter"/>
      <w:start w:val="9"/>
    </w:lvl>
    <w:lvl w:ilvl="1">
      <w:lvlJc w:val="left"/>
      <w:lvlText w:val="(%2)"/>
      <w:numFmt w:val="lowerLetter"/>
      <w:start w:val="3"/>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lvl w:ilvl="1">
      <w:lvlJc w:val="left"/>
      <w:lvlText w:val="(%2)"/>
      <w:numFmt w:val="lowerRoman"/>
      <w:start w:val="1"/>
    </w:lvl>
  </w:abstractNum>
  <w:abstractNum w:abstractNumId="47">
    <w:nsid w:val="79A1DEAA"/>
    <w:multiLevelType w:val="hybridMultilevel"/>
    <w:lvl w:ilvl="0">
      <w:lvlJc w:val="left"/>
      <w:lvlText w:val="(%1)"/>
      <w:numFmt w:val="lowerLetter"/>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Roman"/>
      <w:start w:val="1"/>
    </w:lvl>
  </w:abstractNum>
  <w:abstractNum w:abstractNumId="50">
    <w:nsid w:val="70C6A529"/>
    <w:multiLevelType w:val="hybridMultilevel"/>
    <w:lvl w:ilvl="0">
      <w:lvlJc w:val="left"/>
      <w:lvlText w:val=" "/>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63" Type="http://schemas.openxmlformats.org/officeDocument/2006/relationships/hyperlink" Target="http://www.sec.gov/Archives/edgar/data/78128/000155278123000414/e23425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2023-11-07T15:18:55Z</dcterms:created>
  <dcterms:modified xsi:type="dcterms:W3CDTF">2023-11-07T15:18:55Z</dcterms:modified>
</cp:coreProperties>
</file>