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53077d425.htm"/>
      <w:bookmarkStart w:id="1" w:name="ksd153077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August 14,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Works Company, Inc. (“American Water”) and Essential Utilities, Inc. (“Essential Utilities”) was sent by John Griffith, President and Chief Executive Officer of American Water, to employees of American Water via e-mail on August 14, 2026. </w:t>
      </w:r>
    </w:p>
    <w:p>
      <w:pPr>
        <w:pStyle w:val="TextBody"/>
        <w:bidi w:val="0"/>
        <w:spacing w:before="360" w:after="0"/>
        <w:jc w:val="left"/>
        <w:rPr>
          <w:rFonts w:ascii="Times New Roman" w:hAnsi="Times New Roman"/>
          <w:b/>
          <w:sz w:val="20"/>
        </w:rPr>
      </w:pPr>
      <w:r>
        <w:rPr>
          <w:rFonts w:ascii="Times New Roman" w:hAnsi="Times New Roman"/>
          <w:b/>
          <w:sz w:val="20"/>
        </w:rPr>
        <w:t xml:space="preserve">Integration update: Progress made on future organizational structure </w:t>
      </w:r>
    </w:p>
    <w:p>
      <w:pPr>
        <w:pStyle w:val="TextBody"/>
        <w:bidi w:val="0"/>
        <w:spacing w:before="240" w:after="0"/>
        <w:jc w:val="right"/>
        <w:rPr>
          <w:rFonts w:ascii="Times New Roman" w:hAnsi="Times New Roman"/>
          <w:b/>
          <w:i/>
          <w:sz w:val="20"/>
        </w:rPr>
      </w:pPr>
      <w:r>
        <w:rPr>
          <w:rFonts w:ascii="Times New Roman" w:hAnsi="Times New Roman"/>
          <w:b/>
          <w:i/>
          <w:sz w:val="20"/>
        </w:rPr>
        <w:t xml:space="preserve">From: John Griffith, President and CEO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2"/>
        <w:gridCol w:w="121"/>
        <w:gridCol w:w="8442"/>
      </w:tblGrid>
      <w:tr>
        <w:trPr/>
        <w:tc>
          <w:tcPr>
            <w:tcW w:w="1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42" w:type="dxa"/>
            <w:tcBorders/>
            <w:vAlign w:val="center"/>
          </w:tcPr>
          <w:p>
            <w:pPr>
              <w:pStyle w:val="TableContents"/>
              <w:bidi w:val="0"/>
              <w:spacing w:before="0" w:after="283"/>
              <w:jc w:val="left"/>
              <w:rPr>
                <w:sz w:val="4"/>
                <w:szCs w:val="4"/>
              </w:rPr>
            </w:pPr>
            <w:r>
              <w:rPr>
                <w:sz w:val="4"/>
                <w:szCs w:val="4"/>
              </w:rPr>
            </w:r>
          </w:p>
        </w:tc>
      </w:tr>
      <w:tr>
        <w:trPr/>
        <w:tc>
          <w:tcPr>
            <w:tcW w:w="1642" w:type="dxa"/>
            <w:tcBorders/>
          </w:tcPr>
          <w:p>
            <w:pPr>
              <w:pStyle w:val="TableContents"/>
              <w:bidi w:val="0"/>
              <w:spacing w:before="0" w:after="283"/>
              <w:jc w:val="left"/>
              <w:rPr/>
            </w:pPr>
            <w:r>
              <w:rPr/>
              <w:drawing>
                <wp:inline distT="0" distB="0" distL="0" distR="0">
                  <wp:extent cx="914400" cy="127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2763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8442" w:type="dxa"/>
            <w:tcBorders/>
          </w:tcPr>
          <w:p>
            <w:pPr>
              <w:pStyle w:val="TableContents"/>
              <w:bidi w:val="0"/>
              <w:spacing w:before="0" w:after="0"/>
              <w:jc w:val="left"/>
              <w:rPr>
                <w:rFonts w:ascii="Times New Roman" w:hAnsi="Times New Roman"/>
                <w:sz w:val="20"/>
              </w:rPr>
            </w:pPr>
            <w:r>
              <w:rPr>
                <w:rFonts w:ascii="Times New Roman" w:hAnsi="Times New Roman"/>
                <w:sz w:val="20"/>
              </w:rPr>
              <w:t>As part of our integration planning efforts with Essential Utilities, we have reached another important milestone in shaping the organizational design for the future combined company.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work on our Executive Leadership Team and their direct reports, we have now addressed role selections for the next level of employees and related organizational design decisions, continuing our careful and intentional approach. For certain functions, such as Legal and Communications &amp; External Affairs, role selection for the full group has been completed and is being communicated. For all remaining functions, we expect to finalize organizational design and role selections in the fall. As previously communicated, all union contracts are being honored.</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Individuals whose future-state roles have been confirmed at this stage of the organizational design process are being notified directly by their managers. These conversations are taking place now, well in advance of our planned closing, to provide timely clarity and support in planning for a successful integration. However, these changes are not effective until the merger closes, which is still expected to be by the end of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For those who have been involved in our integration planning, thank you for your contributions to this important work alongside your day-to-day responsibilities. We have made great progress. As always, please stay safe.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1708</Words>
  <Characters>10063</Characters>
  <CharactersWithSpaces>11774</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