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u w:val="single" w:color="auto"/>
          <w:color w:val="0563C1"/>
        </w:rPr>
        <w:t>Table of Contents</w:t>
      </w:r>
    </w:p>
    <w:p>
      <w:pPr>
        <w:jc w:val="center"/>
        <w:spacing w:after="0" w:line="222" w:lineRule="auto"/>
        <w:rPr>
          <w:sz w:val="20"/>
          <w:szCs w:val="20"/>
          <w:color w:val="auto"/>
        </w:rPr>
      </w:pPr>
      <w:r>
        <w:rPr>
          <w:rFonts w:ascii="Arial" w:cs="Arial" w:eastAsia="Arial" w:hAnsi="Arial"/>
          <w:sz w:val="19"/>
          <w:szCs w:val="19"/>
          <w:b w:val="1"/>
          <w:bCs w:val="1"/>
          <w:color w:val="auto"/>
        </w:rPr>
        <w:t>UNITED STATES</w:t>
      </w:r>
    </w:p>
    <w:p>
      <w:pPr>
        <w:jc w:val="center"/>
        <w:spacing w:after="0" w:line="222" w:lineRule="auto"/>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192" w:lineRule="auto"/>
        <w:rPr>
          <w:sz w:val="20"/>
          <w:szCs w:val="20"/>
          <w:color w:val="auto"/>
        </w:rPr>
      </w:pPr>
      <w:r>
        <w:rPr>
          <w:rFonts w:ascii="Arial" w:cs="Arial" w:eastAsia="Arial" w:hAnsi="Arial"/>
          <w:sz w:val="19"/>
          <w:szCs w:val="19"/>
          <w:color w:val="auto"/>
        </w:rPr>
        <w:t>(Mark One)</w:t>
      </w:r>
    </w:p>
    <w:p>
      <w:pPr>
        <w:spacing w:after="0" w:line="1" w:lineRule="exact"/>
        <w:rPr>
          <w:sz w:val="24"/>
          <w:szCs w:val="24"/>
          <w:color w:val="auto"/>
        </w:rPr>
      </w:pPr>
    </w:p>
    <w:p>
      <w:pPr>
        <w:ind w:left="3920" w:right="2020" w:hanging="3914"/>
        <w:spacing w:after="0" w:line="234" w:lineRule="auto"/>
        <w:rPr>
          <w:sz w:val="20"/>
          <w:szCs w:val="20"/>
          <w:color w:val="auto"/>
        </w:rPr>
      </w:pPr>
      <w:r>
        <w:rPr>
          <w:rFonts w:ascii="Arial" w:cs="Arial" w:eastAsia="Arial" w:hAnsi="Arial"/>
          <w:sz w:val="19"/>
          <w:szCs w:val="19"/>
          <w:b w:val="1"/>
          <w:bCs w:val="1"/>
          <w:color w:val="auto"/>
        </w:rPr>
        <w:t xml:space="preserve">S </w:t>
      </w:r>
      <w:r>
        <w:rPr>
          <w:rFonts w:ascii="Arial" w:cs="Arial" w:eastAsia="Arial" w:hAnsi="Arial"/>
          <w:sz w:val="19"/>
          <w:szCs w:val="19"/>
          <w:color w:val="auto"/>
        </w:rPr>
        <w:t>QUARTERLY REPORT PURSUANT TO SECTION 13 or 15 (d) OF THE SECURITIES EXCHANGE ACT OF 1934.</w:t>
      </w:r>
      <w:r>
        <w:rPr>
          <w:rFonts w:ascii="Arial" w:cs="Arial" w:eastAsia="Arial" w:hAnsi="Arial"/>
          <w:sz w:val="19"/>
          <w:szCs w:val="19"/>
          <w:b w:val="1"/>
          <w:bCs w:val="1"/>
          <w:color w:val="auto"/>
        </w:rPr>
        <w:t xml:space="preserve"> </w:t>
      </w:r>
      <w:r>
        <w:rPr>
          <w:rFonts w:ascii="Arial" w:cs="Arial" w:eastAsia="Arial" w:hAnsi="Arial"/>
          <w:sz w:val="19"/>
          <w:szCs w:val="19"/>
          <w:color w:val="auto"/>
        </w:rPr>
        <w:t>For the quarterly period ended June 30, 2023</w:t>
      </w:r>
    </w:p>
    <w:p>
      <w:pPr>
        <w:spacing w:after="0" w:line="71" w:lineRule="exact"/>
        <w:rPr>
          <w:sz w:val="24"/>
          <w:szCs w:val="24"/>
          <w:color w:val="auto"/>
        </w:rPr>
      </w:pPr>
    </w:p>
    <w:p>
      <w:pPr>
        <w:ind w:left="2960" w:right="1940" w:hanging="2952"/>
        <w:spacing w:after="0" w:line="289" w:lineRule="auto"/>
        <w:tabs>
          <w:tab w:leader="none" w:pos="147"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TRANSITION REPORT PURSUANT TO SECTION 13 OR 15(d) OF THE SECURITIES EXCHANGE ACT OF 1934. For the transition period from_______________ to _______________</w:t>
      </w:r>
    </w:p>
    <w:p>
      <w:pPr>
        <w:spacing w:after="0" w:line="28" w:lineRule="exact"/>
        <w:rPr>
          <w:sz w:val="24"/>
          <w:szCs w:val="24"/>
          <w:color w:val="auto"/>
        </w:rPr>
      </w:pPr>
    </w:p>
    <w:p>
      <w:pPr>
        <w:ind w:left="4320"/>
        <w:spacing w:after="0"/>
        <w:rPr>
          <w:sz w:val="20"/>
          <w:szCs w:val="20"/>
          <w:color w:val="auto"/>
        </w:rPr>
      </w:pPr>
      <w:r>
        <w:rPr>
          <w:rFonts w:ascii="Arial" w:cs="Arial" w:eastAsia="Arial" w:hAnsi="Arial"/>
          <w:sz w:val="19"/>
          <w:szCs w:val="19"/>
          <w:color w:val="auto"/>
        </w:rPr>
        <w:t>Commission File Number 1-6659</w:t>
      </w:r>
    </w:p>
    <w:p>
      <w:pPr>
        <w:spacing w:after="0" w:line="154" w:lineRule="exact"/>
        <w:rPr>
          <w:sz w:val="24"/>
          <w:szCs w:val="24"/>
          <w:color w:val="auto"/>
        </w:rPr>
      </w:pPr>
    </w:p>
    <w:p>
      <w:pPr>
        <w:ind w:left="4320"/>
        <w:spacing w:after="0"/>
        <w:rPr>
          <w:sz w:val="20"/>
          <w:szCs w:val="20"/>
          <w:color w:val="auto"/>
        </w:rPr>
      </w:pPr>
      <w:r>
        <w:rPr>
          <w:rFonts w:ascii="Arial" w:cs="Arial" w:eastAsia="Arial" w:hAnsi="Arial"/>
          <w:sz w:val="19"/>
          <w:szCs w:val="19"/>
          <w:b w:val="1"/>
          <w:bCs w:val="1"/>
          <w:u w:val="single" w:color="auto"/>
          <w:color w:val="auto"/>
        </w:rPr>
        <w:t>ESSENTIAL UTILITIES, INC.</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(Exact name of registrant as specified in its charter)</w:t>
      </w:r>
    </w:p>
    <w:p>
      <w:pPr>
        <w:spacing w:after="0" w:line="177" w:lineRule="exact"/>
        <w:rPr>
          <w:sz w:val="24"/>
          <w:szCs w:val="24"/>
          <w:color w:val="auto"/>
        </w:rPr>
      </w:pPr>
    </w:p>
    <w:tbl>
      <w:tblPr>
        <w:tblLayout w:type="fixed"/>
        <w:tblInd w:w="760" w:type="dxa"/>
        <w:tblCellMar>
          <w:top w:w="0" w:type="dxa"/>
          <w:left w:w="0" w:type="dxa"/>
          <w:bottom w:w="0" w:type="dxa"/>
          <w:right w:w="0" w:type="dxa"/>
        </w:tblCellMar>
      </w:tblPr>
      <w:tr>
        <w:trPr>
          <w:trHeight w:val="218"/>
        </w:trPr>
        <w:tc>
          <w:tcPr>
            <w:tcW w:w="148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0"/>
              </w:rPr>
              <w:t>Pennsylvania</w:t>
            </w:r>
          </w:p>
        </w:tc>
        <w:tc>
          <w:tcPr>
            <w:tcW w:w="294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88"/>
              </w:rPr>
              <w:t>23-1702594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5440" w:type="dxa"/>
            <w:vAlign w:val="bottom"/>
            <w:gridSpan w:val="4"/>
          </w:tcPr>
          <w:p>
            <w:pPr>
              <w:jc w:val="center"/>
              <w:ind w:right="1460"/>
              <w:spacing w:after="0" w:line="187" w:lineRule="exact"/>
              <w:rPr>
                <w:sz w:val="20"/>
                <w:szCs w:val="20"/>
                <w:color w:val="auto"/>
              </w:rPr>
            </w:pPr>
            <w:r>
              <w:rPr>
                <w:rFonts w:ascii="Arial" w:cs="Arial" w:eastAsia="Arial" w:hAnsi="Arial"/>
                <w:sz w:val="19"/>
                <w:szCs w:val="19"/>
                <w:color w:val="auto"/>
                <w:w w:val="91"/>
              </w:rPr>
              <w:t>(State or other jurisdiction of</w:t>
            </w:r>
          </w:p>
        </w:tc>
        <w:tc>
          <w:tcPr>
            <w:tcW w:w="2860" w:type="dxa"/>
            <w:vAlign w:val="bottom"/>
            <w:gridSpan w:val="5"/>
          </w:tcPr>
          <w:p>
            <w:pPr>
              <w:jc w:val="center"/>
              <w:ind w:left="1386"/>
              <w:spacing w:after="0" w:line="187" w:lineRule="exact"/>
              <w:rPr>
                <w:sz w:val="20"/>
                <w:szCs w:val="20"/>
                <w:color w:val="auto"/>
              </w:rPr>
            </w:pPr>
            <w:r>
              <w:rPr>
                <w:rFonts w:ascii="Arial" w:cs="Arial" w:eastAsia="Arial" w:hAnsi="Arial"/>
                <w:sz w:val="19"/>
                <w:szCs w:val="19"/>
                <w:color w:val="auto"/>
                <w:w w:val="93"/>
              </w:rPr>
              <w:t>(I.R.S. Employer</w:t>
            </w:r>
          </w:p>
        </w:tc>
      </w:tr>
      <w:tr>
        <w:trPr>
          <w:trHeight w:val="240"/>
        </w:trPr>
        <w:tc>
          <w:tcPr>
            <w:tcW w:w="5440" w:type="dxa"/>
            <w:vAlign w:val="bottom"/>
            <w:gridSpan w:val="4"/>
          </w:tcPr>
          <w:p>
            <w:pPr>
              <w:jc w:val="center"/>
              <w:ind w:right="1460"/>
              <w:spacing w:after="0"/>
              <w:rPr>
                <w:sz w:val="20"/>
                <w:szCs w:val="20"/>
                <w:color w:val="auto"/>
              </w:rPr>
            </w:pPr>
            <w:r>
              <w:rPr>
                <w:rFonts w:ascii="Arial" w:cs="Arial" w:eastAsia="Arial" w:hAnsi="Arial"/>
                <w:sz w:val="19"/>
                <w:szCs w:val="19"/>
                <w:color w:val="auto"/>
                <w:w w:val="91"/>
              </w:rPr>
              <w:t>incorporation or organization)</w:t>
            </w:r>
          </w:p>
        </w:tc>
        <w:tc>
          <w:tcPr>
            <w:tcW w:w="2860" w:type="dxa"/>
            <w:vAlign w:val="bottom"/>
            <w:gridSpan w:val="5"/>
          </w:tcPr>
          <w:p>
            <w:pPr>
              <w:jc w:val="center"/>
              <w:ind w:left="1366"/>
              <w:spacing w:after="0"/>
              <w:rPr>
                <w:sz w:val="20"/>
                <w:szCs w:val="20"/>
                <w:color w:val="auto"/>
              </w:rPr>
            </w:pPr>
            <w:r>
              <w:rPr>
                <w:rFonts w:ascii="Arial" w:cs="Arial" w:eastAsia="Arial" w:hAnsi="Arial"/>
                <w:sz w:val="19"/>
                <w:szCs w:val="19"/>
                <w:color w:val="auto"/>
                <w:w w:val="94"/>
              </w:rPr>
              <w:t>Identification No.)</w:t>
            </w:r>
          </w:p>
        </w:tc>
      </w:tr>
      <w:tr>
        <w:trPr>
          <w:trHeight w:val="362"/>
        </w:trPr>
        <w:tc>
          <w:tcPr>
            <w:tcW w:w="5440" w:type="dxa"/>
            <w:vAlign w:val="bottom"/>
            <w:gridSpan w:val="4"/>
          </w:tcPr>
          <w:p>
            <w:pPr>
              <w:jc w:val="center"/>
              <w:ind w:right="1460"/>
              <w:spacing w:after="0"/>
              <w:rPr>
                <w:sz w:val="20"/>
                <w:szCs w:val="20"/>
                <w:color w:val="auto"/>
              </w:rPr>
            </w:pPr>
            <w:r>
              <w:rPr>
                <w:rFonts w:ascii="Arial" w:cs="Arial" w:eastAsia="Arial" w:hAnsi="Arial"/>
                <w:sz w:val="19"/>
                <w:szCs w:val="19"/>
                <w:color w:val="auto"/>
                <w:w w:val="89"/>
              </w:rPr>
              <w:t>762 W. Lancaster Avenue, Bryn Mawr, Pennsylvania</w:t>
            </w:r>
          </w:p>
        </w:tc>
        <w:tc>
          <w:tcPr>
            <w:tcW w:w="2640" w:type="dxa"/>
            <w:vAlign w:val="bottom"/>
            <w:gridSpan w:val="4"/>
          </w:tcPr>
          <w:p>
            <w:pPr>
              <w:jc w:val="right"/>
              <w:spacing w:after="0"/>
              <w:rPr>
                <w:sz w:val="20"/>
                <w:szCs w:val="20"/>
                <w:color w:val="auto"/>
              </w:rPr>
            </w:pPr>
            <w:r>
              <w:rPr>
                <w:rFonts w:ascii="Arial" w:cs="Arial" w:eastAsia="Arial" w:hAnsi="Arial"/>
                <w:sz w:val="19"/>
                <w:szCs w:val="19"/>
                <w:color w:val="auto"/>
              </w:rPr>
              <w:t>19010 -3489</w:t>
            </w:r>
          </w:p>
        </w:tc>
        <w:tc>
          <w:tcPr>
            <w:tcW w:w="220" w:type="dxa"/>
            <w:vAlign w:val="bottom"/>
          </w:tcPr>
          <w:p>
            <w:pPr>
              <w:spacing w:after="0"/>
              <w:rPr>
                <w:sz w:val="24"/>
                <w:szCs w:val="24"/>
                <w:color w:val="auto"/>
              </w:rPr>
            </w:pPr>
          </w:p>
        </w:tc>
      </w:tr>
      <w:tr>
        <w:trPr>
          <w:trHeight w:val="234"/>
        </w:trPr>
        <w:tc>
          <w:tcPr>
            <w:tcW w:w="39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9"/>
                <w:szCs w:val="19"/>
                <w:color w:val="auto"/>
                <w:w w:val="92"/>
              </w:rPr>
              <w:t>(Address of principal executive offices)</w:t>
            </w:r>
          </w:p>
        </w:tc>
        <w:tc>
          <w:tcPr>
            <w:tcW w:w="1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9"/>
                <w:szCs w:val="19"/>
                <w:color w:val="auto"/>
                <w:w w:val="93"/>
              </w:rPr>
              <w:t>(Zip Code)</w:t>
            </w:r>
          </w:p>
        </w:tc>
        <w:tc>
          <w:tcPr>
            <w:tcW w:w="220" w:type="dxa"/>
            <w:vAlign w:val="bottom"/>
          </w:tcPr>
          <w:p>
            <w:pPr>
              <w:spacing w:after="0"/>
              <w:rPr>
                <w:sz w:val="20"/>
                <w:szCs w:val="20"/>
                <w:color w:val="auto"/>
              </w:rPr>
            </w:pP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9"/>
          <w:szCs w:val="19"/>
          <w:u w:val="single" w:color="auto"/>
          <w:color w:val="auto"/>
        </w:rPr>
        <w:t>(610) 527-8000</w:t>
      </w:r>
    </w:p>
    <w:p>
      <w:pPr>
        <w:jc w:val="center"/>
        <w:spacing w:after="0" w:line="222" w:lineRule="auto"/>
        <w:rPr>
          <w:sz w:val="20"/>
          <w:szCs w:val="20"/>
          <w:color w:val="auto"/>
        </w:rPr>
      </w:pPr>
      <w:r>
        <w:rPr>
          <w:rFonts w:ascii="Arial" w:cs="Arial" w:eastAsia="Arial" w:hAnsi="Arial"/>
          <w:sz w:val="19"/>
          <w:szCs w:val="19"/>
          <w:color w:val="auto"/>
        </w:rPr>
        <w:t>(Registrant’s telephone number, including area code)</w:t>
      </w:r>
    </w:p>
    <w:p>
      <w:pPr>
        <w:jc w:val="center"/>
        <w:spacing w:after="0" w:line="222" w:lineRule="auto"/>
        <w:rPr>
          <w:sz w:val="20"/>
          <w:szCs w:val="20"/>
          <w:color w:val="auto"/>
        </w:rPr>
      </w:pPr>
      <w:r>
        <w:rPr>
          <w:rFonts w:ascii="Arial" w:cs="Arial" w:eastAsia="Arial" w:hAnsi="Arial"/>
          <w:sz w:val="19"/>
          <w:szCs w:val="19"/>
          <w:u w:val="single" w:color="auto"/>
          <w:color w:val="auto"/>
        </w:rPr>
        <w:t>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(Former Name, former address and former fiscal year, if changed since last report.)</w:t>
      </w:r>
    </w:p>
    <w:p>
      <w:pPr>
        <w:spacing w:after="0" w:line="171" w:lineRule="exact"/>
        <w:rPr>
          <w:sz w:val="24"/>
          <w:szCs w:val="24"/>
          <w:color w:val="auto"/>
        </w:rPr>
      </w:pPr>
    </w:p>
    <w:p>
      <w:pPr>
        <w:ind w:right="180"/>
        <w:spacing w:after="0" w:line="236" w:lineRule="auto"/>
        <w:rPr>
          <w:sz w:val="20"/>
          <w:szCs w:val="20"/>
          <w:color w:val="auto"/>
        </w:rPr>
      </w:pPr>
      <w:r>
        <w:rPr>
          <w:rFonts w:ascii="Arial" w:cs="Arial" w:eastAsia="Arial" w:hAnsi="Arial"/>
          <w:sz w:val="19"/>
          <w:szCs w:val="19"/>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79" w:lineRule="exact"/>
        <w:rPr>
          <w:sz w:val="24"/>
          <w:szCs w:val="24"/>
          <w:color w:val="auto"/>
        </w:rPr>
      </w:pPr>
    </w:p>
    <w:p>
      <w:pPr>
        <w:ind w:right="20"/>
        <w:spacing w:after="0" w:line="236" w:lineRule="auto"/>
        <w:rPr>
          <w:sz w:val="20"/>
          <w:szCs w:val="20"/>
          <w:color w:val="auto"/>
        </w:rPr>
      </w:pPr>
      <w:r>
        <w:rPr>
          <w:rFonts w:ascii="Arial" w:cs="Arial" w:eastAsia="Arial" w:hAnsi="Arial"/>
          <w:sz w:val="19"/>
          <w:szCs w:val="19"/>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9"/>
          <w:szCs w:val="19"/>
          <w:b w:val="1"/>
          <w:bCs w:val="1"/>
          <w:color w:val="auto"/>
        </w:rPr>
        <w:t>S</w:t>
      </w:r>
      <w:r>
        <w:rPr>
          <w:rFonts w:ascii="Arial" w:cs="Arial" w:eastAsia="Arial" w:hAnsi="Arial"/>
          <w:sz w:val="19"/>
          <w:szCs w:val="19"/>
          <w:color w:val="auto"/>
        </w:rPr>
        <w:t xml:space="preserve"> No </w:t>
      </w:r>
      <w:r>
        <w:rPr>
          <w:rFonts w:ascii="Arial" w:cs="Arial" w:eastAsia="Arial" w:hAnsi="Arial"/>
          <w:sz w:val="19"/>
          <w:szCs w:val="19"/>
          <w:b w:val="1"/>
          <w:bCs w:val="1"/>
          <w:color w:val="auto"/>
        </w:rPr>
        <w:t>£</w:t>
      </w:r>
    </w:p>
    <w:p>
      <w:pPr>
        <w:spacing w:after="0" w:line="165" w:lineRule="exact"/>
        <w:rPr>
          <w:sz w:val="24"/>
          <w:szCs w:val="24"/>
          <w:color w:val="auto"/>
        </w:rPr>
      </w:pPr>
    </w:p>
    <w:p>
      <w:pPr>
        <w:jc w:val="both"/>
        <w:ind w:right="200"/>
        <w:spacing w:after="0" w:line="236"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8" w:right="339" w:bottom="1440" w:gutter="0" w:footer="0" w:header="0"/>
        </w:sectPr>
      </w:pPr>
    </w:p>
    <w:p>
      <w:pPr>
        <w:spacing w:after="0" w:line="159"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Large Accelerated Filer </w:t>
      </w:r>
      <w:r>
        <w:rPr>
          <w:rFonts w:ascii="Arial" w:cs="Arial" w:eastAsia="Arial" w:hAnsi="Arial"/>
          <w:sz w:val="17"/>
          <w:szCs w:val="17"/>
          <w:b w:val="1"/>
          <w:bCs w:val="1"/>
          <w:color w:val="auto"/>
        </w:rPr>
        <w:t>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Accelerated Filer </w:t>
      </w:r>
      <w:r>
        <w:rPr>
          <w:rFonts w:ascii="Arial" w:cs="Arial" w:eastAsia="Arial" w:hAnsi="Arial"/>
          <w:sz w:val="17"/>
          <w:szCs w:val="17"/>
          <w:b w:val="1"/>
          <w:bCs w:val="1"/>
          <w:color w:val="auto"/>
        </w:rPr>
        <w:t>£</w:t>
      </w:r>
    </w:p>
    <w:p>
      <w:pPr>
        <w:spacing w:after="0" w:line="51"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spacing w:after="0"/>
        <w:rPr>
          <w:sz w:val="20"/>
          <w:szCs w:val="20"/>
          <w:color w:val="auto"/>
        </w:rPr>
      </w:pPr>
      <w:r>
        <w:rPr>
          <w:rFonts w:ascii="Arial" w:cs="Arial" w:eastAsia="Arial" w:hAnsi="Arial"/>
          <w:sz w:val="17"/>
          <w:szCs w:val="17"/>
          <w:color w:val="auto"/>
        </w:rPr>
        <w:t xml:space="preserve">Non-Accelerated Filer </w:t>
      </w:r>
      <w:r>
        <w:rPr>
          <w:rFonts w:ascii="Arial" w:cs="Arial" w:eastAsia="Arial" w:hAnsi="Arial"/>
          <w:sz w:val="17"/>
          <w:szCs w:val="17"/>
          <w:b w:val="1"/>
          <w:bCs w:val="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 xml:space="preserve">Smaller Reporting Company </w:t>
      </w:r>
      <w:r>
        <w:rPr>
          <w:rFonts w:ascii="Arial" w:cs="Arial" w:eastAsia="Arial" w:hAnsi="Arial"/>
          <w:sz w:val="17"/>
          <w:szCs w:val="17"/>
          <w:b w:val="1"/>
          <w:bCs w:val="1"/>
          <w:color w:val="auto"/>
        </w:rPr>
        <w:t>£</w:t>
      </w:r>
    </w:p>
    <w:p>
      <w:pPr>
        <w:spacing w:after="0" w:line="21" w:lineRule="exact"/>
        <w:rPr>
          <w:sz w:val="24"/>
          <w:szCs w:val="24"/>
          <w:color w:val="auto"/>
        </w:rPr>
      </w:pPr>
    </w:p>
    <w:p>
      <w:pPr>
        <w:sectPr>
          <w:pgSz w:w="11900" w:h="16838" w:orient="portrait"/>
          <w:cols w:equalWidth="0" w:num="2">
            <w:col w:w="6740" w:space="720"/>
            <w:col w:w="3780"/>
          </w:cols>
          <w:pgMar w:left="320" w:top="218" w:right="339" w:bottom="1440" w:gutter="0" w:footer="0" w:header="0"/>
          <w:type w:val="continuous"/>
        </w:sectPr>
      </w:pPr>
    </w:p>
    <w:p>
      <w:pPr>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7"/>
          <w:szCs w:val="17"/>
          <w:b w:val="1"/>
          <w:bCs w:val="1"/>
          <w:color w:val="auto"/>
        </w:rPr>
        <w:t>£</w:t>
      </w:r>
    </w:p>
    <w:p>
      <w:pPr>
        <w:sectPr>
          <w:pgSz w:w="11900" w:h="16838" w:orient="portrait"/>
          <w:cols w:equalWidth="0" w:num="1">
            <w:col w:w="11240"/>
          </w:cols>
          <w:pgMar w:left="320" w:top="218" w:right="339" w:bottom="1440" w:gutter="0" w:footer="0" w:header="0"/>
          <w:type w:val="continuous"/>
        </w:sectPr>
      </w:pPr>
    </w:p>
    <w:p>
      <w:pPr>
        <w:spacing w:after="0" w:line="172" w:lineRule="exact"/>
        <w:rPr>
          <w:sz w:val="24"/>
          <w:szCs w:val="24"/>
          <w:color w:val="auto"/>
        </w:rPr>
      </w:pPr>
    </w:p>
    <w:p>
      <w:pPr>
        <w:ind w:right="280"/>
        <w:spacing w:after="0" w:line="246" w:lineRule="auto"/>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9"/>
          <w:szCs w:val="19"/>
          <w:b w:val="1"/>
          <w:bCs w:val="1"/>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Arial" w:cs="Arial" w:eastAsia="Arial" w:hAnsi="Arial"/>
          <w:sz w:val="19"/>
          <w:szCs w:val="19"/>
          <w:b w:val="1"/>
          <w:bCs w:val="1"/>
          <w:color w:val="auto"/>
        </w:rPr>
        <w:t>£</w:t>
      </w:r>
      <w:r>
        <w:rPr>
          <w:rFonts w:ascii="Arial" w:cs="Arial" w:eastAsia="Arial" w:hAnsi="Arial"/>
          <w:sz w:val="19"/>
          <w:szCs w:val="19"/>
          <w:color w:val="auto"/>
        </w:rPr>
        <w:t xml:space="preserve"> No </w:t>
      </w:r>
      <w:r>
        <w:rPr>
          <w:rFonts w:ascii="Arial" w:cs="Arial" w:eastAsia="Arial" w:hAnsi="Arial"/>
          <w:sz w:val="19"/>
          <w:szCs w:val="19"/>
          <w:b w:val="1"/>
          <w:bCs w:val="1"/>
          <w:color w:val="auto"/>
        </w:rPr>
        <w:t>S</w:t>
      </w:r>
    </w:p>
    <w:p>
      <w:pPr>
        <w:spacing w:after="0" w:line="39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60" w:type="dxa"/>
            <w:vAlign w:val="bottom"/>
          </w:tcPr>
          <w:p>
            <w:pPr>
              <w:spacing w:after="0"/>
              <w:rPr>
                <w:sz w:val="19"/>
                <w:szCs w:val="19"/>
                <w:color w:val="auto"/>
              </w:rPr>
            </w:pPr>
          </w:p>
        </w:tc>
        <w:tc>
          <w:tcPr>
            <w:tcW w:w="7880" w:type="dxa"/>
            <w:vAlign w:val="bottom"/>
            <w:gridSpan w:val="5"/>
          </w:tcPr>
          <w:p>
            <w:pPr>
              <w:ind w:left="100"/>
              <w:spacing w:after="0"/>
              <w:rPr>
                <w:sz w:val="20"/>
                <w:szCs w:val="20"/>
                <w:color w:val="auto"/>
              </w:rPr>
            </w:pPr>
            <w:r>
              <w:rPr>
                <w:rFonts w:ascii="Arial" w:cs="Arial" w:eastAsia="Arial" w:hAnsi="Arial"/>
                <w:sz w:val="19"/>
                <w:szCs w:val="19"/>
                <w:color w:val="auto"/>
              </w:rPr>
              <w:t>Securities registered pursuant to Section 12(b) of the Act:</w:t>
            </w:r>
          </w:p>
        </w:tc>
      </w:tr>
      <w:tr>
        <w:trPr>
          <w:trHeight w:val="225"/>
        </w:trPr>
        <w:tc>
          <w:tcPr>
            <w:tcW w:w="3360" w:type="dxa"/>
            <w:vAlign w:val="bottom"/>
            <w:tcBorders>
              <w:bottom w:val="single" w:sz="8" w:color="auto"/>
            </w:tcBorders>
          </w:tcPr>
          <w:p>
            <w:pPr>
              <w:jc w:val="center"/>
              <w:ind w:left="706"/>
              <w:spacing w:after="0"/>
              <w:rPr>
                <w:sz w:val="20"/>
                <w:szCs w:val="20"/>
                <w:color w:val="auto"/>
              </w:rPr>
            </w:pPr>
            <w:r>
              <w:rPr>
                <w:rFonts w:ascii="Arial" w:cs="Arial" w:eastAsia="Arial" w:hAnsi="Arial"/>
                <w:sz w:val="19"/>
                <w:szCs w:val="19"/>
                <w:color w:val="auto"/>
                <w:w w:val="89"/>
              </w:rPr>
              <w:t>Title of each class</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2"/>
              </w:rPr>
              <w:t>Trading Symbol(s)</w:t>
            </w:r>
          </w:p>
        </w:tc>
        <w:tc>
          <w:tcPr>
            <w:tcW w:w="2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89"/>
              </w:rPr>
              <w:t>Name of each exchange on which registered</w:t>
            </w:r>
          </w:p>
        </w:tc>
      </w:tr>
      <w:tr>
        <w:trPr>
          <w:trHeight w:val="234"/>
        </w:trPr>
        <w:tc>
          <w:tcPr>
            <w:tcW w:w="3360" w:type="dxa"/>
            <w:vAlign w:val="bottom"/>
          </w:tcPr>
          <w:p>
            <w:pPr>
              <w:jc w:val="center"/>
              <w:ind w:left="706"/>
              <w:spacing w:after="0"/>
              <w:rPr>
                <w:sz w:val="20"/>
                <w:szCs w:val="20"/>
                <w:color w:val="auto"/>
              </w:rPr>
            </w:pPr>
            <w:r>
              <w:rPr>
                <w:rFonts w:ascii="Arial" w:cs="Arial" w:eastAsia="Arial" w:hAnsi="Arial"/>
                <w:sz w:val="19"/>
                <w:szCs w:val="19"/>
                <w:color w:val="auto"/>
                <w:w w:val="89"/>
              </w:rPr>
              <w:t>Common stock, $0.50 par value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9"/>
                <w:szCs w:val="19"/>
                <w:color w:val="auto"/>
                <w:w w:val="96"/>
              </w:rPr>
              <w:t>WTRG</w:t>
            </w:r>
          </w:p>
        </w:tc>
        <w:tc>
          <w:tcPr>
            <w:tcW w:w="260" w:type="dxa"/>
            <w:vAlign w:val="bottom"/>
          </w:tcPr>
          <w:p>
            <w:pPr>
              <w:spacing w:after="0"/>
              <w:rPr>
                <w:sz w:val="20"/>
                <w:szCs w:val="20"/>
                <w:color w:val="auto"/>
              </w:rPr>
            </w:pPr>
          </w:p>
        </w:tc>
        <w:tc>
          <w:tcPr>
            <w:tcW w:w="4500" w:type="dxa"/>
            <w:vAlign w:val="bottom"/>
          </w:tcPr>
          <w:p>
            <w:pPr>
              <w:jc w:val="center"/>
              <w:spacing w:after="0"/>
              <w:rPr>
                <w:sz w:val="20"/>
                <w:szCs w:val="20"/>
                <w:color w:val="auto"/>
              </w:rPr>
            </w:pPr>
            <w:r>
              <w:rPr>
                <w:rFonts w:ascii="Arial" w:cs="Arial" w:eastAsia="Arial" w:hAnsi="Arial"/>
                <w:sz w:val="19"/>
                <w:szCs w:val="19"/>
                <w:color w:val="auto"/>
                <w:w w:val="90"/>
              </w:rPr>
              <w:t>New York Stock Exchange</w:t>
            </w:r>
          </w:p>
        </w:tc>
      </w:tr>
    </w:tbl>
    <w:p>
      <w:pPr>
        <w:spacing w:after="0" w:line="339" w:lineRule="exact"/>
        <w:rPr>
          <w:sz w:val="24"/>
          <w:szCs w:val="24"/>
          <w:color w:val="auto"/>
        </w:rPr>
      </w:pPr>
    </w:p>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July 24, 2023</w:t>
      </w:r>
      <w:r>
        <w:rPr>
          <w:rFonts w:ascii="Arial" w:cs="Arial" w:eastAsia="Arial" w:hAnsi="Arial"/>
          <w:sz w:val="19"/>
          <w:szCs w:val="19"/>
          <w:b w:val="1"/>
          <w:bCs w:val="1"/>
          <w:color w:val="auto"/>
        </w:rPr>
        <w:t>:</w:t>
      </w:r>
      <w:r>
        <w:rPr>
          <w:rFonts w:ascii="Arial" w:cs="Arial" w:eastAsia="Arial" w:hAnsi="Arial"/>
          <w:sz w:val="19"/>
          <w:szCs w:val="19"/>
          <w:color w:val="auto"/>
        </w:rPr>
        <w:t xml:space="preserve"> 264,505,777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501015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0563C1"/>
        </w:rPr>
        <w:t>Table of Contents</w:t>
      </w:r>
    </w:p>
    <w:tbl>
      <w:tblPr>
        <w:tblLayout w:type="fixed"/>
        <w:tblInd w:w="0" w:type="dxa"/>
        <w:tblCellMar>
          <w:top w:w="0" w:type="dxa"/>
          <w:left w:w="0" w:type="dxa"/>
          <w:bottom w:w="0" w:type="dxa"/>
          <w:right w:w="0" w:type="dxa"/>
        </w:tblCellMar>
      </w:tblPr>
      <w:tr>
        <w:trPr>
          <w:trHeight w:val="294"/>
        </w:trPr>
        <w:tc>
          <w:tcPr>
            <w:tcW w:w="6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80" w:type="dxa"/>
            <w:vAlign w:val="bottom"/>
            <w:gridSpan w:val="19"/>
          </w:tcPr>
          <w:p>
            <w:pPr>
              <w:jc w:val="center"/>
              <w:ind w:right="2340"/>
              <w:spacing w:after="0"/>
              <w:rPr>
                <w:sz w:val="20"/>
                <w:szCs w:val="20"/>
                <w:color w:val="auto"/>
              </w:rPr>
            </w:pPr>
            <w:r>
              <w:rPr>
                <w:rFonts w:ascii="Arial" w:cs="Arial" w:eastAsia="Arial" w:hAnsi="Arial"/>
                <w:sz w:val="22"/>
                <w:szCs w:val="22"/>
                <w:color w:val="auto"/>
                <w:w w:val="95"/>
              </w:rPr>
              <w:t>ESSENTIAL UTILITIES, INC. AND SUBSIDIARIES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3"/>
        </w:trPr>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gridSpan w:val="13"/>
          </w:tcPr>
          <w:p>
            <w:pPr>
              <w:jc w:val="center"/>
              <w:ind w:right="3920"/>
              <w:spacing w:after="0"/>
              <w:rPr>
                <w:sz w:val="20"/>
                <w:szCs w:val="20"/>
                <w:color w:val="auto"/>
              </w:rPr>
            </w:pPr>
            <w:r>
              <w:rPr>
                <w:rFonts w:ascii="Arial" w:cs="Arial" w:eastAsia="Arial" w:hAnsi="Arial"/>
                <w:sz w:val="22"/>
                <w:szCs w:val="22"/>
                <w:color w:val="auto"/>
                <w:w w:val="94"/>
              </w:rPr>
              <w:t>TABLE OF CONTENTS</w:t>
            </w:r>
          </w:p>
        </w:tc>
        <w:tc>
          <w:tcPr>
            <w:tcW w:w="500" w:type="dxa"/>
            <w:vAlign w:val="bottom"/>
            <w:gridSpan w:val="3"/>
            <w:vMerge w:val="restart"/>
          </w:tcPr>
          <w:p>
            <w:pPr>
              <w:spacing w:after="0"/>
              <w:rPr>
                <w:sz w:val="20"/>
                <w:szCs w:val="20"/>
                <w:color w:val="auto"/>
              </w:rPr>
            </w:pPr>
            <w:r>
              <w:rPr>
                <w:rFonts w:ascii="Arial" w:cs="Arial" w:eastAsia="Arial" w:hAnsi="Arial"/>
                <w:sz w:val="22"/>
                <w:szCs w:val="22"/>
                <w:color w:val="auto"/>
                <w:w w:val="93"/>
              </w:rPr>
              <w:t>Page</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20" w:type="dxa"/>
            <w:vAlign w:val="bottom"/>
            <w:gridSpan w:val="16"/>
            <w:shd w:val="clear" w:color="auto" w:fill="CCEEFF"/>
          </w:tcPr>
          <w:p>
            <w:pPr>
              <w:jc w:val="center"/>
              <w:ind w:right="3480"/>
              <w:spacing w:after="0" w:line="203" w:lineRule="exact"/>
              <w:rPr>
                <w:sz w:val="20"/>
                <w:szCs w:val="20"/>
                <w:color w:val="auto"/>
              </w:rPr>
            </w:pPr>
            <w:r>
              <w:rPr>
                <w:rFonts w:ascii="Arial" w:cs="Arial" w:eastAsia="Arial" w:hAnsi="Arial"/>
                <w:sz w:val="22"/>
                <w:szCs w:val="22"/>
                <w:color w:val="0563C1"/>
                <w:w w:val="91"/>
              </w:rPr>
              <w:t>Part I – Financial Information</w:t>
            </w: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6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34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280" w:type="dxa"/>
            <w:vAlign w:val="bottom"/>
            <w:tcBorders>
              <w:top w:val="single" w:sz="8" w:color="0563C1"/>
            </w:tcBorders>
          </w:tcPr>
          <w:p>
            <w:pPr>
              <w:spacing w:after="0"/>
              <w:rPr>
                <w:sz w:val="10"/>
                <w:szCs w:val="10"/>
                <w:color w:val="auto"/>
              </w:rPr>
            </w:pPr>
          </w:p>
        </w:tc>
        <w:tc>
          <w:tcPr>
            <w:tcW w:w="18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300" w:type="dxa"/>
            <w:vAlign w:val="bottom"/>
            <w:tcBorders>
              <w:top w:val="single" w:sz="8" w:color="0563C1"/>
            </w:tcBorders>
          </w:tcPr>
          <w:p>
            <w:pPr>
              <w:spacing w:after="0"/>
              <w:rPr>
                <w:sz w:val="10"/>
                <w:szCs w:val="10"/>
                <w:color w:val="auto"/>
              </w:rPr>
            </w:pPr>
          </w:p>
        </w:tc>
        <w:tc>
          <w:tcPr>
            <w:tcW w:w="40" w:type="dxa"/>
            <w:vAlign w:val="bottom"/>
            <w:tcBorders>
              <w:top w:val="single" w:sz="8" w:color="0563C1"/>
            </w:tcBorders>
          </w:tcPr>
          <w:p>
            <w:pPr>
              <w:spacing w:after="0"/>
              <w:rPr>
                <w:sz w:val="10"/>
                <w:szCs w:val="10"/>
                <w:color w:val="auto"/>
              </w:rPr>
            </w:pPr>
          </w:p>
        </w:tc>
        <w:tc>
          <w:tcPr>
            <w:tcW w:w="22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440" w:type="dxa"/>
            <w:vAlign w:val="bottom"/>
            <w:tcBorders>
              <w:top w:val="single" w:sz="8" w:color="0563C1"/>
            </w:tcBorders>
          </w:tcPr>
          <w:p>
            <w:pPr>
              <w:spacing w:after="0"/>
              <w:rPr>
                <w:sz w:val="10"/>
                <w:szCs w:val="10"/>
                <w:color w:val="auto"/>
              </w:rPr>
            </w:pPr>
          </w:p>
        </w:tc>
        <w:tc>
          <w:tcPr>
            <w:tcW w:w="820" w:type="dxa"/>
            <w:vAlign w:val="bottom"/>
            <w:tcBorders>
              <w:top w:val="single" w:sz="8" w:color="0563C1"/>
            </w:tcBorders>
          </w:tcPr>
          <w:p>
            <w:pPr>
              <w:spacing w:after="0"/>
              <w:rPr>
                <w:sz w:val="10"/>
                <w:szCs w:val="10"/>
                <w:color w:val="auto"/>
              </w:rPr>
            </w:pPr>
          </w:p>
        </w:tc>
        <w:tc>
          <w:tcPr>
            <w:tcW w:w="120" w:type="dxa"/>
            <w:vAlign w:val="bottom"/>
            <w:tcBorders>
              <w:top w:val="single" w:sz="8" w:color="0563C1"/>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98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1.</w:t>
            </w:r>
          </w:p>
        </w:tc>
        <w:tc>
          <w:tcPr>
            <w:tcW w:w="1008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Financial Statements: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60" w:type="dxa"/>
            <w:vAlign w:val="bottom"/>
            <w:tcBorders>
              <w:top w:val="single" w:sz="8" w:color="0563C1"/>
            </w:tcBorders>
          </w:tcPr>
          <w:p>
            <w:pPr>
              <w:spacing w:after="0"/>
              <w:rPr>
                <w:sz w:val="10"/>
                <w:szCs w:val="10"/>
                <w:color w:val="auto"/>
              </w:rPr>
            </w:pPr>
          </w:p>
        </w:tc>
        <w:tc>
          <w:tcPr>
            <w:tcW w:w="26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60" w:type="dxa"/>
            <w:vAlign w:val="bottom"/>
            <w:tcBorders>
              <w:top w:val="single" w:sz="8" w:color="0563C1"/>
            </w:tcBorders>
          </w:tcPr>
          <w:p>
            <w:pPr>
              <w:spacing w:after="0"/>
              <w:rPr>
                <w:sz w:val="10"/>
                <w:szCs w:val="10"/>
                <w:color w:val="auto"/>
              </w:rPr>
            </w:pPr>
          </w:p>
        </w:tc>
        <w:tc>
          <w:tcPr>
            <w:tcW w:w="400" w:type="dxa"/>
            <w:vAlign w:val="bottom"/>
            <w:tcBorders>
              <w:top w:val="single" w:sz="8" w:color="0563C1"/>
            </w:tcBorders>
          </w:tcPr>
          <w:p>
            <w:pPr>
              <w:spacing w:after="0"/>
              <w:rPr>
                <w:sz w:val="10"/>
                <w:szCs w:val="10"/>
                <w:color w:val="auto"/>
              </w:rPr>
            </w:pPr>
          </w:p>
        </w:tc>
        <w:tc>
          <w:tcPr>
            <w:tcW w:w="100" w:type="dxa"/>
            <w:vAlign w:val="bottom"/>
            <w:tcBorders>
              <w:top w:val="single" w:sz="8" w:color="0563C1"/>
            </w:tcBorders>
          </w:tcPr>
          <w:p>
            <w:pPr>
              <w:spacing w:after="0"/>
              <w:rPr>
                <w:sz w:val="10"/>
                <w:szCs w:val="10"/>
                <w:color w:val="auto"/>
              </w:rPr>
            </w:pPr>
          </w:p>
        </w:tc>
        <w:tc>
          <w:tcPr>
            <w:tcW w:w="420" w:type="dxa"/>
            <w:vAlign w:val="bottom"/>
            <w:tcBorders>
              <w:top w:val="single" w:sz="8" w:color="0563C1"/>
            </w:tcBorders>
          </w:tcPr>
          <w:p>
            <w:pPr>
              <w:spacing w:after="0"/>
              <w:rPr>
                <w:sz w:val="10"/>
                <w:szCs w:val="10"/>
                <w:color w:val="auto"/>
              </w:rPr>
            </w:pPr>
          </w:p>
        </w:tc>
        <w:tc>
          <w:tcPr>
            <w:tcW w:w="340" w:type="dxa"/>
            <w:vAlign w:val="bottom"/>
            <w:tcBorders>
              <w:top w:val="single" w:sz="8" w:color="0563C1"/>
            </w:tcBorders>
          </w:tcPr>
          <w:p>
            <w:pPr>
              <w:spacing w:after="0"/>
              <w:rPr>
                <w:sz w:val="10"/>
                <w:szCs w:val="10"/>
                <w:color w:val="auto"/>
              </w:rPr>
            </w:pPr>
          </w:p>
        </w:tc>
        <w:tc>
          <w:tcPr>
            <w:tcW w:w="20" w:type="dxa"/>
            <w:vAlign w:val="bottom"/>
            <w:tcBorders>
              <w:top w:val="single" w:sz="8" w:color="0563C1"/>
            </w:tcBorders>
          </w:tcPr>
          <w:p>
            <w:pPr>
              <w:spacing w:after="0"/>
              <w:rPr>
                <w:sz w:val="10"/>
                <w:szCs w:val="10"/>
                <w:color w:val="auto"/>
              </w:rPr>
            </w:pPr>
          </w:p>
        </w:tc>
        <w:tc>
          <w:tcPr>
            <w:tcW w:w="280" w:type="dxa"/>
            <w:vAlign w:val="bottom"/>
            <w:tcBorders>
              <w:top w:val="single" w:sz="8" w:color="0563C1"/>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2980" w:type="dxa"/>
            <w:vAlign w:val="bottom"/>
            <w:tcBorders>
              <w:top w:val="single" w:sz="8" w:color="CCEEFF"/>
            </w:tcBorders>
          </w:tcPr>
          <w:p>
            <w:pPr>
              <w:spacing w:after="0"/>
              <w:rPr>
                <w:sz w:val="10"/>
                <w:szCs w:val="10"/>
                <w:color w:val="auto"/>
              </w:rPr>
            </w:pPr>
          </w:p>
        </w:tc>
        <w:tc>
          <w:tcPr>
            <w:tcW w:w="42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rPr>
                <w:sz w:val="18"/>
                <w:szCs w:val="18"/>
                <w:color w:val="auto"/>
              </w:rPr>
            </w:pPr>
          </w:p>
        </w:tc>
        <w:tc>
          <w:tcPr>
            <w:tcW w:w="1008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Balance Sheets (unaudited) – June 30, 2023 and December 31, 2022</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820" w:type="dxa"/>
            <w:vAlign w:val="bottom"/>
            <w:tcBorders>
              <w:top w:val="single" w:sz="8" w:color="0563C1"/>
            </w:tcBorders>
          </w:tcPr>
          <w:p>
            <w:pPr>
              <w:spacing w:after="0"/>
              <w:rPr>
                <w:sz w:val="19"/>
                <w:szCs w:val="19"/>
                <w:color w:val="auto"/>
              </w:rPr>
            </w:pPr>
          </w:p>
        </w:tc>
        <w:tc>
          <w:tcPr>
            <w:tcW w:w="120" w:type="dxa"/>
            <w:vAlign w:val="bottom"/>
            <w:tcBorders>
              <w:top w:val="single" w:sz="8" w:color="0563C1"/>
            </w:tcBorders>
          </w:tcPr>
          <w:p>
            <w:pPr>
              <w:spacing w:after="0"/>
              <w:rPr>
                <w:sz w:val="19"/>
                <w:szCs w:val="19"/>
                <w:color w:val="auto"/>
              </w:rPr>
            </w:pPr>
          </w:p>
        </w:tc>
        <w:tc>
          <w:tcPr>
            <w:tcW w:w="84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Operations and Comprehensive Income (unaudited) –</w:t>
            </w:r>
          </w:p>
        </w:tc>
        <w:tc>
          <w:tcPr>
            <w:tcW w:w="5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5"/>
            <w:shd w:val="clear" w:color="auto" w:fill="CCEEFF"/>
          </w:tcPr>
          <w:p>
            <w:pPr>
              <w:spacing w:after="0" w:line="223" w:lineRule="exact"/>
              <w:rPr>
                <w:sz w:val="20"/>
                <w:szCs w:val="20"/>
                <w:color w:val="auto"/>
              </w:rPr>
            </w:pPr>
            <w:r>
              <w:rPr>
                <w:rFonts w:ascii="Arial" w:cs="Arial" w:eastAsia="Arial" w:hAnsi="Arial"/>
                <w:sz w:val="22"/>
                <w:szCs w:val="22"/>
                <w:color w:val="0563C1"/>
              </w:rPr>
              <w:t>Three Months Ended June 30, 2023 and 2022</w:t>
            </w:r>
          </w:p>
        </w:tc>
        <w:tc>
          <w:tcPr>
            <w:tcW w:w="3020" w:type="dxa"/>
            <w:vAlign w:val="bottom"/>
            <w:tcBorders>
              <w:top w:val="single" w:sz="8" w:color="CCEEFF"/>
            </w:tcBorders>
            <w:gridSpan w:val="2"/>
            <w:shd w:val="clear" w:color="auto" w:fill="CCEEFF"/>
          </w:tcPr>
          <w:p>
            <w:pPr>
              <w:spacing w:after="0"/>
              <w:rPr>
                <w:sz w:val="20"/>
                <w:szCs w:val="20"/>
                <w:color w:val="auto"/>
              </w:rPr>
            </w:pPr>
          </w:p>
        </w:tc>
        <w:tc>
          <w:tcPr>
            <w:tcW w:w="50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Operations and Comprehensive Income (unaudited) –</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6740" w:type="dxa"/>
            <w:vAlign w:val="bottom"/>
            <w:tcBorders>
              <w:top w:val="single" w:sz="8" w:color="0563C1"/>
            </w:tcBorders>
            <w:gridSpan w:val="25"/>
            <w:shd w:val="clear" w:color="auto" w:fill="CCEEFF"/>
          </w:tcPr>
          <w:p>
            <w:pPr>
              <w:spacing w:after="0" w:line="209" w:lineRule="exact"/>
              <w:rPr>
                <w:sz w:val="20"/>
                <w:szCs w:val="20"/>
                <w:color w:val="auto"/>
              </w:rPr>
            </w:pPr>
            <w:r>
              <w:rPr>
                <w:rFonts w:ascii="Arial" w:cs="Arial" w:eastAsia="Arial" w:hAnsi="Arial"/>
                <w:sz w:val="22"/>
                <w:szCs w:val="22"/>
                <w:color w:val="0563C1"/>
              </w:rPr>
              <w:t>Six Months Ended June 30, 2023 and 2022</w:t>
            </w:r>
          </w:p>
        </w:tc>
        <w:tc>
          <w:tcPr>
            <w:tcW w:w="3020" w:type="dxa"/>
            <w:vAlign w:val="bottom"/>
            <w:tcBorders>
              <w:top w:val="single" w:sz="8" w:color="CCEEFF"/>
            </w:tcBorders>
            <w:gridSpan w:val="2"/>
            <w:shd w:val="clear" w:color="auto" w:fill="CCEEFF"/>
          </w:tcPr>
          <w:p>
            <w:pPr>
              <w:spacing w:after="0"/>
              <w:rPr>
                <w:sz w:val="20"/>
                <w:szCs w:val="20"/>
                <w:color w:val="auto"/>
              </w:rPr>
            </w:pPr>
          </w:p>
        </w:tc>
        <w:tc>
          <w:tcPr>
            <w:tcW w:w="420" w:type="dxa"/>
            <w:vAlign w:val="bottom"/>
            <w:tcBorders>
              <w:top w:val="single" w:sz="8" w:color="CCEEFF"/>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Capitalization (unaudited) –</w:t>
            </w:r>
          </w:p>
        </w:tc>
        <w:tc>
          <w:tcPr>
            <w:tcW w:w="5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16"/>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4520" w:type="dxa"/>
            <w:vAlign w:val="bottom"/>
            <w:tcBorders>
              <w:top w:val="single" w:sz="8" w:color="0563C1"/>
            </w:tcBorders>
            <w:gridSpan w:val="21"/>
            <w:shd w:val="clear" w:color="auto" w:fill="CCEEFF"/>
          </w:tcPr>
          <w:p>
            <w:pPr>
              <w:spacing w:after="0" w:line="209" w:lineRule="exact"/>
              <w:rPr>
                <w:sz w:val="20"/>
                <w:szCs w:val="20"/>
                <w:color w:val="auto"/>
              </w:rPr>
            </w:pPr>
            <w:r>
              <w:rPr>
                <w:rFonts w:ascii="Arial" w:cs="Arial" w:eastAsia="Arial" w:hAnsi="Arial"/>
                <w:sz w:val="22"/>
                <w:szCs w:val="22"/>
                <w:color w:val="0563C1"/>
              </w:rPr>
              <w:t>June 30, 2023 and December 31, 2022</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4"/>
            <w:shd w:val="clear" w:color="auto" w:fill="CCEEFF"/>
          </w:tcPr>
          <w:p>
            <w:pPr>
              <w:spacing w:after="0"/>
              <w:rPr>
                <w:sz w:val="18"/>
                <w:szCs w:val="18"/>
                <w:color w:val="auto"/>
              </w:rPr>
            </w:pPr>
          </w:p>
        </w:tc>
        <w:tc>
          <w:tcPr>
            <w:tcW w:w="5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4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9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38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9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Equity (unaudited) –</w:t>
            </w:r>
          </w:p>
        </w:tc>
        <w:tc>
          <w:tcPr>
            <w:tcW w:w="5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0563C1"/>
            </w:tcBorders>
            <w:shd w:val="clear" w:color="auto" w:fill="CCEEFF"/>
          </w:tcPr>
          <w:p>
            <w:pPr>
              <w:spacing w:after="0"/>
              <w:rPr>
                <w:sz w:val="18"/>
                <w:szCs w:val="18"/>
                <w:color w:val="auto"/>
              </w:rPr>
            </w:pPr>
          </w:p>
        </w:tc>
        <w:tc>
          <w:tcPr>
            <w:tcW w:w="60" w:type="dxa"/>
            <w:vAlign w:val="bottom"/>
            <w:tcBorders>
              <w:top w:val="single" w:sz="8" w:color="0563C1"/>
            </w:tcBorders>
            <w:shd w:val="clear" w:color="auto" w:fill="CCEEFF"/>
          </w:tcPr>
          <w:p>
            <w:pPr>
              <w:spacing w:after="0"/>
              <w:rPr>
                <w:sz w:val="18"/>
                <w:szCs w:val="18"/>
                <w:color w:val="auto"/>
              </w:rPr>
            </w:pPr>
          </w:p>
        </w:tc>
        <w:tc>
          <w:tcPr>
            <w:tcW w:w="3900" w:type="dxa"/>
            <w:vAlign w:val="bottom"/>
            <w:tcBorders>
              <w:top w:val="single" w:sz="8" w:color="0563C1"/>
            </w:tcBorders>
            <w:gridSpan w:val="16"/>
            <w:shd w:val="clear" w:color="auto" w:fill="CCEEFF"/>
          </w:tcPr>
          <w:p>
            <w:pPr>
              <w:spacing w:after="0" w:line="209" w:lineRule="exact"/>
              <w:rPr>
                <w:sz w:val="20"/>
                <w:szCs w:val="20"/>
                <w:color w:val="auto"/>
              </w:rPr>
            </w:pPr>
            <w:r>
              <w:rPr>
                <w:rFonts w:ascii="Arial" w:cs="Arial" w:eastAsia="Arial" w:hAnsi="Arial"/>
                <w:sz w:val="22"/>
                <w:szCs w:val="22"/>
                <w:color w:val="0563C1"/>
              </w:rPr>
              <w:t>Six Months Ended June 30, 2023</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4"/>
            <w:shd w:val="clear" w:color="auto" w:fill="CCEEFF"/>
          </w:tcPr>
          <w:p>
            <w:pPr>
              <w:spacing w:after="0"/>
              <w:rPr>
                <w:sz w:val="18"/>
                <w:szCs w:val="18"/>
                <w:color w:val="auto"/>
              </w:rPr>
            </w:pPr>
          </w:p>
        </w:tc>
        <w:tc>
          <w:tcPr>
            <w:tcW w:w="5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CCEEFF"/>
            </w:tcBorders>
            <w:shd w:val="clear" w:color="auto" w:fill="CCEEFF"/>
          </w:tcPr>
          <w:p>
            <w:pPr>
              <w:spacing w:after="0"/>
              <w:rPr>
                <w:sz w:val="17"/>
                <w:szCs w:val="17"/>
                <w:color w:val="auto"/>
              </w:rPr>
            </w:pPr>
          </w:p>
        </w:tc>
        <w:tc>
          <w:tcPr>
            <w:tcW w:w="4220" w:type="dxa"/>
            <w:vAlign w:val="bottom"/>
            <w:tcBorders>
              <w:bottom w:val="single" w:sz="8" w:color="0563C1"/>
            </w:tcBorders>
            <w:gridSpan w:val="18"/>
            <w:shd w:val="clear" w:color="auto" w:fill="CCEEFF"/>
          </w:tcPr>
          <w:p>
            <w:pPr>
              <w:spacing w:after="0" w:line="203" w:lineRule="exact"/>
              <w:rPr>
                <w:sz w:val="20"/>
                <w:szCs w:val="20"/>
                <w:color w:val="auto"/>
              </w:rPr>
            </w:pPr>
            <w:r>
              <w:rPr>
                <w:rFonts w:ascii="Arial" w:cs="Arial" w:eastAsia="Arial" w:hAnsi="Arial"/>
                <w:sz w:val="22"/>
                <w:szCs w:val="22"/>
                <w:color w:val="0563C1"/>
                <w:w w:val="88"/>
              </w:rPr>
              <w:t>Consolidated Statements of Equity (unaudited) –</w:t>
            </w:r>
          </w:p>
        </w:tc>
        <w:tc>
          <w:tcPr>
            <w:tcW w:w="5860" w:type="dxa"/>
            <w:vAlign w:val="bottom"/>
            <w:tcBorders>
              <w:bottom w:val="single" w:sz="8" w:color="CCEEFF"/>
            </w:tcBorders>
            <w:gridSpan w:val="11"/>
            <w:shd w:val="clear" w:color="auto" w:fill="CCEEFF"/>
          </w:tcPr>
          <w:p>
            <w:pPr>
              <w:spacing w:after="0"/>
              <w:rPr>
                <w:sz w:val="17"/>
                <w:szCs w:val="17"/>
                <w:color w:val="auto"/>
              </w:rPr>
            </w:pPr>
          </w:p>
        </w:tc>
        <w:tc>
          <w:tcPr>
            <w:tcW w:w="500" w:type="dxa"/>
            <w:vAlign w:val="bottom"/>
            <w:tcBorders>
              <w:bottom w:val="single" w:sz="8" w:color="CCEEFF"/>
            </w:tcBorders>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8</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700" w:type="dxa"/>
            <w:vAlign w:val="bottom"/>
            <w:gridSpan w:val="26"/>
            <w:shd w:val="clear" w:color="auto" w:fill="CCEEFF"/>
          </w:tcPr>
          <w:p>
            <w:pPr>
              <w:spacing w:after="0" w:line="223" w:lineRule="exact"/>
              <w:rPr>
                <w:sz w:val="20"/>
                <w:szCs w:val="20"/>
                <w:color w:val="auto"/>
              </w:rPr>
            </w:pPr>
            <w:r>
              <w:rPr>
                <w:rFonts w:ascii="Arial" w:cs="Arial" w:eastAsia="Arial" w:hAnsi="Arial"/>
                <w:sz w:val="22"/>
                <w:szCs w:val="22"/>
                <w:color w:val="0563C1"/>
              </w:rPr>
              <w:t>‎Six Months Ended June 30, 2022</w:t>
            </w:r>
          </w:p>
        </w:tc>
        <w:tc>
          <w:tcPr>
            <w:tcW w:w="50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1008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Consolidated Statements of Cash Flow (unaudited) –</w:t>
            </w:r>
          </w:p>
        </w:tc>
        <w:tc>
          <w:tcPr>
            <w:tcW w:w="5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0563C1"/>
            </w:tcBorders>
            <w:shd w:val="clear" w:color="auto" w:fill="CCEEFF"/>
          </w:tcPr>
          <w:p>
            <w:pPr>
              <w:spacing w:after="0"/>
              <w:rPr>
                <w:sz w:val="20"/>
                <w:szCs w:val="20"/>
                <w:color w:val="auto"/>
              </w:rPr>
            </w:pPr>
          </w:p>
        </w:tc>
        <w:tc>
          <w:tcPr>
            <w:tcW w:w="60" w:type="dxa"/>
            <w:vAlign w:val="bottom"/>
            <w:tcBorders>
              <w:top w:val="single" w:sz="8" w:color="0563C1"/>
            </w:tcBorders>
            <w:shd w:val="clear" w:color="auto" w:fill="CCEEFF"/>
          </w:tcPr>
          <w:p>
            <w:pPr>
              <w:spacing w:after="0"/>
              <w:rPr>
                <w:sz w:val="20"/>
                <w:szCs w:val="20"/>
                <w:color w:val="auto"/>
              </w:rPr>
            </w:pPr>
          </w:p>
        </w:tc>
        <w:tc>
          <w:tcPr>
            <w:tcW w:w="4240" w:type="dxa"/>
            <w:vAlign w:val="bottom"/>
            <w:tcBorders>
              <w:top w:val="single" w:sz="8" w:color="0563C1"/>
            </w:tcBorders>
            <w:gridSpan w:val="18"/>
            <w:shd w:val="clear" w:color="auto" w:fill="CCEEFF"/>
          </w:tcPr>
          <w:p>
            <w:pPr>
              <w:spacing w:after="0" w:line="223" w:lineRule="exact"/>
              <w:rPr>
                <w:sz w:val="20"/>
                <w:szCs w:val="20"/>
                <w:color w:val="auto"/>
              </w:rPr>
            </w:pPr>
            <w:r>
              <w:rPr>
                <w:rFonts w:ascii="Arial" w:cs="Arial" w:eastAsia="Arial" w:hAnsi="Arial"/>
                <w:sz w:val="22"/>
                <w:szCs w:val="22"/>
                <w:color w:val="0563C1"/>
              </w:rPr>
              <w:t>Six Months Ended June 30, 2023 and 2022</w:t>
            </w:r>
          </w:p>
        </w:tc>
        <w:tc>
          <w:tcPr>
            <w:tcW w:w="5520" w:type="dxa"/>
            <w:vAlign w:val="bottom"/>
            <w:tcBorders>
              <w:top w:val="single" w:sz="8" w:color="CCEEFF"/>
            </w:tcBorders>
            <w:gridSpan w:val="9"/>
            <w:shd w:val="clear" w:color="auto" w:fill="CCEEFF"/>
          </w:tcPr>
          <w:p>
            <w:pPr>
              <w:spacing w:after="0"/>
              <w:rPr>
                <w:sz w:val="20"/>
                <w:szCs w:val="20"/>
                <w:color w:val="auto"/>
              </w:rPr>
            </w:pPr>
          </w:p>
        </w:tc>
        <w:tc>
          <w:tcPr>
            <w:tcW w:w="500" w:type="dxa"/>
            <w:vAlign w:val="bottom"/>
            <w:tcBorders>
              <w:top w:val="single" w:sz="8" w:color="CCEEFF"/>
            </w:tcBorders>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rPr>
                <w:sz w:val="18"/>
                <w:szCs w:val="18"/>
                <w:color w:val="auto"/>
              </w:rPr>
            </w:pPr>
          </w:p>
        </w:tc>
        <w:tc>
          <w:tcPr>
            <w:tcW w:w="10080" w:type="dxa"/>
            <w:vAlign w:val="bottom"/>
            <w:gridSpan w:val="29"/>
            <w:shd w:val="clear" w:color="auto" w:fill="CCEEFF"/>
          </w:tcPr>
          <w:p>
            <w:pPr>
              <w:spacing w:after="0" w:line="203" w:lineRule="exact"/>
              <w:rPr>
                <w:sz w:val="20"/>
                <w:szCs w:val="20"/>
                <w:color w:val="auto"/>
              </w:rPr>
            </w:pPr>
            <w:r>
              <w:rPr>
                <w:rFonts w:ascii="Arial" w:cs="Arial" w:eastAsia="Arial" w:hAnsi="Arial"/>
                <w:sz w:val="22"/>
                <w:szCs w:val="22"/>
                <w:color w:val="0563C1"/>
              </w:rPr>
              <w:t>Notes to Consolidated Financial Statements (unaudited)</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660" w:type="dxa"/>
            <w:vAlign w:val="bottom"/>
            <w:tcBorders>
              <w:top w:val="single" w:sz="8" w:color="CCEEFF"/>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60" w:type="dxa"/>
            <w:vAlign w:val="bottom"/>
            <w:tcBorders>
              <w:top w:val="single" w:sz="8" w:color="0563C1"/>
            </w:tcBorders>
          </w:tcPr>
          <w:p>
            <w:pPr>
              <w:spacing w:after="0"/>
              <w:rPr>
                <w:sz w:val="21"/>
                <w:szCs w:val="21"/>
                <w:color w:val="auto"/>
              </w:rPr>
            </w:pPr>
          </w:p>
        </w:tc>
        <w:tc>
          <w:tcPr>
            <w:tcW w:w="40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420" w:type="dxa"/>
            <w:vAlign w:val="bottom"/>
            <w:tcBorders>
              <w:top w:val="single" w:sz="8" w:color="0563C1"/>
            </w:tcBorders>
          </w:tcPr>
          <w:p>
            <w:pPr>
              <w:spacing w:after="0"/>
              <w:rPr>
                <w:sz w:val="21"/>
                <w:szCs w:val="21"/>
                <w:color w:val="auto"/>
              </w:rPr>
            </w:pPr>
          </w:p>
        </w:tc>
        <w:tc>
          <w:tcPr>
            <w:tcW w:w="34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260" w:type="dxa"/>
            <w:vAlign w:val="bottom"/>
            <w:tcBorders>
              <w:top w:val="single" w:sz="8" w:color="0563C1"/>
            </w:tcBorders>
          </w:tcPr>
          <w:p>
            <w:pPr>
              <w:spacing w:after="0"/>
              <w:rPr>
                <w:sz w:val="21"/>
                <w:szCs w:val="21"/>
                <w:color w:val="auto"/>
              </w:rPr>
            </w:pPr>
          </w:p>
        </w:tc>
        <w:tc>
          <w:tcPr>
            <w:tcW w:w="96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80" w:type="dxa"/>
            <w:vAlign w:val="bottom"/>
            <w:tcBorders>
              <w:top w:val="single" w:sz="8" w:color="0563C1"/>
            </w:tcBorders>
          </w:tcPr>
          <w:p>
            <w:pPr>
              <w:spacing w:after="0"/>
              <w:rPr>
                <w:sz w:val="21"/>
                <w:szCs w:val="21"/>
                <w:color w:val="auto"/>
              </w:rPr>
            </w:pPr>
          </w:p>
        </w:tc>
        <w:tc>
          <w:tcPr>
            <w:tcW w:w="380" w:type="dxa"/>
            <w:vAlign w:val="bottom"/>
            <w:tcBorders>
              <w:top w:val="single" w:sz="8" w:color="0563C1"/>
            </w:tcBorders>
          </w:tcPr>
          <w:p>
            <w:pPr>
              <w:spacing w:after="0"/>
              <w:rPr>
                <w:sz w:val="21"/>
                <w:szCs w:val="21"/>
                <w:color w:val="auto"/>
              </w:rPr>
            </w:pPr>
          </w:p>
        </w:tc>
        <w:tc>
          <w:tcPr>
            <w:tcW w:w="20" w:type="dxa"/>
            <w:vAlign w:val="bottom"/>
            <w:tcBorders>
              <w:top w:val="single" w:sz="8" w:color="0563C1"/>
            </w:tcBorders>
          </w:tcPr>
          <w:p>
            <w:pPr>
              <w:spacing w:after="0"/>
              <w:rPr>
                <w:sz w:val="21"/>
                <w:szCs w:val="21"/>
                <w:color w:val="auto"/>
              </w:rPr>
            </w:pPr>
          </w:p>
        </w:tc>
        <w:tc>
          <w:tcPr>
            <w:tcW w:w="100" w:type="dxa"/>
            <w:vAlign w:val="bottom"/>
            <w:tcBorders>
              <w:top w:val="single" w:sz="8" w:color="0563C1"/>
            </w:tcBorders>
          </w:tcPr>
          <w:p>
            <w:pPr>
              <w:spacing w:after="0"/>
              <w:rPr>
                <w:sz w:val="21"/>
                <w:szCs w:val="21"/>
                <w:color w:val="auto"/>
              </w:rPr>
            </w:pPr>
          </w:p>
        </w:tc>
        <w:tc>
          <w:tcPr>
            <w:tcW w:w="280" w:type="dxa"/>
            <w:vAlign w:val="bottom"/>
            <w:tcBorders>
              <w:top w:val="single" w:sz="8" w:color="0563C1"/>
            </w:tcBorders>
          </w:tcPr>
          <w:p>
            <w:pPr>
              <w:spacing w:after="0"/>
              <w:rPr>
                <w:sz w:val="21"/>
                <w:szCs w:val="21"/>
                <w:color w:val="auto"/>
              </w:rPr>
            </w:pPr>
          </w:p>
        </w:tc>
        <w:tc>
          <w:tcPr>
            <w:tcW w:w="18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300" w:type="dxa"/>
            <w:vAlign w:val="bottom"/>
            <w:tcBorders>
              <w:top w:val="single" w:sz="8" w:color="0563C1"/>
            </w:tcBorders>
          </w:tcPr>
          <w:p>
            <w:pPr>
              <w:spacing w:after="0"/>
              <w:rPr>
                <w:sz w:val="21"/>
                <w:szCs w:val="21"/>
                <w:color w:val="auto"/>
              </w:rPr>
            </w:pPr>
          </w:p>
        </w:tc>
        <w:tc>
          <w:tcPr>
            <w:tcW w:w="40" w:type="dxa"/>
            <w:vAlign w:val="bottom"/>
            <w:tcBorders>
              <w:top w:val="single" w:sz="8" w:color="0563C1"/>
            </w:tcBorders>
          </w:tcPr>
          <w:p>
            <w:pPr>
              <w:spacing w:after="0"/>
              <w:rPr>
                <w:sz w:val="21"/>
                <w:szCs w:val="21"/>
                <w:color w:val="auto"/>
              </w:rPr>
            </w:pPr>
          </w:p>
        </w:tc>
        <w:tc>
          <w:tcPr>
            <w:tcW w:w="220" w:type="dxa"/>
            <w:vAlign w:val="bottom"/>
            <w:tcBorders>
              <w:top w:val="single" w:sz="8" w:color="0563C1"/>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9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740" w:type="dxa"/>
            <w:vAlign w:val="bottom"/>
            <w:gridSpan w:val="30"/>
            <w:shd w:val="clear" w:color="auto" w:fill="CCEEFF"/>
          </w:tcPr>
          <w:p>
            <w:pPr>
              <w:spacing w:after="0" w:line="203" w:lineRule="exact"/>
              <w:rPr>
                <w:sz w:val="20"/>
                <w:szCs w:val="20"/>
                <w:color w:val="auto"/>
              </w:rPr>
            </w:pPr>
            <w:r>
              <w:rPr>
                <w:rFonts w:ascii="Arial" w:cs="Arial" w:eastAsia="Arial" w:hAnsi="Arial"/>
                <w:sz w:val="22"/>
                <w:szCs w:val="22"/>
                <w:color w:val="0563C1"/>
              </w:rPr>
              <w:t>Item 2. Management’s Discussion and Analysis of Financial</w:t>
            </w:r>
          </w:p>
        </w:tc>
        <w:tc>
          <w:tcPr>
            <w:tcW w:w="5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16"/>
        </w:trPr>
        <w:tc>
          <w:tcPr>
            <w:tcW w:w="660" w:type="dxa"/>
            <w:vAlign w:val="bottom"/>
            <w:tcBorders>
              <w:top w:val="single" w:sz="8" w:color="0563C1"/>
            </w:tcBorders>
            <w:shd w:val="clear" w:color="auto" w:fill="CCEEFF"/>
          </w:tcPr>
          <w:p>
            <w:pPr>
              <w:spacing w:after="0"/>
              <w:rPr>
                <w:sz w:val="18"/>
                <w:szCs w:val="18"/>
                <w:color w:val="auto"/>
              </w:rPr>
            </w:pPr>
          </w:p>
        </w:tc>
        <w:tc>
          <w:tcPr>
            <w:tcW w:w="4600" w:type="dxa"/>
            <w:vAlign w:val="bottom"/>
            <w:tcBorders>
              <w:top w:val="single" w:sz="8" w:color="0563C1"/>
            </w:tcBorders>
            <w:gridSpan w:val="21"/>
            <w:shd w:val="clear" w:color="auto" w:fill="CCEEFF"/>
          </w:tcPr>
          <w:p>
            <w:pPr>
              <w:spacing w:after="0" w:line="209" w:lineRule="exact"/>
              <w:rPr>
                <w:sz w:val="20"/>
                <w:szCs w:val="20"/>
                <w:color w:val="auto"/>
              </w:rPr>
            </w:pPr>
            <w:r>
              <w:rPr>
                <w:rFonts w:ascii="Arial" w:cs="Arial" w:eastAsia="Arial" w:hAnsi="Arial"/>
                <w:sz w:val="22"/>
                <w:szCs w:val="22"/>
                <w:color w:val="0563C1"/>
              </w:rPr>
              <w:t>Condition and Results of Operations</w:t>
            </w:r>
          </w:p>
        </w:tc>
        <w:tc>
          <w:tcPr>
            <w:tcW w:w="680" w:type="dxa"/>
            <w:vAlign w:val="bottom"/>
            <w:tcBorders>
              <w:top w:val="single" w:sz="8" w:color="CCEEFF"/>
            </w:tcBorders>
            <w:gridSpan w:val="3"/>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3980" w:type="dxa"/>
            <w:vAlign w:val="bottom"/>
            <w:tcBorders>
              <w:top w:val="single" w:sz="8" w:color="CCEEFF"/>
            </w:tcBorders>
            <w:gridSpan w:val="4"/>
            <w:shd w:val="clear" w:color="auto" w:fill="CCEEFF"/>
          </w:tcPr>
          <w:p>
            <w:pPr>
              <w:spacing w:after="0"/>
              <w:rPr>
                <w:sz w:val="18"/>
                <w:szCs w:val="18"/>
                <w:color w:val="auto"/>
              </w:rPr>
            </w:pPr>
          </w:p>
        </w:tc>
        <w:tc>
          <w:tcPr>
            <w:tcW w:w="500" w:type="dxa"/>
            <w:vAlign w:val="bottom"/>
            <w:tcBorders>
              <w:top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CCEEFF"/>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3.</w:t>
            </w:r>
          </w:p>
        </w:tc>
        <w:tc>
          <w:tcPr>
            <w:tcW w:w="1008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Quantitative and Qualitative Disclosures About Market Risk</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4.</w:t>
            </w:r>
          </w:p>
        </w:tc>
        <w:tc>
          <w:tcPr>
            <w:tcW w:w="1008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Controls and Procedures</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320" w:type="dxa"/>
            <w:vAlign w:val="bottom"/>
            <w:gridSpan w:val="13"/>
            <w:shd w:val="clear" w:color="auto" w:fill="CCEEFF"/>
          </w:tcPr>
          <w:p>
            <w:pPr>
              <w:jc w:val="center"/>
              <w:ind w:right="3980"/>
              <w:spacing w:after="0" w:line="203" w:lineRule="exact"/>
              <w:rPr>
                <w:sz w:val="20"/>
                <w:szCs w:val="20"/>
                <w:color w:val="auto"/>
              </w:rPr>
            </w:pPr>
            <w:r>
              <w:rPr>
                <w:rFonts w:ascii="Arial" w:cs="Arial" w:eastAsia="Arial" w:hAnsi="Arial"/>
                <w:sz w:val="22"/>
                <w:szCs w:val="22"/>
                <w:color w:val="0563C1"/>
                <w:w w:val="91"/>
              </w:rPr>
              <w:t>Part II – Other Information</w:t>
            </w: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66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4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420" w:type="dxa"/>
            <w:vAlign w:val="bottom"/>
            <w:tcBorders>
              <w:top w:val="single" w:sz="8" w:color="CCEEFF"/>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28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96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380" w:type="dxa"/>
            <w:vAlign w:val="bottom"/>
            <w:tcBorders>
              <w:top w:val="single" w:sz="8" w:color="CCEEFF"/>
            </w:tcBorders>
          </w:tcPr>
          <w:p>
            <w:pPr>
              <w:spacing w:after="0"/>
              <w:rPr>
                <w:sz w:val="9"/>
                <w:szCs w:val="9"/>
                <w:color w:val="auto"/>
              </w:rPr>
            </w:pPr>
          </w:p>
        </w:tc>
        <w:tc>
          <w:tcPr>
            <w:tcW w:w="2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280" w:type="dxa"/>
            <w:vAlign w:val="bottom"/>
            <w:tcBorders>
              <w:top w:val="single" w:sz="8" w:color="0563C1"/>
            </w:tcBorders>
          </w:tcPr>
          <w:p>
            <w:pPr>
              <w:spacing w:after="0"/>
              <w:rPr>
                <w:sz w:val="9"/>
                <w:szCs w:val="9"/>
                <w:color w:val="auto"/>
              </w:rPr>
            </w:pPr>
          </w:p>
        </w:tc>
        <w:tc>
          <w:tcPr>
            <w:tcW w:w="180" w:type="dxa"/>
            <w:vAlign w:val="bottom"/>
            <w:tcBorders>
              <w:top w:val="single" w:sz="8" w:color="0563C1"/>
            </w:tcBorders>
          </w:tcPr>
          <w:p>
            <w:pPr>
              <w:spacing w:after="0"/>
              <w:rPr>
                <w:sz w:val="9"/>
                <w:szCs w:val="9"/>
                <w:color w:val="auto"/>
              </w:rPr>
            </w:pPr>
          </w:p>
        </w:tc>
        <w:tc>
          <w:tcPr>
            <w:tcW w:w="40" w:type="dxa"/>
            <w:vAlign w:val="bottom"/>
            <w:tcBorders>
              <w:top w:val="single" w:sz="8" w:color="0563C1"/>
            </w:tcBorders>
          </w:tcPr>
          <w:p>
            <w:pPr>
              <w:spacing w:after="0"/>
              <w:rPr>
                <w:sz w:val="9"/>
                <w:szCs w:val="9"/>
                <w:color w:val="auto"/>
              </w:rPr>
            </w:pPr>
          </w:p>
        </w:tc>
        <w:tc>
          <w:tcPr>
            <w:tcW w:w="300" w:type="dxa"/>
            <w:vAlign w:val="bottom"/>
            <w:tcBorders>
              <w:top w:val="single" w:sz="8" w:color="0563C1"/>
            </w:tcBorders>
          </w:tcPr>
          <w:p>
            <w:pPr>
              <w:spacing w:after="0"/>
              <w:rPr>
                <w:sz w:val="9"/>
                <w:szCs w:val="9"/>
                <w:color w:val="auto"/>
              </w:rPr>
            </w:pPr>
          </w:p>
        </w:tc>
        <w:tc>
          <w:tcPr>
            <w:tcW w:w="40" w:type="dxa"/>
            <w:vAlign w:val="bottom"/>
            <w:tcBorders>
              <w:top w:val="single" w:sz="8" w:color="0563C1"/>
            </w:tcBorders>
          </w:tcPr>
          <w:p>
            <w:pPr>
              <w:spacing w:after="0"/>
              <w:rPr>
                <w:sz w:val="9"/>
                <w:szCs w:val="9"/>
                <w:color w:val="auto"/>
              </w:rPr>
            </w:pPr>
          </w:p>
        </w:tc>
        <w:tc>
          <w:tcPr>
            <w:tcW w:w="220" w:type="dxa"/>
            <w:vAlign w:val="bottom"/>
            <w:tcBorders>
              <w:top w:val="single" w:sz="8" w:color="0563C1"/>
            </w:tcBorders>
          </w:tcPr>
          <w:p>
            <w:pPr>
              <w:spacing w:after="0"/>
              <w:rPr>
                <w:sz w:val="9"/>
                <w:szCs w:val="9"/>
                <w:color w:val="auto"/>
              </w:rPr>
            </w:pPr>
          </w:p>
        </w:tc>
        <w:tc>
          <w:tcPr>
            <w:tcW w:w="20" w:type="dxa"/>
            <w:vAlign w:val="bottom"/>
            <w:tcBorders>
              <w:top w:val="single" w:sz="8" w:color="0563C1"/>
            </w:tcBorders>
          </w:tcPr>
          <w:p>
            <w:pPr>
              <w:spacing w:after="0"/>
              <w:rPr>
                <w:sz w:val="9"/>
                <w:szCs w:val="9"/>
                <w:color w:val="auto"/>
              </w:rPr>
            </w:pPr>
          </w:p>
        </w:tc>
        <w:tc>
          <w:tcPr>
            <w:tcW w:w="440" w:type="dxa"/>
            <w:vAlign w:val="bottom"/>
            <w:tcBorders>
              <w:top w:val="single" w:sz="8" w:color="0563C1"/>
            </w:tcBorders>
          </w:tcPr>
          <w:p>
            <w:pPr>
              <w:spacing w:after="0"/>
              <w:rPr>
                <w:sz w:val="9"/>
                <w:szCs w:val="9"/>
                <w:color w:val="auto"/>
              </w:rPr>
            </w:pPr>
          </w:p>
        </w:tc>
        <w:tc>
          <w:tcPr>
            <w:tcW w:w="820" w:type="dxa"/>
            <w:vAlign w:val="bottom"/>
            <w:tcBorders>
              <w:top w:val="single" w:sz="8" w:color="0563C1"/>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84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2980" w:type="dxa"/>
            <w:vAlign w:val="bottom"/>
            <w:tcBorders>
              <w:top w:val="single" w:sz="8" w:color="CCEEFF"/>
            </w:tcBorders>
          </w:tcPr>
          <w:p>
            <w:pPr>
              <w:spacing w:after="0"/>
              <w:rPr>
                <w:sz w:val="9"/>
                <w:szCs w:val="9"/>
                <w:color w:val="auto"/>
              </w:rPr>
            </w:pPr>
          </w:p>
        </w:tc>
        <w:tc>
          <w:tcPr>
            <w:tcW w:w="440" w:type="dxa"/>
            <w:vAlign w:val="bottom"/>
            <w:tcBorders>
              <w:top w:val="single" w:sz="8" w:color="CCEEFF"/>
            </w:tcBorders>
            <w:gridSpan w:val="2"/>
          </w:tcPr>
          <w:p>
            <w:pPr>
              <w:spacing w:after="0"/>
              <w:rPr>
                <w:sz w:val="9"/>
                <w:szCs w:val="9"/>
                <w:color w:val="auto"/>
              </w:rPr>
            </w:pPr>
          </w:p>
        </w:tc>
        <w:tc>
          <w:tcPr>
            <w:tcW w:w="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1.</w:t>
            </w:r>
          </w:p>
        </w:tc>
        <w:tc>
          <w:tcPr>
            <w:tcW w:w="1008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Legal Proceedings</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740" w:type="dxa"/>
            <w:vAlign w:val="bottom"/>
            <w:gridSpan w:val="30"/>
            <w:shd w:val="clear" w:color="auto" w:fill="CCEEFF"/>
          </w:tcPr>
          <w:p>
            <w:pPr>
              <w:spacing w:after="0" w:line="203" w:lineRule="exact"/>
              <w:rPr>
                <w:sz w:val="20"/>
                <w:szCs w:val="20"/>
                <w:color w:val="auto"/>
              </w:rPr>
            </w:pPr>
            <w:r>
              <w:rPr>
                <w:rFonts w:ascii="Arial" w:cs="Arial" w:eastAsia="Arial" w:hAnsi="Arial"/>
                <w:sz w:val="22"/>
                <w:szCs w:val="22"/>
                <w:color w:val="0563C1"/>
              </w:rPr>
              <w:t>Item 1A. Risk Factors</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2.</w:t>
            </w:r>
          </w:p>
        </w:tc>
        <w:tc>
          <w:tcPr>
            <w:tcW w:w="1008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Unregistered Sales of Equity Securities and Use of Proceeds</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96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80" w:type="dxa"/>
            <w:vAlign w:val="bottom"/>
            <w:tcBorders>
              <w:top w:val="single" w:sz="8" w:color="0563C1"/>
            </w:tcBorders>
          </w:tcPr>
          <w:p>
            <w:pPr>
              <w:spacing w:after="0"/>
              <w:rPr>
                <w:sz w:val="19"/>
                <w:szCs w:val="19"/>
                <w:color w:val="auto"/>
              </w:rPr>
            </w:pPr>
          </w:p>
        </w:tc>
        <w:tc>
          <w:tcPr>
            <w:tcW w:w="38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280" w:type="dxa"/>
            <w:vAlign w:val="bottom"/>
            <w:tcBorders>
              <w:top w:val="single" w:sz="8" w:color="0563C1"/>
            </w:tcBorders>
          </w:tcPr>
          <w:p>
            <w:pPr>
              <w:spacing w:after="0"/>
              <w:rPr>
                <w:sz w:val="19"/>
                <w:szCs w:val="19"/>
                <w:color w:val="auto"/>
              </w:rPr>
            </w:pPr>
          </w:p>
        </w:tc>
        <w:tc>
          <w:tcPr>
            <w:tcW w:w="18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30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2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440" w:type="dxa"/>
            <w:vAlign w:val="bottom"/>
            <w:tcBorders>
              <w:top w:val="single" w:sz="8" w:color="0563C1"/>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vMerge w:val="restart"/>
          </w:tcPr>
          <w:p>
            <w:pPr>
              <w:spacing w:after="0"/>
              <w:rPr>
                <w:sz w:val="19"/>
                <w:szCs w:val="19"/>
                <w:color w:val="auto"/>
              </w:rPr>
            </w:pPr>
          </w:p>
        </w:tc>
        <w:tc>
          <w:tcPr>
            <w:tcW w:w="60" w:type="dxa"/>
            <w:vAlign w:val="bottom"/>
            <w:tcBorders>
              <w:top w:val="single" w:sz="8" w:color="CCEEFF"/>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5.</w:t>
            </w:r>
          </w:p>
        </w:tc>
        <w:tc>
          <w:tcPr>
            <w:tcW w:w="1008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Other Information</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22"/>
                <w:szCs w:val="22"/>
                <w:color w:val="auto"/>
              </w:rPr>
              <w:t>48</w:t>
            </w:r>
          </w:p>
        </w:tc>
        <w:tc>
          <w:tcPr>
            <w:tcW w:w="2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Borders>
              <w:top w:val="single" w:sz="8" w:color="0563C1"/>
            </w:tcBorders>
          </w:tcPr>
          <w:p>
            <w:pPr>
              <w:spacing w:after="0"/>
              <w:rPr>
                <w:sz w:val="19"/>
                <w:szCs w:val="19"/>
                <w:color w:val="auto"/>
              </w:rPr>
            </w:pPr>
          </w:p>
        </w:tc>
        <w:tc>
          <w:tcPr>
            <w:tcW w:w="2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0563C1"/>
            </w:tcBorders>
          </w:tcPr>
          <w:p>
            <w:pPr>
              <w:spacing w:after="0"/>
              <w:rPr>
                <w:sz w:val="19"/>
                <w:szCs w:val="19"/>
                <w:color w:val="auto"/>
              </w:rPr>
            </w:pPr>
          </w:p>
        </w:tc>
        <w:tc>
          <w:tcPr>
            <w:tcW w:w="420" w:type="dxa"/>
            <w:vAlign w:val="bottom"/>
            <w:tcBorders>
              <w:top w:val="single" w:sz="8" w:color="0563C1"/>
            </w:tcBorders>
          </w:tcPr>
          <w:p>
            <w:pPr>
              <w:spacing w:after="0"/>
              <w:rPr>
                <w:sz w:val="19"/>
                <w:szCs w:val="19"/>
                <w:color w:val="auto"/>
              </w:rPr>
            </w:pPr>
          </w:p>
        </w:tc>
        <w:tc>
          <w:tcPr>
            <w:tcW w:w="3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line="203" w:lineRule="exact"/>
              <w:rPr>
                <w:sz w:val="20"/>
                <w:szCs w:val="20"/>
                <w:color w:val="auto"/>
              </w:rPr>
            </w:pPr>
            <w:r>
              <w:rPr>
                <w:rFonts w:ascii="Arial" w:cs="Arial" w:eastAsia="Arial" w:hAnsi="Arial"/>
                <w:sz w:val="22"/>
                <w:szCs w:val="22"/>
                <w:color w:val="0563C1"/>
                <w:w w:val="95"/>
              </w:rPr>
              <w:t>Item 6.</w:t>
            </w:r>
          </w:p>
        </w:tc>
        <w:tc>
          <w:tcPr>
            <w:tcW w:w="10080" w:type="dxa"/>
            <w:vAlign w:val="bottom"/>
            <w:gridSpan w:val="29"/>
            <w:shd w:val="clear" w:color="auto" w:fill="CCEEFF"/>
          </w:tcPr>
          <w:p>
            <w:pPr>
              <w:ind w:left="60"/>
              <w:spacing w:after="0" w:line="203" w:lineRule="exact"/>
              <w:rPr>
                <w:sz w:val="20"/>
                <w:szCs w:val="20"/>
                <w:color w:val="auto"/>
              </w:rPr>
            </w:pPr>
            <w:r>
              <w:rPr>
                <w:rFonts w:ascii="Arial" w:cs="Arial" w:eastAsia="Arial" w:hAnsi="Arial"/>
                <w:sz w:val="22"/>
                <w:szCs w:val="22"/>
                <w:color w:val="0563C1"/>
              </w:rPr>
              <w:t>Exhibits</w:t>
            </w:r>
          </w:p>
        </w:tc>
        <w:tc>
          <w:tcPr>
            <w:tcW w:w="500" w:type="dxa"/>
            <w:vAlign w:val="bottom"/>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30"/>
        </w:trPr>
        <w:tc>
          <w:tcPr>
            <w:tcW w:w="920" w:type="dxa"/>
            <w:vAlign w:val="bottom"/>
            <w:tcBorders>
              <w:top w:val="single" w:sz="8" w:color="0563C1"/>
            </w:tcBorders>
            <w:gridSpan w:val="2"/>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0" w:type="dxa"/>
            <w:vAlign w:val="bottom"/>
            <w:tcBorders>
              <w:top w:val="single" w:sz="8" w:color="0563C1"/>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gridSpan w:val="2"/>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563C1"/>
            </w:tcBorders>
            <w:gridSpan w:val="2"/>
            <w:shd w:val="clear" w:color="auto" w:fill="CCEEFF"/>
          </w:tcPr>
          <w:p>
            <w:pPr>
              <w:spacing w:after="0" w:line="203" w:lineRule="exact"/>
              <w:rPr>
                <w:sz w:val="20"/>
                <w:szCs w:val="20"/>
                <w:color w:val="auto"/>
              </w:rPr>
            </w:pPr>
            <w:r>
              <w:rPr>
                <w:rFonts w:ascii="Arial" w:cs="Arial" w:eastAsia="Arial" w:hAnsi="Arial"/>
                <w:sz w:val="22"/>
                <w:szCs w:val="22"/>
                <w:color w:val="0563C1"/>
                <w:w w:val="85"/>
              </w:rPr>
              <w:t>Signatures</w:t>
            </w:r>
          </w:p>
        </w:tc>
        <w:tc>
          <w:tcPr>
            <w:tcW w:w="9820" w:type="dxa"/>
            <w:vAlign w:val="bottom"/>
            <w:tcBorders>
              <w:bottom w:val="single" w:sz="8" w:color="CCEEFF"/>
            </w:tcBorders>
            <w:gridSpan w:val="28"/>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80"/>
              <w:spacing w:after="0" w:line="203" w:lineRule="exact"/>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806"/>
        </w:trPr>
        <w:tc>
          <w:tcPr>
            <w:tcW w:w="660" w:type="dxa"/>
            <w:vAlign w:val="bottom"/>
          </w:tcPr>
          <w:p>
            <w:pPr>
              <w:spacing w:after="0"/>
              <w:rPr>
                <w:sz w:val="24"/>
                <w:szCs w:val="24"/>
                <w:color w:val="auto"/>
              </w:rPr>
            </w:pPr>
          </w:p>
        </w:tc>
        <w:tc>
          <w:tcPr>
            <w:tcW w:w="5280" w:type="dxa"/>
            <w:vAlign w:val="bottom"/>
            <w:gridSpan w:val="24"/>
          </w:tcPr>
          <w:p>
            <w:pPr>
              <w:jc w:val="center"/>
              <w:ind w:left="4552"/>
              <w:spacing w:after="0"/>
              <w:rPr>
                <w:sz w:val="20"/>
                <w:szCs w:val="20"/>
                <w:color w:val="auto"/>
              </w:rPr>
            </w:pPr>
            <w:r>
              <w:rPr>
                <w:rFonts w:ascii="Arial" w:cs="Arial" w:eastAsia="Arial" w:hAnsi="Arial"/>
                <w:sz w:val="22"/>
                <w:szCs w:val="22"/>
                <w:color w:val="auto"/>
                <w:w w:val="81"/>
              </w:rPr>
              <w:t>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CONSOLIDATED BALANCE SHEETS</w:t>
      </w:r>
    </w:p>
    <w:p>
      <w:pPr>
        <w:jc w:val="center"/>
        <w:ind w:right="4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w w:val="93"/>
              </w:rPr>
              <w:t>December 31,</w:t>
            </w:r>
          </w:p>
        </w:tc>
      </w:tr>
      <w:tr>
        <w:trPr>
          <w:trHeight w:val="199"/>
        </w:trPr>
        <w:tc>
          <w:tcPr>
            <w:tcW w:w="8480" w:type="dxa"/>
            <w:vAlign w:val="bottom"/>
          </w:tcPr>
          <w:p>
            <w:pPr>
              <w:ind w:left="3920"/>
              <w:spacing w:after="0"/>
              <w:rPr>
                <w:sz w:val="20"/>
                <w:szCs w:val="20"/>
                <w:color w:val="auto"/>
              </w:rPr>
            </w:pPr>
            <w:r>
              <w:rPr>
                <w:rFonts w:ascii="Arial" w:cs="Arial" w:eastAsia="Arial" w:hAnsi="Arial"/>
                <w:sz w:val="16"/>
                <w:szCs w:val="16"/>
                <w:color w:val="auto"/>
              </w:rPr>
              <w:t>Assets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r>
      <w:tr>
        <w:trPr>
          <w:trHeight w:val="169"/>
        </w:trPr>
        <w:tc>
          <w:tcPr>
            <w:tcW w:w="84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Property, plant and equipment, at cost</w:t>
            </w:r>
          </w:p>
        </w:tc>
        <w:tc>
          <w:tcPr>
            <w:tcW w:w="220" w:type="dxa"/>
            <w:vAlign w:val="bottom"/>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14,344,435</w:t>
            </w:r>
          </w:p>
        </w:tc>
        <w:tc>
          <w:tcPr>
            <w:tcW w:w="30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13,737,387</w:t>
            </w:r>
          </w:p>
        </w:tc>
      </w:tr>
      <w:tr>
        <w:trPr>
          <w:trHeight w:val="175"/>
        </w:trPr>
        <w:tc>
          <w:tcPr>
            <w:tcW w:w="8480" w:type="dxa"/>
            <w:vAlign w:val="bottom"/>
          </w:tcPr>
          <w:p>
            <w:pPr>
              <w:spacing w:after="0" w:line="175" w:lineRule="exact"/>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2,753,586</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2,606,441</w:t>
            </w:r>
          </w:p>
        </w:tc>
      </w:tr>
      <w:tr>
        <w:trPr>
          <w:trHeight w:val="169"/>
        </w:trPr>
        <w:tc>
          <w:tcPr>
            <w:tcW w:w="84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property, plant and equipment</w:t>
            </w:r>
          </w:p>
        </w:tc>
        <w:tc>
          <w:tcPr>
            <w:tcW w:w="2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11,590,849</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11,130,946</w:t>
            </w:r>
          </w:p>
        </w:tc>
      </w:tr>
      <w:tr>
        <w:trPr>
          <w:trHeight w:val="169"/>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84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6"/>
        </w:trPr>
        <w:tc>
          <w:tcPr>
            <w:tcW w:w="8480" w:type="dxa"/>
            <w:vAlign w:val="bottom"/>
          </w:tcPr>
          <w:p>
            <w:pPr>
              <w:ind w:left="120"/>
              <w:spacing w:after="0" w:line="175" w:lineRule="exact"/>
              <w:rPr>
                <w:sz w:val="20"/>
                <w:szCs w:val="20"/>
                <w:color w:val="auto"/>
              </w:rPr>
            </w:pPr>
            <w:r>
              <w:rPr>
                <w:rFonts w:ascii="Arial" w:cs="Arial" w:eastAsia="Arial" w:hAnsi="Arial"/>
                <w:sz w:val="16"/>
                <w:szCs w:val="16"/>
                <w:color w:val="auto"/>
              </w:rPr>
              <w:t>Cash and cash equivalents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11,642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11,398</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149,942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206,324</w:t>
            </w:r>
          </w:p>
        </w:tc>
      </w:tr>
      <w:tr>
        <w:trPr>
          <w:trHeight w:val="175"/>
        </w:trPr>
        <w:tc>
          <w:tcPr>
            <w:tcW w:w="8480" w:type="dxa"/>
            <w:vAlign w:val="bottom"/>
          </w:tcPr>
          <w:p>
            <w:pPr>
              <w:ind w:left="120"/>
              <w:spacing w:after="0" w:line="175" w:lineRule="exact"/>
              <w:rPr>
                <w:sz w:val="20"/>
                <w:szCs w:val="20"/>
                <w:color w:val="auto"/>
              </w:rPr>
            </w:pPr>
            <w:r>
              <w:rPr>
                <w:rFonts w:ascii="Arial" w:cs="Arial" w:eastAsia="Arial" w:hAnsi="Arial"/>
                <w:sz w:val="16"/>
                <w:szCs w:val="16"/>
                <w:color w:val="auto"/>
              </w:rPr>
              <w:t>Unbilled revenues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75,737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170,504</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Inventory - materials and supplies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45,300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46,592</w:t>
            </w:r>
          </w:p>
        </w:tc>
      </w:tr>
      <w:tr>
        <w:trPr>
          <w:trHeight w:val="175"/>
        </w:trPr>
        <w:tc>
          <w:tcPr>
            <w:tcW w:w="8480" w:type="dxa"/>
            <w:vAlign w:val="bottom"/>
          </w:tcPr>
          <w:p>
            <w:pPr>
              <w:ind w:left="120"/>
              <w:spacing w:after="0" w:line="175" w:lineRule="exact"/>
              <w:rPr>
                <w:sz w:val="20"/>
                <w:szCs w:val="20"/>
                <w:color w:val="auto"/>
              </w:rPr>
            </w:pPr>
            <w:r>
              <w:rPr>
                <w:rFonts w:ascii="Arial" w:cs="Arial" w:eastAsia="Arial" w:hAnsi="Arial"/>
                <w:sz w:val="16"/>
                <w:szCs w:val="16"/>
                <w:color w:val="auto"/>
              </w:rPr>
              <w:t>Inventory - gas stored</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63,216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153,143</w:t>
            </w:r>
          </w:p>
        </w:tc>
      </w:tr>
      <w:tr>
        <w:trPr>
          <w:trHeight w:val="176"/>
        </w:trPr>
        <w:tc>
          <w:tcPr>
            <w:tcW w:w="84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Current assets held for sale</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7,378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11,167</w:t>
            </w:r>
          </w:p>
        </w:tc>
      </w:tr>
      <w:tr>
        <w:trPr>
          <w:trHeight w:val="176"/>
        </w:trPr>
        <w:tc>
          <w:tcPr>
            <w:tcW w:w="8480" w:type="dxa"/>
            <w:vAlign w:val="bottom"/>
          </w:tcPr>
          <w:p>
            <w:pPr>
              <w:ind w:left="120"/>
              <w:spacing w:after="0" w:line="175" w:lineRule="exact"/>
              <w:rPr>
                <w:sz w:val="20"/>
                <w:szCs w:val="20"/>
                <w:color w:val="auto"/>
              </w:rPr>
            </w:pPr>
            <w:r>
              <w:rPr>
                <w:rFonts w:ascii="Arial" w:cs="Arial" w:eastAsia="Arial" w:hAnsi="Arial"/>
                <w:sz w:val="16"/>
                <w:szCs w:val="16"/>
                <w:color w:val="auto"/>
              </w:rPr>
              <w:t>Prepayments and other current assets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36,557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39,759</w:t>
            </w:r>
          </w:p>
        </w:tc>
      </w:tr>
      <w:tr>
        <w:trPr>
          <w:trHeight w:val="175"/>
        </w:trPr>
        <w:tc>
          <w:tcPr>
            <w:tcW w:w="848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Regulatory assets</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16,938</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19,272</w:t>
            </w:r>
          </w:p>
        </w:tc>
      </w:tr>
      <w:tr>
        <w:trPr>
          <w:trHeight w:val="169"/>
        </w:trPr>
        <w:tc>
          <w:tcPr>
            <w:tcW w:w="8480" w:type="dxa"/>
            <w:vAlign w:val="bottom"/>
          </w:tcPr>
          <w:p>
            <w:pPr>
              <w:spacing w:after="0" w:line="169" w:lineRule="exact"/>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406,710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658,159</w:t>
            </w:r>
          </w:p>
        </w:tc>
      </w:tr>
      <w:tr>
        <w:trPr>
          <w:trHeight w:val="169"/>
        </w:trPr>
        <w:tc>
          <w:tcPr>
            <w:tcW w:w="8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5"/>
        </w:trPr>
        <w:tc>
          <w:tcPr>
            <w:tcW w:w="84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Regulatory assets</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1,518,079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1,342,753</w:t>
            </w:r>
          </w:p>
        </w:tc>
      </w:tr>
      <w:tr>
        <w:trPr>
          <w:trHeight w:val="176"/>
        </w:trPr>
        <w:tc>
          <w:tcPr>
            <w:tcW w:w="8480" w:type="dxa"/>
            <w:vAlign w:val="bottom"/>
          </w:tcPr>
          <w:p>
            <w:pPr>
              <w:spacing w:after="0" w:line="175" w:lineRule="exact"/>
              <w:rPr>
                <w:sz w:val="20"/>
                <w:szCs w:val="20"/>
                <w:color w:val="auto"/>
              </w:rPr>
            </w:pPr>
            <w:r>
              <w:rPr>
                <w:rFonts w:ascii="Arial" w:cs="Arial" w:eastAsia="Arial" w:hAnsi="Arial"/>
                <w:sz w:val="16"/>
                <w:szCs w:val="16"/>
                <w:color w:val="auto"/>
              </w:rPr>
              <w:t>Deferred charges and other assets, net</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166,391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166,653</w:t>
            </w: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Funds restricted for construction activity</w:t>
            </w: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1,360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1,342</w:t>
            </w:r>
          </w:p>
        </w:tc>
      </w:tr>
      <w:tr>
        <w:trPr>
          <w:trHeight w:val="176"/>
        </w:trPr>
        <w:tc>
          <w:tcPr>
            <w:tcW w:w="8480" w:type="dxa"/>
            <w:vAlign w:val="bottom"/>
          </w:tcPr>
          <w:p>
            <w:pPr>
              <w:spacing w:after="0" w:line="175" w:lineRule="exact"/>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2,340,755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2,340,792</w:t>
            </w:r>
          </w:p>
        </w:tc>
      </w:tr>
      <w:tr>
        <w:trPr>
          <w:trHeight w:val="176"/>
        </w:trPr>
        <w:tc>
          <w:tcPr>
            <w:tcW w:w="84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Non-current assets held for sale</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34,419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32,124</w:t>
            </w:r>
          </w:p>
        </w:tc>
      </w:tr>
      <w:tr>
        <w:trPr>
          <w:trHeight w:val="175"/>
        </w:trPr>
        <w:tc>
          <w:tcPr>
            <w:tcW w:w="8480" w:type="dxa"/>
            <w:vAlign w:val="bottom"/>
          </w:tcPr>
          <w:p>
            <w:pPr>
              <w:spacing w:after="0" w:line="175" w:lineRule="exact"/>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Arial" w:cs="Arial" w:eastAsia="Arial" w:hAnsi="Arial"/>
                <w:sz w:val="16"/>
                <w:szCs w:val="16"/>
                <w:color w:val="auto"/>
              </w:rPr>
              <w:t>39,151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41,734</w:t>
            </w:r>
          </w:p>
        </w:tc>
      </w:tr>
      <w:tr>
        <w:trPr>
          <w:trHeight w:val="176"/>
        </w:trPr>
        <w:tc>
          <w:tcPr>
            <w:tcW w:w="848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Intangible assets</w:t>
            </w:r>
          </w:p>
        </w:tc>
        <w:tc>
          <w:tcPr>
            <w:tcW w:w="2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4,221</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4,604</w:t>
            </w:r>
          </w:p>
        </w:tc>
      </w:tr>
      <w:tr>
        <w:trPr>
          <w:trHeight w:val="169"/>
        </w:trPr>
        <w:tc>
          <w:tcPr>
            <w:tcW w:w="8480" w:type="dxa"/>
            <w:vAlign w:val="bottom"/>
          </w:tcPr>
          <w:p>
            <w:pPr>
              <w:spacing w:after="0" w:line="169" w:lineRule="exact"/>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69" w:lineRule="exact"/>
              <w:rPr>
                <w:sz w:val="20"/>
                <w:szCs w:val="20"/>
                <w:color w:val="auto"/>
              </w:rPr>
            </w:pPr>
            <w:r>
              <w:rPr>
                <w:rFonts w:ascii="Arial" w:cs="Arial" w:eastAsia="Arial" w:hAnsi="Arial"/>
                <w:sz w:val="16"/>
                <w:szCs w:val="16"/>
                <w:color w:val="auto"/>
              </w:rPr>
              <w:t>16,101,935</w:t>
            </w:r>
          </w:p>
        </w:tc>
        <w:tc>
          <w:tcPr>
            <w:tcW w:w="300" w:type="dxa"/>
            <w:vAlign w:val="bottom"/>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15,719,107</w:t>
            </w:r>
          </w:p>
        </w:tc>
      </w:tr>
      <w:tr>
        <w:trPr>
          <w:trHeight w:val="20"/>
        </w:trPr>
        <w:tc>
          <w:tcPr>
            <w:tcW w:w="8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CONSOLIDATED BALANCE SHEETS (continued)</w:t>
      </w:r>
    </w:p>
    <w:p>
      <w:pPr>
        <w:ind w:left="338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w w:val="93"/>
              </w:rPr>
              <w:t>December 31,</w:t>
            </w:r>
          </w:p>
        </w:tc>
        <w:tc>
          <w:tcPr>
            <w:tcW w:w="0" w:type="dxa"/>
            <w:vAlign w:val="bottom"/>
          </w:tcPr>
          <w:p>
            <w:pPr>
              <w:spacing w:after="0"/>
              <w:rPr>
                <w:sz w:val="1"/>
                <w:szCs w:val="1"/>
                <w:color w:val="auto"/>
              </w:rPr>
            </w:pPr>
          </w:p>
        </w:tc>
      </w:tr>
      <w:tr>
        <w:trPr>
          <w:trHeight w:val="199"/>
        </w:trPr>
        <w:tc>
          <w:tcPr>
            <w:tcW w:w="8400" w:type="dxa"/>
            <w:vAlign w:val="bottom"/>
          </w:tcPr>
          <w:p>
            <w:pPr>
              <w:ind w:left="3400"/>
              <w:spacing w:after="0"/>
              <w:rPr>
                <w:sz w:val="20"/>
                <w:szCs w:val="20"/>
                <w:color w:val="auto"/>
              </w:rPr>
            </w:pPr>
            <w:r>
              <w:rPr>
                <w:rFonts w:ascii="Arial" w:cs="Arial" w:eastAsia="Arial" w:hAnsi="Arial"/>
                <w:sz w:val="16"/>
                <w:szCs w:val="16"/>
                <w:color w:val="auto"/>
              </w:rPr>
              <w:t>Liabilities and Equity</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69"/>
        </w:trPr>
        <w:tc>
          <w:tcPr>
            <w:tcW w:w="8400" w:type="dxa"/>
            <w:vAlign w:val="bottom"/>
          </w:tcPr>
          <w:p>
            <w:pPr>
              <w:spacing w:after="0" w:line="169" w:lineRule="exact"/>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0" w:type="dxa"/>
            <w:vAlign w:val="bottom"/>
            <w:shd w:val="clear" w:color="auto" w:fill="CCEEFF"/>
          </w:tcPr>
          <w:p>
            <w:pPr>
              <w:ind w:left="120"/>
              <w:spacing w:after="0" w:line="152" w:lineRule="exact"/>
              <w:rPr>
                <w:sz w:val="20"/>
                <w:szCs w:val="20"/>
                <w:color w:val="auto"/>
              </w:rPr>
            </w:pPr>
            <w:r>
              <w:rPr>
                <w:rFonts w:ascii="Arial" w:cs="Arial" w:eastAsia="Arial" w:hAnsi="Arial"/>
                <w:sz w:val="16"/>
                <w:szCs w:val="16"/>
                <w:color w:val="auto"/>
                <w:w w:val="93"/>
              </w:rPr>
              <w:t>Common stock at $0.50 par value, authorized 600,000,000 shares, issued 267,818,219 and 266,973,321 as of June 30, 2023</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and December 31, 2022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133,486</w:t>
            </w:r>
          </w:p>
        </w:tc>
        <w:tc>
          <w:tcPr>
            <w:tcW w:w="0" w:type="dxa"/>
            <w:vAlign w:val="bottom"/>
          </w:tcPr>
          <w:p>
            <w:pPr>
              <w:spacing w:after="0"/>
              <w:rPr>
                <w:sz w:val="1"/>
                <w:szCs w:val="1"/>
                <w:color w:val="auto"/>
              </w:rPr>
            </w:pPr>
          </w:p>
        </w:tc>
      </w:tr>
      <w:tr>
        <w:trPr>
          <w:trHeight w:val="175"/>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Capital in excess of par value</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3,827,199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3,793,262</w:t>
            </w: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1,740,682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1,534,331</w:t>
            </w:r>
          </w:p>
        </w:tc>
        <w:tc>
          <w:tcPr>
            <w:tcW w:w="0" w:type="dxa"/>
            <w:vAlign w:val="bottom"/>
          </w:tcPr>
          <w:p>
            <w:pPr>
              <w:spacing w:after="0"/>
              <w:rPr>
                <w:sz w:val="1"/>
                <w:szCs w:val="1"/>
                <w:color w:val="auto"/>
              </w:rPr>
            </w:pPr>
          </w:p>
        </w:tc>
      </w:tr>
      <w:tr>
        <w:trPr>
          <w:trHeight w:val="176"/>
        </w:trPr>
        <w:tc>
          <w:tcPr>
            <w:tcW w:w="8400" w:type="dxa"/>
            <w:vAlign w:val="bottom"/>
            <w:tcBorders>
              <w:bottom w:val="single" w:sz="8" w:color="CCEEFF"/>
            </w:tcBorders>
          </w:tcPr>
          <w:p>
            <w:pPr>
              <w:ind w:left="120"/>
              <w:spacing w:after="0" w:line="175" w:lineRule="exact"/>
              <w:rPr>
                <w:sz w:val="20"/>
                <w:szCs w:val="20"/>
                <w:color w:val="auto"/>
              </w:rPr>
            </w:pPr>
            <w:r>
              <w:rPr>
                <w:rFonts w:ascii="Arial" w:cs="Arial" w:eastAsia="Arial" w:hAnsi="Arial"/>
                <w:sz w:val="16"/>
                <w:szCs w:val="16"/>
                <w:color w:val="auto"/>
              </w:rPr>
              <w:t>Treasury stock, at cost, 3,312,850 and 3,236,237 shares as of June 30, 2023 and December 31, 2022</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(87,092)</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(83,693)</w:t>
            </w: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5,614,698</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5,377,386</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Long-term debt, excluding current portion</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6,661,014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6,418,039</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CCEEFF"/>
            </w:tcBorders>
          </w:tcPr>
          <w:p>
            <w:pPr>
              <w:spacing w:after="0" w:line="175" w:lineRule="exact"/>
              <w:rPr>
                <w:sz w:val="20"/>
                <w:szCs w:val="20"/>
                <w:color w:val="auto"/>
              </w:rPr>
            </w:pPr>
            <w:r>
              <w:rPr>
                <w:rFonts w:ascii="Arial" w:cs="Arial" w:eastAsia="Arial" w:hAnsi="Arial"/>
                <w:sz w:val="16"/>
                <w:szCs w:val="16"/>
                <w:color w:val="auto"/>
              </w:rPr>
              <w:t>Less: debt issuance costs</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45,498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46,982</w:t>
            </w:r>
          </w:p>
        </w:tc>
        <w:tc>
          <w:tcPr>
            <w:tcW w:w="0" w:type="dxa"/>
            <w:vAlign w:val="bottom"/>
          </w:tcPr>
          <w:p>
            <w:pPr>
              <w:spacing w:after="0"/>
              <w:rPr>
                <w:sz w:val="1"/>
                <w:szCs w:val="1"/>
                <w:color w:val="auto"/>
              </w:rPr>
            </w:pPr>
          </w:p>
        </w:tc>
      </w:tr>
      <w:tr>
        <w:trPr>
          <w:trHeight w:val="156"/>
        </w:trPr>
        <w:tc>
          <w:tcPr>
            <w:tcW w:w="84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Long-term debt, excluding current portion, net of debt issuance costs</w:t>
            </w: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6,615,516</w:t>
            </w:r>
          </w:p>
        </w:tc>
        <w:tc>
          <w:tcPr>
            <w:tcW w:w="1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6,371,057</w:t>
            </w:r>
          </w:p>
        </w:tc>
        <w:tc>
          <w:tcPr>
            <w:tcW w:w="0" w:type="dxa"/>
            <w:vAlign w:val="bottom"/>
          </w:tcPr>
          <w:p>
            <w:pPr>
              <w:spacing w:after="0"/>
              <w:rPr>
                <w:sz w:val="1"/>
                <w:szCs w:val="1"/>
                <w:color w:val="auto"/>
              </w:rPr>
            </w:pPr>
          </w:p>
        </w:tc>
      </w:tr>
      <w:tr>
        <w:trPr>
          <w:trHeight w:val="244"/>
        </w:trPr>
        <w:tc>
          <w:tcPr>
            <w:tcW w:w="8400" w:type="dxa"/>
            <w:vAlign w:val="bottom"/>
          </w:tcPr>
          <w:p>
            <w:pPr>
              <w:spacing w:after="0"/>
              <w:rPr>
                <w:sz w:val="20"/>
                <w:szCs w:val="20"/>
                <w:color w:val="auto"/>
              </w:rPr>
            </w:pPr>
            <w:r>
              <w:rPr>
                <w:rFonts w:ascii="Arial" w:cs="Arial" w:eastAsia="Arial" w:hAnsi="Arial"/>
                <w:sz w:val="16"/>
                <w:szCs w:val="16"/>
                <w:color w:val="auto"/>
              </w:rPr>
              <w:t>Commitments and contingencies (See Note 14)</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198,749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199,356</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Loans payable</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48,043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228,500</w:t>
            </w:r>
          </w:p>
        </w:tc>
        <w:tc>
          <w:tcPr>
            <w:tcW w:w="0" w:type="dxa"/>
            <w:vAlign w:val="bottom"/>
          </w:tcPr>
          <w:p>
            <w:pPr>
              <w:spacing w:after="0"/>
              <w:rPr>
                <w:sz w:val="1"/>
                <w:szCs w:val="1"/>
                <w:color w:val="auto"/>
              </w:rPr>
            </w:pPr>
          </w:p>
        </w:tc>
      </w:tr>
      <w:tr>
        <w:trPr>
          <w:trHeight w:val="162"/>
        </w:trPr>
        <w:tc>
          <w:tcPr>
            <w:tcW w:w="8400" w:type="dxa"/>
            <w:vAlign w:val="bottom"/>
          </w:tcPr>
          <w:p>
            <w:pPr>
              <w:ind w:left="120"/>
              <w:spacing w:after="0" w:line="162" w:lineRule="exact"/>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6"/>
                <w:szCs w:val="16"/>
                <w:color w:val="auto"/>
              </w:rPr>
              <w:t>178,902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6"/>
                <w:szCs w:val="16"/>
                <w:color w:val="auto"/>
              </w:rPr>
              <w:t>238,843</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Book overdraft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32,490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28,694</w:t>
            </w:r>
          </w:p>
        </w:tc>
        <w:tc>
          <w:tcPr>
            <w:tcW w:w="0" w:type="dxa"/>
            <w:vAlign w:val="bottom"/>
          </w:tcPr>
          <w:p>
            <w:pPr>
              <w:spacing w:after="0"/>
              <w:rPr>
                <w:sz w:val="1"/>
                <w:szCs w:val="1"/>
                <w:color w:val="auto"/>
              </w:rPr>
            </w:pPr>
          </w:p>
        </w:tc>
      </w:tr>
      <w:tr>
        <w:trPr>
          <w:trHeight w:val="176"/>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Accrued interest</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50,625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47,063</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26,232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34,393</w:t>
            </w:r>
          </w:p>
        </w:tc>
        <w:tc>
          <w:tcPr>
            <w:tcW w:w="0" w:type="dxa"/>
            <w:vAlign w:val="bottom"/>
          </w:tcPr>
          <w:p>
            <w:pPr>
              <w:spacing w:after="0"/>
              <w:rPr>
                <w:sz w:val="1"/>
                <w:szCs w:val="1"/>
                <w:color w:val="auto"/>
              </w:rPr>
            </w:pPr>
          </w:p>
        </w:tc>
      </w:tr>
      <w:tr>
        <w:trPr>
          <w:trHeight w:val="176"/>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Liabilities related to assets held for sale</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3,081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Regulatory liabilities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96,669</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35,276</w:t>
            </w:r>
          </w:p>
        </w:tc>
        <w:tc>
          <w:tcPr>
            <w:tcW w:w="0" w:type="dxa"/>
            <w:vAlign w:val="bottom"/>
          </w:tcPr>
          <w:p>
            <w:pPr>
              <w:spacing w:after="0"/>
              <w:rPr>
                <w:sz w:val="1"/>
                <w:szCs w:val="1"/>
                <w:color w:val="auto"/>
              </w:rPr>
            </w:pPr>
          </w:p>
        </w:tc>
      </w:tr>
      <w:tr>
        <w:trPr>
          <w:trHeight w:val="175"/>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Dividends payable</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75,808</w:t>
            </w:r>
          </w:p>
        </w:tc>
        <w:tc>
          <w:tcPr>
            <w:tcW w:w="0" w:type="dxa"/>
            <w:vAlign w:val="bottom"/>
          </w:tcPr>
          <w:p>
            <w:pPr>
              <w:spacing w:after="0"/>
              <w:rPr>
                <w:sz w:val="1"/>
                <w:szCs w:val="1"/>
                <w:color w:val="auto"/>
              </w:rPr>
            </w:pPr>
          </w:p>
        </w:tc>
      </w:tr>
      <w:tr>
        <w:trPr>
          <w:trHeight w:val="176"/>
        </w:trPr>
        <w:tc>
          <w:tcPr>
            <w:tcW w:w="8400" w:type="dxa"/>
            <w:vAlign w:val="bottom"/>
            <w:tcBorders>
              <w:bottom w:val="single" w:sz="8" w:color="CCEEFF"/>
            </w:tcBorders>
            <w:shd w:val="clear" w:color="auto" w:fill="CCEEFF"/>
          </w:tcPr>
          <w:p>
            <w:pPr>
              <w:ind w:left="120"/>
              <w:spacing w:after="0" w:line="175" w:lineRule="exact"/>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130,344</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130,673</w:t>
            </w:r>
          </w:p>
        </w:tc>
        <w:tc>
          <w:tcPr>
            <w:tcW w:w="0" w:type="dxa"/>
            <w:vAlign w:val="bottom"/>
          </w:tcPr>
          <w:p>
            <w:pPr>
              <w:spacing w:after="0"/>
              <w:rPr>
                <w:sz w:val="1"/>
                <w:szCs w:val="1"/>
                <w:color w:val="auto"/>
              </w:rPr>
            </w:pPr>
          </w:p>
        </w:tc>
      </w:tr>
      <w:tr>
        <w:trPr>
          <w:trHeight w:val="169"/>
        </w:trPr>
        <w:tc>
          <w:tcPr>
            <w:tcW w:w="8400" w:type="dxa"/>
            <w:vAlign w:val="bottom"/>
          </w:tcPr>
          <w:p>
            <w:pPr>
              <w:spacing w:after="0" w:line="169" w:lineRule="exact"/>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765,135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1,021,869</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Deferred credits and other liabilities: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Deferred income taxes and investment tax credits</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1,459,002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1,345,766</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Customers' advances for construction</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125,362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114,732</w:t>
            </w:r>
          </w:p>
        </w:tc>
        <w:tc>
          <w:tcPr>
            <w:tcW w:w="0" w:type="dxa"/>
            <w:vAlign w:val="bottom"/>
          </w:tcPr>
          <w:p>
            <w:pPr>
              <w:spacing w:after="0"/>
              <w:rPr>
                <w:sz w:val="1"/>
                <w:szCs w:val="1"/>
                <w:color w:val="auto"/>
              </w:rPr>
            </w:pPr>
          </w:p>
        </w:tc>
      </w:tr>
      <w:tr>
        <w:trPr>
          <w:trHeight w:val="175"/>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Regulatory liabilities</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807,240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778,754</w:t>
            </w: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Asset retirement obligations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842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175"/>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36,387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37,666</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Non-current liabilities related to assets held for sale</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803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175"/>
        </w:trPr>
        <w:tc>
          <w:tcPr>
            <w:tcW w:w="8400" w:type="dxa"/>
            <w:vAlign w:val="bottom"/>
          </w:tcPr>
          <w:p>
            <w:pPr>
              <w:ind w:left="120"/>
              <w:spacing w:after="0" w:line="175" w:lineRule="exact"/>
              <w:rPr>
                <w:sz w:val="20"/>
                <w:szCs w:val="20"/>
                <w:color w:val="auto"/>
              </w:rPr>
            </w:pPr>
            <w:r>
              <w:rPr>
                <w:rFonts w:ascii="Arial" w:cs="Arial" w:eastAsia="Arial" w:hAnsi="Arial"/>
                <w:sz w:val="16"/>
                <w:szCs w:val="16"/>
                <w:color w:val="auto"/>
              </w:rPr>
              <w:t>Pension and other postretirement benefit liabilities</w:t>
            </w:r>
          </w:p>
        </w:tc>
        <w:tc>
          <w:tcPr>
            <w:tcW w:w="260" w:type="dxa"/>
            <w:vAlign w:val="bottom"/>
          </w:tcPr>
          <w:p>
            <w:pPr>
              <w:spacing w:after="0"/>
              <w:rPr>
                <w:sz w:val="15"/>
                <w:szCs w:val="15"/>
                <w:color w:val="auto"/>
              </w:rPr>
            </w:pPr>
          </w:p>
        </w:tc>
        <w:tc>
          <w:tcPr>
            <w:tcW w:w="1120" w:type="dxa"/>
            <w:vAlign w:val="bottom"/>
          </w:tcPr>
          <w:p>
            <w:pPr>
              <w:jc w:val="right"/>
              <w:spacing w:after="0" w:line="175" w:lineRule="exact"/>
              <w:rPr>
                <w:sz w:val="20"/>
                <w:szCs w:val="20"/>
                <w:color w:val="auto"/>
              </w:rPr>
            </w:pPr>
            <w:r>
              <w:rPr>
                <w:rFonts w:ascii="Arial" w:cs="Arial" w:eastAsia="Arial" w:hAnsi="Arial"/>
                <w:sz w:val="16"/>
                <w:szCs w:val="16"/>
                <w:color w:val="auto"/>
              </w:rPr>
              <w:t>31,196</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31,244</w:t>
            </w: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24,648</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28,562</w:t>
            </w:r>
          </w:p>
        </w:tc>
        <w:tc>
          <w:tcPr>
            <w:tcW w:w="0" w:type="dxa"/>
            <w:vAlign w:val="bottom"/>
          </w:tcPr>
          <w:p>
            <w:pPr>
              <w:spacing w:after="0"/>
              <w:rPr>
                <w:sz w:val="1"/>
                <w:szCs w:val="1"/>
                <w:color w:val="auto"/>
              </w:rPr>
            </w:pPr>
          </w:p>
        </w:tc>
      </w:tr>
      <w:tr>
        <w:trPr>
          <w:trHeight w:val="169"/>
        </w:trPr>
        <w:tc>
          <w:tcPr>
            <w:tcW w:w="8400" w:type="dxa"/>
            <w:vAlign w:val="bottom"/>
          </w:tcPr>
          <w:p>
            <w:pPr>
              <w:spacing w:after="0" w:line="169" w:lineRule="exact"/>
              <w:rPr>
                <w:sz w:val="20"/>
                <w:szCs w:val="20"/>
                <w:color w:val="auto"/>
              </w:rPr>
            </w:pPr>
            <w:r>
              <w:rPr>
                <w:rFonts w:ascii="Arial" w:cs="Arial" w:eastAsia="Arial" w:hAnsi="Arial"/>
                <w:sz w:val="16"/>
                <w:szCs w:val="16"/>
                <w:color w:val="auto"/>
              </w:rPr>
              <w:t>Total deferred credits and other liabilities</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2,485,480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2,338,541</w:t>
            </w:r>
          </w:p>
        </w:tc>
        <w:tc>
          <w:tcPr>
            <w:tcW w:w="0" w:type="dxa"/>
            <w:vAlign w:val="bottom"/>
          </w:tcPr>
          <w:p>
            <w:pPr>
              <w:spacing w:after="0"/>
              <w:rPr>
                <w:sz w:val="1"/>
                <w:szCs w:val="1"/>
                <w:color w:val="auto"/>
              </w:rPr>
            </w:pPr>
          </w:p>
        </w:tc>
      </w:tr>
      <w:tr>
        <w:trPr>
          <w:trHeight w:val="169"/>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4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Contributions in aid of construction</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621,106</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610,254</w:t>
            </w:r>
          </w:p>
        </w:tc>
        <w:tc>
          <w:tcPr>
            <w:tcW w:w="0" w:type="dxa"/>
            <w:vAlign w:val="bottom"/>
          </w:tcPr>
          <w:p>
            <w:pPr>
              <w:spacing w:after="0"/>
              <w:rPr>
                <w:sz w:val="1"/>
                <w:szCs w:val="1"/>
                <w:color w:val="auto"/>
              </w:rPr>
            </w:pPr>
          </w:p>
        </w:tc>
      </w:tr>
      <w:tr>
        <w:trPr>
          <w:trHeight w:val="155"/>
        </w:trPr>
        <w:tc>
          <w:tcPr>
            <w:tcW w:w="8400" w:type="dxa"/>
            <w:vAlign w:val="bottom"/>
          </w:tcPr>
          <w:p>
            <w:pPr>
              <w:spacing w:after="0" w:line="155" w:lineRule="exact"/>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16,101,935</w:t>
            </w:r>
          </w:p>
        </w:tc>
        <w:tc>
          <w:tcPr>
            <w:tcW w:w="1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15,719,107</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CONSOLIDATED STATEMENTS OF OPERATIONS AND COMPREHENSIVE INCOME</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20" w:type="dxa"/>
            <w:vAlign w:val="bottom"/>
            <w:gridSpan w:val="4"/>
          </w:tcPr>
          <w:p>
            <w:pPr>
              <w:jc w:val="right"/>
              <w:ind w:right="792"/>
              <w:spacing w:after="0"/>
              <w:rPr>
                <w:sz w:val="20"/>
                <w:szCs w:val="20"/>
                <w:color w:val="auto"/>
              </w:rPr>
            </w:pPr>
            <w:r>
              <w:rPr>
                <w:rFonts w:ascii="Arial" w:cs="Arial" w:eastAsia="Arial" w:hAnsi="Arial"/>
                <w:sz w:val="22"/>
                <w:szCs w:val="22"/>
                <w:color w:val="auto"/>
              </w:rPr>
              <w:t>Three Months Ended</w:t>
            </w:r>
          </w:p>
        </w:tc>
      </w:tr>
      <w:tr>
        <w:trPr>
          <w:trHeight w:val="251"/>
        </w:trPr>
        <w:tc>
          <w:tcPr>
            <w:tcW w:w="7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103"/>
              <w:spacing w:after="0" w:line="251" w:lineRule="exact"/>
              <w:rPr>
                <w:sz w:val="20"/>
                <w:szCs w:val="20"/>
                <w:color w:val="auto"/>
              </w:rPr>
            </w:pPr>
            <w:r>
              <w:rPr>
                <w:rFonts w:ascii="Arial" w:cs="Arial" w:eastAsia="Arial" w:hAnsi="Arial"/>
                <w:sz w:val="22"/>
                <w:szCs w:val="22"/>
                <w:color w:val="auto"/>
              </w:rPr>
              <w:t>June 30,</w:t>
            </w:r>
          </w:p>
        </w:tc>
        <w:tc>
          <w:tcPr>
            <w:tcW w:w="1240" w:type="dxa"/>
            <w:vAlign w:val="bottom"/>
            <w:tcBorders>
              <w:bottom w:val="single" w:sz="8" w:color="auto"/>
            </w:tcBorders>
          </w:tcPr>
          <w:p>
            <w:pPr>
              <w:spacing w:after="0"/>
              <w:rPr>
                <w:sz w:val="21"/>
                <w:szCs w:val="21"/>
                <w:color w:val="auto"/>
              </w:rPr>
            </w:pPr>
          </w:p>
        </w:tc>
      </w:tr>
      <w:tr>
        <w:trPr>
          <w:trHeight w:val="223"/>
        </w:trPr>
        <w:tc>
          <w:tcPr>
            <w:tcW w:w="7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2"/>
              <w:spacing w:after="0" w:line="223" w:lineRule="exact"/>
              <w:rPr>
                <w:sz w:val="20"/>
                <w:szCs w:val="20"/>
                <w:color w:val="auto"/>
              </w:rPr>
            </w:pPr>
            <w:r>
              <w:rPr>
                <w:rFonts w:ascii="Arial" w:cs="Arial" w:eastAsia="Arial" w:hAnsi="Arial"/>
                <w:sz w:val="22"/>
                <w:szCs w:val="22"/>
                <w:color w:val="auto"/>
              </w:rPr>
              <w:t>2023</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2"/>
              <w:spacing w:after="0" w:line="223" w:lineRule="exact"/>
              <w:rPr>
                <w:sz w:val="20"/>
                <w:szCs w:val="20"/>
                <w:color w:val="auto"/>
              </w:rPr>
            </w:pPr>
            <w:r>
              <w:rPr>
                <w:rFonts w:ascii="Arial" w:cs="Arial" w:eastAsia="Arial" w:hAnsi="Arial"/>
                <w:sz w:val="22"/>
                <w:szCs w:val="22"/>
                <w:color w:val="auto"/>
              </w:rPr>
              <w:t>2022</w:t>
            </w:r>
          </w:p>
        </w:tc>
      </w:tr>
      <w:tr>
        <w:trPr>
          <w:trHeight w:val="223"/>
        </w:trPr>
        <w:tc>
          <w:tcPr>
            <w:tcW w:w="76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380" w:type="dxa"/>
            <w:vAlign w:val="bottom"/>
            <w:gridSpan w:val="2"/>
            <w:shd w:val="clear" w:color="auto" w:fill="CCEEFF"/>
          </w:tcPr>
          <w:p>
            <w:pPr>
              <w:jc w:val="right"/>
              <w:ind w:right="204"/>
              <w:spacing w:after="0"/>
              <w:rPr>
                <w:sz w:val="20"/>
                <w:szCs w:val="20"/>
                <w:color w:val="auto"/>
              </w:rPr>
            </w:pPr>
            <w:r>
              <w:rPr>
                <w:rFonts w:ascii="Arial" w:cs="Arial" w:eastAsia="Arial" w:hAnsi="Arial"/>
                <w:sz w:val="19"/>
                <w:szCs w:val="19"/>
                <w:color w:val="auto"/>
                <w:w w:val="75"/>
              </w:rPr>
              <w:t>$</w:t>
            </w:r>
          </w:p>
        </w:tc>
        <w:tc>
          <w:tcPr>
            <w:tcW w:w="13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436,700</w:t>
            </w:r>
          </w:p>
        </w:tc>
        <w:tc>
          <w:tcPr>
            <w:tcW w:w="620" w:type="dxa"/>
            <w:vAlign w:val="bottom"/>
            <w:gridSpan w:val="2"/>
            <w:shd w:val="clear" w:color="auto" w:fill="CCEEFF"/>
          </w:tcPr>
          <w:p>
            <w:pPr>
              <w:jc w:val="right"/>
              <w:ind w:right="203"/>
              <w:spacing w:after="0" w:line="223"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448,756</w:t>
            </w:r>
          </w:p>
        </w:tc>
      </w:tr>
      <w:tr>
        <w:trPr>
          <w:trHeight w:val="243"/>
        </w:trPr>
        <w:tc>
          <w:tcPr>
            <w:tcW w:w="7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30"/>
        </w:trPr>
        <w:tc>
          <w:tcPr>
            <w:tcW w:w="76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expenses: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64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Arial" w:cs="Arial" w:eastAsia="Arial" w:hAnsi="Arial"/>
                <w:sz w:val="22"/>
                <w:szCs w:val="22"/>
                <w:color w:val="auto"/>
              </w:rPr>
              <w:t>133,508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134,981</w:t>
            </w:r>
          </w:p>
        </w:tc>
      </w:tr>
      <w:tr>
        <w:trPr>
          <w:trHeight w:val="243"/>
        </w:trPr>
        <w:tc>
          <w:tcPr>
            <w:tcW w:w="764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Purchased gas</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41,933</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75,143</w:t>
            </w:r>
          </w:p>
        </w:tc>
      </w:tr>
      <w:tr>
        <w:trPr>
          <w:trHeight w:val="229"/>
        </w:trPr>
        <w:tc>
          <w:tcPr>
            <w:tcW w:w="764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Arial" w:cs="Arial" w:eastAsia="Arial" w:hAnsi="Arial"/>
                <w:sz w:val="22"/>
                <w:szCs w:val="22"/>
                <w:color w:val="auto"/>
              </w:rPr>
              <w:t>84,937</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77,425</w:t>
            </w:r>
          </w:p>
        </w:tc>
      </w:tr>
      <w:tr>
        <w:trPr>
          <w:trHeight w:val="229"/>
        </w:trPr>
        <w:tc>
          <w:tcPr>
            <w:tcW w:w="76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Amortization</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724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1,751</w:t>
            </w:r>
          </w:p>
        </w:tc>
      </w:tr>
      <w:tr>
        <w:trPr>
          <w:trHeight w:val="230"/>
        </w:trPr>
        <w:tc>
          <w:tcPr>
            <w:tcW w:w="7640" w:type="dxa"/>
            <w:vAlign w:val="bottom"/>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20,348</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21,720</w:t>
            </w:r>
          </w:p>
        </w:tc>
      </w:tr>
      <w:tr>
        <w:trPr>
          <w:trHeight w:val="237"/>
        </w:trPr>
        <w:tc>
          <w:tcPr>
            <w:tcW w:w="764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Total operating expenses</w:t>
            </w:r>
          </w:p>
        </w:tc>
        <w:tc>
          <w:tcPr>
            <w:tcW w:w="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281,450</w:t>
            </w:r>
          </w:p>
        </w:tc>
        <w:tc>
          <w:tcPr>
            <w:tcW w:w="2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311,020</w:t>
            </w:r>
          </w:p>
        </w:tc>
      </w:tr>
      <w:tr>
        <w:trPr>
          <w:trHeight w:val="223"/>
        </w:trPr>
        <w:tc>
          <w:tcPr>
            <w:tcW w:w="7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6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155,250</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137,736</w:t>
            </w:r>
          </w:p>
        </w:tc>
      </w:tr>
      <w:tr>
        <w:trPr>
          <w:trHeight w:val="229"/>
        </w:trPr>
        <w:tc>
          <w:tcPr>
            <w:tcW w:w="7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76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expense (income):</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9"/>
        </w:trPr>
        <w:tc>
          <w:tcPr>
            <w:tcW w:w="7640" w:type="dxa"/>
            <w:vAlign w:val="bottom"/>
          </w:tcPr>
          <w:p>
            <w:pPr>
              <w:ind w:left="120"/>
              <w:spacing w:after="0" w:line="229" w:lineRule="exact"/>
              <w:rPr>
                <w:sz w:val="20"/>
                <w:szCs w:val="20"/>
                <w:color w:val="auto"/>
              </w:rPr>
            </w:pPr>
            <w:r>
              <w:rPr>
                <w:rFonts w:ascii="Arial" w:cs="Arial" w:eastAsia="Arial" w:hAnsi="Arial"/>
                <w:sz w:val="22"/>
                <w:szCs w:val="22"/>
                <w:color w:val="auto"/>
              </w:rPr>
              <w:t>Interest expense</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Arial" w:cs="Arial" w:eastAsia="Arial" w:hAnsi="Arial"/>
                <w:sz w:val="22"/>
                <w:szCs w:val="22"/>
                <w:color w:val="auto"/>
              </w:rPr>
              <w:t>69,182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55,221</w:t>
            </w:r>
          </w:p>
        </w:tc>
      </w:tr>
      <w:tr>
        <w:trPr>
          <w:trHeight w:val="229"/>
        </w:trPr>
        <w:tc>
          <w:tcPr>
            <w:tcW w:w="76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(970)</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(824)</w:t>
            </w:r>
          </w:p>
        </w:tc>
      </w:tr>
      <w:tr>
        <w:trPr>
          <w:trHeight w:val="230"/>
        </w:trPr>
        <w:tc>
          <w:tcPr>
            <w:tcW w:w="764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line="229" w:lineRule="exact"/>
              <w:rPr>
                <w:sz w:val="20"/>
                <w:szCs w:val="20"/>
                <w:color w:val="auto"/>
              </w:rPr>
            </w:pPr>
            <w:r>
              <w:rPr>
                <w:rFonts w:ascii="Arial" w:cs="Arial" w:eastAsia="Arial" w:hAnsi="Arial"/>
                <w:sz w:val="22"/>
                <w:szCs w:val="22"/>
                <w:color w:val="auto"/>
              </w:rPr>
              <w:t>(3,424)</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2"/>
                <w:szCs w:val="22"/>
                <w:color w:val="auto"/>
              </w:rPr>
              <w:t>(6,151)</w:t>
            </w:r>
          </w:p>
        </w:tc>
      </w:tr>
      <w:tr>
        <w:trPr>
          <w:trHeight w:val="243"/>
        </w:trPr>
        <w:tc>
          <w:tcPr>
            <w:tcW w:w="764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Gain on sale of other assets</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(220)</w:t>
            </w: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(478)</w:t>
            </w:r>
          </w:p>
        </w:tc>
      </w:tr>
      <w:tr>
        <w:trPr>
          <w:trHeight w:val="229"/>
        </w:trPr>
        <w:tc>
          <w:tcPr>
            <w:tcW w:w="764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Other</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(323)</w:t>
            </w:r>
          </w:p>
        </w:tc>
        <w:tc>
          <w:tcPr>
            <w:tcW w:w="2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(423)</w:t>
            </w:r>
          </w:p>
        </w:tc>
      </w:tr>
      <w:tr>
        <w:trPr>
          <w:trHeight w:val="223"/>
        </w:trPr>
        <w:tc>
          <w:tcPr>
            <w:tcW w:w="76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Income before income taxes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91,005</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90,391</w:t>
            </w:r>
          </w:p>
        </w:tc>
      </w:tr>
      <w:tr>
        <w:trPr>
          <w:trHeight w:val="229"/>
        </w:trPr>
        <w:tc>
          <w:tcPr>
            <w:tcW w:w="7640" w:type="dxa"/>
            <w:vAlign w:val="bottom"/>
          </w:tcPr>
          <w:p>
            <w:pPr>
              <w:spacing w:after="0" w:line="229" w:lineRule="exact"/>
              <w:rPr>
                <w:sz w:val="20"/>
                <w:szCs w:val="20"/>
                <w:color w:val="auto"/>
              </w:rPr>
            </w:pPr>
            <w:r>
              <w:rPr>
                <w:rFonts w:ascii="Arial" w:cs="Arial" w:eastAsia="Arial" w:hAnsi="Arial"/>
                <w:sz w:val="22"/>
                <w:szCs w:val="22"/>
                <w:color w:val="auto"/>
              </w:rPr>
              <w:t>Provision for income taxes (benefit)</w:t>
            </w: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(263)</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8,100</w:t>
            </w:r>
          </w:p>
        </w:tc>
      </w:tr>
      <w:tr>
        <w:trPr>
          <w:trHeight w:val="237"/>
        </w:trPr>
        <w:tc>
          <w:tcPr>
            <w:tcW w:w="764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Net income</w:t>
            </w:r>
          </w:p>
        </w:tc>
        <w:tc>
          <w:tcPr>
            <w:tcW w:w="380" w:type="dxa"/>
            <w:vAlign w:val="bottom"/>
            <w:gridSpan w:val="2"/>
            <w:shd w:val="clear" w:color="auto" w:fill="CCEEFF"/>
          </w:tcPr>
          <w:p>
            <w:pPr>
              <w:jc w:val="right"/>
              <w:ind w:right="204"/>
              <w:spacing w:after="0"/>
              <w:rPr>
                <w:sz w:val="20"/>
                <w:szCs w:val="20"/>
                <w:color w:val="auto"/>
              </w:rPr>
            </w:pPr>
            <w:r>
              <w:rPr>
                <w:rFonts w:ascii="Arial" w:cs="Arial" w:eastAsia="Arial" w:hAnsi="Arial"/>
                <w:sz w:val="19"/>
                <w:szCs w:val="19"/>
                <w:color w:val="auto"/>
                <w:w w:val="75"/>
              </w:rPr>
              <w:t>$</w:t>
            </w:r>
          </w:p>
        </w:tc>
        <w:tc>
          <w:tcPr>
            <w:tcW w:w="13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91,268</w:t>
            </w:r>
          </w:p>
        </w:tc>
        <w:tc>
          <w:tcPr>
            <w:tcW w:w="620" w:type="dxa"/>
            <w:vAlign w:val="bottom"/>
            <w:gridSpan w:val="2"/>
            <w:shd w:val="clear" w:color="auto" w:fill="CCEEFF"/>
          </w:tcPr>
          <w:p>
            <w:pPr>
              <w:jc w:val="right"/>
              <w:ind w:right="203"/>
              <w:spacing w:after="0" w:line="237"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82,291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70"/>
        </w:trPr>
        <w:tc>
          <w:tcPr>
            <w:tcW w:w="764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380" w:type="dxa"/>
            <w:vAlign w:val="bottom"/>
            <w:gridSpan w:val="2"/>
            <w:shd w:val="clear" w:color="auto" w:fill="CCEEFF"/>
          </w:tcPr>
          <w:p>
            <w:pPr>
              <w:jc w:val="right"/>
              <w:ind w:right="204"/>
              <w:spacing w:after="0"/>
              <w:rPr>
                <w:sz w:val="20"/>
                <w:szCs w:val="20"/>
                <w:color w:val="auto"/>
              </w:rPr>
            </w:pPr>
            <w:r>
              <w:rPr>
                <w:rFonts w:ascii="Arial" w:cs="Arial" w:eastAsia="Arial" w:hAnsi="Arial"/>
                <w:sz w:val="19"/>
                <w:szCs w:val="19"/>
                <w:color w:val="auto"/>
                <w:w w:val="75"/>
              </w:rPr>
              <w:t>$</w:t>
            </w:r>
          </w:p>
        </w:tc>
        <w:tc>
          <w:tcPr>
            <w:tcW w:w="13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91,268</w:t>
            </w:r>
          </w:p>
        </w:tc>
        <w:tc>
          <w:tcPr>
            <w:tcW w:w="620" w:type="dxa"/>
            <w:vAlign w:val="bottom"/>
            <w:gridSpan w:val="2"/>
            <w:shd w:val="clear" w:color="auto" w:fill="CCEEFF"/>
          </w:tcPr>
          <w:p>
            <w:pPr>
              <w:jc w:val="right"/>
              <w:ind w:right="203"/>
              <w:spacing w:after="0" w:line="229"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82,291</w:t>
            </w:r>
          </w:p>
        </w:tc>
      </w:tr>
      <w:tr>
        <w:trPr>
          <w:trHeight w:val="453"/>
        </w:trPr>
        <w:tc>
          <w:tcPr>
            <w:tcW w:w="7640" w:type="dxa"/>
            <w:vAlign w:val="bottom"/>
            <w:tcBorders>
              <w:top w:val="single" w:sz="8" w:color="CCEEFF"/>
            </w:tcBorders>
          </w:tcPr>
          <w:p>
            <w:pPr>
              <w:spacing w:after="0"/>
              <w:rPr>
                <w:sz w:val="20"/>
                <w:szCs w:val="20"/>
                <w:color w:val="auto"/>
              </w:rPr>
            </w:pPr>
            <w:r>
              <w:rPr>
                <w:rFonts w:ascii="Arial" w:cs="Arial" w:eastAsia="Arial" w:hAnsi="Arial"/>
                <w:sz w:val="22"/>
                <w:szCs w:val="22"/>
                <w:color w:val="auto"/>
              </w:rPr>
              <w:t>Net income per common share:</w:t>
            </w:r>
          </w:p>
        </w:tc>
        <w:tc>
          <w:tcPr>
            <w:tcW w:w="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70"/>
        </w:trPr>
        <w:tc>
          <w:tcPr>
            <w:tcW w:w="76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380" w:type="dxa"/>
            <w:vAlign w:val="bottom"/>
            <w:gridSpan w:val="2"/>
            <w:shd w:val="clear" w:color="auto" w:fill="CCEEFF"/>
          </w:tcPr>
          <w:p>
            <w:pPr>
              <w:jc w:val="right"/>
              <w:ind w:right="204"/>
              <w:spacing w:after="0"/>
              <w:rPr>
                <w:sz w:val="20"/>
                <w:szCs w:val="20"/>
                <w:color w:val="auto"/>
              </w:rPr>
            </w:pPr>
            <w:r>
              <w:rPr>
                <w:rFonts w:ascii="Arial" w:cs="Arial" w:eastAsia="Arial" w:hAnsi="Arial"/>
                <w:sz w:val="19"/>
                <w:szCs w:val="19"/>
                <w:color w:val="auto"/>
                <w:w w:val="75"/>
              </w:rPr>
              <w:t>$</w:t>
            </w:r>
          </w:p>
        </w:tc>
        <w:tc>
          <w:tcPr>
            <w:tcW w:w="13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0.35</w:t>
            </w:r>
          </w:p>
        </w:tc>
        <w:tc>
          <w:tcPr>
            <w:tcW w:w="620" w:type="dxa"/>
            <w:vAlign w:val="bottom"/>
            <w:gridSpan w:val="2"/>
            <w:shd w:val="clear" w:color="auto" w:fill="CCEEFF"/>
          </w:tcPr>
          <w:p>
            <w:pPr>
              <w:jc w:val="right"/>
              <w:ind w:right="203"/>
              <w:spacing w:after="0" w:line="229" w:lineRule="exact"/>
              <w:rPr>
                <w:sz w:val="20"/>
                <w:szCs w:val="20"/>
                <w:color w:val="auto"/>
              </w:rPr>
            </w:pPr>
            <w:r>
              <w:rPr>
                <w:rFonts w:ascii="Arial" w:cs="Arial" w:eastAsia="Arial" w:hAnsi="Arial"/>
                <w:sz w:val="22"/>
                <w:szCs w:val="22"/>
                <w:color w:val="auto"/>
              </w:rPr>
              <w:t>$</w:t>
            </w:r>
          </w:p>
        </w:tc>
        <w:tc>
          <w:tcPr>
            <w:tcW w:w="12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0.31</w:t>
            </w:r>
          </w:p>
        </w:tc>
      </w:tr>
      <w:tr>
        <w:trPr>
          <w:trHeight w:val="210"/>
        </w:trPr>
        <w:tc>
          <w:tcPr>
            <w:tcW w:w="7640" w:type="dxa"/>
            <w:vAlign w:val="bottom"/>
            <w:tcBorders>
              <w:top w:val="single" w:sz="8" w:color="CCEEFF"/>
            </w:tcBorders>
          </w:tcPr>
          <w:p>
            <w:pPr>
              <w:ind w:left="120"/>
              <w:spacing w:after="0" w:line="210" w:lineRule="exact"/>
              <w:rPr>
                <w:sz w:val="20"/>
                <w:szCs w:val="20"/>
                <w:color w:val="auto"/>
              </w:rPr>
            </w:pPr>
            <w:r>
              <w:rPr>
                <w:rFonts w:ascii="Arial" w:cs="Arial" w:eastAsia="Arial" w:hAnsi="Arial"/>
                <w:sz w:val="22"/>
                <w:szCs w:val="22"/>
                <w:color w:val="auto"/>
              </w:rPr>
              <w:t>Diluted</w:t>
            </w: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0.34</w:t>
            </w: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03"/>
              <w:spacing w:after="0" w:line="210" w:lineRule="exact"/>
              <w:rPr>
                <w:sz w:val="20"/>
                <w:szCs w:val="20"/>
                <w:color w:val="auto"/>
              </w:rPr>
            </w:pPr>
            <w:r>
              <w:rPr>
                <w:rFonts w:ascii="Arial" w:cs="Arial" w:eastAsia="Arial" w:hAnsi="Arial"/>
                <w:sz w:val="19"/>
                <w:szCs w:val="19"/>
                <w:color w:val="auto"/>
                <w:w w:val="75"/>
              </w:rPr>
              <w:t>$</w:t>
            </w:r>
          </w:p>
        </w:tc>
        <w:tc>
          <w:tcPr>
            <w:tcW w:w="124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0.31</w:t>
            </w: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0"/>
                <w:szCs w:val="20"/>
                <w:color w:val="auto"/>
              </w:rPr>
            </w:pPr>
            <w:r>
              <w:rPr>
                <w:rFonts w:ascii="Arial" w:cs="Arial" w:eastAsia="Arial" w:hAnsi="Arial"/>
                <w:sz w:val="22"/>
                <w:szCs w:val="22"/>
                <w:color w:val="auto"/>
              </w:rPr>
              <w:t>Average common shares outstanding during the period:</w:t>
            </w:r>
          </w:p>
        </w:tc>
        <w:tc>
          <w:tcPr>
            <w:tcW w:w="1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0"/>
        </w:trPr>
        <w:tc>
          <w:tcPr>
            <w:tcW w:w="76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Basic</w:t>
            </w:r>
          </w:p>
        </w:tc>
        <w:tc>
          <w:tcPr>
            <w:tcW w:w="17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264,418</w:t>
            </w:r>
          </w:p>
        </w:tc>
        <w:tc>
          <w:tcPr>
            <w:tcW w:w="1860" w:type="dxa"/>
            <w:vAlign w:val="bottom"/>
            <w:gridSpan w:val="2"/>
            <w:shd w:val="clear" w:color="auto" w:fill="CCEEFF"/>
          </w:tcPr>
          <w:p>
            <w:pPr>
              <w:jc w:val="right"/>
              <w:ind w:right="12"/>
              <w:spacing w:after="0" w:line="229" w:lineRule="exact"/>
              <w:rPr>
                <w:sz w:val="20"/>
                <w:szCs w:val="20"/>
                <w:color w:val="auto"/>
              </w:rPr>
            </w:pPr>
            <w:r>
              <w:rPr>
                <w:rFonts w:ascii="Arial" w:cs="Arial" w:eastAsia="Arial" w:hAnsi="Arial"/>
                <w:sz w:val="22"/>
                <w:szCs w:val="22"/>
                <w:color w:val="auto"/>
              </w:rPr>
              <w:t>262,099</w:t>
            </w:r>
          </w:p>
        </w:tc>
      </w:tr>
      <w:tr>
        <w:trPr>
          <w:trHeight w:val="210"/>
        </w:trPr>
        <w:tc>
          <w:tcPr>
            <w:tcW w:w="7640" w:type="dxa"/>
            <w:vAlign w:val="bottom"/>
            <w:tcBorders>
              <w:top w:val="single" w:sz="8" w:color="CCEEFF"/>
            </w:tcBorders>
          </w:tcPr>
          <w:p>
            <w:pPr>
              <w:ind w:left="120"/>
              <w:spacing w:after="0" w:line="210" w:lineRule="exact"/>
              <w:rPr>
                <w:sz w:val="20"/>
                <w:szCs w:val="20"/>
                <w:color w:val="auto"/>
              </w:rPr>
            </w:pPr>
            <w:r>
              <w:rPr>
                <w:rFonts w:ascii="Arial" w:cs="Arial" w:eastAsia="Arial" w:hAnsi="Arial"/>
                <w:sz w:val="22"/>
                <w:szCs w:val="22"/>
                <w:color w:val="auto"/>
              </w:rPr>
              <w:t>Diluted</w:t>
            </w:r>
          </w:p>
        </w:tc>
        <w:tc>
          <w:tcPr>
            <w:tcW w:w="1740" w:type="dxa"/>
            <w:vAlign w:val="bottom"/>
            <w:tcBorders>
              <w:top w:val="single" w:sz="8" w:color="auto"/>
              <w:bottom w:val="single" w:sz="8" w:color="auto"/>
            </w:tcBorders>
          </w:tcPr>
          <w:p>
            <w:pPr>
              <w:jc w:val="right"/>
              <w:spacing w:after="0" w:line="210" w:lineRule="exact"/>
              <w:rPr>
                <w:sz w:val="20"/>
                <w:szCs w:val="20"/>
                <w:color w:val="auto"/>
              </w:rPr>
            </w:pPr>
            <w:r>
              <w:rPr>
                <w:rFonts w:ascii="Arial" w:cs="Arial" w:eastAsia="Arial" w:hAnsi="Arial"/>
                <w:sz w:val="22"/>
                <w:szCs w:val="22"/>
                <w:color w:val="auto"/>
              </w:rPr>
              <w:t>264,818</w:t>
            </w:r>
          </w:p>
        </w:tc>
        <w:tc>
          <w:tcPr>
            <w:tcW w:w="220" w:type="dxa"/>
            <w:vAlign w:val="bottom"/>
            <w:tcBorders>
              <w:top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2"/>
              <w:spacing w:after="0" w:line="210" w:lineRule="exact"/>
              <w:rPr>
                <w:sz w:val="20"/>
                <w:szCs w:val="20"/>
                <w:color w:val="auto"/>
              </w:rPr>
            </w:pPr>
            <w:r>
              <w:rPr>
                <w:rFonts w:ascii="Arial" w:cs="Arial" w:eastAsia="Arial" w:hAnsi="Arial"/>
                <w:sz w:val="22"/>
                <w:szCs w:val="22"/>
                <w:color w:val="auto"/>
              </w:rPr>
              <w:t>262,558</w:t>
            </w:r>
          </w:p>
        </w:tc>
      </w:tr>
      <w:tr>
        <w:trPr>
          <w:trHeight w:val="20"/>
        </w:trPr>
        <w:tc>
          <w:tcPr>
            <w:tcW w:w="76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CONSOLIDATED STATEMENTS OF OPERATIONS AND COMPREHENSIVE INCOME</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7400"/>
        <w:spacing w:after="0"/>
        <w:rPr>
          <w:sz w:val="20"/>
          <w:szCs w:val="20"/>
          <w:color w:val="auto"/>
        </w:rPr>
      </w:pPr>
      <w:r>
        <w:rPr>
          <w:rFonts w:ascii="Arial" w:cs="Arial" w:eastAsia="Arial" w:hAnsi="Arial"/>
          <w:sz w:val="22"/>
          <w:szCs w:val="22"/>
          <w:color w:val="auto"/>
        </w:rPr>
        <w:t>Six Months Ended</w:t>
      </w:r>
    </w:p>
    <w:p>
      <w:pPr>
        <w:jc w:val="center"/>
        <w:ind w:left="7400"/>
        <w:spacing w:after="0" w:line="233" w:lineRule="auto"/>
        <w:rPr>
          <w:sz w:val="20"/>
          <w:szCs w:val="20"/>
          <w:color w:val="auto"/>
        </w:rPr>
      </w:pPr>
      <w:r>
        <w:rPr>
          <w:rFonts w:ascii="Arial" w:cs="Arial" w:eastAsia="Arial" w:hAnsi="Arial"/>
          <w:sz w:val="22"/>
          <w:szCs w:val="22"/>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2"/>
              <w:spacing w:after="0" w:line="223" w:lineRule="exact"/>
              <w:rPr>
                <w:sz w:val="20"/>
                <w:szCs w:val="20"/>
                <w:color w:val="auto"/>
              </w:rPr>
            </w:pPr>
            <w:r>
              <w:rPr>
                <w:rFonts w:ascii="Arial" w:cs="Arial" w:eastAsia="Arial" w:hAnsi="Arial"/>
                <w:sz w:val="22"/>
                <w:szCs w:val="22"/>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2"/>
              <w:spacing w:after="0" w:line="223" w:lineRule="exact"/>
              <w:rPr>
                <w:sz w:val="20"/>
                <w:szCs w:val="20"/>
                <w:color w:val="auto"/>
              </w:rPr>
            </w:pPr>
            <w:r>
              <w:rPr>
                <w:rFonts w:ascii="Arial" w:cs="Arial" w:eastAsia="Arial" w:hAnsi="Arial"/>
                <w:sz w:val="22"/>
                <w:szCs w:val="22"/>
                <w:color w:val="auto"/>
              </w:rPr>
              <w:t>2022</w:t>
            </w:r>
          </w:p>
        </w:tc>
      </w:tr>
      <w:tr>
        <w:trPr>
          <w:trHeight w:val="223"/>
        </w:trPr>
        <w:tc>
          <w:tcPr>
            <w:tcW w:w="61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Operating revenues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13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1,163,150</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2"/>
              <w:spacing w:after="0" w:line="223" w:lineRule="exact"/>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1,148,031</w:t>
            </w:r>
          </w:p>
        </w:tc>
      </w:tr>
      <w:tr>
        <w:trPr>
          <w:trHeight w:val="229"/>
        </w:trPr>
        <w:tc>
          <w:tcPr>
            <w:tcW w:w="6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3"/>
        </w:trPr>
        <w:tc>
          <w:tcPr>
            <w:tcW w:w="61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expenses:</w:t>
            </w: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0"/>
        </w:trPr>
        <w:tc>
          <w:tcPr>
            <w:tcW w:w="6100" w:type="dxa"/>
            <w:vAlign w:val="bottom"/>
          </w:tcPr>
          <w:p>
            <w:pPr>
              <w:ind w:left="120"/>
              <w:spacing w:after="0" w:line="229" w:lineRule="exact"/>
              <w:rPr>
                <w:sz w:val="20"/>
                <w:szCs w:val="20"/>
                <w:color w:val="auto"/>
              </w:rPr>
            </w:pPr>
            <w:r>
              <w:rPr>
                <w:rFonts w:ascii="Arial" w:cs="Arial" w:eastAsia="Arial" w:hAnsi="Arial"/>
                <w:sz w:val="22"/>
                <w:szCs w:val="22"/>
                <w:color w:val="auto"/>
              </w:rPr>
              <w:t>Operations and maintenance</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271,502</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line="229" w:lineRule="exact"/>
              <w:rPr>
                <w:sz w:val="20"/>
                <w:szCs w:val="20"/>
                <w:color w:val="auto"/>
              </w:rPr>
            </w:pPr>
            <w:r>
              <w:rPr>
                <w:rFonts w:ascii="Arial" w:cs="Arial" w:eastAsia="Arial" w:hAnsi="Arial"/>
                <w:sz w:val="22"/>
                <w:szCs w:val="22"/>
                <w:color w:val="auto"/>
              </w:rPr>
              <w:t>277,562</w:t>
            </w:r>
          </w:p>
        </w:tc>
      </w:tr>
      <w:tr>
        <w:trPr>
          <w:trHeight w:val="229"/>
        </w:trPr>
        <w:tc>
          <w:tcPr>
            <w:tcW w:w="6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Purchased gas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298,248</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302,855</w:t>
            </w:r>
          </w:p>
        </w:tc>
      </w:tr>
      <w:tr>
        <w:trPr>
          <w:trHeight w:val="230"/>
        </w:trPr>
        <w:tc>
          <w:tcPr>
            <w:tcW w:w="6100" w:type="dxa"/>
            <w:vAlign w:val="bottom"/>
          </w:tcPr>
          <w:p>
            <w:pPr>
              <w:ind w:left="120"/>
              <w:spacing w:after="0" w:line="229" w:lineRule="exact"/>
              <w:rPr>
                <w:sz w:val="20"/>
                <w:szCs w:val="20"/>
                <w:color w:val="auto"/>
              </w:rPr>
            </w:pPr>
            <w:r>
              <w:rPr>
                <w:rFonts w:ascii="Arial" w:cs="Arial" w:eastAsia="Arial" w:hAnsi="Arial"/>
                <w:sz w:val="22"/>
                <w:szCs w:val="22"/>
                <w:color w:val="auto"/>
              </w:rPr>
              <w:t>Depreciation</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167,860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line="229" w:lineRule="exact"/>
              <w:rPr>
                <w:sz w:val="20"/>
                <w:szCs w:val="20"/>
                <w:color w:val="auto"/>
              </w:rPr>
            </w:pPr>
            <w:r>
              <w:rPr>
                <w:rFonts w:ascii="Arial" w:cs="Arial" w:eastAsia="Arial" w:hAnsi="Arial"/>
                <w:sz w:val="22"/>
                <w:szCs w:val="22"/>
                <w:color w:val="auto"/>
              </w:rPr>
              <w:t>155,303</w:t>
            </w:r>
          </w:p>
        </w:tc>
      </w:tr>
      <w:tr>
        <w:trPr>
          <w:trHeight w:val="243"/>
        </w:trPr>
        <w:tc>
          <w:tcPr>
            <w:tcW w:w="610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Amortization</w:t>
            </w: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1,595</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2,219</w:t>
            </w:r>
          </w:p>
        </w:tc>
      </w:tr>
      <w:tr>
        <w:trPr>
          <w:trHeight w:val="230"/>
        </w:trPr>
        <w:tc>
          <w:tcPr>
            <w:tcW w:w="6100" w:type="dxa"/>
            <w:vAlign w:val="bottom"/>
          </w:tcPr>
          <w:p>
            <w:pPr>
              <w:ind w:left="120"/>
              <w:spacing w:after="0" w:line="229" w:lineRule="exact"/>
              <w:rPr>
                <w:sz w:val="20"/>
                <w:szCs w:val="20"/>
                <w:color w:val="auto"/>
              </w:rPr>
            </w:pPr>
            <w:r>
              <w:rPr>
                <w:rFonts w:ascii="Arial" w:cs="Arial" w:eastAsia="Arial" w:hAnsi="Arial"/>
                <w:sz w:val="22"/>
                <w:szCs w:val="22"/>
                <w:color w:val="auto"/>
              </w:rPr>
              <w:t>Taxes other than income taxes</w:t>
            </w:r>
          </w:p>
        </w:tc>
        <w:tc>
          <w:tcPr>
            <w:tcW w:w="1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43,226</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44,727</w:t>
            </w:r>
          </w:p>
        </w:tc>
      </w:tr>
      <w:tr>
        <w:trPr>
          <w:trHeight w:val="223"/>
        </w:trPr>
        <w:tc>
          <w:tcPr>
            <w:tcW w:w="610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Total operating expenses</w:t>
            </w:r>
          </w:p>
        </w:tc>
        <w:tc>
          <w:tcPr>
            <w:tcW w:w="1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782,431</w:t>
            </w:r>
          </w:p>
        </w:tc>
        <w:tc>
          <w:tcPr>
            <w:tcW w:w="2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782,666</w:t>
            </w:r>
          </w:p>
        </w:tc>
      </w:tr>
      <w:tr>
        <w:trPr>
          <w:trHeight w:val="237"/>
        </w:trPr>
        <w:tc>
          <w:tcPr>
            <w:tcW w:w="6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61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Operating income</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380,719</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365,365</w:t>
            </w:r>
          </w:p>
        </w:tc>
      </w:tr>
      <w:tr>
        <w:trPr>
          <w:trHeight w:val="230"/>
        </w:trPr>
        <w:tc>
          <w:tcPr>
            <w:tcW w:w="6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61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Other expense (income):</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6100" w:type="dxa"/>
            <w:vAlign w:val="bottom"/>
          </w:tcPr>
          <w:p>
            <w:pPr>
              <w:ind w:left="120"/>
              <w:spacing w:after="0" w:line="243" w:lineRule="exact"/>
              <w:rPr>
                <w:sz w:val="20"/>
                <w:szCs w:val="20"/>
                <w:color w:val="auto"/>
              </w:rPr>
            </w:pPr>
            <w:r>
              <w:rPr>
                <w:rFonts w:ascii="Arial" w:cs="Arial" w:eastAsia="Arial" w:hAnsi="Arial"/>
                <w:sz w:val="22"/>
                <w:szCs w:val="22"/>
                <w:color w:val="auto"/>
              </w:rPr>
              <w:t>Interest expense</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line="243" w:lineRule="exact"/>
              <w:rPr>
                <w:sz w:val="20"/>
                <w:szCs w:val="20"/>
                <w:color w:val="auto"/>
              </w:rPr>
            </w:pPr>
            <w:r>
              <w:rPr>
                <w:rFonts w:ascii="Arial" w:cs="Arial" w:eastAsia="Arial" w:hAnsi="Arial"/>
                <w:sz w:val="22"/>
                <w:szCs w:val="22"/>
                <w:color w:val="auto"/>
              </w:rPr>
              <w:t>141,850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Arial" w:cs="Arial" w:eastAsia="Arial" w:hAnsi="Arial"/>
                <w:sz w:val="22"/>
                <w:szCs w:val="22"/>
                <w:color w:val="auto"/>
              </w:rPr>
              <w:t>108,857</w:t>
            </w:r>
          </w:p>
        </w:tc>
      </w:tr>
      <w:tr>
        <w:trPr>
          <w:trHeight w:val="229"/>
        </w:trPr>
        <w:tc>
          <w:tcPr>
            <w:tcW w:w="6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Interest income</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line="229" w:lineRule="exact"/>
              <w:rPr>
                <w:sz w:val="20"/>
                <w:szCs w:val="20"/>
                <w:color w:val="auto"/>
              </w:rPr>
            </w:pPr>
            <w:r>
              <w:rPr>
                <w:rFonts w:ascii="Arial" w:cs="Arial" w:eastAsia="Arial" w:hAnsi="Arial"/>
                <w:sz w:val="22"/>
                <w:szCs w:val="22"/>
                <w:color w:val="auto"/>
              </w:rPr>
              <w:t>(1,789)</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(1,433)</w:t>
            </w:r>
          </w:p>
        </w:tc>
      </w:tr>
      <w:tr>
        <w:trPr>
          <w:trHeight w:val="230"/>
        </w:trPr>
        <w:tc>
          <w:tcPr>
            <w:tcW w:w="6100" w:type="dxa"/>
            <w:vAlign w:val="bottom"/>
          </w:tcPr>
          <w:p>
            <w:pPr>
              <w:ind w:left="120"/>
              <w:spacing w:after="0" w:line="229" w:lineRule="exact"/>
              <w:rPr>
                <w:sz w:val="20"/>
                <w:szCs w:val="20"/>
                <w:color w:val="auto"/>
              </w:rPr>
            </w:pPr>
            <w:r>
              <w:rPr>
                <w:rFonts w:ascii="Arial" w:cs="Arial" w:eastAsia="Arial" w:hAnsi="Arial"/>
                <w:sz w:val="22"/>
                <w:szCs w:val="22"/>
                <w:color w:val="auto"/>
              </w:rPr>
              <w:t>Allowance for funds used during construction</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2"/>
          </w:tcPr>
          <w:p>
            <w:pPr>
              <w:jc w:val="right"/>
              <w:ind w:right="200"/>
              <w:spacing w:after="0" w:line="229" w:lineRule="exact"/>
              <w:rPr>
                <w:sz w:val="20"/>
                <w:szCs w:val="20"/>
                <w:color w:val="auto"/>
              </w:rPr>
            </w:pPr>
            <w:r>
              <w:rPr>
                <w:rFonts w:ascii="Arial" w:cs="Arial" w:eastAsia="Arial" w:hAnsi="Arial"/>
                <w:sz w:val="22"/>
                <w:szCs w:val="22"/>
                <w:color w:val="auto"/>
              </w:rPr>
              <w:t>(9,112)</w:t>
            </w:r>
          </w:p>
        </w:tc>
        <w:tc>
          <w:tcPr>
            <w:tcW w:w="420" w:type="dxa"/>
            <w:vAlign w:val="bottom"/>
          </w:tcPr>
          <w:p>
            <w:pPr>
              <w:spacing w:after="0"/>
              <w:rPr>
                <w:sz w:val="19"/>
                <w:szCs w:val="19"/>
                <w:color w:val="auto"/>
              </w:rPr>
            </w:pPr>
          </w:p>
        </w:tc>
        <w:tc>
          <w:tcPr>
            <w:tcW w:w="1420" w:type="dxa"/>
            <w:vAlign w:val="bottom"/>
          </w:tcPr>
          <w:p>
            <w:pPr>
              <w:jc w:val="right"/>
              <w:spacing w:after="0" w:line="229" w:lineRule="exact"/>
              <w:rPr>
                <w:sz w:val="20"/>
                <w:szCs w:val="20"/>
                <w:color w:val="auto"/>
              </w:rPr>
            </w:pPr>
            <w:r>
              <w:rPr>
                <w:rFonts w:ascii="Arial" w:cs="Arial" w:eastAsia="Arial" w:hAnsi="Arial"/>
                <w:sz w:val="22"/>
                <w:szCs w:val="22"/>
                <w:color w:val="auto"/>
              </w:rPr>
              <w:t>(11,990)</w:t>
            </w:r>
          </w:p>
        </w:tc>
      </w:tr>
      <w:tr>
        <w:trPr>
          <w:trHeight w:val="230"/>
        </w:trPr>
        <w:tc>
          <w:tcPr>
            <w:tcW w:w="61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Gain on sale of other assets</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line="229" w:lineRule="exact"/>
              <w:rPr>
                <w:sz w:val="20"/>
                <w:szCs w:val="20"/>
                <w:color w:val="auto"/>
              </w:rPr>
            </w:pPr>
            <w:r>
              <w:rPr>
                <w:rFonts w:ascii="Arial" w:cs="Arial" w:eastAsia="Arial" w:hAnsi="Arial"/>
                <w:sz w:val="22"/>
                <w:szCs w:val="22"/>
                <w:color w:val="auto"/>
              </w:rPr>
              <w:t>(469)</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(478)</w:t>
            </w:r>
          </w:p>
        </w:tc>
      </w:tr>
      <w:tr>
        <w:trPr>
          <w:trHeight w:val="243"/>
        </w:trPr>
        <w:tc>
          <w:tcPr>
            <w:tcW w:w="6100" w:type="dxa"/>
            <w:vAlign w:val="bottom"/>
          </w:tcPr>
          <w:p>
            <w:pPr>
              <w:ind w:left="120"/>
              <w:spacing w:after="0" w:line="243" w:lineRule="exact"/>
              <w:rPr>
                <w:sz w:val="20"/>
                <w:szCs w:val="20"/>
                <w:color w:val="auto"/>
              </w:rPr>
            </w:pPr>
            <w:r>
              <w:rPr>
                <w:rFonts w:ascii="Arial" w:cs="Arial" w:eastAsia="Arial" w:hAnsi="Arial"/>
                <w:sz w:val="22"/>
                <w:szCs w:val="22"/>
                <w:color w:val="auto"/>
              </w:rPr>
              <w:t>Other</w:t>
            </w: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80" w:type="dxa"/>
            <w:vAlign w:val="bottom"/>
            <w:gridSpan w:val="2"/>
          </w:tcPr>
          <w:p>
            <w:pPr>
              <w:jc w:val="right"/>
              <w:ind w:right="200"/>
              <w:spacing w:after="0" w:line="243" w:lineRule="exact"/>
              <w:rPr>
                <w:sz w:val="20"/>
                <w:szCs w:val="20"/>
                <w:color w:val="auto"/>
              </w:rPr>
            </w:pPr>
            <w:r>
              <w:rPr>
                <w:rFonts w:ascii="Arial" w:cs="Arial" w:eastAsia="Arial" w:hAnsi="Arial"/>
                <w:sz w:val="22"/>
                <w:szCs w:val="22"/>
                <w:color w:val="auto"/>
              </w:rPr>
              <w:t>(563)</w:t>
            </w:r>
          </w:p>
        </w:tc>
        <w:tc>
          <w:tcPr>
            <w:tcW w:w="420" w:type="dxa"/>
            <w:vAlign w:val="bottom"/>
          </w:tcPr>
          <w:p>
            <w:pPr>
              <w:spacing w:after="0"/>
              <w:rPr>
                <w:sz w:val="21"/>
                <w:szCs w:val="21"/>
                <w:color w:val="auto"/>
              </w:rPr>
            </w:pPr>
          </w:p>
        </w:tc>
        <w:tc>
          <w:tcPr>
            <w:tcW w:w="1420" w:type="dxa"/>
            <w:vAlign w:val="bottom"/>
          </w:tcPr>
          <w:p>
            <w:pPr>
              <w:jc w:val="right"/>
              <w:spacing w:after="0" w:line="243" w:lineRule="exact"/>
              <w:rPr>
                <w:sz w:val="20"/>
                <w:szCs w:val="20"/>
                <w:color w:val="auto"/>
              </w:rPr>
            </w:pPr>
            <w:r>
              <w:rPr>
                <w:rFonts w:ascii="Arial" w:cs="Arial" w:eastAsia="Arial" w:hAnsi="Arial"/>
                <w:sz w:val="22"/>
                <w:szCs w:val="22"/>
                <w:color w:val="auto"/>
              </w:rPr>
              <w:t>(2,125)</w:t>
            </w:r>
          </w:p>
        </w:tc>
      </w:tr>
      <w:tr>
        <w:trPr>
          <w:trHeight w:val="223"/>
        </w:trPr>
        <w:tc>
          <w:tcPr>
            <w:tcW w:w="61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Income before income taxes</w:t>
            </w:r>
          </w:p>
        </w:tc>
        <w:tc>
          <w:tcPr>
            <w:tcW w:w="13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250,802</w:t>
            </w:r>
          </w:p>
        </w:tc>
        <w:tc>
          <w:tcPr>
            <w:tcW w:w="2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272,534</w:t>
            </w:r>
          </w:p>
        </w:tc>
      </w:tr>
      <w:tr>
        <w:trPr>
          <w:trHeight w:val="230"/>
        </w:trPr>
        <w:tc>
          <w:tcPr>
            <w:tcW w:w="6100" w:type="dxa"/>
            <w:vAlign w:val="bottom"/>
          </w:tcPr>
          <w:p>
            <w:pPr>
              <w:spacing w:after="0" w:line="229" w:lineRule="exact"/>
              <w:rPr>
                <w:sz w:val="20"/>
                <w:szCs w:val="20"/>
                <w:color w:val="auto"/>
              </w:rPr>
            </w:pPr>
            <w:r>
              <w:rPr>
                <w:rFonts w:ascii="Arial" w:cs="Arial" w:eastAsia="Arial" w:hAnsi="Arial"/>
                <w:sz w:val="22"/>
                <w:szCs w:val="22"/>
                <w:color w:val="auto"/>
              </w:rPr>
              <w:t>Provision for income taxes (benefit)</w:t>
            </w: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gridSpan w:val="2"/>
          </w:tcPr>
          <w:p>
            <w:pPr>
              <w:jc w:val="right"/>
              <w:ind w:right="200"/>
              <w:spacing w:after="0" w:line="229" w:lineRule="exact"/>
              <w:rPr>
                <w:sz w:val="20"/>
                <w:szCs w:val="20"/>
                <w:color w:val="auto"/>
              </w:rPr>
            </w:pPr>
            <w:r>
              <w:rPr>
                <w:rFonts w:ascii="Arial" w:cs="Arial" w:eastAsia="Arial" w:hAnsi="Arial"/>
                <w:sz w:val="22"/>
                <w:szCs w:val="22"/>
                <w:color w:val="auto"/>
              </w:rPr>
              <w:t>(31,900)</w:t>
            </w:r>
          </w:p>
        </w:tc>
        <w:tc>
          <w:tcPr>
            <w:tcW w:w="420" w:type="dxa"/>
            <w:vAlign w:val="bottom"/>
          </w:tcPr>
          <w:p>
            <w:pPr>
              <w:spacing w:after="0"/>
              <w:rPr>
                <w:sz w:val="19"/>
                <w:szCs w:val="19"/>
                <w:color w:val="auto"/>
              </w:rPr>
            </w:pPr>
          </w:p>
        </w:tc>
        <w:tc>
          <w:tcPr>
            <w:tcW w:w="1420" w:type="dxa"/>
            <w:vAlign w:val="bottom"/>
          </w:tcPr>
          <w:p>
            <w:pPr>
              <w:jc w:val="right"/>
              <w:spacing w:after="0" w:line="229" w:lineRule="exact"/>
              <w:rPr>
                <w:sz w:val="20"/>
                <w:szCs w:val="20"/>
                <w:color w:val="auto"/>
              </w:rPr>
            </w:pPr>
            <w:r>
              <w:rPr>
                <w:rFonts w:ascii="Arial" w:cs="Arial" w:eastAsia="Arial" w:hAnsi="Arial"/>
                <w:sz w:val="22"/>
                <w:szCs w:val="22"/>
                <w:color w:val="auto"/>
              </w:rPr>
              <w:t>(9,133)</w:t>
            </w:r>
          </w:p>
        </w:tc>
      </w:tr>
      <w:tr>
        <w:trPr>
          <w:trHeight w:val="20"/>
        </w:trPr>
        <w:tc>
          <w:tcPr>
            <w:tcW w:w="6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63"/>
        </w:trPr>
        <w:tc>
          <w:tcPr>
            <w:tcW w:w="610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Net income</w:t>
            </w:r>
          </w:p>
        </w:tc>
        <w:tc>
          <w:tcPr>
            <w:tcW w:w="1720" w:type="dxa"/>
            <w:vAlign w:val="bottom"/>
            <w:gridSpan w:val="2"/>
            <w:shd w:val="clear" w:color="auto" w:fill="CCEEFF"/>
          </w:tcPr>
          <w:p>
            <w:pPr>
              <w:jc w:val="right"/>
              <w:ind w:right="203"/>
              <w:spacing w:after="0" w:line="223" w:lineRule="exact"/>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282,702</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192"/>
              <w:spacing w:after="0" w:line="223" w:lineRule="exact"/>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281,667</w:t>
            </w:r>
          </w:p>
        </w:tc>
      </w:tr>
      <w:tr>
        <w:trPr>
          <w:trHeight w:val="224"/>
        </w:trPr>
        <w:tc>
          <w:tcPr>
            <w:tcW w:w="6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9"/>
        </w:trPr>
        <w:tc>
          <w:tcPr>
            <w:tcW w:w="610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Comprehensive income</w:t>
            </w:r>
          </w:p>
        </w:tc>
        <w:tc>
          <w:tcPr>
            <w:tcW w:w="1720" w:type="dxa"/>
            <w:vAlign w:val="bottom"/>
            <w:gridSpan w:val="2"/>
            <w:shd w:val="clear" w:color="auto" w:fill="CCEEFF"/>
          </w:tcPr>
          <w:p>
            <w:pPr>
              <w:jc w:val="right"/>
              <w:ind w:right="203"/>
              <w:spacing w:after="0" w:line="229" w:lineRule="exact"/>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282,702</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2"/>
              <w:spacing w:after="0" w:line="229" w:lineRule="exact"/>
              <w:rPr>
                <w:sz w:val="20"/>
                <w:szCs w:val="20"/>
                <w:color w:val="auto"/>
              </w:rPr>
            </w:pPr>
            <w:r>
              <w:rPr>
                <w:rFonts w:ascii="Arial" w:cs="Arial" w:eastAsia="Arial" w:hAnsi="Arial"/>
                <w:sz w:val="22"/>
                <w:szCs w:val="22"/>
                <w:color w:val="auto"/>
                <w:w w:val="81"/>
              </w:rPr>
              <w:t>$</w:t>
            </w:r>
          </w:p>
        </w:tc>
        <w:tc>
          <w:tcPr>
            <w:tcW w:w="14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281,667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61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income per common share:</w:t>
            </w: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69"/>
        </w:trPr>
        <w:tc>
          <w:tcPr>
            <w:tcW w:w="6100" w:type="dxa"/>
            <w:vAlign w:val="bottom"/>
          </w:tcPr>
          <w:p>
            <w:pPr>
              <w:ind w:left="120"/>
              <w:spacing w:after="0" w:line="229" w:lineRule="exact"/>
              <w:rPr>
                <w:sz w:val="20"/>
                <w:szCs w:val="20"/>
                <w:color w:val="auto"/>
              </w:rPr>
            </w:pPr>
            <w:r>
              <w:rPr>
                <w:rFonts w:ascii="Arial" w:cs="Arial" w:eastAsia="Arial" w:hAnsi="Arial"/>
                <w:sz w:val="22"/>
                <w:szCs w:val="22"/>
                <w:color w:val="auto"/>
              </w:rPr>
              <w:t>Basic</w:t>
            </w:r>
          </w:p>
        </w:tc>
        <w:tc>
          <w:tcPr>
            <w:tcW w:w="1720" w:type="dxa"/>
            <w:vAlign w:val="bottom"/>
            <w:gridSpan w:val="2"/>
          </w:tcPr>
          <w:p>
            <w:pPr>
              <w:jc w:val="right"/>
              <w:ind w:right="203"/>
              <w:spacing w:after="0" w:line="229" w:lineRule="exact"/>
              <w:rPr>
                <w:sz w:val="20"/>
                <w:szCs w:val="20"/>
                <w:color w:val="auto"/>
              </w:rPr>
            </w:pPr>
            <w:r>
              <w:rPr>
                <w:rFonts w:ascii="Arial" w:cs="Arial" w:eastAsia="Arial" w:hAnsi="Arial"/>
                <w:sz w:val="22"/>
                <w:szCs w:val="22"/>
                <w:color w:val="auto"/>
              </w:rPr>
              <w:t>$</w:t>
            </w: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1.07</w:t>
            </w:r>
          </w:p>
        </w:tc>
        <w:tc>
          <w:tcPr>
            <w:tcW w:w="200" w:type="dxa"/>
            <w:vAlign w:val="bottom"/>
          </w:tcPr>
          <w:p>
            <w:pPr>
              <w:spacing w:after="0"/>
              <w:rPr>
                <w:sz w:val="23"/>
                <w:szCs w:val="23"/>
                <w:color w:val="auto"/>
              </w:rPr>
            </w:pPr>
          </w:p>
        </w:tc>
        <w:tc>
          <w:tcPr>
            <w:tcW w:w="420" w:type="dxa"/>
            <w:vAlign w:val="bottom"/>
          </w:tcPr>
          <w:p>
            <w:pPr>
              <w:jc w:val="right"/>
              <w:ind w:right="192"/>
              <w:spacing w:after="0" w:line="229" w:lineRule="exact"/>
              <w:rPr>
                <w:sz w:val="20"/>
                <w:szCs w:val="20"/>
                <w:color w:val="auto"/>
              </w:rPr>
            </w:pPr>
            <w:r>
              <w:rPr>
                <w:rFonts w:ascii="Arial" w:cs="Arial" w:eastAsia="Arial" w:hAnsi="Arial"/>
                <w:sz w:val="22"/>
                <w:szCs w:val="22"/>
                <w:color w:val="auto"/>
                <w:w w:val="81"/>
              </w:rPr>
              <w:t>$</w:t>
            </w:r>
          </w:p>
        </w:tc>
        <w:tc>
          <w:tcPr>
            <w:tcW w:w="1420" w:type="dxa"/>
            <w:vAlign w:val="bottom"/>
          </w:tcPr>
          <w:p>
            <w:pPr>
              <w:jc w:val="right"/>
              <w:spacing w:after="0" w:line="229" w:lineRule="exact"/>
              <w:rPr>
                <w:sz w:val="20"/>
                <w:szCs w:val="20"/>
                <w:color w:val="auto"/>
              </w:rPr>
            </w:pPr>
            <w:r>
              <w:rPr>
                <w:rFonts w:ascii="Arial" w:cs="Arial" w:eastAsia="Arial" w:hAnsi="Arial"/>
                <w:sz w:val="22"/>
                <w:szCs w:val="22"/>
                <w:color w:val="auto"/>
              </w:rPr>
              <w:t>1.08</w:t>
            </w:r>
          </w:p>
        </w:tc>
      </w:tr>
      <w:tr>
        <w:trPr>
          <w:trHeight w:val="250"/>
        </w:trPr>
        <w:tc>
          <w:tcPr>
            <w:tcW w:w="6100" w:type="dxa"/>
            <w:vAlign w:val="bottom"/>
            <w:tcBorders>
              <w:top w:val="single" w:sz="8" w:color="CCEEFF"/>
              <w:bottom w:val="single" w:sz="8" w:color="CCEEFF"/>
            </w:tcBorders>
            <w:shd w:val="clear" w:color="auto" w:fill="CCEEFF"/>
          </w:tcPr>
          <w:p>
            <w:pPr>
              <w:ind w:left="120"/>
              <w:spacing w:after="0" w:line="210" w:lineRule="exact"/>
              <w:rPr>
                <w:sz w:val="20"/>
                <w:szCs w:val="20"/>
                <w:color w:val="auto"/>
              </w:rPr>
            </w:pPr>
            <w:r>
              <w:rPr>
                <w:rFonts w:ascii="Arial" w:cs="Arial" w:eastAsia="Arial" w:hAnsi="Arial"/>
                <w:sz w:val="22"/>
                <w:szCs w:val="22"/>
                <w:color w:val="auto"/>
              </w:rPr>
              <w:t>Diluted</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03"/>
              <w:spacing w:after="0" w:line="210" w:lineRule="exact"/>
              <w:rPr>
                <w:sz w:val="20"/>
                <w:szCs w:val="20"/>
                <w:color w:val="auto"/>
              </w:rPr>
            </w:pPr>
            <w:r>
              <w:rPr>
                <w:rFonts w:ascii="Arial" w:cs="Arial" w:eastAsia="Arial" w:hAnsi="Arial"/>
                <w:sz w:val="19"/>
                <w:szCs w:val="19"/>
                <w:color w:val="auto"/>
                <w:w w:val="75"/>
              </w:rPr>
              <w:t>$</w:t>
            </w:r>
          </w:p>
        </w:tc>
        <w:tc>
          <w:tcPr>
            <w:tcW w:w="138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1.07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192"/>
              <w:spacing w:after="0" w:line="210" w:lineRule="exact"/>
              <w:rPr>
                <w:sz w:val="20"/>
                <w:szCs w:val="20"/>
                <w:color w:val="auto"/>
              </w:rPr>
            </w:pPr>
            <w:r>
              <w:rPr>
                <w:rFonts w:ascii="Arial" w:cs="Arial" w:eastAsia="Arial" w:hAnsi="Arial"/>
                <w:sz w:val="22"/>
                <w:szCs w:val="22"/>
                <w:color w:val="auto"/>
                <w:w w:val="81"/>
              </w:rPr>
              <w:t>$</w:t>
            </w:r>
          </w:p>
        </w:tc>
        <w:tc>
          <w:tcPr>
            <w:tcW w:w="1420" w:type="dxa"/>
            <w:vAlign w:val="bottom"/>
            <w:tcBorders>
              <w:top w:val="single" w:sz="8" w:color="auto"/>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1.07</w:t>
            </w:r>
          </w:p>
        </w:tc>
      </w:tr>
      <w:tr>
        <w:trPr>
          <w:trHeight w:val="210"/>
        </w:trPr>
        <w:tc>
          <w:tcPr>
            <w:tcW w:w="6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61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Average common shares outstanding during the period:</w:t>
            </w:r>
          </w:p>
        </w:tc>
        <w:tc>
          <w:tcPr>
            <w:tcW w:w="1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69"/>
        </w:trPr>
        <w:tc>
          <w:tcPr>
            <w:tcW w:w="610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Basic</w:t>
            </w:r>
          </w:p>
        </w:tc>
        <w:tc>
          <w:tcPr>
            <w:tcW w:w="13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264,306</w:t>
            </w:r>
          </w:p>
        </w:tc>
        <w:tc>
          <w:tcPr>
            <w:tcW w:w="2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262,026</w:t>
            </w:r>
          </w:p>
        </w:tc>
      </w:tr>
      <w:tr>
        <w:trPr>
          <w:trHeight w:val="250"/>
        </w:trPr>
        <w:tc>
          <w:tcPr>
            <w:tcW w:w="6100" w:type="dxa"/>
            <w:vAlign w:val="bottom"/>
            <w:tcBorders>
              <w:bottom w:val="single" w:sz="8" w:color="CCEEFF"/>
            </w:tcBorders>
            <w:shd w:val="clear" w:color="auto" w:fill="CCEEFF"/>
          </w:tcPr>
          <w:p>
            <w:pPr>
              <w:ind w:left="120"/>
              <w:spacing w:after="0" w:line="210" w:lineRule="exact"/>
              <w:rPr>
                <w:sz w:val="20"/>
                <w:szCs w:val="20"/>
                <w:color w:val="auto"/>
              </w:rPr>
            </w:pPr>
            <w:r>
              <w:rPr>
                <w:rFonts w:ascii="Arial" w:cs="Arial" w:eastAsia="Arial" w:hAnsi="Arial"/>
                <w:sz w:val="22"/>
                <w:szCs w:val="22"/>
                <w:color w:val="auto"/>
              </w:rPr>
              <w:t>Diluted</w:t>
            </w: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264,840</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22"/>
                <w:szCs w:val="22"/>
                <w:color w:val="auto"/>
              </w:rPr>
              <w:t>262,545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CONSOLIDATED STATEMENTS OF CAPITALIZATION</w:t>
      </w:r>
    </w:p>
    <w:p>
      <w:pPr>
        <w:jc w:val="center"/>
        <w:ind w:right="40"/>
        <w:spacing w:after="0" w:line="187" w:lineRule="auto"/>
        <w:rPr>
          <w:sz w:val="20"/>
          <w:szCs w:val="20"/>
          <w:color w:val="auto"/>
        </w:rPr>
      </w:pPr>
      <w:r>
        <w:rPr>
          <w:rFonts w:ascii="Arial" w:cs="Arial" w:eastAsia="Arial" w:hAnsi="Arial"/>
          <w:sz w:val="18"/>
          <w:szCs w:val="18"/>
          <w:color w:val="auto"/>
        </w:rPr>
        <w:t>(In thousands of dollars,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0" w:type="dxa"/>
            <w:vAlign w:val="bottom"/>
          </w:tcPr>
          <w:p>
            <w:pPr>
              <w:jc w:val="right"/>
              <w:ind w:right="610"/>
              <w:spacing w:after="0"/>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41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43"/>
        </w:trPr>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96"/>
        </w:trPr>
        <w:tc>
          <w:tcPr>
            <w:tcW w:w="45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Common stock, $0.50 par value</w:t>
            </w: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133,486</w:t>
            </w:r>
          </w:p>
        </w:tc>
        <w:tc>
          <w:tcPr>
            <w:tcW w:w="0" w:type="dxa"/>
            <w:vAlign w:val="bottom"/>
          </w:tcPr>
          <w:p>
            <w:pPr>
              <w:spacing w:after="0"/>
              <w:rPr>
                <w:sz w:val="1"/>
                <w:szCs w:val="1"/>
                <w:color w:val="auto"/>
              </w:rPr>
            </w:pPr>
          </w:p>
        </w:tc>
      </w:tr>
      <w:tr>
        <w:trPr>
          <w:trHeight w:val="230"/>
        </w:trPr>
        <w:tc>
          <w:tcPr>
            <w:tcW w:w="4520" w:type="dxa"/>
            <w:vAlign w:val="bottom"/>
            <w:gridSpan w:val="3"/>
          </w:tcPr>
          <w:p>
            <w:pPr>
              <w:ind w:left="240"/>
              <w:spacing w:after="0"/>
              <w:rPr>
                <w:sz w:val="20"/>
                <w:szCs w:val="20"/>
                <w:color w:val="auto"/>
              </w:rPr>
            </w:pPr>
            <w:r>
              <w:rPr>
                <w:rFonts w:ascii="Arial" w:cs="Arial" w:eastAsia="Arial" w:hAnsi="Arial"/>
                <w:sz w:val="18"/>
                <w:szCs w:val="18"/>
                <w:color w:val="auto"/>
              </w:rPr>
              <w:t>Capital in excess of par value</w:t>
            </w: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3,827,199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3,793,262</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1,740,682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1,534,331</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Treasury stock, at cost</w:t>
            </w:r>
          </w:p>
        </w:tc>
        <w:tc>
          <w:tcPr>
            <w:tcW w:w="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(87,092)</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(83,693)</w:t>
            </w:r>
          </w:p>
        </w:tc>
        <w:tc>
          <w:tcPr>
            <w:tcW w:w="0" w:type="dxa"/>
            <w:vAlign w:val="bottom"/>
          </w:tcPr>
          <w:p>
            <w:pPr>
              <w:spacing w:after="0"/>
              <w:rPr>
                <w:sz w:val="1"/>
                <w:szCs w:val="1"/>
                <w:color w:val="auto"/>
              </w:rPr>
            </w:pPr>
          </w:p>
        </w:tc>
      </w:tr>
      <w:tr>
        <w:trPr>
          <w:trHeight w:val="196"/>
        </w:trPr>
        <w:tc>
          <w:tcPr>
            <w:tcW w:w="4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stockholders' equity</w:t>
            </w: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5,614,698</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5,377,386</w:t>
            </w:r>
          </w:p>
        </w:tc>
        <w:tc>
          <w:tcPr>
            <w:tcW w:w="0" w:type="dxa"/>
            <w:vAlign w:val="bottom"/>
          </w:tcPr>
          <w:p>
            <w:pPr>
              <w:spacing w:after="0"/>
              <w:rPr>
                <w:sz w:val="1"/>
                <w:szCs w:val="1"/>
                <w:color w:val="auto"/>
              </w:rPr>
            </w:pPr>
          </w:p>
        </w:tc>
      </w:tr>
      <w:tr>
        <w:trPr>
          <w:trHeight w:val="183"/>
        </w:trPr>
        <w:tc>
          <w:tcPr>
            <w:tcW w:w="1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3"/>
        </w:trPr>
        <w:tc>
          <w:tcPr>
            <w:tcW w:w="7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Long-term debt of subsidiaries (substantially collateralized by utility plant):</w:t>
            </w:r>
          </w:p>
        </w:tc>
        <w:tc>
          <w:tcPr>
            <w:tcW w:w="4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520" w:type="dxa"/>
            <w:vAlign w:val="bottom"/>
            <w:gridSpan w:val="3"/>
          </w:tcPr>
          <w:p>
            <w:pPr>
              <w:jc w:val="center"/>
              <w:ind w:right="700"/>
              <w:spacing w:after="0" w:line="176" w:lineRule="exact"/>
              <w:rPr>
                <w:sz w:val="20"/>
                <w:szCs w:val="20"/>
                <w:color w:val="auto"/>
              </w:rPr>
            </w:pPr>
            <w:r>
              <w:rPr>
                <w:rFonts w:ascii="Arial" w:cs="Arial" w:eastAsia="Arial" w:hAnsi="Arial"/>
                <w:sz w:val="18"/>
                <w:szCs w:val="18"/>
                <w:color w:val="auto"/>
                <w:w w:val="88"/>
              </w:rPr>
              <w:t>Interest Rate Range</w:t>
            </w:r>
          </w:p>
        </w:tc>
        <w:tc>
          <w:tcPr>
            <w:tcW w:w="2600" w:type="dxa"/>
            <w:vAlign w:val="bottom"/>
            <w:gridSpan w:val="3"/>
          </w:tcPr>
          <w:p>
            <w:pPr>
              <w:jc w:val="center"/>
              <w:ind w:right="960"/>
              <w:spacing w:after="0" w:line="176" w:lineRule="exact"/>
              <w:rPr>
                <w:sz w:val="20"/>
                <w:szCs w:val="20"/>
                <w:color w:val="auto"/>
              </w:rPr>
            </w:pPr>
            <w:r>
              <w:rPr>
                <w:rFonts w:ascii="Arial" w:cs="Arial" w:eastAsia="Arial" w:hAnsi="Arial"/>
                <w:sz w:val="18"/>
                <w:szCs w:val="18"/>
                <w:color w:val="auto"/>
                <w:w w:val="92"/>
              </w:rPr>
              <w:t>Maturity Date Range</w:t>
            </w: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center"/>
              <w:ind w:right="1880"/>
              <w:spacing w:after="0"/>
              <w:rPr>
                <w:sz w:val="20"/>
                <w:szCs w:val="20"/>
                <w:color w:val="auto"/>
              </w:rPr>
            </w:pPr>
            <w:r>
              <w:rPr>
                <w:rFonts w:ascii="Arial" w:cs="Arial" w:eastAsia="Arial" w:hAnsi="Arial"/>
                <w:sz w:val="18"/>
                <w:szCs w:val="18"/>
                <w:color w:val="auto"/>
                <w:w w:val="91"/>
              </w:rPr>
              <w:t>0.00% to 0.99%</w:t>
            </w:r>
          </w:p>
        </w:tc>
        <w:tc>
          <w:tcPr>
            <w:tcW w:w="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1"/>
              </w:rPr>
              <w:t>2023 to 2033</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1"/>
              </w:rPr>
              <w:t>1.00% to 1.99%</w:t>
            </w:r>
          </w:p>
        </w:tc>
        <w:tc>
          <w:tcPr>
            <w:tcW w:w="60" w:type="dxa"/>
            <w:vAlign w:val="bottom"/>
          </w:tcPr>
          <w:p>
            <w:pPr>
              <w:spacing w:after="0"/>
              <w:rPr>
                <w:sz w:val="18"/>
                <w:szCs w:val="18"/>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2023 to 2039</w:t>
            </w: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8,369</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jc w:val="center"/>
              <w:ind w:right="1880"/>
              <w:spacing w:after="0"/>
              <w:rPr>
                <w:sz w:val="20"/>
                <w:szCs w:val="20"/>
                <w:color w:val="auto"/>
              </w:rPr>
            </w:pPr>
            <w:r>
              <w:rPr>
                <w:rFonts w:ascii="Arial" w:cs="Arial" w:eastAsia="Arial" w:hAnsi="Arial"/>
                <w:sz w:val="18"/>
                <w:szCs w:val="18"/>
                <w:color w:val="auto"/>
                <w:w w:val="91"/>
              </w:rPr>
              <w:t>2.00% to 2.99%</w:t>
            </w:r>
          </w:p>
        </w:tc>
        <w:tc>
          <w:tcPr>
            <w:tcW w:w="6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1"/>
              </w:rPr>
              <w:t>2024 to 2058</w:t>
            </w: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208,931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209,755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1"/>
              </w:rPr>
              <w:t>3.00% to 3.99%</w:t>
            </w:r>
          </w:p>
        </w:tc>
        <w:tc>
          <w:tcPr>
            <w:tcW w:w="60" w:type="dxa"/>
            <w:vAlign w:val="bottom"/>
          </w:tcPr>
          <w:p>
            <w:pPr>
              <w:spacing w:after="0"/>
              <w:rPr>
                <w:sz w:val="18"/>
                <w:szCs w:val="18"/>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2023 to 2056</w:t>
            </w: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1,347,413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1,351,432</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center"/>
              <w:ind w:right="1880"/>
              <w:spacing w:after="0"/>
              <w:rPr>
                <w:sz w:val="20"/>
                <w:szCs w:val="20"/>
                <w:color w:val="auto"/>
              </w:rPr>
            </w:pPr>
            <w:r>
              <w:rPr>
                <w:rFonts w:ascii="Arial" w:cs="Arial" w:eastAsia="Arial" w:hAnsi="Arial"/>
                <w:sz w:val="18"/>
                <w:szCs w:val="18"/>
                <w:color w:val="auto"/>
                <w:w w:val="91"/>
              </w:rPr>
              <w:t>4.00% to 4.99%</w:t>
            </w:r>
          </w:p>
        </w:tc>
        <w:tc>
          <w:tcPr>
            <w:tcW w:w="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1"/>
              </w:rPr>
              <w:t>2023 to 2059</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1,400,281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1,403,313</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1"/>
              </w:rPr>
              <w:t>5.00% to 5.99%</w:t>
            </w:r>
          </w:p>
        </w:tc>
        <w:tc>
          <w:tcPr>
            <w:tcW w:w="60" w:type="dxa"/>
            <w:vAlign w:val="bottom"/>
          </w:tcPr>
          <w:p>
            <w:pPr>
              <w:spacing w:after="0"/>
              <w:rPr>
                <w:sz w:val="19"/>
                <w:szCs w:val="19"/>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2023 to 2052</w:t>
            </w: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88,912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14,357</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center"/>
              <w:ind w:right="1880"/>
              <w:spacing w:after="0"/>
              <w:rPr>
                <w:sz w:val="20"/>
                <w:szCs w:val="20"/>
                <w:color w:val="auto"/>
              </w:rPr>
            </w:pPr>
            <w:r>
              <w:rPr>
                <w:rFonts w:ascii="Arial" w:cs="Arial" w:eastAsia="Arial" w:hAnsi="Arial"/>
                <w:sz w:val="18"/>
                <w:szCs w:val="18"/>
                <w:color w:val="auto"/>
                <w:w w:val="91"/>
              </w:rPr>
              <w:t>6.00% to 6.99%</w:t>
            </w:r>
          </w:p>
        </w:tc>
        <w:tc>
          <w:tcPr>
            <w:tcW w:w="6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020"/>
              <w:spacing w:after="0"/>
              <w:rPr>
                <w:sz w:val="20"/>
                <w:szCs w:val="20"/>
                <w:color w:val="auto"/>
              </w:rPr>
            </w:pPr>
            <w:r>
              <w:rPr>
                <w:rFonts w:ascii="Arial" w:cs="Arial" w:eastAsia="Arial" w:hAnsi="Arial"/>
                <w:sz w:val="18"/>
                <w:szCs w:val="18"/>
                <w:color w:val="auto"/>
                <w:w w:val="91"/>
              </w:rPr>
              <w:t>2026 to 2036</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1"/>
              </w:rPr>
              <w:t>7.00% to 7.99%</w:t>
            </w:r>
          </w:p>
        </w:tc>
        <w:tc>
          <w:tcPr>
            <w:tcW w:w="60" w:type="dxa"/>
            <w:vAlign w:val="bottom"/>
          </w:tcPr>
          <w:p>
            <w:pPr>
              <w:spacing w:after="0"/>
              <w:rPr>
                <w:sz w:val="18"/>
                <w:szCs w:val="18"/>
                <w:color w:val="auto"/>
              </w:rPr>
            </w:pPr>
          </w:p>
        </w:tc>
        <w:tc>
          <w:tcPr>
            <w:tcW w:w="2540" w:type="dxa"/>
            <w:vAlign w:val="bottom"/>
            <w:gridSpan w:val="2"/>
          </w:tcPr>
          <w:p>
            <w:pPr>
              <w:jc w:val="center"/>
              <w:ind w:right="1020"/>
              <w:spacing w:after="0"/>
              <w:rPr>
                <w:sz w:val="20"/>
                <w:szCs w:val="20"/>
                <w:color w:val="auto"/>
              </w:rPr>
            </w:pPr>
            <w:r>
              <w:rPr>
                <w:rFonts w:ascii="Arial" w:cs="Arial" w:eastAsia="Arial" w:hAnsi="Arial"/>
                <w:sz w:val="18"/>
                <w:szCs w:val="18"/>
                <w:color w:val="auto"/>
                <w:w w:val="91"/>
              </w:rPr>
              <w:t>2025 to 2027</w:t>
            </w: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28,251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28,378</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center"/>
              <w:ind w:right="1880"/>
              <w:spacing w:after="0"/>
              <w:rPr>
                <w:sz w:val="20"/>
                <w:szCs w:val="20"/>
                <w:color w:val="auto"/>
              </w:rPr>
            </w:pPr>
            <w:r>
              <w:rPr>
                <w:rFonts w:ascii="Arial" w:cs="Arial" w:eastAsia="Arial" w:hAnsi="Arial"/>
                <w:sz w:val="18"/>
                <w:szCs w:val="18"/>
                <w:color w:val="auto"/>
                <w:w w:val="91"/>
              </w:rPr>
              <w:t>8.00% to 8.99%</w:t>
            </w:r>
          </w:p>
        </w:tc>
        <w:tc>
          <w:tcPr>
            <w:tcW w:w="1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3320" w:type="dxa"/>
            <w:vAlign w:val="bottom"/>
            <w:gridSpan w:val="2"/>
          </w:tcPr>
          <w:p>
            <w:pPr>
              <w:jc w:val="center"/>
              <w:ind w:right="1880"/>
              <w:spacing w:after="0"/>
              <w:rPr>
                <w:sz w:val="20"/>
                <w:szCs w:val="20"/>
                <w:color w:val="auto"/>
              </w:rPr>
            </w:pPr>
            <w:r>
              <w:rPr>
                <w:rFonts w:ascii="Arial" w:cs="Arial" w:eastAsia="Arial" w:hAnsi="Arial"/>
                <w:sz w:val="18"/>
                <w:szCs w:val="18"/>
                <w:color w:val="auto"/>
                <w:w w:val="91"/>
              </w:rPr>
              <w:t>9.00% to 9.99%</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9"/>
              </w:rPr>
              <w:t>2026</w:t>
            </w:r>
          </w:p>
        </w:tc>
        <w:tc>
          <w:tcPr>
            <w:tcW w:w="10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3,127,763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3,062,395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60" w:type="dxa"/>
            <w:vAlign w:val="bottom"/>
            <w:gridSpan w:val="2"/>
          </w:tcPr>
          <w:p>
            <w:pPr>
              <w:spacing w:after="0"/>
              <w:rPr>
                <w:sz w:val="16"/>
                <w:szCs w:val="16"/>
                <w:color w:val="auto"/>
              </w:rPr>
            </w:pPr>
          </w:p>
        </w:tc>
        <w:tc>
          <w:tcPr>
            <w:tcW w:w="1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71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Notes payable to bank under revolving credit agreement, variable rate, due 2027</w:t>
            </w:r>
          </w:p>
        </w:tc>
        <w:tc>
          <w:tcPr>
            <w:tcW w:w="4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677,000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490,000</w:t>
            </w: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Unsecured notes payable:</w:t>
            </w: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Notes at 2.40% due 2031</w:t>
            </w:r>
          </w:p>
        </w:tc>
        <w:tc>
          <w:tcPr>
            <w:tcW w:w="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4520" w:type="dxa"/>
            <w:vAlign w:val="bottom"/>
            <w:gridSpan w:val="3"/>
          </w:tcPr>
          <w:p>
            <w:pPr>
              <w:ind w:left="120"/>
              <w:spacing w:after="0"/>
              <w:rPr>
                <w:sz w:val="20"/>
                <w:szCs w:val="20"/>
                <w:color w:val="auto"/>
              </w:rPr>
            </w:pPr>
            <w:r>
              <w:rPr>
                <w:rFonts w:ascii="Arial" w:cs="Arial" w:eastAsia="Arial" w:hAnsi="Arial"/>
                <w:sz w:val="18"/>
                <w:szCs w:val="18"/>
                <w:color w:val="auto"/>
              </w:rPr>
              <w:t>Notes at 2.704% due 2030</w:t>
            </w: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3"/>
        </w:trPr>
        <w:tc>
          <w:tcPr>
            <w:tcW w:w="45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w w:val="91"/>
              </w:rPr>
              <w:t>Notes ranging from 3.01% to 3.59% due 2029 through 2050</w:t>
            </w: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1,125,000</w:t>
            </w:r>
          </w:p>
        </w:tc>
        <w:tc>
          <w:tcPr>
            <w:tcW w:w="0" w:type="dxa"/>
            <w:vAlign w:val="bottom"/>
          </w:tcPr>
          <w:p>
            <w:pPr>
              <w:spacing w:after="0"/>
              <w:rPr>
                <w:sz w:val="1"/>
                <w:szCs w:val="1"/>
                <w:color w:val="auto"/>
              </w:rPr>
            </w:pPr>
          </w:p>
        </w:tc>
      </w:tr>
      <w:tr>
        <w:trPr>
          <w:trHeight w:val="230"/>
        </w:trPr>
        <w:tc>
          <w:tcPr>
            <w:tcW w:w="4520" w:type="dxa"/>
            <w:vAlign w:val="bottom"/>
            <w:gridSpan w:val="3"/>
          </w:tcPr>
          <w:p>
            <w:pPr>
              <w:ind w:left="120"/>
              <w:spacing w:after="0"/>
              <w:rPr>
                <w:sz w:val="20"/>
                <w:szCs w:val="20"/>
                <w:color w:val="auto"/>
              </w:rPr>
            </w:pPr>
            <w:r>
              <w:rPr>
                <w:rFonts w:ascii="Arial" w:cs="Arial" w:eastAsia="Arial" w:hAnsi="Arial"/>
                <w:sz w:val="18"/>
                <w:szCs w:val="18"/>
                <w:color w:val="auto"/>
              </w:rPr>
              <w:t>Notes at 4.28%, due 2049</w:t>
            </w: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Notes at 5.30%, due 2052</w:t>
            </w: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Notes at 5.95%, due 2023 through 2034</w:t>
            </w:r>
          </w:p>
        </w:tc>
        <w:tc>
          <w:tcPr>
            <w:tcW w:w="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196"/>
        </w:trPr>
        <w:tc>
          <w:tcPr>
            <w:tcW w:w="45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6,859,763</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6,617,395</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198,749</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199,356</w:t>
            </w:r>
          </w:p>
        </w:tc>
        <w:tc>
          <w:tcPr>
            <w:tcW w:w="0" w:type="dxa"/>
            <w:vAlign w:val="bottom"/>
          </w:tcPr>
          <w:p>
            <w:pPr>
              <w:spacing w:after="0"/>
              <w:rPr>
                <w:sz w:val="1"/>
                <w:szCs w:val="1"/>
                <w:color w:val="auto"/>
              </w:rPr>
            </w:pPr>
          </w:p>
        </w:tc>
      </w:tr>
      <w:tr>
        <w:trPr>
          <w:trHeight w:val="196"/>
        </w:trPr>
        <w:tc>
          <w:tcPr>
            <w:tcW w:w="4520" w:type="dxa"/>
            <w:vAlign w:val="bottom"/>
            <w:gridSpan w:val="3"/>
          </w:tcPr>
          <w:p>
            <w:pPr>
              <w:spacing w:after="0" w:line="196" w:lineRule="exact"/>
              <w:rPr>
                <w:sz w:val="20"/>
                <w:szCs w:val="20"/>
                <w:color w:val="auto"/>
              </w:rPr>
            </w:pPr>
            <w:r>
              <w:rPr>
                <w:rFonts w:ascii="Arial" w:cs="Arial" w:eastAsia="Arial" w:hAnsi="Arial"/>
                <w:sz w:val="18"/>
                <w:szCs w:val="18"/>
                <w:color w:val="auto"/>
              </w:rPr>
              <w:t>Long-term debt, excluding current portion</w:t>
            </w: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6,661,014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6,418,039</w:t>
            </w:r>
          </w:p>
        </w:tc>
        <w:tc>
          <w:tcPr>
            <w:tcW w:w="0" w:type="dxa"/>
            <w:vAlign w:val="bottom"/>
          </w:tcPr>
          <w:p>
            <w:pPr>
              <w:spacing w:after="0"/>
              <w:rPr>
                <w:sz w:val="1"/>
                <w:szCs w:val="1"/>
                <w:color w:val="auto"/>
              </w:rPr>
            </w:pPr>
          </w:p>
        </w:tc>
      </w:tr>
      <w:tr>
        <w:trPr>
          <w:trHeight w:val="203"/>
        </w:trPr>
        <w:tc>
          <w:tcPr>
            <w:tcW w:w="4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Less: debt issuance costs</w:t>
            </w: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45,498</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46,982</w:t>
            </w:r>
          </w:p>
        </w:tc>
        <w:tc>
          <w:tcPr>
            <w:tcW w:w="0" w:type="dxa"/>
            <w:vAlign w:val="bottom"/>
          </w:tcPr>
          <w:p>
            <w:pPr>
              <w:spacing w:after="0"/>
              <w:rPr>
                <w:sz w:val="1"/>
                <w:szCs w:val="1"/>
                <w:color w:val="auto"/>
              </w:rPr>
            </w:pPr>
          </w:p>
        </w:tc>
      </w:tr>
      <w:tr>
        <w:trPr>
          <w:trHeight w:val="183"/>
        </w:trPr>
        <w:tc>
          <w:tcPr>
            <w:tcW w:w="7120" w:type="dxa"/>
            <w:vAlign w:val="bottom"/>
            <w:gridSpan w:val="6"/>
          </w:tcPr>
          <w:p>
            <w:pPr>
              <w:spacing w:after="0" w:line="182" w:lineRule="exact"/>
              <w:rPr>
                <w:sz w:val="20"/>
                <w:szCs w:val="20"/>
                <w:color w:val="auto"/>
              </w:rPr>
            </w:pPr>
            <w:r>
              <w:rPr>
                <w:rFonts w:ascii="Arial" w:cs="Arial" w:eastAsia="Arial" w:hAnsi="Arial"/>
                <w:sz w:val="18"/>
                <w:szCs w:val="18"/>
                <w:color w:val="auto"/>
              </w:rPr>
              <w:t>Long-term debt, excluding current portion, net of debt issuance costs</w:t>
            </w: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6,615,516</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6,371,057</w:t>
            </w:r>
          </w:p>
        </w:tc>
        <w:tc>
          <w:tcPr>
            <w:tcW w:w="0" w:type="dxa"/>
            <w:vAlign w:val="bottom"/>
          </w:tcPr>
          <w:p>
            <w:pPr>
              <w:spacing w:after="0"/>
              <w:rPr>
                <w:sz w:val="1"/>
                <w:szCs w:val="1"/>
                <w:color w:val="auto"/>
              </w:rPr>
            </w:pPr>
          </w:p>
        </w:tc>
      </w:tr>
      <w:tr>
        <w:trPr>
          <w:trHeight w:val="183"/>
        </w:trPr>
        <w:tc>
          <w:tcPr>
            <w:tcW w:w="12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20" w:type="dxa"/>
            <w:vAlign w:val="bottom"/>
            <w:gridSpan w:val="3"/>
          </w:tcPr>
          <w:p>
            <w:pPr>
              <w:spacing w:after="0" w:line="196" w:lineRule="exact"/>
              <w:rPr>
                <w:sz w:val="20"/>
                <w:szCs w:val="20"/>
                <w:color w:val="auto"/>
              </w:rPr>
            </w:pPr>
            <w:r>
              <w:rPr>
                <w:rFonts w:ascii="Arial" w:cs="Arial" w:eastAsia="Arial" w:hAnsi="Arial"/>
                <w:sz w:val="18"/>
                <w:szCs w:val="18"/>
                <w:color w:val="auto"/>
              </w:rPr>
              <w:t>Total capitalization</w:t>
            </w: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12,230,214</w:t>
            </w:r>
          </w:p>
        </w:tc>
        <w:tc>
          <w:tcPr>
            <w:tcW w:w="5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11,748,443</w:t>
            </w:r>
          </w:p>
        </w:tc>
        <w:tc>
          <w:tcPr>
            <w:tcW w:w="0" w:type="dxa"/>
            <w:vAlign w:val="bottom"/>
          </w:tcPr>
          <w:p>
            <w:pPr>
              <w:spacing w:after="0"/>
              <w:rPr>
                <w:sz w:val="1"/>
                <w:szCs w:val="1"/>
                <w:color w:val="auto"/>
              </w:rPr>
            </w:pPr>
          </w:p>
        </w:tc>
      </w:tr>
      <w:tr>
        <w:trPr>
          <w:trHeight w:val="20"/>
        </w:trPr>
        <w:tc>
          <w:tcPr>
            <w:tcW w:w="7120" w:type="dxa"/>
            <w:vAlign w:val="bottom"/>
            <w:gridSpan w:val="6"/>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120" w:type="dxa"/>
            <w:vAlign w:val="bottom"/>
            <w:gridSpan w:val="6"/>
            <w:vMerge w:val="continue"/>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u w:val="single" w:color="auto"/>
          <w:color w:val="0563C1"/>
        </w:rPr>
        <w:t>Table of Contents</w:t>
      </w:r>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ind w:left="342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95"/>
              </w:rPr>
              <w:t>Capital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4"/>
                <w:szCs w:val="14"/>
                <w:color w:val="auto"/>
              </w:rPr>
            </w:pPr>
          </w:p>
        </w:tc>
        <w:tc>
          <w:tcPr>
            <w:tcW w:w="820" w:type="dxa"/>
            <w:vAlign w:val="bottom"/>
          </w:tcPr>
          <w:p>
            <w:pPr>
              <w:jc w:val="right"/>
              <w:ind w:right="79"/>
              <w:spacing w:after="0" w:line="162" w:lineRule="exact"/>
              <w:rPr>
                <w:sz w:val="20"/>
                <w:szCs w:val="20"/>
                <w:color w:val="auto"/>
              </w:rPr>
            </w:pPr>
            <w:r>
              <w:rPr>
                <w:rFonts w:ascii="Arial" w:cs="Arial" w:eastAsia="Arial" w:hAnsi="Arial"/>
                <w:sz w:val="16"/>
                <w:szCs w:val="16"/>
                <w:color w:val="auto"/>
                <w:w w:val="92"/>
              </w:rPr>
              <w:t>Excess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9"/>
              <w:spacing w:after="0" w:line="162" w:lineRule="exact"/>
              <w:rPr>
                <w:sz w:val="20"/>
                <w:szCs w:val="20"/>
                <w:color w:val="auto"/>
              </w:rPr>
            </w:pPr>
            <w:r>
              <w:rPr>
                <w:rFonts w:ascii="Arial" w:cs="Arial" w:eastAsia="Arial" w:hAnsi="Arial"/>
                <w:sz w:val="16"/>
                <w:szCs w:val="16"/>
                <w:color w:val="auto"/>
                <w:w w:val="93"/>
              </w:rPr>
              <w:t>Retained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w w:val="91"/>
              </w:rPr>
              <w:t>Treasury</w:t>
            </w:r>
          </w:p>
        </w:tc>
        <w:tc>
          <w:tcPr>
            <w:tcW w:w="220" w:type="dxa"/>
            <w:vAlign w:val="bottom"/>
          </w:tcPr>
          <w:p>
            <w:pPr>
              <w:spacing w:after="0"/>
              <w:rPr>
                <w:sz w:val="14"/>
                <w:szCs w:val="14"/>
                <w:color w:val="auto"/>
              </w:rPr>
            </w:pPr>
          </w:p>
        </w:tc>
        <w:tc>
          <w:tcPr>
            <w:tcW w:w="800" w:type="dxa"/>
            <w:vAlign w:val="bottom"/>
            <w:vMerge w:val="restart"/>
          </w:tcPr>
          <w:p>
            <w:pPr>
              <w:jc w:val="right"/>
              <w:ind w:right="25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5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Stock</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Par Value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4"/>
              </w:rPr>
              <w:t>Earnings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Stock</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7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Balance at December 31, 2022</w:t>
            </w:r>
          </w:p>
        </w:tc>
        <w:tc>
          <w:tcPr>
            <w:tcW w:w="7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133,486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3,793,262</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1,534,331</w:t>
            </w:r>
          </w:p>
        </w:tc>
        <w:tc>
          <w:tcPr>
            <w:tcW w:w="1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6"/>
                <w:szCs w:val="16"/>
                <w:color w:val="auto"/>
              </w:rPr>
              <w:t>(83,693)</w:t>
            </w:r>
          </w:p>
        </w:tc>
        <w:tc>
          <w:tcPr>
            <w:tcW w:w="220" w:type="dxa"/>
            <w:vAlign w:val="bottom"/>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5,377,386</w:t>
            </w:r>
          </w:p>
        </w:tc>
        <w:tc>
          <w:tcPr>
            <w:tcW w:w="0" w:type="dxa"/>
            <w:vAlign w:val="bottom"/>
          </w:tcPr>
          <w:p>
            <w:pPr>
              <w:spacing w:after="0"/>
              <w:rPr>
                <w:sz w:val="1"/>
                <w:szCs w:val="1"/>
                <w:color w:val="auto"/>
              </w:rPr>
            </w:pPr>
          </w:p>
        </w:tc>
      </w:tr>
      <w:tr>
        <w:trPr>
          <w:trHeight w:val="176"/>
        </w:trPr>
        <w:tc>
          <w:tcPr>
            <w:tcW w:w="5780" w:type="dxa"/>
            <w:vAlign w:val="bottom"/>
          </w:tcPr>
          <w:p>
            <w:pPr>
              <w:spacing w:after="0" w:line="175" w:lineRule="exact"/>
              <w:rPr>
                <w:sz w:val="20"/>
                <w:szCs w:val="20"/>
                <w:color w:val="auto"/>
              </w:rPr>
            </w:pPr>
            <w:r>
              <w:rPr>
                <w:rFonts w:ascii="Arial" w:cs="Arial" w:eastAsia="Arial" w:hAnsi="Arial"/>
                <w:sz w:val="16"/>
                <w:szCs w:val="16"/>
                <w:color w:val="auto"/>
              </w:rPr>
              <w:t>Net income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191,434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191,434</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Dividends of March 1, 2023 ($0.287 per share)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5"/>
        </w:trPr>
        <w:tc>
          <w:tcPr>
            <w:tcW w:w="5780" w:type="dxa"/>
            <w:vAlign w:val="bottom"/>
          </w:tcPr>
          <w:p>
            <w:pPr>
              <w:spacing w:after="0" w:line="175" w:lineRule="exact"/>
              <w:rPr>
                <w:sz w:val="20"/>
                <w:szCs w:val="20"/>
                <w:color w:val="auto"/>
              </w:rPr>
            </w:pPr>
            <w:r>
              <w:rPr>
                <w:rFonts w:ascii="Arial" w:cs="Arial" w:eastAsia="Arial" w:hAnsi="Arial"/>
                <w:sz w:val="16"/>
                <w:szCs w:val="16"/>
                <w:color w:val="auto"/>
              </w:rPr>
              <w:t>Dividends of June 1, 2023 declared ($0.287 per share)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(75,876)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(75,876)</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Issuance of common stock under dividend reinvestment plan (97,315 shares)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4,068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4,117</w:t>
            </w:r>
          </w:p>
        </w:tc>
        <w:tc>
          <w:tcPr>
            <w:tcW w:w="0" w:type="dxa"/>
            <w:vAlign w:val="bottom"/>
          </w:tcPr>
          <w:p>
            <w:pPr>
              <w:spacing w:after="0"/>
              <w:rPr>
                <w:sz w:val="1"/>
                <w:szCs w:val="1"/>
                <w:color w:val="auto"/>
              </w:rPr>
            </w:pPr>
          </w:p>
        </w:tc>
      </w:tr>
      <w:tr>
        <w:trPr>
          <w:trHeight w:val="175"/>
        </w:trPr>
        <w:tc>
          <w:tcPr>
            <w:tcW w:w="57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at-the-market sale agreements (399,128 shares)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200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19,094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19,294</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Repurchase of stock (88,051 shares)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(3,911)</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(3,911)</w:t>
            </w:r>
          </w:p>
        </w:tc>
        <w:tc>
          <w:tcPr>
            <w:tcW w:w="0" w:type="dxa"/>
            <w:vAlign w:val="bottom"/>
          </w:tcPr>
          <w:p>
            <w:pPr>
              <w:spacing w:after="0"/>
              <w:rPr>
                <w:sz w:val="1"/>
                <w:szCs w:val="1"/>
                <w:color w:val="auto"/>
              </w:rPr>
            </w:pPr>
          </w:p>
        </w:tc>
      </w:tr>
      <w:tr>
        <w:trPr>
          <w:trHeight w:val="175"/>
        </w:trPr>
        <w:tc>
          <w:tcPr>
            <w:tcW w:w="5780" w:type="dxa"/>
            <w:vAlign w:val="bottom"/>
          </w:tcPr>
          <w:p>
            <w:pPr>
              <w:spacing w:after="0" w:line="175" w:lineRule="exact"/>
              <w:rPr>
                <w:sz w:val="20"/>
                <w:szCs w:val="20"/>
                <w:color w:val="auto"/>
              </w:rPr>
            </w:pPr>
            <w:r>
              <w:rPr>
                <w:rFonts w:ascii="Arial" w:cs="Arial" w:eastAsia="Arial" w:hAnsi="Arial"/>
                <w:sz w:val="16"/>
                <w:szCs w:val="16"/>
                <w:color w:val="auto"/>
              </w:rPr>
              <w:t>Equity compensation plan (222,782 shares)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111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Exercise of stock options (2,917 shares)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76"/>
        </w:trPr>
        <w:tc>
          <w:tcPr>
            <w:tcW w:w="5780" w:type="dxa"/>
            <w:vAlign w:val="bottom"/>
          </w:tcPr>
          <w:p>
            <w:pPr>
              <w:spacing w:after="0" w:line="175" w:lineRule="exact"/>
              <w:rPr>
                <w:sz w:val="20"/>
                <w:szCs w:val="20"/>
                <w:color w:val="auto"/>
              </w:rPr>
            </w:pPr>
            <w:r>
              <w:rPr>
                <w:rFonts w:ascii="Arial" w:cs="Arial" w:eastAsia="Arial" w:hAnsi="Arial"/>
                <w:sz w:val="16"/>
                <w:szCs w:val="16"/>
                <w:color w:val="auto"/>
              </w:rPr>
              <w:t>Stock-based compensation</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3,410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(267)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3,143</w:t>
            </w: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Other</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169"/>
        </w:trPr>
        <w:tc>
          <w:tcPr>
            <w:tcW w:w="5780" w:type="dxa"/>
            <w:vAlign w:val="bottom"/>
          </w:tcPr>
          <w:p>
            <w:pPr>
              <w:spacing w:after="0" w:line="169" w:lineRule="exact"/>
              <w:rPr>
                <w:sz w:val="20"/>
                <w:szCs w:val="20"/>
                <w:color w:val="auto"/>
              </w:rPr>
            </w:pPr>
            <w:r>
              <w:rPr>
                <w:rFonts w:ascii="Arial" w:cs="Arial" w:eastAsia="Arial" w:hAnsi="Arial"/>
                <w:sz w:val="16"/>
                <w:szCs w:val="16"/>
                <w:color w:val="auto"/>
              </w:rPr>
              <w:t>Balance at March 31, 2023</w:t>
            </w:r>
          </w:p>
        </w:tc>
        <w:tc>
          <w:tcPr>
            <w:tcW w:w="6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133,848</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3,819,804</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1,649,621</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(87,331)</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5,515,942</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Net income</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91,268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91,268</w:t>
            </w:r>
          </w:p>
        </w:tc>
        <w:tc>
          <w:tcPr>
            <w:tcW w:w="0" w:type="dxa"/>
            <w:vAlign w:val="bottom"/>
          </w:tcPr>
          <w:p>
            <w:pPr>
              <w:spacing w:after="0"/>
              <w:rPr>
                <w:sz w:val="1"/>
                <w:szCs w:val="1"/>
                <w:color w:val="auto"/>
              </w:rPr>
            </w:pPr>
          </w:p>
        </w:tc>
      </w:tr>
      <w:tr>
        <w:trPr>
          <w:trHeight w:val="175"/>
        </w:trPr>
        <w:tc>
          <w:tcPr>
            <w:tcW w:w="5780" w:type="dxa"/>
            <w:vAlign w:val="bottom"/>
          </w:tcPr>
          <w:p>
            <w:pPr>
              <w:spacing w:after="0" w:line="175" w:lineRule="exact"/>
              <w:rPr>
                <w:sz w:val="20"/>
                <w:szCs w:val="20"/>
                <w:color w:val="auto"/>
              </w:rPr>
            </w:pPr>
            <w:r>
              <w:rPr>
                <w:rFonts w:ascii="Arial" w:cs="Arial" w:eastAsia="Arial" w:hAnsi="Arial"/>
                <w:sz w:val="16"/>
                <w:szCs w:val="16"/>
                <w:color w:val="auto"/>
              </w:rPr>
              <w:t>Dividends of June 1, 2023 ($0.287 per share)</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Issuance of common stock under dividend reinvestment plan (102,676 shares)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3,901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3,952</w:t>
            </w:r>
          </w:p>
        </w:tc>
        <w:tc>
          <w:tcPr>
            <w:tcW w:w="0" w:type="dxa"/>
            <w:vAlign w:val="bottom"/>
          </w:tcPr>
          <w:p>
            <w:pPr>
              <w:spacing w:after="0"/>
              <w:rPr>
                <w:sz w:val="1"/>
                <w:szCs w:val="1"/>
                <w:color w:val="auto"/>
              </w:rPr>
            </w:pPr>
          </w:p>
        </w:tc>
      </w:tr>
      <w:tr>
        <w:trPr>
          <w:trHeight w:val="175"/>
        </w:trPr>
        <w:tc>
          <w:tcPr>
            <w:tcW w:w="5780" w:type="dxa"/>
            <w:vAlign w:val="bottom"/>
          </w:tcPr>
          <w:p>
            <w:pPr>
              <w:spacing w:after="0" w:line="175" w:lineRule="exact"/>
              <w:rPr>
                <w:sz w:val="20"/>
                <w:szCs w:val="20"/>
                <w:color w:val="auto"/>
              </w:rPr>
            </w:pPr>
            <w:r>
              <w:rPr>
                <w:rFonts w:ascii="Arial" w:cs="Arial" w:eastAsia="Arial" w:hAnsi="Arial"/>
                <w:sz w:val="16"/>
                <w:szCs w:val="16"/>
                <w:color w:val="auto"/>
              </w:rPr>
              <w:t>Repurchase of stock (971 shares)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(42)</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Equity compensation plan (17,054 shares)</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780" w:type="dxa"/>
            <w:vAlign w:val="bottom"/>
          </w:tcPr>
          <w:p>
            <w:pPr>
              <w:spacing w:after="0" w:line="175" w:lineRule="exact"/>
              <w:rPr>
                <w:sz w:val="20"/>
                <w:szCs w:val="20"/>
                <w:color w:val="auto"/>
              </w:rPr>
            </w:pPr>
            <w:r>
              <w:rPr>
                <w:rFonts w:ascii="Arial" w:cs="Arial" w:eastAsia="Arial" w:hAnsi="Arial"/>
                <w:sz w:val="16"/>
                <w:szCs w:val="16"/>
                <w:color w:val="auto"/>
              </w:rPr>
              <w:t>Exercise of stock options (3,026 shares)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105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3,515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3,309</w:t>
            </w:r>
          </w:p>
        </w:tc>
        <w:tc>
          <w:tcPr>
            <w:tcW w:w="0" w:type="dxa"/>
            <w:vAlign w:val="bottom"/>
          </w:tcPr>
          <w:p>
            <w:pPr>
              <w:spacing w:after="0"/>
              <w:rPr>
                <w:sz w:val="1"/>
                <w:szCs w:val="1"/>
                <w:color w:val="auto"/>
              </w:rPr>
            </w:pPr>
          </w:p>
        </w:tc>
      </w:tr>
      <w:tr>
        <w:trPr>
          <w:trHeight w:val="176"/>
        </w:trPr>
        <w:tc>
          <w:tcPr>
            <w:tcW w:w="5780" w:type="dxa"/>
            <w:vAlign w:val="bottom"/>
          </w:tcPr>
          <w:p>
            <w:pPr>
              <w:spacing w:after="0" w:line="175" w:lineRule="exact"/>
              <w:rPr>
                <w:sz w:val="20"/>
                <w:szCs w:val="20"/>
                <w:color w:val="auto"/>
              </w:rPr>
            </w:pPr>
            <w:r>
              <w:rPr>
                <w:rFonts w:ascii="Arial" w:cs="Arial" w:eastAsia="Arial" w:hAnsi="Arial"/>
                <w:sz w:val="16"/>
                <w:szCs w:val="16"/>
                <w:color w:val="auto"/>
              </w:rPr>
              <w:t>Other</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(117)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5"/>
        </w:trPr>
        <w:tc>
          <w:tcPr>
            <w:tcW w:w="57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Balance at June 30, 2023</w:t>
            </w:r>
          </w:p>
        </w:tc>
        <w:tc>
          <w:tcPr>
            <w:tcW w:w="6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133,909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3,827,199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1,740,682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(87,092)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5,614,698</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u w:val="single" w:color="auto"/>
          <w:color w:val="0563C1"/>
        </w:rPr>
        <w:t>Table of Contents</w:t>
      </w:r>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CONSOLIDATED STATEMENTS OF EQUITY</w:t>
      </w:r>
    </w:p>
    <w:p>
      <w:pPr>
        <w:ind w:left="3420"/>
        <w:spacing w:after="0" w:line="192"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95"/>
              </w:rPr>
              <w:t>Capital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4"/>
                <w:szCs w:val="14"/>
                <w:color w:val="auto"/>
              </w:rPr>
            </w:pPr>
          </w:p>
        </w:tc>
        <w:tc>
          <w:tcPr>
            <w:tcW w:w="820" w:type="dxa"/>
            <w:vAlign w:val="bottom"/>
          </w:tcPr>
          <w:p>
            <w:pPr>
              <w:jc w:val="right"/>
              <w:ind w:right="79"/>
              <w:spacing w:after="0" w:line="162" w:lineRule="exact"/>
              <w:rPr>
                <w:sz w:val="20"/>
                <w:szCs w:val="20"/>
                <w:color w:val="auto"/>
              </w:rPr>
            </w:pPr>
            <w:r>
              <w:rPr>
                <w:rFonts w:ascii="Arial" w:cs="Arial" w:eastAsia="Arial" w:hAnsi="Arial"/>
                <w:sz w:val="16"/>
                <w:szCs w:val="16"/>
                <w:color w:val="auto"/>
                <w:w w:val="92"/>
              </w:rPr>
              <w:t>Excess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99"/>
              <w:spacing w:after="0" w:line="162" w:lineRule="exact"/>
              <w:rPr>
                <w:sz w:val="20"/>
                <w:szCs w:val="20"/>
                <w:color w:val="auto"/>
              </w:rPr>
            </w:pPr>
            <w:r>
              <w:rPr>
                <w:rFonts w:ascii="Arial" w:cs="Arial" w:eastAsia="Arial" w:hAnsi="Arial"/>
                <w:sz w:val="16"/>
                <w:szCs w:val="16"/>
                <w:color w:val="auto"/>
                <w:w w:val="93"/>
              </w:rPr>
              <w:t>Retained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80"/>
              <w:spacing w:after="0" w:line="162" w:lineRule="exact"/>
              <w:rPr>
                <w:sz w:val="20"/>
                <w:szCs w:val="20"/>
                <w:color w:val="auto"/>
              </w:rPr>
            </w:pPr>
            <w:r>
              <w:rPr>
                <w:rFonts w:ascii="Arial" w:cs="Arial" w:eastAsia="Arial" w:hAnsi="Arial"/>
                <w:sz w:val="16"/>
                <w:szCs w:val="16"/>
                <w:color w:val="auto"/>
                <w:w w:val="91"/>
              </w:rPr>
              <w:t>Treasury</w:t>
            </w:r>
          </w:p>
        </w:tc>
        <w:tc>
          <w:tcPr>
            <w:tcW w:w="220" w:type="dxa"/>
            <w:vAlign w:val="bottom"/>
          </w:tcPr>
          <w:p>
            <w:pPr>
              <w:spacing w:after="0"/>
              <w:rPr>
                <w:sz w:val="14"/>
                <w:szCs w:val="14"/>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5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Stock</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91"/>
              </w:rPr>
              <w:t>Par Value</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4"/>
              </w:rPr>
              <w:t>Earnings</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Stock</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Balance at December 31, 2021</w:t>
            </w:r>
          </w:p>
        </w:tc>
        <w:tc>
          <w:tcPr>
            <w:tcW w:w="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128,050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3,705,814</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1,434,201</w:t>
            </w:r>
          </w:p>
        </w:tc>
        <w:tc>
          <w:tcPr>
            <w:tcW w:w="1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6"/>
                <w:szCs w:val="16"/>
                <w:color w:val="auto"/>
              </w:rPr>
              <w:t>(83,615)</w:t>
            </w:r>
          </w:p>
        </w:tc>
        <w:tc>
          <w:tcPr>
            <w:tcW w:w="220" w:type="dxa"/>
            <w:vAlign w:val="bottom"/>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5,184,450</w:t>
            </w:r>
          </w:p>
        </w:tc>
        <w:tc>
          <w:tcPr>
            <w:tcW w:w="0" w:type="dxa"/>
            <w:vAlign w:val="bottom"/>
          </w:tcPr>
          <w:p>
            <w:pPr>
              <w:spacing w:after="0"/>
              <w:rPr>
                <w:sz w:val="1"/>
                <w:szCs w:val="1"/>
                <w:color w:val="auto"/>
              </w:rPr>
            </w:pPr>
          </w:p>
        </w:tc>
      </w:tr>
      <w:tr>
        <w:trPr>
          <w:trHeight w:val="176"/>
        </w:trPr>
        <w:tc>
          <w:tcPr>
            <w:tcW w:w="5680" w:type="dxa"/>
            <w:vAlign w:val="bottom"/>
          </w:tcPr>
          <w:p>
            <w:pPr>
              <w:spacing w:after="0" w:line="175" w:lineRule="exact"/>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199,376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199,376</w:t>
            </w:r>
          </w:p>
        </w:tc>
        <w:tc>
          <w:tcPr>
            <w:tcW w:w="0" w:type="dxa"/>
            <w:vAlign w:val="bottom"/>
          </w:tcPr>
          <w:p>
            <w:pPr>
              <w:spacing w:after="0"/>
              <w:rPr>
                <w:sz w:val="1"/>
                <w:szCs w:val="1"/>
                <w:color w:val="auto"/>
              </w:rPr>
            </w:pPr>
          </w:p>
        </w:tc>
      </w:tr>
      <w:tr>
        <w:trPr>
          <w:trHeight w:val="175"/>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Dividends of March 1, 2022 ($0.2682 per share)</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(67,821)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(67,821)</w:t>
            </w:r>
          </w:p>
        </w:tc>
        <w:tc>
          <w:tcPr>
            <w:tcW w:w="0" w:type="dxa"/>
            <w:vAlign w:val="bottom"/>
          </w:tcPr>
          <w:p>
            <w:pPr>
              <w:spacing w:after="0"/>
              <w:rPr>
                <w:sz w:val="1"/>
                <w:szCs w:val="1"/>
                <w:color w:val="auto"/>
              </w:rPr>
            </w:pPr>
          </w:p>
        </w:tc>
      </w:tr>
      <w:tr>
        <w:trPr>
          <w:trHeight w:val="176"/>
        </w:trPr>
        <w:tc>
          <w:tcPr>
            <w:tcW w:w="5680" w:type="dxa"/>
            <w:vAlign w:val="bottom"/>
          </w:tcPr>
          <w:p>
            <w:pPr>
              <w:spacing w:after="0" w:line="175" w:lineRule="exact"/>
              <w:rPr>
                <w:sz w:val="20"/>
                <w:szCs w:val="20"/>
                <w:color w:val="auto"/>
              </w:rPr>
            </w:pPr>
            <w:r>
              <w:rPr>
                <w:rFonts w:ascii="Arial" w:cs="Arial" w:eastAsia="Arial" w:hAnsi="Arial"/>
                <w:sz w:val="16"/>
                <w:szCs w:val="16"/>
                <w:color w:val="auto"/>
              </w:rPr>
              <w:t>Dividends of June 1, 2022 declared ($0.2682 per share)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(67,863)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(67,863)</w:t>
            </w:r>
          </w:p>
        </w:tc>
        <w:tc>
          <w:tcPr>
            <w:tcW w:w="0" w:type="dxa"/>
            <w:vAlign w:val="bottom"/>
          </w:tcPr>
          <w:p>
            <w:pPr>
              <w:spacing w:after="0"/>
              <w:rPr>
                <w:sz w:val="1"/>
                <w:szCs w:val="1"/>
                <w:color w:val="auto"/>
              </w:rPr>
            </w:pPr>
          </w:p>
        </w:tc>
      </w:tr>
      <w:tr>
        <w:trPr>
          <w:trHeight w:val="175"/>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Issuance of common stock under dividend reinvestment plan (93,833 shares)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4,070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4,117</w:t>
            </w:r>
          </w:p>
        </w:tc>
        <w:tc>
          <w:tcPr>
            <w:tcW w:w="0" w:type="dxa"/>
            <w:vAlign w:val="bottom"/>
          </w:tcPr>
          <w:p>
            <w:pPr>
              <w:spacing w:after="0"/>
              <w:rPr>
                <w:sz w:val="1"/>
                <w:szCs w:val="1"/>
                <w:color w:val="auto"/>
              </w:rPr>
            </w:pPr>
          </w:p>
        </w:tc>
      </w:tr>
      <w:tr>
        <w:trPr>
          <w:trHeight w:val="176"/>
        </w:trPr>
        <w:tc>
          <w:tcPr>
            <w:tcW w:w="5680" w:type="dxa"/>
            <w:vAlign w:val="bottom"/>
          </w:tcPr>
          <w:p>
            <w:pPr>
              <w:spacing w:after="0" w:line="175" w:lineRule="exact"/>
              <w:rPr>
                <w:sz w:val="20"/>
                <w:szCs w:val="20"/>
                <w:color w:val="auto"/>
              </w:rPr>
            </w:pPr>
            <w:r>
              <w:rPr>
                <w:rFonts w:ascii="Arial" w:cs="Arial" w:eastAsia="Arial" w:hAnsi="Arial"/>
                <w:sz w:val="16"/>
                <w:szCs w:val="16"/>
                <w:color w:val="auto"/>
              </w:rPr>
              <w:t>Repurchase of stock (21,290 shares)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(1,012)</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76"/>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Equity compensation plan (57,052 shares)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Exercise of stock options (28,516 shares)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998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176"/>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2,716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Other</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5" w:lineRule="exact"/>
              <w:rPr>
                <w:sz w:val="20"/>
                <w:szCs w:val="20"/>
                <w:color w:val="auto"/>
              </w:rPr>
            </w:pPr>
            <w:r>
              <w:rPr>
                <w:rFonts w:ascii="Arial" w:cs="Arial" w:eastAsia="Arial" w:hAnsi="Arial"/>
                <w:sz w:val="16"/>
                <w:szCs w:val="16"/>
                <w:color w:val="auto"/>
              </w:rPr>
              <w:t>270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69"/>
        </w:trPr>
        <w:tc>
          <w:tcPr>
            <w:tcW w:w="56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Balance at March 31, 2022</w:t>
            </w: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128,140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3,713,560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1,497,757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(84,357)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5,255,100</w:t>
            </w:r>
          </w:p>
        </w:tc>
        <w:tc>
          <w:tcPr>
            <w:tcW w:w="0" w:type="dxa"/>
            <w:vAlign w:val="bottom"/>
          </w:tcPr>
          <w:p>
            <w:pPr>
              <w:spacing w:after="0"/>
              <w:rPr>
                <w:sz w:val="1"/>
                <w:szCs w:val="1"/>
                <w:color w:val="auto"/>
              </w:rPr>
            </w:pPr>
          </w:p>
        </w:tc>
      </w:tr>
      <w:tr>
        <w:trPr>
          <w:trHeight w:val="176"/>
        </w:trPr>
        <w:tc>
          <w:tcPr>
            <w:tcW w:w="5680" w:type="dxa"/>
            <w:vAlign w:val="bottom"/>
          </w:tcPr>
          <w:p>
            <w:pPr>
              <w:spacing w:after="0" w:line="175" w:lineRule="exact"/>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82,291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82,291</w:t>
            </w:r>
          </w:p>
        </w:tc>
        <w:tc>
          <w:tcPr>
            <w:tcW w:w="0" w:type="dxa"/>
            <w:vAlign w:val="bottom"/>
          </w:tcPr>
          <w:p>
            <w:pPr>
              <w:spacing w:after="0"/>
              <w:rPr>
                <w:sz w:val="1"/>
                <w:szCs w:val="1"/>
                <w:color w:val="auto"/>
              </w:rPr>
            </w:pPr>
          </w:p>
        </w:tc>
      </w:tr>
      <w:tr>
        <w:trPr>
          <w:trHeight w:val="175"/>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Dividends of June 1, 2022 ($0.2682 per share)</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(2,424)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(2,424)</w:t>
            </w:r>
          </w:p>
        </w:tc>
        <w:tc>
          <w:tcPr>
            <w:tcW w:w="0" w:type="dxa"/>
            <w:vAlign w:val="bottom"/>
          </w:tcPr>
          <w:p>
            <w:pPr>
              <w:spacing w:after="0"/>
              <w:rPr>
                <w:sz w:val="1"/>
                <w:szCs w:val="1"/>
                <w:color w:val="auto"/>
              </w:rPr>
            </w:pPr>
          </w:p>
        </w:tc>
      </w:tr>
      <w:tr>
        <w:trPr>
          <w:trHeight w:val="176"/>
        </w:trPr>
        <w:tc>
          <w:tcPr>
            <w:tcW w:w="5680" w:type="dxa"/>
            <w:vAlign w:val="bottom"/>
          </w:tcPr>
          <w:p>
            <w:pPr>
              <w:spacing w:after="0" w:line="175" w:lineRule="exact"/>
              <w:rPr>
                <w:sz w:val="20"/>
                <w:szCs w:val="20"/>
                <w:color w:val="auto"/>
              </w:rPr>
            </w:pPr>
            <w:r>
              <w:rPr>
                <w:rFonts w:ascii="Arial" w:cs="Arial" w:eastAsia="Arial" w:hAnsi="Arial"/>
                <w:sz w:val="16"/>
                <w:szCs w:val="16"/>
                <w:color w:val="auto"/>
              </w:rPr>
              <w:t>Issuance of common stock from stock purchase contracts (9,029,461 shares)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4,515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(4,515)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Issuance of common stock under dividend reinvestment plan (92,889 shares)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4,007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4,054</w:t>
            </w:r>
          </w:p>
        </w:tc>
        <w:tc>
          <w:tcPr>
            <w:tcW w:w="0" w:type="dxa"/>
            <w:vAlign w:val="bottom"/>
          </w:tcPr>
          <w:p>
            <w:pPr>
              <w:spacing w:after="0"/>
              <w:rPr>
                <w:sz w:val="1"/>
                <w:szCs w:val="1"/>
                <w:color w:val="auto"/>
              </w:rPr>
            </w:pP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Repurchase of stock (305 shares)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(15)</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6"/>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Equity compensation plan (4,736 shares)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5680" w:type="dxa"/>
            <w:vAlign w:val="bottom"/>
          </w:tcPr>
          <w:p>
            <w:pPr>
              <w:spacing w:after="0" w:line="175" w:lineRule="exact"/>
              <w:rPr>
                <w:sz w:val="20"/>
                <w:szCs w:val="20"/>
                <w:color w:val="auto"/>
              </w:rPr>
            </w:pPr>
            <w:r>
              <w:rPr>
                <w:rFonts w:ascii="Arial" w:cs="Arial" w:eastAsia="Arial" w:hAnsi="Arial"/>
                <w:sz w:val="16"/>
                <w:szCs w:val="16"/>
                <w:color w:val="auto"/>
              </w:rPr>
              <w:t>Exercise of stock options (6,462 shares)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6"/>
                <w:szCs w:val="16"/>
                <w:color w:val="auto"/>
              </w:rPr>
              <w:t>224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76"/>
        </w:trPr>
        <w:tc>
          <w:tcPr>
            <w:tcW w:w="568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2,725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2,543</w:t>
            </w:r>
          </w:p>
        </w:tc>
        <w:tc>
          <w:tcPr>
            <w:tcW w:w="0" w:type="dxa"/>
            <w:vAlign w:val="bottom"/>
          </w:tcPr>
          <w:p>
            <w:pPr>
              <w:spacing w:after="0"/>
              <w:rPr>
                <w:sz w:val="1"/>
                <w:szCs w:val="1"/>
                <w:color w:val="auto"/>
              </w:rPr>
            </w:pPr>
          </w:p>
        </w:tc>
      </w:tr>
      <w:tr>
        <w:trPr>
          <w:trHeight w:val="162"/>
        </w:trPr>
        <w:tc>
          <w:tcPr>
            <w:tcW w:w="5680" w:type="dxa"/>
            <w:vAlign w:val="bottom"/>
          </w:tcPr>
          <w:p>
            <w:pPr>
              <w:spacing w:after="0" w:line="162" w:lineRule="exact"/>
              <w:rPr>
                <w:sz w:val="20"/>
                <w:szCs w:val="20"/>
                <w:color w:val="auto"/>
              </w:rPr>
            </w:pPr>
            <w:r>
              <w:rPr>
                <w:rFonts w:ascii="Arial" w:cs="Arial" w:eastAsia="Arial" w:hAnsi="Arial"/>
                <w:sz w:val="16"/>
                <w:szCs w:val="16"/>
                <w:color w:val="auto"/>
              </w:rPr>
              <w:t>Other</w:t>
            </w:r>
          </w:p>
        </w:tc>
        <w:tc>
          <w:tcPr>
            <w:tcW w:w="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(24)</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189"/>
        </w:trPr>
        <w:tc>
          <w:tcPr>
            <w:tcW w:w="568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Balance at June 30, 2022</w:t>
            </w:r>
          </w:p>
        </w:tc>
        <w:tc>
          <w:tcPr>
            <w:tcW w:w="8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132,707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3,715,975</w:t>
            </w:r>
          </w:p>
        </w:tc>
        <w:tc>
          <w:tcPr>
            <w:tcW w:w="2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1,577,442</w:t>
            </w:r>
          </w:p>
        </w:tc>
        <w:tc>
          <w:tcPr>
            <w:tcW w:w="18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6"/>
                <w:szCs w:val="16"/>
                <w:color w:val="auto"/>
              </w:rPr>
              <w:t>(84,092)</w:t>
            </w:r>
          </w:p>
        </w:tc>
        <w:tc>
          <w:tcPr>
            <w:tcW w:w="220" w:type="dxa"/>
            <w:vAlign w:val="bottom"/>
            <w:shd w:val="clear" w:color="auto" w:fill="CCEEFF"/>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5,342,032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102"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CONSOLIDATED STATEMENTS OF CASH FLOW</w:t>
      </w:r>
    </w:p>
    <w:p>
      <w:pPr>
        <w:ind w:left="4540"/>
        <w:spacing w:after="0" w:line="187" w:lineRule="auto"/>
        <w:rPr>
          <w:sz w:val="20"/>
          <w:szCs w:val="20"/>
          <w:color w:val="auto"/>
        </w:rPr>
      </w:pPr>
      <w:r>
        <w:rPr>
          <w:rFonts w:ascii="Arial" w:cs="Arial" w:eastAsia="Arial" w:hAnsi="Arial"/>
          <w:sz w:val="18"/>
          <w:szCs w:val="18"/>
          <w:color w:val="auto"/>
        </w:rPr>
        <w:t>(In thousands of dollars)</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6"/>
                <w:szCs w:val="16"/>
                <w:color w:val="auto"/>
              </w:rPr>
              <w:t>Six Months Ended</w:t>
            </w:r>
          </w:p>
        </w:tc>
        <w:tc>
          <w:tcPr>
            <w:tcW w:w="0" w:type="dxa"/>
            <w:vAlign w:val="bottom"/>
          </w:tcPr>
          <w:p>
            <w:pPr>
              <w:spacing w:after="0"/>
              <w:rPr>
                <w:sz w:val="1"/>
                <w:szCs w:val="1"/>
                <w:color w:val="auto"/>
              </w:rPr>
            </w:pPr>
          </w:p>
        </w:tc>
      </w:tr>
      <w:tr>
        <w:trPr>
          <w:trHeight w:val="199"/>
        </w:trPr>
        <w:tc>
          <w:tcPr>
            <w:tcW w:w="8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color w:val="auto"/>
              </w:rPr>
              <w:t>June 30,</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52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2023</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9"/>
              <w:spacing w:after="0" w:line="169" w:lineRule="exact"/>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69"/>
        </w:trPr>
        <w:tc>
          <w:tcPr>
            <w:tcW w:w="85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282,702</w:t>
            </w:r>
          </w:p>
        </w:tc>
        <w:tc>
          <w:tcPr>
            <w:tcW w:w="50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281,667</w:t>
            </w:r>
          </w:p>
        </w:tc>
        <w:tc>
          <w:tcPr>
            <w:tcW w:w="0" w:type="dxa"/>
            <w:vAlign w:val="bottom"/>
          </w:tcPr>
          <w:p>
            <w:pPr>
              <w:spacing w:after="0"/>
              <w:rPr>
                <w:sz w:val="1"/>
                <w:szCs w:val="1"/>
                <w:color w:val="auto"/>
              </w:rPr>
            </w:pPr>
          </w:p>
        </w:tc>
      </w:tr>
      <w:tr>
        <w:trPr>
          <w:trHeight w:val="176"/>
        </w:trPr>
        <w:tc>
          <w:tcPr>
            <w:tcW w:w="8520" w:type="dxa"/>
            <w:vAlign w:val="bottom"/>
          </w:tcPr>
          <w:p>
            <w:pPr>
              <w:spacing w:after="0" w:line="175" w:lineRule="exact"/>
              <w:rPr>
                <w:sz w:val="20"/>
                <w:szCs w:val="20"/>
                <w:color w:val="auto"/>
              </w:rPr>
            </w:pPr>
            <w:r>
              <w:rPr>
                <w:rFonts w:ascii="Arial" w:cs="Arial" w:eastAsia="Arial" w:hAnsi="Arial"/>
                <w:sz w:val="16"/>
                <w:szCs w:val="16"/>
                <w:color w:val="auto"/>
              </w:rPr>
              <w:t>Adjustments to reconcile net income to net cash flows from operating activities: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169,455</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157,522</w:t>
            </w:r>
          </w:p>
        </w:tc>
        <w:tc>
          <w:tcPr>
            <w:tcW w:w="0" w:type="dxa"/>
            <w:vAlign w:val="bottom"/>
          </w:tcPr>
          <w:p>
            <w:pPr>
              <w:spacing w:after="0"/>
              <w:rPr>
                <w:sz w:val="1"/>
                <w:szCs w:val="1"/>
                <w:color w:val="auto"/>
              </w:rPr>
            </w:pPr>
          </w:p>
        </w:tc>
      </w:tr>
      <w:tr>
        <w:trPr>
          <w:trHeight w:val="176"/>
        </w:trPr>
        <w:tc>
          <w:tcPr>
            <w:tcW w:w="8520" w:type="dxa"/>
            <w:vAlign w:val="bottom"/>
          </w:tcPr>
          <w:p>
            <w:pPr>
              <w:ind w:left="180"/>
              <w:spacing w:after="0" w:line="175" w:lineRule="exact"/>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(34,711)</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(13,810)</w:t>
            </w: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Provision for doubtful accounts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11,594</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12,793</w:t>
            </w:r>
          </w:p>
        </w:tc>
        <w:tc>
          <w:tcPr>
            <w:tcW w:w="0" w:type="dxa"/>
            <w:vAlign w:val="bottom"/>
          </w:tcPr>
          <w:p>
            <w:pPr>
              <w:spacing w:after="0"/>
              <w:rPr>
                <w:sz w:val="1"/>
                <w:szCs w:val="1"/>
                <w:color w:val="auto"/>
              </w:rPr>
            </w:pPr>
          </w:p>
        </w:tc>
      </w:tr>
      <w:tr>
        <w:trPr>
          <w:trHeight w:val="176"/>
        </w:trPr>
        <w:tc>
          <w:tcPr>
            <w:tcW w:w="8520" w:type="dxa"/>
            <w:vAlign w:val="bottom"/>
          </w:tcPr>
          <w:p>
            <w:pPr>
              <w:ind w:left="180"/>
              <w:spacing w:after="0" w:line="175" w:lineRule="exact"/>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6,950</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5,471</w:t>
            </w: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Gain on sale of utility systems and other assets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(469)</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75"/>
        </w:trPr>
        <w:tc>
          <w:tcPr>
            <w:tcW w:w="8520" w:type="dxa"/>
            <w:vAlign w:val="bottom"/>
          </w:tcPr>
          <w:p>
            <w:pPr>
              <w:ind w:left="180"/>
              <w:spacing w:after="0" w:line="175" w:lineRule="exact"/>
              <w:rPr>
                <w:sz w:val="20"/>
                <w:szCs w:val="20"/>
                <w:color w:val="auto"/>
              </w:rPr>
            </w:pPr>
            <w:r>
              <w:rPr>
                <w:rFonts w:ascii="Arial" w:cs="Arial" w:eastAsia="Arial" w:hAnsi="Arial"/>
                <w:sz w:val="16"/>
                <w:szCs w:val="16"/>
                <w:color w:val="auto"/>
              </w:rPr>
              <w:t>Net change in receivables, deferred purchased gas costs, inventory and prepayments</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300,648</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6,742</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Net change in payables, accrued interest, accrued taxes and other accrued liabilities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(90,739)</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(4,222)</w:t>
            </w:r>
          </w:p>
        </w:tc>
        <w:tc>
          <w:tcPr>
            <w:tcW w:w="0" w:type="dxa"/>
            <w:vAlign w:val="bottom"/>
          </w:tcPr>
          <w:p>
            <w:pPr>
              <w:spacing w:after="0"/>
              <w:rPr>
                <w:sz w:val="1"/>
                <w:szCs w:val="1"/>
                <w:color w:val="auto"/>
              </w:rPr>
            </w:pPr>
          </w:p>
        </w:tc>
      </w:tr>
      <w:tr>
        <w:trPr>
          <w:trHeight w:val="176"/>
        </w:trPr>
        <w:tc>
          <w:tcPr>
            <w:tcW w:w="8520" w:type="dxa"/>
            <w:vAlign w:val="bottom"/>
          </w:tcPr>
          <w:p>
            <w:pPr>
              <w:ind w:left="180"/>
              <w:spacing w:after="0" w:line="175" w:lineRule="exact"/>
              <w:rPr>
                <w:sz w:val="20"/>
                <w:szCs w:val="20"/>
                <w:color w:val="auto"/>
              </w:rPr>
            </w:pPr>
            <w:r>
              <w:rPr>
                <w:rFonts w:ascii="Arial" w:cs="Arial" w:eastAsia="Arial" w:hAnsi="Arial"/>
                <w:sz w:val="16"/>
                <w:szCs w:val="16"/>
                <w:color w:val="auto"/>
              </w:rPr>
              <w:t>Pension and other postretirement benefits contributions</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(14,564)</w:t>
            </w:r>
          </w:p>
        </w:tc>
        <w:tc>
          <w:tcPr>
            <w:tcW w:w="0" w:type="dxa"/>
            <w:vAlign w:val="bottom"/>
          </w:tcPr>
          <w:p>
            <w:pPr>
              <w:spacing w:after="0"/>
              <w:rPr>
                <w:sz w:val="1"/>
                <w:szCs w:val="1"/>
                <w:color w:val="auto"/>
              </w:rPr>
            </w:pPr>
          </w:p>
        </w:tc>
      </w:tr>
      <w:tr>
        <w:trPr>
          <w:trHeight w:val="176"/>
        </w:trPr>
        <w:tc>
          <w:tcPr>
            <w:tcW w:w="8520" w:type="dxa"/>
            <w:vAlign w:val="bottom"/>
            <w:tcBorders>
              <w:bottom w:val="single" w:sz="8" w:color="CCEEFF"/>
            </w:tcBorders>
            <w:shd w:val="clear" w:color="auto" w:fill="CCEEFF"/>
          </w:tcPr>
          <w:p>
            <w:pPr>
              <w:ind w:left="180"/>
              <w:spacing w:after="0" w:line="175" w:lineRule="exact"/>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(24,008)</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169"/>
        </w:trPr>
        <w:tc>
          <w:tcPr>
            <w:tcW w:w="8520" w:type="dxa"/>
            <w:vAlign w:val="bottom"/>
          </w:tcPr>
          <w:p>
            <w:pPr>
              <w:spacing w:after="0" w:line="169" w:lineRule="exact"/>
              <w:rPr>
                <w:sz w:val="20"/>
                <w:szCs w:val="20"/>
                <w:color w:val="auto"/>
              </w:rPr>
            </w:pPr>
            <w:r>
              <w:rPr>
                <w:rFonts w:ascii="Arial" w:cs="Arial" w:eastAsia="Arial" w:hAnsi="Arial"/>
                <w:sz w:val="16"/>
                <w:szCs w:val="16"/>
                <w:color w:val="auto"/>
              </w:rPr>
              <w:t>Net cash flows from operating activities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621,422</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416,302</w:t>
            </w:r>
          </w:p>
        </w:tc>
        <w:tc>
          <w:tcPr>
            <w:tcW w:w="0" w:type="dxa"/>
            <w:vAlign w:val="bottom"/>
          </w:tcPr>
          <w:p>
            <w:pPr>
              <w:spacing w:after="0"/>
              <w:rPr>
                <w:sz w:val="1"/>
                <w:szCs w:val="1"/>
                <w:color w:val="auto"/>
              </w:rPr>
            </w:pPr>
          </w:p>
        </w:tc>
      </w:tr>
      <w:tr>
        <w:trPr>
          <w:trHeight w:val="169"/>
        </w:trPr>
        <w:tc>
          <w:tcPr>
            <w:tcW w:w="8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520" w:type="dxa"/>
            <w:vAlign w:val="bottom"/>
          </w:tcPr>
          <w:p>
            <w:pPr>
              <w:ind w:left="120"/>
              <w:spacing w:after="0" w:line="152" w:lineRule="exact"/>
              <w:rPr>
                <w:sz w:val="20"/>
                <w:szCs w:val="20"/>
                <w:color w:val="auto"/>
              </w:rPr>
            </w:pPr>
            <w:r>
              <w:rPr>
                <w:rFonts w:ascii="Arial" w:cs="Arial" w:eastAsia="Arial" w:hAnsi="Arial"/>
                <w:sz w:val="16"/>
                <w:szCs w:val="16"/>
                <w:color w:val="auto"/>
                <w:w w:val="97"/>
              </w:rPr>
              <w:t>Property, plant and equipment additions, including the debt component of allowance for funds used during construction of</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520" w:type="dxa"/>
            <w:vAlign w:val="bottom"/>
          </w:tcPr>
          <w:p>
            <w:pPr>
              <w:ind w:left="120"/>
              <w:spacing w:after="0"/>
              <w:rPr>
                <w:sz w:val="20"/>
                <w:szCs w:val="20"/>
                <w:color w:val="auto"/>
              </w:rPr>
            </w:pPr>
            <w:r>
              <w:rPr>
                <w:rFonts w:ascii="Arial" w:cs="Arial" w:eastAsia="Arial" w:hAnsi="Arial"/>
                <w:sz w:val="16"/>
                <w:szCs w:val="16"/>
                <w:color w:val="auto"/>
              </w:rPr>
              <w:t>$2,587 and $ 3,013</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(547,600)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(424,645)</w:t>
            </w: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Acquisitions of utility systems, net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(25,793)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(50,010)</w:t>
            </w:r>
          </w:p>
        </w:tc>
        <w:tc>
          <w:tcPr>
            <w:tcW w:w="0" w:type="dxa"/>
            <w:vAlign w:val="bottom"/>
          </w:tcPr>
          <w:p>
            <w:pPr>
              <w:spacing w:after="0"/>
              <w:rPr>
                <w:sz w:val="1"/>
                <w:szCs w:val="1"/>
                <w:color w:val="auto"/>
              </w:rPr>
            </w:pPr>
          </w:p>
        </w:tc>
      </w:tr>
      <w:tr>
        <w:trPr>
          <w:trHeight w:val="176"/>
        </w:trPr>
        <w:tc>
          <w:tcPr>
            <w:tcW w:w="8520" w:type="dxa"/>
            <w:vAlign w:val="bottom"/>
          </w:tcPr>
          <w:p>
            <w:pPr>
              <w:ind w:left="120"/>
              <w:spacing w:after="0" w:line="175" w:lineRule="exact"/>
              <w:rPr>
                <w:sz w:val="20"/>
                <w:szCs w:val="20"/>
                <w:color w:val="auto"/>
              </w:rPr>
            </w:pPr>
            <w:r>
              <w:rPr>
                <w:rFonts w:ascii="Arial" w:cs="Arial" w:eastAsia="Arial" w:hAnsi="Arial"/>
                <w:sz w:val="16"/>
                <w:szCs w:val="16"/>
                <w:color w:val="auto"/>
              </w:rPr>
              <w:t>Net proceeds from the sale of utility systems and other assets</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613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75"/>
        </w:trPr>
        <w:tc>
          <w:tcPr>
            <w:tcW w:w="8520" w:type="dxa"/>
            <w:vAlign w:val="bottom"/>
            <w:tcBorders>
              <w:bottom w:val="single" w:sz="8" w:color="CCEEFF"/>
            </w:tcBorders>
            <w:shd w:val="clear" w:color="auto" w:fill="CCEEFF"/>
          </w:tcPr>
          <w:p>
            <w:pPr>
              <w:ind w:left="120"/>
              <w:spacing w:after="0" w:line="175" w:lineRule="exact"/>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386</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69"/>
        </w:trPr>
        <w:tc>
          <w:tcPr>
            <w:tcW w:w="8520" w:type="dxa"/>
            <w:vAlign w:val="bottom"/>
          </w:tcPr>
          <w:p>
            <w:pPr>
              <w:spacing w:after="0" w:line="169" w:lineRule="exact"/>
              <w:rPr>
                <w:sz w:val="20"/>
                <w:szCs w:val="20"/>
                <w:color w:val="auto"/>
              </w:rPr>
            </w:pPr>
            <w:r>
              <w:rPr>
                <w:rFonts w:ascii="Arial" w:cs="Arial" w:eastAsia="Arial" w:hAnsi="Arial"/>
                <w:sz w:val="16"/>
                <w:szCs w:val="16"/>
                <w:color w:val="auto"/>
              </w:rPr>
              <w:t>Net cash flows used in investing activities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(572,394)</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(474,013)</w:t>
            </w:r>
          </w:p>
        </w:tc>
        <w:tc>
          <w:tcPr>
            <w:tcW w:w="0" w:type="dxa"/>
            <w:vAlign w:val="bottom"/>
          </w:tcPr>
          <w:p>
            <w:pPr>
              <w:spacing w:after="0"/>
              <w:rPr>
                <w:sz w:val="1"/>
                <w:szCs w:val="1"/>
                <w:color w:val="auto"/>
              </w:rPr>
            </w:pPr>
          </w:p>
        </w:tc>
      </w:tr>
      <w:tr>
        <w:trPr>
          <w:trHeight w:val="169"/>
        </w:trPr>
        <w:tc>
          <w:tcPr>
            <w:tcW w:w="8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520" w:type="dxa"/>
            <w:vAlign w:val="bottom"/>
          </w:tcPr>
          <w:p>
            <w:pPr>
              <w:ind w:left="120"/>
              <w:spacing w:after="0" w:line="175" w:lineRule="exact"/>
              <w:rPr>
                <w:sz w:val="20"/>
                <w:szCs w:val="20"/>
                <w:color w:val="auto"/>
              </w:rPr>
            </w:pPr>
            <w:r>
              <w:rPr>
                <w:rFonts w:ascii="Arial" w:cs="Arial" w:eastAsia="Arial" w:hAnsi="Arial"/>
                <w:sz w:val="16"/>
                <w:szCs w:val="16"/>
                <w:color w:val="auto"/>
              </w:rPr>
              <w:t>Customers' advances and contributions in aid of construction</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9,375</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5,796</w:t>
            </w: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Repayments of customers' advances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(1,958)</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176"/>
        </w:trPr>
        <w:tc>
          <w:tcPr>
            <w:tcW w:w="8520" w:type="dxa"/>
            <w:vAlign w:val="bottom"/>
          </w:tcPr>
          <w:p>
            <w:pPr>
              <w:ind w:left="120"/>
              <w:spacing w:after="0" w:line="175" w:lineRule="exact"/>
              <w:rPr>
                <w:sz w:val="20"/>
                <w:szCs w:val="20"/>
                <w:color w:val="auto"/>
              </w:rPr>
            </w:pPr>
            <w:r>
              <w:rPr>
                <w:rFonts w:ascii="Arial" w:cs="Arial" w:eastAsia="Arial" w:hAnsi="Arial"/>
                <w:sz w:val="16"/>
                <w:szCs w:val="16"/>
                <w:color w:val="auto"/>
              </w:rPr>
              <w:t>Net proceeds (repayments) of short-term debt</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(180,457)</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(60,297)</w:t>
            </w: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Proceeds from long-term debt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384,715</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770,376</w:t>
            </w:r>
          </w:p>
        </w:tc>
        <w:tc>
          <w:tcPr>
            <w:tcW w:w="0" w:type="dxa"/>
            <w:vAlign w:val="bottom"/>
          </w:tcPr>
          <w:p>
            <w:pPr>
              <w:spacing w:after="0"/>
              <w:rPr>
                <w:sz w:val="1"/>
                <w:szCs w:val="1"/>
                <w:color w:val="auto"/>
              </w:rPr>
            </w:pPr>
          </w:p>
        </w:tc>
      </w:tr>
      <w:tr>
        <w:trPr>
          <w:trHeight w:val="176"/>
        </w:trPr>
        <w:tc>
          <w:tcPr>
            <w:tcW w:w="8520" w:type="dxa"/>
            <w:vAlign w:val="bottom"/>
          </w:tcPr>
          <w:p>
            <w:pPr>
              <w:ind w:left="120"/>
              <w:spacing w:after="0" w:line="175" w:lineRule="exact"/>
              <w:rPr>
                <w:sz w:val="20"/>
                <w:szCs w:val="20"/>
                <w:color w:val="auto"/>
              </w:rPr>
            </w:pPr>
            <w:r>
              <w:rPr>
                <w:rFonts w:ascii="Arial" w:cs="Arial" w:eastAsia="Arial" w:hAnsi="Arial"/>
                <w:sz w:val="16"/>
                <w:szCs w:val="16"/>
                <w:color w:val="auto"/>
              </w:rPr>
              <w:t>Repayments of long-term debt</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(136,604)</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(464,585)</w:t>
            </w: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Change in cash overdraft position</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3,795</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(61,061)</w:t>
            </w:r>
          </w:p>
        </w:tc>
        <w:tc>
          <w:tcPr>
            <w:tcW w:w="0" w:type="dxa"/>
            <w:vAlign w:val="bottom"/>
          </w:tcPr>
          <w:p>
            <w:pPr>
              <w:spacing w:after="0"/>
              <w:rPr>
                <w:sz w:val="1"/>
                <w:szCs w:val="1"/>
                <w:color w:val="auto"/>
              </w:rPr>
            </w:pPr>
          </w:p>
        </w:tc>
      </w:tr>
      <w:tr>
        <w:trPr>
          <w:trHeight w:val="175"/>
        </w:trPr>
        <w:tc>
          <w:tcPr>
            <w:tcW w:w="8520" w:type="dxa"/>
            <w:vAlign w:val="bottom"/>
          </w:tcPr>
          <w:p>
            <w:pPr>
              <w:ind w:left="120"/>
              <w:spacing w:after="0" w:line="175" w:lineRule="exact"/>
              <w:rPr>
                <w:sz w:val="20"/>
                <w:szCs w:val="20"/>
                <w:color w:val="auto"/>
              </w:rPr>
            </w:pPr>
            <w:r>
              <w:rPr>
                <w:rFonts w:ascii="Arial" w:cs="Arial" w:eastAsia="Arial" w:hAnsi="Arial"/>
                <w:sz w:val="16"/>
                <w:szCs w:val="16"/>
                <w:color w:val="auto"/>
              </w:rPr>
              <w:t>Proceeds from issuance of common stock under dividend reinvestment plan</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8,069</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8,171</w:t>
            </w: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Proceeds from issuance of common stock from at-the-market sale agreement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19,294</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8520" w:type="dxa"/>
            <w:vAlign w:val="bottom"/>
          </w:tcPr>
          <w:p>
            <w:pPr>
              <w:ind w:left="120"/>
              <w:spacing w:after="0" w:line="175" w:lineRule="exact"/>
              <w:rPr>
                <w:sz w:val="20"/>
                <w:szCs w:val="20"/>
                <w:color w:val="auto"/>
              </w:rPr>
            </w:pPr>
            <w:r>
              <w:rPr>
                <w:rFonts w:ascii="Arial" w:cs="Arial" w:eastAsia="Arial" w:hAnsi="Arial"/>
                <w:sz w:val="16"/>
                <w:szCs w:val="16"/>
                <w:color w:val="auto"/>
              </w:rPr>
              <w:t>Proceeds from exercised stock options</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209</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162"/>
        </w:trPr>
        <w:tc>
          <w:tcPr>
            <w:tcW w:w="852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(3,953)</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175"/>
        </w:trPr>
        <w:tc>
          <w:tcPr>
            <w:tcW w:w="8520" w:type="dxa"/>
            <w:vAlign w:val="bottom"/>
          </w:tcPr>
          <w:p>
            <w:pPr>
              <w:ind w:left="120"/>
              <w:spacing w:after="0" w:line="175" w:lineRule="exact"/>
              <w:rPr>
                <w:sz w:val="20"/>
                <w:szCs w:val="20"/>
                <w:color w:val="auto"/>
              </w:rPr>
            </w:pPr>
            <w:r>
              <w:rPr>
                <w:rFonts w:ascii="Arial" w:cs="Arial" w:eastAsia="Arial" w:hAnsi="Arial"/>
                <w:sz w:val="16"/>
                <w:szCs w:val="16"/>
                <w:color w:val="auto"/>
              </w:rPr>
              <w:t>Dividends paid on common stock</w:t>
            </w:r>
          </w:p>
        </w:tc>
        <w:tc>
          <w:tcPr>
            <w:tcW w:w="280" w:type="dxa"/>
            <w:vAlign w:val="bottom"/>
          </w:tcPr>
          <w:p>
            <w:pPr>
              <w:spacing w:after="0"/>
              <w:rPr>
                <w:sz w:val="15"/>
                <w:szCs w:val="15"/>
                <w:color w:val="auto"/>
              </w:rPr>
            </w:pPr>
          </w:p>
        </w:tc>
        <w:tc>
          <w:tcPr>
            <w:tcW w:w="1000" w:type="dxa"/>
            <w:vAlign w:val="bottom"/>
          </w:tcPr>
          <w:p>
            <w:pPr>
              <w:jc w:val="right"/>
              <w:spacing w:after="0" w:line="175" w:lineRule="exact"/>
              <w:rPr>
                <w:sz w:val="20"/>
                <w:szCs w:val="20"/>
                <w:color w:val="auto"/>
              </w:rPr>
            </w:pPr>
            <w:r>
              <w:rPr>
                <w:rFonts w:ascii="Arial" w:cs="Arial" w:eastAsia="Arial" w:hAnsi="Arial"/>
                <w:sz w:val="16"/>
                <w:szCs w:val="16"/>
                <w:color w:val="auto"/>
              </w:rPr>
              <w:t>(151,686)</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(138,108)</w:t>
            </w:r>
          </w:p>
        </w:tc>
        <w:tc>
          <w:tcPr>
            <w:tcW w:w="0" w:type="dxa"/>
            <w:vAlign w:val="bottom"/>
          </w:tcPr>
          <w:p>
            <w:pPr>
              <w:spacing w:after="0"/>
              <w:rPr>
                <w:sz w:val="1"/>
                <w:szCs w:val="1"/>
                <w:color w:val="auto"/>
              </w:rPr>
            </w:pPr>
          </w:p>
        </w:tc>
      </w:tr>
      <w:tr>
        <w:trPr>
          <w:trHeight w:val="176"/>
        </w:trPr>
        <w:tc>
          <w:tcPr>
            <w:tcW w:w="8520" w:type="dxa"/>
            <w:vAlign w:val="bottom"/>
            <w:tcBorders>
              <w:bottom w:val="single" w:sz="8" w:color="CCEEFF"/>
            </w:tcBorders>
            <w:shd w:val="clear" w:color="auto" w:fill="CCEEFF"/>
          </w:tcPr>
          <w:p>
            <w:pPr>
              <w:ind w:left="120"/>
              <w:spacing w:after="0" w:line="175" w:lineRule="exact"/>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417</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169"/>
        </w:trPr>
        <w:tc>
          <w:tcPr>
            <w:tcW w:w="8520" w:type="dxa"/>
            <w:vAlign w:val="bottom"/>
          </w:tcPr>
          <w:p>
            <w:pPr>
              <w:spacing w:after="0" w:line="169" w:lineRule="exact"/>
              <w:rPr>
                <w:sz w:val="20"/>
                <w:szCs w:val="20"/>
                <w:color w:val="auto"/>
              </w:rPr>
            </w:pPr>
            <w:r>
              <w:rPr>
                <w:rFonts w:ascii="Arial" w:cs="Arial" w:eastAsia="Arial" w:hAnsi="Arial"/>
                <w:sz w:val="16"/>
                <w:szCs w:val="16"/>
                <w:color w:val="auto"/>
              </w:rPr>
              <w:t>Net cash flows from (used in) financing activities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(48,784)</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60,120</w:t>
            </w:r>
          </w:p>
        </w:tc>
        <w:tc>
          <w:tcPr>
            <w:tcW w:w="0" w:type="dxa"/>
            <w:vAlign w:val="bottom"/>
          </w:tcPr>
          <w:p>
            <w:pPr>
              <w:spacing w:after="0"/>
              <w:rPr>
                <w:sz w:val="1"/>
                <w:szCs w:val="1"/>
                <w:color w:val="auto"/>
              </w:rPr>
            </w:pPr>
          </w:p>
        </w:tc>
      </w:tr>
      <w:tr>
        <w:trPr>
          <w:trHeight w:val="169"/>
        </w:trPr>
        <w:tc>
          <w:tcPr>
            <w:tcW w:w="8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Net change in cash and cash equivalents</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244</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175"/>
        </w:trPr>
        <w:tc>
          <w:tcPr>
            <w:tcW w:w="8520" w:type="dxa"/>
            <w:vAlign w:val="bottom"/>
          </w:tcPr>
          <w:p>
            <w:pPr>
              <w:spacing w:after="0" w:line="175" w:lineRule="exact"/>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11,398</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10,567</w:t>
            </w:r>
          </w:p>
        </w:tc>
        <w:tc>
          <w:tcPr>
            <w:tcW w:w="0" w:type="dxa"/>
            <w:vAlign w:val="bottom"/>
          </w:tcPr>
          <w:p>
            <w:pPr>
              <w:spacing w:after="0"/>
              <w:rPr>
                <w:sz w:val="1"/>
                <w:szCs w:val="1"/>
                <w:color w:val="auto"/>
              </w:rPr>
            </w:pPr>
          </w:p>
        </w:tc>
      </w:tr>
      <w:tr>
        <w:trPr>
          <w:trHeight w:val="209"/>
        </w:trPr>
        <w:tc>
          <w:tcPr>
            <w:tcW w:w="85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11,642</w:t>
            </w:r>
          </w:p>
        </w:tc>
        <w:tc>
          <w:tcPr>
            <w:tcW w:w="500" w:type="dxa"/>
            <w:vAlign w:val="bottom"/>
            <w:gridSpan w:val="2"/>
            <w:shd w:val="clear" w:color="auto" w:fill="CCEEFF"/>
          </w:tcPr>
          <w:p>
            <w:pPr>
              <w:jc w:val="right"/>
              <w:ind w:right="240"/>
              <w:spacing w:after="0" w:line="169"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12,976</w:t>
            </w:r>
          </w:p>
        </w:tc>
        <w:tc>
          <w:tcPr>
            <w:tcW w:w="0" w:type="dxa"/>
            <w:vAlign w:val="bottom"/>
          </w:tcPr>
          <w:p>
            <w:pPr>
              <w:spacing w:after="0"/>
              <w:rPr>
                <w:sz w:val="1"/>
                <w:szCs w:val="1"/>
                <w:color w:val="auto"/>
              </w:rPr>
            </w:pPr>
          </w:p>
        </w:tc>
      </w:tr>
      <w:tr>
        <w:trPr>
          <w:trHeight w:val="332"/>
        </w:trPr>
        <w:tc>
          <w:tcPr>
            <w:tcW w:w="85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Non-cash investing activities:</w:t>
            </w: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20"/>
              <w:spacing w:after="0" w:line="175" w:lineRule="exact"/>
              <w:rPr>
                <w:sz w:val="20"/>
                <w:szCs w:val="20"/>
                <w:color w:val="auto"/>
              </w:rPr>
            </w:pPr>
            <w:r>
              <w:rPr>
                <w:rFonts w:ascii="Arial" w:cs="Arial" w:eastAsia="Arial" w:hAnsi="Arial"/>
                <w:sz w:val="16"/>
                <w:szCs w:val="16"/>
                <w:color w:val="auto"/>
              </w:rPr>
              <w:t>Property, plant and equipment additions purchased at the period end, but not yet paid for</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124,503</w:t>
            </w:r>
          </w:p>
        </w:tc>
        <w:tc>
          <w:tcPr>
            <w:tcW w:w="50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94,473</w:t>
            </w:r>
          </w:p>
        </w:tc>
        <w:tc>
          <w:tcPr>
            <w:tcW w:w="0" w:type="dxa"/>
            <w:vAlign w:val="bottom"/>
          </w:tcPr>
          <w:p>
            <w:pPr>
              <w:spacing w:after="0"/>
              <w:rPr>
                <w:sz w:val="1"/>
                <w:szCs w:val="1"/>
                <w:color w:val="auto"/>
              </w:rPr>
            </w:pPr>
          </w:p>
        </w:tc>
      </w:tr>
      <w:tr>
        <w:trPr>
          <w:trHeight w:val="206"/>
        </w:trPr>
        <w:tc>
          <w:tcPr>
            <w:tcW w:w="8520" w:type="dxa"/>
            <w:vAlign w:val="bottom"/>
          </w:tcPr>
          <w:p>
            <w:pPr>
              <w:ind w:left="120"/>
              <w:spacing w:after="0"/>
              <w:rPr>
                <w:sz w:val="20"/>
                <w:szCs w:val="20"/>
                <w:color w:val="auto"/>
              </w:rPr>
            </w:pPr>
            <w:r>
              <w:rPr>
                <w:rFonts w:ascii="Arial" w:cs="Arial" w:eastAsia="Arial" w:hAnsi="Arial"/>
                <w:sz w:val="16"/>
                <w:szCs w:val="16"/>
                <w:color w:val="auto"/>
              </w:rPr>
              <w:t>Non-cash utility property contributions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25,980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8,789</w:t>
            </w:r>
          </w:p>
        </w:tc>
        <w:tc>
          <w:tcPr>
            <w:tcW w:w="0" w:type="dxa"/>
            <w:vAlign w:val="bottom"/>
          </w:tcPr>
          <w:p>
            <w:pPr>
              <w:spacing w:after="0"/>
              <w:rPr>
                <w:sz w:val="1"/>
                <w:szCs w:val="1"/>
                <w:color w:val="auto"/>
              </w:rPr>
            </w:pPr>
          </w:p>
        </w:tc>
      </w:tr>
      <w:tr>
        <w:trPr>
          <w:trHeight w:val="328"/>
        </w:trPr>
        <w:tc>
          <w:tcPr>
            <w:tcW w:w="8520" w:type="dxa"/>
            <w:vAlign w:val="bottom"/>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u w:val="single" w:color="auto"/>
          <w:color w:val="0563C1"/>
        </w:rPr>
        <w:t>Table of Contents</w:t>
      </w:r>
    </w:p>
    <w:p>
      <w:pPr>
        <w:jc w:val="center"/>
        <w:ind w:right="-19"/>
        <w:spacing w:after="0" w:line="230" w:lineRule="auto"/>
        <w:rPr>
          <w:sz w:val="20"/>
          <w:szCs w:val="20"/>
          <w:color w:val="auto"/>
        </w:rPr>
      </w:pPr>
      <w:r>
        <w:rPr>
          <w:rFonts w:ascii="Arial" w:cs="Arial" w:eastAsia="Arial" w:hAnsi="Arial"/>
          <w:sz w:val="22"/>
          <w:szCs w:val="22"/>
          <w:color w:val="auto"/>
        </w:rPr>
        <w:t>ESSENTIAL UTILITIES, INC. AND SUBSIDIARIES</w:t>
      </w:r>
    </w:p>
    <w:p>
      <w:pPr>
        <w:jc w:val="center"/>
        <w:ind w:right="-79"/>
        <w:spacing w:after="0" w:line="218" w:lineRule="auto"/>
        <w:rPr>
          <w:sz w:val="20"/>
          <w:szCs w:val="20"/>
          <w:color w:val="auto"/>
        </w:rPr>
      </w:pPr>
      <w:r>
        <w:rPr>
          <w:rFonts w:ascii="Arial" w:cs="Arial" w:eastAsia="Arial" w:hAnsi="Arial"/>
          <w:sz w:val="22"/>
          <w:szCs w:val="22"/>
          <w:color w:val="auto"/>
        </w:rPr>
        <w:t>NOTES TO CONSOLIDATED FINANCIAL STATEMENTS</w:t>
      </w:r>
    </w:p>
    <w:p>
      <w:pPr>
        <w:jc w:val="center"/>
        <w:ind w:right="-7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79"/>
        <w:spacing w:after="0"/>
        <w:rPr>
          <w:sz w:val="20"/>
          <w:szCs w:val="20"/>
          <w:color w:val="auto"/>
        </w:rPr>
      </w:pPr>
      <w:r>
        <w:rPr>
          <w:rFonts w:ascii="Arial" w:cs="Arial" w:eastAsia="Arial" w:hAnsi="Arial"/>
          <w:sz w:val="22"/>
          <w:szCs w:val="22"/>
          <w:color w:val="auto"/>
        </w:rPr>
        <w:t>(UNAUDITED)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 </w:t>
      </w:r>
      <w:r>
        <w:rPr>
          <w:rFonts w:ascii="Arial" w:cs="Arial" w:eastAsia="Arial" w:hAnsi="Arial"/>
          <w:sz w:val="22"/>
          <w:szCs w:val="22"/>
          <w:b w:val="1"/>
          <w:bCs w:val="1"/>
          <w:i w:val="1"/>
          <w:iCs w:val="1"/>
          <w:color w:val="auto"/>
        </w:rPr>
        <w:t>Basis of Presentation</w:t>
      </w:r>
    </w:p>
    <w:p>
      <w:pPr>
        <w:spacing w:after="0" w:line="199" w:lineRule="exact"/>
        <w:rPr>
          <w:sz w:val="20"/>
          <w:szCs w:val="20"/>
          <w:color w:val="auto"/>
        </w:rPr>
      </w:pPr>
    </w:p>
    <w:p>
      <w:pPr>
        <w:ind w:right="40"/>
        <w:spacing w:after="0" w:line="235" w:lineRule="auto"/>
        <w:rPr>
          <w:sz w:val="20"/>
          <w:szCs w:val="20"/>
          <w:color w:val="auto"/>
        </w:rPr>
      </w:pPr>
      <w:r>
        <w:rPr>
          <w:rFonts w:ascii="Arial" w:cs="Arial" w:eastAsia="Arial" w:hAnsi="Arial"/>
          <w:sz w:val="21"/>
          <w:szCs w:val="21"/>
          <w:color w:val="auto"/>
        </w:rPr>
        <w:t>The accompanying unaudited consolidated balance sheets and statements of capitalization of Essential Utilities, Inc. and subsidiaries (collectively, the “Company”, “we”, “us” or “our”) at June 30, 2023, the unaudited consolidated statements of operations and comprehensive income for the three and six months ended June 30, 2023, and the unaudited consolidated statements of cash flows and of equity for the six months ended June 30, 2023 and 2022, have been prepared in accordance with accounting principles generally accepted in the United States (“GAAP”) for interim reporting and the rules and regulations for reporting on Quarterly Reports on Form 10-Q. Because they cover interim periods, the statements and related notes to the financial statements do not include all disclosures and notes normally provided in annual financial statements and, therefore, should be read in conjunction with the Company’s Annual Report on Form 10-K for the year ended December 31, 2022. Interim results are not necessarily indicative of results for a full year. In the opinion of management, all adjustments, consisting of only recurring accruals, which are necessary to present a fair statement of its consolidated balance sheets, consolidated statements of equity, consolidated statements of operations and comprehensive income, and consolidated cash flow for the periods presented, have been made.</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preparation of financial statements often requires the selection of specific accounting methods and policies. Significant estimates and judgments may be required in selecting and applying those methods and policies in the recognition of the assets and liabilities in its consolidated balance sheets, the revenues and expenses in its consolidated statements of operations and comprehensive income, and the information that is contained in its summary of significant accounting policies and notes to consolidated financial statements. Making these estimates and judgments requires the analysis of information concerning events that may not yet be complete and of facts and circumstances that may change over time. Furthermore, we are exposed to the uncertain state of the economy and macroeconomic conditions, including inflation and rising interest rates. As these continue to evolve, future events and effects related to these conditions cannot be determined with precision. Accordingly, actual amounts or future results can differ materially from those estimates that the Company includes currently in its consolidated financial statements, summary of significant accounting policies, and notes.</w:t>
      </w:r>
    </w:p>
    <w:p>
      <w:pPr>
        <w:spacing w:after="0" w:line="171"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There have been no changes to the summary of significant accounting policies previously identified in the Company’s Annual Report on Form 10-K for the year ended December 31, 2022.</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 w:right="399"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 </w:t>
      </w:r>
      <w:r>
        <w:rPr>
          <w:rFonts w:ascii="Arial" w:cs="Arial" w:eastAsia="Arial" w:hAnsi="Arial"/>
          <w:sz w:val="22"/>
          <w:szCs w:val="22"/>
          <w:b w:val="1"/>
          <w:bCs w:val="1"/>
          <w:i w:val="1"/>
          <w:iCs w:val="1"/>
          <w:color w:val="auto"/>
        </w:rPr>
        <w:t>Revenue Recognition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our revenues disaggregated by major source and customer class: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color w:val="auto"/>
                <w:w w:val="93"/>
              </w:rPr>
              <w:t>Three Months Ended</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color w:val="auto"/>
                <w:w w:val="91"/>
              </w:rPr>
              <w:t>Three Months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June 30, 2023</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0"/>
              </w:rPr>
              <w:t>June 30, 2022</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228"/>
              <w:spacing w:after="0" w:line="123" w:lineRule="exact"/>
              <w:rPr>
                <w:sz w:val="20"/>
                <w:szCs w:val="20"/>
                <w:color w:val="auto"/>
              </w:rPr>
            </w:pPr>
            <w:r>
              <w:rPr>
                <w:rFonts w:ascii="Arial" w:cs="Arial" w:eastAsia="Arial" w:hAnsi="Arial"/>
                <w:sz w:val="14"/>
                <w:szCs w:val="14"/>
                <w:color w:val="auto"/>
              </w:rPr>
              <w:t>Water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48"/>
              <w:spacing w:after="0" w:line="123" w:lineRule="exact"/>
              <w:rPr>
                <w:sz w:val="20"/>
                <w:szCs w:val="20"/>
                <w:color w:val="auto"/>
              </w:rPr>
            </w:pPr>
            <w:r>
              <w:rPr>
                <w:rFonts w:ascii="Arial" w:cs="Arial" w:eastAsia="Arial" w:hAnsi="Arial"/>
                <w:sz w:val="14"/>
                <w:szCs w:val="14"/>
                <w:color w:val="auto"/>
                <w:w w:val="89"/>
              </w:rPr>
              <w:t>Wastewater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0"/>
              </w:rPr>
              <w:t>Natural Gas</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44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4"/>
                <w:szCs w:val="14"/>
                <w:color w:val="auto"/>
              </w:rPr>
              <w:t>Wastewater</w:t>
            </w:r>
          </w:p>
        </w:tc>
        <w:tc>
          <w:tcPr>
            <w:tcW w:w="100" w:type="dxa"/>
            <w:vAlign w:val="bottom"/>
          </w:tcPr>
          <w:p>
            <w:pPr>
              <w:spacing w:after="0"/>
              <w:rPr>
                <w:sz w:val="10"/>
                <w:szCs w:val="10"/>
                <w:color w:val="auto"/>
              </w:rPr>
            </w:pPr>
          </w:p>
        </w:tc>
        <w:tc>
          <w:tcPr>
            <w:tcW w:w="880" w:type="dxa"/>
            <w:vAlign w:val="bottom"/>
          </w:tcPr>
          <w:p>
            <w:pPr>
              <w:jc w:val="right"/>
              <w:ind w:right="88"/>
              <w:spacing w:after="0" w:line="123" w:lineRule="exact"/>
              <w:rPr>
                <w:sz w:val="20"/>
                <w:szCs w:val="20"/>
                <w:color w:val="auto"/>
              </w:rPr>
            </w:pPr>
            <w:r>
              <w:rPr>
                <w:rFonts w:ascii="Arial" w:cs="Arial" w:eastAsia="Arial" w:hAnsi="Arial"/>
                <w:sz w:val="14"/>
                <w:szCs w:val="14"/>
                <w:color w:val="auto"/>
                <w:w w:val="93"/>
              </w:rPr>
              <w:t>Natural Gas</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vMerge w:val="restart"/>
          </w:tcPr>
          <w:p>
            <w:pPr>
              <w:spacing w:after="0"/>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5"/>
              </w:rPr>
              <w:t>Revenues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8"/>
              </w:rPr>
              <w:t>Revenues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color w:val="auto"/>
              </w:rPr>
              <w:t>Other Revenues</w:t>
            </w:r>
          </w:p>
        </w:tc>
        <w:tc>
          <w:tcPr>
            <w:tcW w:w="14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5"/>
                <w:szCs w:val="15"/>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w w:val="92"/>
              </w:rPr>
              <w:t>Other Revenues</w:t>
            </w:r>
          </w:p>
        </w:tc>
        <w:tc>
          <w:tcPr>
            <w:tcW w:w="0" w:type="dxa"/>
            <w:vAlign w:val="bottom"/>
          </w:tcPr>
          <w:p>
            <w:pPr>
              <w:spacing w:after="0"/>
              <w:rPr>
                <w:sz w:val="1"/>
                <w:szCs w:val="1"/>
                <w:color w:val="auto"/>
              </w:rPr>
            </w:pPr>
          </w:p>
        </w:tc>
      </w:tr>
      <w:tr>
        <w:trPr>
          <w:trHeight w:val="142"/>
        </w:trPr>
        <w:tc>
          <w:tcPr>
            <w:tcW w:w="2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167,121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34,046</w:t>
            </w:r>
          </w:p>
        </w:tc>
        <w:tc>
          <w:tcPr>
            <w:tcW w:w="2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76,476</w:t>
            </w:r>
          </w:p>
        </w:tc>
        <w:tc>
          <w:tcPr>
            <w:tcW w:w="400" w:type="dxa"/>
            <w:vAlign w:val="bottom"/>
            <w:gridSpan w:val="2"/>
            <w:shd w:val="clear" w:color="auto" w:fill="CCEEFF"/>
          </w:tcPr>
          <w:p>
            <w:pPr>
              <w:jc w:val="right"/>
              <w:ind w:right="215"/>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149,542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95,942</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46,774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8,656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16,297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18,853</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Fire protection</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Industrial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8,289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7,604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957</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Gas transportation &amp; storage</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34,862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40,573</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Other water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11,917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15,899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wastewater</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ind w:left="120"/>
              <w:spacing w:after="0" w:line="149" w:lineRule="exact"/>
              <w:rPr>
                <w:sz w:val="20"/>
                <w:szCs w:val="20"/>
                <w:color w:val="auto"/>
              </w:rPr>
            </w:pPr>
            <w:r>
              <w:rPr>
                <w:rFonts w:ascii="Arial" w:cs="Arial" w:eastAsia="Arial" w:hAnsi="Arial"/>
                <w:sz w:val="14"/>
                <w:szCs w:val="14"/>
                <w:color w:val="auto"/>
              </w:rPr>
              <w:t>Other utility</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10,845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2,649</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11,840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Revenues from contracts with customers</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244,286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45,941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138,951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2,649</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223,617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41,565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168,165</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Arial" w:cs="Arial" w:eastAsia="Arial" w:hAnsi="Arial"/>
                <w:sz w:val="14"/>
                <w:szCs w:val="14"/>
                <w:color w:val="auto"/>
              </w:rPr>
              <w:t>Alternative revenue program</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Other and eliminations</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4,045</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(545)</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11,505</w:t>
            </w:r>
          </w:p>
        </w:tc>
        <w:tc>
          <w:tcPr>
            <w:tcW w:w="0" w:type="dxa"/>
            <w:vAlign w:val="bottom"/>
          </w:tcPr>
          <w:p>
            <w:pPr>
              <w:spacing w:after="0"/>
              <w:rPr>
                <w:sz w:val="1"/>
                <w:szCs w:val="1"/>
                <w:color w:val="auto"/>
              </w:rPr>
            </w:pPr>
          </w:p>
        </w:tc>
      </w:tr>
      <w:tr>
        <w:trPr>
          <w:trHeight w:val="142"/>
        </w:trPr>
        <w:tc>
          <w:tcPr>
            <w:tcW w:w="2620" w:type="dxa"/>
            <w:vAlign w:val="bottom"/>
          </w:tcPr>
          <w:p>
            <w:pPr>
              <w:spacing w:after="0" w:line="142" w:lineRule="exact"/>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245,053</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45,970</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138,983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6,694</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224,181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41,404</w:t>
            </w: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168,341</w:t>
            </w:r>
          </w:p>
        </w:tc>
        <w:tc>
          <w:tcPr>
            <w:tcW w:w="1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14,830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60" w:type="dxa"/>
            <w:vAlign w:val="bottom"/>
            <w:gridSpan w:val="5"/>
          </w:tcPr>
          <w:p>
            <w:pPr>
              <w:jc w:val="center"/>
              <w:spacing w:after="0"/>
              <w:rPr>
                <w:sz w:val="20"/>
                <w:szCs w:val="20"/>
                <w:color w:val="auto"/>
              </w:rPr>
            </w:pPr>
            <w:r>
              <w:rPr>
                <w:rFonts w:ascii="Arial" w:cs="Arial" w:eastAsia="Arial" w:hAnsi="Arial"/>
                <w:sz w:val="14"/>
                <w:szCs w:val="14"/>
                <w:color w:val="auto"/>
                <w:w w:val="93"/>
              </w:rPr>
              <w:t>Six Months Ended</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color w:val="auto"/>
                <w:w w:val="95"/>
              </w:rPr>
              <w:t>Six Months Ended</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0"/>
              </w:rPr>
              <w:t>June 30, 2023</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0"/>
              </w:rPr>
              <w:t>June 30, 2022</w:t>
            </w: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228"/>
              <w:spacing w:after="0" w:line="123" w:lineRule="exact"/>
              <w:rPr>
                <w:sz w:val="20"/>
                <w:szCs w:val="20"/>
                <w:color w:val="auto"/>
              </w:rPr>
            </w:pPr>
            <w:r>
              <w:rPr>
                <w:rFonts w:ascii="Arial" w:cs="Arial" w:eastAsia="Arial" w:hAnsi="Arial"/>
                <w:sz w:val="14"/>
                <w:szCs w:val="14"/>
                <w:color w:val="auto"/>
              </w:rPr>
              <w:t>Water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48"/>
              <w:spacing w:after="0" w:line="123" w:lineRule="exact"/>
              <w:rPr>
                <w:sz w:val="20"/>
                <w:szCs w:val="20"/>
                <w:color w:val="auto"/>
              </w:rPr>
            </w:pPr>
            <w:r>
              <w:rPr>
                <w:rFonts w:ascii="Arial" w:cs="Arial" w:eastAsia="Arial" w:hAnsi="Arial"/>
                <w:sz w:val="14"/>
                <w:szCs w:val="14"/>
                <w:color w:val="auto"/>
                <w:w w:val="89"/>
              </w:rPr>
              <w:t>Wastewater</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20"/>
              <w:spacing w:after="0" w:line="123" w:lineRule="exact"/>
              <w:rPr>
                <w:sz w:val="20"/>
                <w:szCs w:val="20"/>
                <w:color w:val="auto"/>
              </w:rPr>
            </w:pPr>
            <w:r>
              <w:rPr>
                <w:rFonts w:ascii="Arial" w:cs="Arial" w:eastAsia="Arial" w:hAnsi="Arial"/>
                <w:sz w:val="14"/>
                <w:szCs w:val="14"/>
                <w:color w:val="auto"/>
                <w:w w:val="90"/>
              </w:rPr>
              <w:t>Natural Gas</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440"/>
              <w:spacing w:after="0" w:line="123" w:lineRule="exact"/>
              <w:rPr>
                <w:sz w:val="20"/>
                <w:szCs w:val="20"/>
                <w:color w:val="auto"/>
              </w:rPr>
            </w:pPr>
            <w:r>
              <w:rPr>
                <w:rFonts w:ascii="Arial" w:cs="Arial" w:eastAsia="Arial" w:hAnsi="Arial"/>
                <w:sz w:val="14"/>
                <w:szCs w:val="14"/>
                <w:color w:val="auto"/>
              </w:rPr>
              <w:t>Water</w:t>
            </w:r>
          </w:p>
        </w:tc>
        <w:tc>
          <w:tcPr>
            <w:tcW w:w="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4"/>
                <w:szCs w:val="14"/>
                <w:color w:val="auto"/>
              </w:rPr>
              <w:t>Wastewater</w:t>
            </w:r>
          </w:p>
        </w:tc>
        <w:tc>
          <w:tcPr>
            <w:tcW w:w="100" w:type="dxa"/>
            <w:vAlign w:val="bottom"/>
          </w:tcPr>
          <w:p>
            <w:pPr>
              <w:spacing w:after="0"/>
              <w:rPr>
                <w:sz w:val="10"/>
                <w:szCs w:val="10"/>
                <w:color w:val="auto"/>
              </w:rPr>
            </w:pPr>
          </w:p>
        </w:tc>
        <w:tc>
          <w:tcPr>
            <w:tcW w:w="880" w:type="dxa"/>
            <w:vAlign w:val="bottom"/>
          </w:tcPr>
          <w:p>
            <w:pPr>
              <w:jc w:val="right"/>
              <w:ind w:right="88"/>
              <w:spacing w:after="0" w:line="123" w:lineRule="exact"/>
              <w:rPr>
                <w:sz w:val="20"/>
                <w:szCs w:val="20"/>
                <w:color w:val="auto"/>
              </w:rPr>
            </w:pPr>
            <w:r>
              <w:rPr>
                <w:rFonts w:ascii="Arial" w:cs="Arial" w:eastAsia="Arial" w:hAnsi="Arial"/>
                <w:sz w:val="14"/>
                <w:szCs w:val="14"/>
                <w:color w:val="auto"/>
                <w:w w:val="93"/>
              </w:rPr>
              <w:t>Natural Gas</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w w:val="95"/>
              </w:rPr>
              <w:t>Revenues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w w:val="98"/>
              </w:rPr>
              <w:t>Revenues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5"/>
                <w:szCs w:val="15"/>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color w:val="auto"/>
              </w:rPr>
              <w:t>Other Revenues</w:t>
            </w:r>
          </w:p>
        </w:tc>
        <w:tc>
          <w:tcPr>
            <w:tcW w:w="14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Revenues</w:t>
            </w:r>
          </w:p>
        </w:tc>
        <w:tc>
          <w:tcPr>
            <w:tcW w:w="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5"/>
                <w:szCs w:val="15"/>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w w:val="92"/>
              </w:rPr>
              <w:t>Other Revenues</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Arial" w:cs="Arial" w:eastAsia="Arial" w:hAnsi="Arial"/>
                <w:sz w:val="14"/>
                <w:szCs w:val="14"/>
                <w:color w:val="auto"/>
              </w:rPr>
              <w:t>Residential</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314,373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67,536</w:t>
            </w:r>
          </w:p>
        </w:tc>
        <w:tc>
          <w:tcPr>
            <w:tcW w:w="240" w:type="dxa"/>
            <w:vAlign w:val="bottom"/>
            <w:gridSpan w:val="2"/>
          </w:tcPr>
          <w:p>
            <w:pPr>
              <w:jc w:val="center"/>
              <w:ind w:lef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368,706</w:t>
            </w:r>
          </w:p>
        </w:tc>
        <w:tc>
          <w:tcPr>
            <w:tcW w:w="400" w:type="dxa"/>
            <w:vAlign w:val="bottom"/>
            <w:gridSpan w:val="2"/>
          </w:tcPr>
          <w:p>
            <w:pPr>
              <w:jc w:val="right"/>
              <w:ind w:right="215"/>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280,830</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57,148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381,048</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81,454</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75,893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Arial" w:cs="Arial" w:eastAsia="Arial" w:hAnsi="Arial"/>
                <w:sz w:val="14"/>
                <w:szCs w:val="14"/>
                <w:color w:val="auto"/>
              </w:rPr>
              <w:t>Fire protection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20,444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Industrial</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2,260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2,799</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Arial" w:cs="Arial" w:eastAsia="Arial" w:hAnsi="Arial"/>
                <w:sz w:val="14"/>
                <w:szCs w:val="14"/>
                <w:color w:val="auto"/>
              </w:rPr>
              <w:t>Gas transportation &amp; storage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102,515</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119,747</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water</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tcPr>
          <w:p>
            <w:pPr>
              <w:ind w:left="120"/>
              <w:spacing w:after="0"/>
              <w:rPr>
                <w:sz w:val="20"/>
                <w:szCs w:val="20"/>
                <w:color w:val="auto"/>
              </w:rPr>
            </w:pPr>
            <w:r>
              <w:rPr>
                <w:rFonts w:ascii="Arial" w:cs="Arial" w:eastAsia="Arial" w:hAnsi="Arial"/>
                <w:sz w:val="14"/>
                <w:szCs w:val="14"/>
                <w:color w:val="auto"/>
              </w:rPr>
              <w:t>Other wastewater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5,464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utility</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23,922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8,808</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35,066</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w:t>
            </w:r>
          </w:p>
        </w:tc>
        <w:tc>
          <w:tcPr>
            <w:tcW w:w="0" w:type="dxa"/>
            <w:vAlign w:val="bottom"/>
          </w:tcPr>
          <w:p>
            <w:pPr>
              <w:spacing w:after="0"/>
              <w:rPr>
                <w:sz w:val="1"/>
                <w:szCs w:val="1"/>
                <w:color w:val="auto"/>
              </w:rPr>
            </w:pPr>
          </w:p>
        </w:tc>
      </w:tr>
      <w:tr>
        <w:trPr>
          <w:trHeight w:val="142"/>
        </w:trPr>
        <w:tc>
          <w:tcPr>
            <w:tcW w:w="2620" w:type="dxa"/>
            <w:vAlign w:val="bottom"/>
          </w:tcPr>
          <w:p>
            <w:pPr>
              <w:spacing w:after="0" w:line="142" w:lineRule="exact"/>
              <w:rPr>
                <w:sz w:val="20"/>
                <w:szCs w:val="20"/>
                <w:color w:val="auto"/>
              </w:rPr>
            </w:pPr>
            <w:r>
              <w:rPr>
                <w:rFonts w:ascii="Arial" w:cs="Arial" w:eastAsia="Arial" w:hAnsi="Arial"/>
                <w:sz w:val="14"/>
                <w:szCs w:val="14"/>
                <w:color w:val="auto"/>
              </w:rPr>
              <w:t>Revenues from contracts with customers</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459,452</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91,334</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578,857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8,808</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423,750</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76,967</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614,553</w:t>
            </w: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6,240</w:t>
            </w:r>
          </w:p>
        </w:tc>
        <w:tc>
          <w:tcPr>
            <w:tcW w:w="0" w:type="dxa"/>
            <w:vAlign w:val="bottom"/>
          </w:tcPr>
          <w:p>
            <w:pPr>
              <w:spacing w:after="0"/>
              <w:rPr>
                <w:sz w:val="1"/>
                <w:szCs w:val="1"/>
                <w:color w:val="auto"/>
              </w:rPr>
            </w:pPr>
          </w:p>
        </w:tc>
      </w:tr>
      <w:tr>
        <w:trPr>
          <w:trHeight w:val="162"/>
        </w:trPr>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Alternative revenue program</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1,421</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Arial" w:cs="Arial" w:eastAsia="Arial" w:hAnsi="Arial"/>
                <w:sz w:val="14"/>
                <w:szCs w:val="14"/>
                <w:color w:val="auto"/>
              </w:rPr>
              <w:t>Other and eliminations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(545)</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25,530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Consolidated</w:t>
            </w:r>
          </w:p>
        </w:tc>
        <w:tc>
          <w:tcPr>
            <w:tcW w:w="3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460,621</w:t>
            </w:r>
          </w:p>
        </w:tc>
        <w:tc>
          <w:tcPr>
            <w:tcW w:w="1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91,543</w:t>
            </w:r>
          </w:p>
        </w:tc>
        <w:tc>
          <w:tcPr>
            <w:tcW w:w="240" w:type="dxa"/>
            <w:vAlign w:val="bottom"/>
            <w:gridSpan w:val="2"/>
            <w:shd w:val="clear" w:color="auto" w:fill="CCEEFF"/>
          </w:tcPr>
          <w:p>
            <w:pPr>
              <w:jc w:val="center"/>
              <w:ind w:lef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580,278</w:t>
            </w:r>
          </w:p>
        </w:tc>
        <w:tc>
          <w:tcPr>
            <w:tcW w:w="400" w:type="dxa"/>
            <w:vAlign w:val="bottom"/>
            <w:gridSpan w:val="2"/>
            <w:shd w:val="clear" w:color="auto" w:fill="CCEEFF"/>
          </w:tcPr>
          <w:p>
            <w:pPr>
              <w:jc w:val="right"/>
              <w:ind w:right="215"/>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30,708</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424,929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76,779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614,553</w:t>
            </w:r>
          </w:p>
        </w:tc>
        <w:tc>
          <w:tcPr>
            <w:tcW w:w="460" w:type="dxa"/>
            <w:vAlign w:val="bottom"/>
            <w:gridSpan w:val="2"/>
            <w:shd w:val="clear" w:color="auto" w:fill="CCEEFF"/>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31,770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 </w:t>
      </w:r>
      <w:r>
        <w:rPr>
          <w:rFonts w:ascii="Arial" w:cs="Arial" w:eastAsia="Arial" w:hAnsi="Arial"/>
          <w:sz w:val="22"/>
          <w:szCs w:val="22"/>
          <w:b w:val="1"/>
          <w:bCs w:val="1"/>
          <w:i w:val="1"/>
          <w:iCs w:val="1"/>
          <w:color w:val="auto"/>
        </w:rPr>
        <w:t>Acquisitions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Completed</w:t>
      </w:r>
    </w:p>
    <w:p>
      <w:pPr>
        <w:spacing w:after="0" w:line="206" w:lineRule="exact"/>
        <w:rPr>
          <w:sz w:val="20"/>
          <w:szCs w:val="20"/>
          <w:color w:val="auto"/>
        </w:rPr>
      </w:pPr>
    </w:p>
    <w:p>
      <w:pPr>
        <w:ind w:right="120"/>
        <w:spacing w:after="0" w:line="239" w:lineRule="auto"/>
        <w:rPr>
          <w:sz w:val="20"/>
          <w:szCs w:val="20"/>
          <w:color w:val="auto"/>
        </w:rPr>
      </w:pPr>
      <w:r>
        <w:rPr>
          <w:rFonts w:ascii="Arial" w:cs="Arial" w:eastAsia="Arial" w:hAnsi="Arial"/>
          <w:sz w:val="21"/>
          <w:szCs w:val="21"/>
          <w:color w:val="auto"/>
        </w:rPr>
        <w:t>In July 2023, the Company completed the following water utility asset acquisitions: Shenandoah Borough, Pennsylvania, which serves 2,887 customers for $12,291; La Rue, an Ohio municipality, which serves approximately 300 customers for $2,253; and, Southern Oaks Water System, which serves 765 customers in Texas for $3,321. Additionally, in July 2023, the Company completed their acquisition of a portion of the water and wastewater utility assets of the Village of Frankfort, an Illinois municipality, which serves approximately 1,400 customers for $1,424.</w:t>
      </w:r>
    </w:p>
    <w:p>
      <w:pPr>
        <w:spacing w:after="0" w:line="202"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In June 2023, the Company acquired the wastewater utility assets of Union Rome, Ohio, which serves 4,679 customers for a cash purchase price of $25,547.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In March 2023, the Company acquired the North Heidelberg Sewer Company in Berks County, Pennsylvania, which serves 273 customer connections for a cash purchase price of $136.</w:t>
      </w:r>
    </w:p>
    <w:p>
      <w:pPr>
        <w:spacing w:after="0" w:line="198"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In November 2022, the Company acquired certain water utility assets of Oak Brook, Illinois, which serve 2,037 customers for a cash purchase price of $12,500.</w:t>
      </w:r>
    </w:p>
    <w:p>
      <w:pPr>
        <w:spacing w:after="0" w:line="185" w:lineRule="exact"/>
        <w:rPr>
          <w:sz w:val="20"/>
          <w:szCs w:val="20"/>
          <w:color w:val="auto"/>
        </w:rPr>
      </w:pPr>
    </w:p>
    <w:p>
      <w:pPr>
        <w:ind w:right="120"/>
        <w:spacing w:after="0" w:line="265" w:lineRule="auto"/>
        <w:rPr>
          <w:sz w:val="20"/>
          <w:szCs w:val="20"/>
          <w:color w:val="auto"/>
        </w:rPr>
      </w:pPr>
      <w:r>
        <w:rPr>
          <w:rFonts w:ascii="Arial" w:cs="Arial" w:eastAsia="Arial" w:hAnsi="Arial"/>
          <w:sz w:val="19"/>
          <w:szCs w:val="19"/>
          <w:color w:val="auto"/>
        </w:rPr>
        <w:t>On July 29, 2022, the Pennsylvania Public Utility Commission issued an order (the “PUC Order”) approving the Company’s acquisition of the municipal wastewater assets of East Whiteland Township, Chester County, Pennsylvania, which serves 4,018 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We are currently evaluating this decision by the Pennsylvania Commonwealth Court and while the final outcome of the decision cannot be predicted with certainty, the final resolution of this matter is not expected to have a material adverse effect on the Company’s financial position, results of operations or cash flows.</w:t>
      </w:r>
    </w:p>
    <w:p>
      <w:pPr>
        <w:spacing w:after="0" w:line="16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In March 2022, the Company acquired the wastewater system of Lower Makefield Township, which serves 11,323 customer connections in Lower Makefield, Falls and Middletown townships, and Yardley Borough, Bucks County, Pennsylvania, for a cash purchase price of $53,000.</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purchase price allocation for these acquisitions consisted primarily of acquired property, plant and equipment.</w:t>
      </w:r>
    </w:p>
    <w:p>
      <w:pPr>
        <w:spacing w:after="0" w:line="220" w:lineRule="exact"/>
        <w:rPr>
          <w:sz w:val="20"/>
          <w:szCs w:val="20"/>
          <w:color w:val="auto"/>
        </w:rPr>
      </w:pPr>
    </w:p>
    <w:p>
      <w:pPr>
        <w:ind w:right="120"/>
        <w:spacing w:after="0" w:line="239" w:lineRule="auto"/>
        <w:rPr>
          <w:sz w:val="20"/>
          <w:szCs w:val="20"/>
          <w:color w:val="auto"/>
        </w:rPr>
      </w:pPr>
      <w:r>
        <w:rPr>
          <w:rFonts w:ascii="Arial" w:cs="Arial" w:eastAsia="Arial" w:hAnsi="Arial"/>
          <w:sz w:val="22"/>
          <w:szCs w:val="22"/>
          <w:color w:val="auto"/>
        </w:rPr>
        <w:t>The pro forma effect of the utility systems acquired is not material either individually or collectively to the Company’s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Water and Wastewater Utility Acquisitions – Pending Completion</w:t>
      </w:r>
    </w:p>
    <w:p>
      <w:pPr>
        <w:spacing w:after="0" w:line="206" w:lineRule="exact"/>
        <w:rPr>
          <w:sz w:val="20"/>
          <w:szCs w:val="20"/>
          <w:color w:val="auto"/>
        </w:rPr>
      </w:pPr>
    </w:p>
    <w:p>
      <w:pPr>
        <w:ind w:right="740"/>
        <w:spacing w:after="0" w:line="313" w:lineRule="auto"/>
        <w:rPr>
          <w:sz w:val="20"/>
          <w:szCs w:val="20"/>
          <w:color w:val="auto"/>
        </w:rPr>
      </w:pPr>
      <w:r>
        <w:rPr>
          <w:rFonts w:ascii="Arial" w:cs="Arial" w:eastAsia="Arial" w:hAnsi="Arial"/>
          <w:sz w:val="19"/>
          <w:szCs w:val="19"/>
          <w:color w:val="auto"/>
        </w:rPr>
        <w:t>In June 2023, the Company entered into a purchase agreement to acquire Westfield HOA wastewater assets, which serves approximately 225 customers within Westfield Homeowners Subdivision in Glenview, Illinois for $50.</w:t>
      </w:r>
    </w:p>
    <w:p>
      <w:pPr>
        <w:spacing w:after="0" w:line="78"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In April 2023, the Company entered into a purchase agreement to acquire Greenville Sanitation Authority’s wastewater utility assets, which serves approximately 2,300 customers in Greenville, Pennsylvania for $18,000.</w:t>
      </w:r>
    </w:p>
    <w:p>
      <w:pPr>
        <w:spacing w:after="0" w:line="131" w:lineRule="exact"/>
        <w:rPr>
          <w:sz w:val="20"/>
          <w:szCs w:val="20"/>
          <w:color w:val="auto"/>
        </w:rPr>
      </w:pPr>
    </w:p>
    <w:p>
      <w:pPr>
        <w:ind w:right="280"/>
        <w:spacing w:after="0" w:line="239" w:lineRule="auto"/>
        <w:rPr>
          <w:sz w:val="20"/>
          <w:szCs w:val="20"/>
          <w:color w:val="auto"/>
        </w:rPr>
      </w:pPr>
      <w:r>
        <w:rPr>
          <w:rFonts w:ascii="Arial" w:cs="Arial" w:eastAsia="Arial" w:hAnsi="Arial"/>
          <w:sz w:val="22"/>
          <w:szCs w:val="22"/>
          <w:color w:val="auto"/>
        </w:rPr>
        <w:t>In October 2021, the Company entered into a purchase agreement to acquire the wastewater utility assets of the City of Beaver Falls, Pennsylvania which consists of approximately 7,600 customers for $41,250.</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3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p>
      <w:pPr>
        <w:ind w:right="120"/>
        <w:spacing w:after="0" w:line="228" w:lineRule="auto"/>
        <w:rPr>
          <w:sz w:val="20"/>
          <w:szCs w:val="20"/>
          <w:color w:val="auto"/>
        </w:rPr>
      </w:pPr>
      <w:r>
        <w:rPr>
          <w:rFonts w:ascii="Arial" w:cs="Arial" w:eastAsia="Arial" w:hAnsi="Arial"/>
          <w:sz w:val="22"/>
          <w:szCs w:val="22"/>
          <w:color w:val="auto"/>
        </w:rPr>
        <w:t>The purchase price for these pending acquisitions are subject to certain adjustments at closing, and are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2023 and in 2024. Closing for our utility acquisitions are subject to the timing of the respective regulatory approval processes.</w:t>
      </w:r>
    </w:p>
    <w:p>
      <w:pPr>
        <w:spacing w:after="0" w:line="189"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In January 2021, the Company entered into a purchase agreement to acquire the wastewater utility system assets of Willistown Township, Pennsylvania, which consist of approximately 2,300 customers, for $17,500. On April 14, 2023, the Willistown Township supervisors exercised their right to terminate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DELCORA Purchase Agreement</w:t>
      </w:r>
    </w:p>
    <w:p>
      <w:pPr>
        <w:spacing w:after="0" w:line="22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In September 2019, the Company entered into a purchase agreement to acquire the wastewater utility system assets of the Delaware County Regional Water Quality Control Authority (“DELCORA”), which consists of approximately 16,000 customers, or the equivalent of 198,000 retail customers, in 42 municipalities in Southeast Pennsylvania for $276,500. In May 2020, Delaware County, Pennsylvania, filed a lawsuit alleging that DELCORA does not have the legal authority to establish and fund a customer trust with the net proceeds of the transaction. In December 2020, the judge in the Delaware County Court lawsuit issued an order that (1) the County cannot interfere with the purchase agreement between DELCORA and the Company; (2) the County cannot terminate DELCORA prior to the closing of the transaction; and (3) the establishment of the customer trust was valid. Delaware County appealed this decision to Commonwealth Court of Pennsylvania. On March 3, 2022, the Commonwealth Court issued a decision finding that Delaware County can dissolve DELCORA if it so chooses, but the purchase agreement must be upheld regardless of who is operating the system. The case was remanded back to the trial court for the entry of an order consistent with the Commonwealth Court’s opinion. This order was issued on September 8, 2022 (“Remand Order”). Since then, the County has challenged the Remand Order through two separate actions described in the below bullet points. The effect of those proceedings has resulted in the Remand Order being on appeal to the Commonwealth Court. In the appeal of the Remand Order, Delaware County filed its brief on June 8, 2023, and the Company filed its briefs on July 21, 2023. DELCORA will submit its brief on August 21, 2023. However, Delaware County filed its Reply brief to the Company’s brief of August 4, 2023.</w:t>
      </w:r>
    </w:p>
    <w:p>
      <w:pPr>
        <w:spacing w:after="0" w:line="200" w:lineRule="exact"/>
        <w:rPr>
          <w:sz w:val="20"/>
          <w:szCs w:val="20"/>
          <w:color w:val="auto"/>
        </w:rPr>
      </w:pPr>
    </w:p>
    <w:p>
      <w:pPr>
        <w:spacing w:after="0" w:line="205" w:lineRule="exact"/>
        <w:rPr>
          <w:sz w:val="20"/>
          <w:szCs w:val="20"/>
          <w:color w:val="auto"/>
        </w:rPr>
      </w:pPr>
    </w:p>
    <w:p>
      <w:pPr>
        <w:ind w:left="660"/>
        <w:spacing w:after="0" w:line="259" w:lineRule="auto"/>
        <w:rPr>
          <w:sz w:val="20"/>
          <w:szCs w:val="20"/>
          <w:color w:val="auto"/>
        </w:rPr>
      </w:pPr>
      <w:r>
        <w:rPr>
          <w:rFonts w:ascii="Arial" w:cs="Arial" w:eastAsia="Arial" w:hAnsi="Arial"/>
          <w:sz w:val="19"/>
          <w:szCs w:val="19"/>
          <w:color w:val="auto"/>
        </w:rPr>
        <w:t>First, Delaware County filed an Application for Determination of Finality (“Application”) on October 13, 2022, with the Delaware County Court of Common Pleas. The Company filed its opposition to the Application on October 27, 2022, and on November 2, 2022, the Delaware County Court of Common Pleas denied Delaware County’s Application indicating that its previous order already constituted a final order that addressed the claims of all parties. On December 2, 2022, following the denial of its Application, Delaware County filed a Petition for Permission to Appeal (“Petition”) the Remand Order in the Commonwealth Court of Pennsylvania. On December 16, 2022, the Company filed an Answer in opposition to the Petition. The Commonwealth Court issued an Order denying the County’s Petition on February 2, 2023. The County filed an Application for Reconsideration of the Commonwealth Court’s February 2023 Order, which the Commonwealth Court granted on April 4, 2023. In that April 4,</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14" w:name="page15"/>
    <w:bookmarkEnd w:id="14"/>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3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p>
      <w:pPr>
        <w:ind w:left="660" w:right="220"/>
        <w:spacing w:after="0" w:line="239" w:lineRule="auto"/>
        <w:rPr>
          <w:sz w:val="20"/>
          <w:szCs w:val="20"/>
          <w:color w:val="auto"/>
        </w:rPr>
      </w:pPr>
      <w:r>
        <w:rPr>
          <w:rFonts w:ascii="Arial" w:cs="Arial" w:eastAsia="Arial" w:hAnsi="Arial"/>
          <w:sz w:val="22"/>
          <w:szCs w:val="22"/>
          <w:color w:val="auto"/>
        </w:rPr>
        <w:t>2023 Order, the Commonwealth Court construed the Petition as a Notice of Appeal and has initiated a briefing schedule for this appeal.</w:t>
      </w:r>
    </w:p>
    <w:p>
      <w:pPr>
        <w:spacing w:after="0" w:line="185" w:lineRule="exact"/>
        <w:rPr>
          <w:sz w:val="20"/>
          <w:szCs w:val="20"/>
          <w:color w:val="auto"/>
        </w:rPr>
      </w:pPr>
    </w:p>
    <w:p>
      <w:pPr>
        <w:ind w:left="660" w:right="20"/>
        <w:spacing w:after="0" w:line="237" w:lineRule="auto"/>
        <w:rPr>
          <w:sz w:val="20"/>
          <w:szCs w:val="20"/>
          <w:color w:val="auto"/>
        </w:rPr>
      </w:pPr>
      <w:r>
        <w:rPr>
          <w:rFonts w:ascii="Arial" w:cs="Arial" w:eastAsia="Arial" w:hAnsi="Arial"/>
          <w:sz w:val="21"/>
          <w:szCs w:val="21"/>
          <w:color w:val="auto"/>
        </w:rPr>
        <w:t>Second, on November 2, 2022, Delaware County filed a Notice of Appeal (“Notice of Appeal”) from the Remand Order with the Delaware County Court of Common Pleas. On December 2, 2022, the Delaware County Court of Common Pleas issued an Opinion concluding that the County Court did not err in issuing the Remand Order. On January 13, 2023, Delaware County filed an Application in Commonwealth Court seeking confirmation of briefing deadlines with respect to the Notice of Appeal. In response, by Order dated January 24, 2023, the Commonwealth Court stated that “the record received from the Court of Common Pleas of Delaware County is currently under review for finality. A briefing schedule will be issued upon completion of this review.” The Company filed an Application to quash the County’s Appeal on February 7, 2023. On April 4, 2023, the Commonwealth Court granted the Company’s Application and quashed the appeal.</w:t>
      </w:r>
    </w:p>
    <w:p>
      <w:pPr>
        <w:spacing w:after="0" w:line="189" w:lineRule="exact"/>
        <w:rPr>
          <w:sz w:val="20"/>
          <w:szCs w:val="20"/>
          <w:color w:val="auto"/>
        </w:rPr>
      </w:pPr>
    </w:p>
    <w:p>
      <w:pPr>
        <w:ind w:right="160"/>
        <w:spacing w:after="0" w:line="271" w:lineRule="auto"/>
        <w:rPr>
          <w:sz w:val="20"/>
          <w:szCs w:val="20"/>
          <w:color w:val="auto"/>
        </w:rPr>
      </w:pPr>
      <w:r>
        <w:rPr>
          <w:rFonts w:ascii="Arial" w:cs="Arial" w:eastAsia="Arial" w:hAnsi="Arial"/>
          <w:sz w:val="19"/>
          <w:szCs w:val="19"/>
          <w:color w:val="auto"/>
        </w:rPr>
        <w:t>On January 25, 2023, DELCORA filed in the Delaware Court of Common Pleas a complaint for Declaratory Judgment against the Company and Delaware County seeking resolution of whether the County Ordinance dissolving DELCORA is a final action prohibiting DELCORA from carrying out the material transaction of the Asset Purchase Agreement and, in the event that DELCORA retains the ability to close the transaction, whether DELCORA is permitted to exist as a trust. The Company filed preliminary objections to DELCORA’s complaint, which are scheduled for a hearing on October 12, 2023.</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Meanwhile, the administrative law judges (“ALJ”) in the regulatory approval process recommended that the Company’s application to acquire DELCORA be denied, and subsequently, the Company provided exceptions to the recommended decision. On March 30, 2021, the Pennsylvania Public Utility Commission (“PUC”) ruled that the case be remanded back to the Office of Administrative Law Judge and vacated the original administrative law judges’ recommended decision (“2021 Order”). This 2021 Order was also appealed to the Commonwealth Court by Delaware County on April 29, 2021. A decision was issued by the Commonwealth Court on September 12, 2022, which dismissed the appeal of the County.</w:t>
      </w:r>
    </w:p>
    <w:p>
      <w:pPr>
        <w:spacing w:after="0" w:line="203" w:lineRule="exact"/>
        <w:rPr>
          <w:sz w:val="20"/>
          <w:szCs w:val="20"/>
          <w:color w:val="auto"/>
        </w:rPr>
      </w:pPr>
    </w:p>
    <w:p>
      <w:pPr>
        <w:ind w:right="140"/>
        <w:spacing w:after="0" w:line="226" w:lineRule="auto"/>
        <w:rPr>
          <w:sz w:val="20"/>
          <w:szCs w:val="20"/>
          <w:color w:val="auto"/>
        </w:rPr>
      </w:pPr>
      <w:r>
        <w:rPr>
          <w:rFonts w:ascii="Arial" w:cs="Arial" w:eastAsia="Arial" w:hAnsi="Arial"/>
          <w:sz w:val="22"/>
          <w:szCs w:val="22"/>
          <w:color w:val="auto"/>
        </w:rPr>
        <w:t>After the PUC issued the 2021 Order, on April 16, 2021, the ALJ issued an order staying the proceeding until the Delaware County Court lawsuit is final and unappealable. On March 25, 2022, the Company sent a letter notifying the PUC of the March 3, 2022, Commonwealth Court decision (that originated in Delaware County Court of Common Pleas) and requested that the PUC move forward with processing the application. On July 14, 2022, the Commission moved to lift the stay imposed by the ALJ, and required the ALJ to establish a schedule on remand for the proceeding. The ALJ established a procedural schedule for the remand proceeding.</w:t>
      </w:r>
    </w:p>
    <w:p>
      <w:pPr>
        <w:spacing w:after="0" w:line="191" w:lineRule="exact"/>
        <w:rPr>
          <w:sz w:val="20"/>
          <w:szCs w:val="20"/>
          <w:color w:val="auto"/>
        </w:rPr>
      </w:pPr>
    </w:p>
    <w:p>
      <w:pPr>
        <w:ind w:right="340"/>
        <w:spacing w:after="0" w:line="231" w:lineRule="auto"/>
        <w:rPr>
          <w:sz w:val="20"/>
          <w:szCs w:val="20"/>
          <w:color w:val="auto"/>
        </w:rPr>
      </w:pPr>
      <w:r>
        <w:rPr>
          <w:rFonts w:ascii="Arial" w:cs="Arial" w:eastAsia="Arial" w:hAnsi="Arial"/>
          <w:sz w:val="22"/>
          <w:szCs w:val="22"/>
          <w:color w:val="auto"/>
        </w:rPr>
        <w:t>On August 17, 2022, Receiver for the City of Chester filed suit in Delaware County Common Pleas Court against DELCORA premised upon the claimed reversionary interest of the City in some of DELCORA’s assets. The Company intervened in that matter on October 19, 2022 and on March 27, 2023 filed preliminary objections. A hearing on the objections is scheduled for August 28, 2023.</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5" w:name="page16"/>
    <w:bookmarkEnd w:id="15"/>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On January 26, 2023, several parties involved in the PUC case filed a joint motion for stay based on DELCORA’s filing of the January 25, 2023 Complaint for Declaratory Judgment and referenced the City of Chester’s bankruptcy filing in which the City of Chester has asserted reversionary contract interests regarding some of DELCORA’s wastewater assets. On February 6, 2023, the ALJ stayed the PUC DELCORA application proceedings again.</w:t>
      </w:r>
    </w:p>
    <w:p>
      <w:pPr>
        <w:spacing w:after="0" w:line="187"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On May 23, 2023, the Bankruptcy Court issued an order in the City of Chester’s bankruptcy filing staying the PUC proceedings until relief from the stay is granted by the Bankruptcy Court. The Company appealed the Bankruptcy Court stay order to the United States District Court for the Eastern District of Pennsylvania on June 6, 2023.</w:t>
      </w:r>
    </w:p>
    <w:p>
      <w:pPr>
        <w:spacing w:after="0" w:line="185" w:lineRule="exact"/>
        <w:rPr>
          <w:sz w:val="20"/>
          <w:szCs w:val="20"/>
          <w:color w:val="auto"/>
        </w:rPr>
      </w:pPr>
    </w:p>
    <w:p>
      <w:pPr>
        <w:ind w:right="60"/>
        <w:spacing w:after="0" w:line="231" w:lineRule="auto"/>
        <w:rPr>
          <w:sz w:val="20"/>
          <w:szCs w:val="20"/>
          <w:color w:val="auto"/>
        </w:rPr>
      </w:pPr>
      <w:r>
        <w:rPr>
          <w:rFonts w:ascii="Arial" w:cs="Arial" w:eastAsia="Arial" w:hAnsi="Arial"/>
          <w:sz w:val="22"/>
          <w:szCs w:val="22"/>
          <w:color w:val="auto"/>
        </w:rPr>
        <w:t>On June 16, 2023, the Company filed a Complaint against DELCORA in the Delaware County Court of Common Pleas requesting a declaratory judgment and injunctive relief regarding breach of the Asset Purchase Agreement in acting outside the ordinary course of business by attempting to enter into a new agreement with Philadelphia Water Department for the treatment of wastewater without the Company’s consent.</w:t>
      </w:r>
    </w:p>
    <w:p>
      <w:pPr>
        <w:spacing w:after="0" w:line="201" w:lineRule="exact"/>
        <w:rPr>
          <w:sz w:val="20"/>
          <w:szCs w:val="20"/>
          <w:color w:val="auto"/>
        </w:rPr>
      </w:pPr>
    </w:p>
    <w:p>
      <w:pPr>
        <w:ind w:right="160"/>
        <w:spacing w:after="0" w:line="228" w:lineRule="auto"/>
        <w:rPr>
          <w:sz w:val="20"/>
          <w:szCs w:val="20"/>
          <w:color w:val="auto"/>
        </w:rPr>
      </w:pPr>
      <w:r>
        <w:rPr>
          <w:rFonts w:ascii="Arial" w:cs="Arial" w:eastAsia="Arial" w:hAnsi="Arial"/>
          <w:sz w:val="22"/>
          <w:szCs w:val="22"/>
          <w:color w:val="auto"/>
        </w:rPr>
        <w:t>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revolving credit facility until permanent debt is secured. Closing of our acquisition of DELCORA is subject to the timing of the above-described regulatory approval process and on-going litigation.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 </w:t>
      </w:r>
      <w:r>
        <w:rPr>
          <w:rFonts w:ascii="Arial" w:cs="Arial" w:eastAsia="Arial" w:hAnsi="Arial"/>
          <w:sz w:val="22"/>
          <w:szCs w:val="22"/>
          <w:b w:val="1"/>
          <w:bCs w:val="1"/>
          <w:i w:val="1"/>
          <w:iCs w:val="1"/>
          <w:color w:val="auto"/>
        </w:rPr>
        <w:t>Assets Held for Sale</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In the fourth quarter of 2022, the Company decided to market for sale the assets of its regulated natural gas system in West Virginia that serves approximately 13,000 customers and is part of the Company’s Regulated Natural Gas segment. On December 31, 2022, the Company entered into a definitive agreement with Hope Gas, Inc. for the sale of its membership interests in its West Virginia assets for cash at closing of $37,000. The purchase price is subject to certain adjustments at closing and is subject to applicable regulatory approvals. Closing on the sale is expected later in 2023, and completion of this transaction will conclude the Company’s operations in West Virginia. Based on an assessment of the sale price and the carrying value of the planned disposition, there is no anticipated impairment expected to be recognized because of this sale agreement. These assets and liabilities do not qualify as discontinued operations, are reported as held for sale in the Company’s consolidated balance sheet, and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20"/>
                <w:szCs w:val="20"/>
                <w:color w:val="auto"/>
                <w:w w:val="99"/>
              </w:rPr>
              <w:t>June 30, 2023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jc w:val="right"/>
              <w:ind w:right="201"/>
              <w:spacing w:after="0"/>
              <w:rPr>
                <w:sz w:val="20"/>
                <w:szCs w:val="20"/>
                <w:color w:val="auto"/>
              </w:rPr>
            </w:pPr>
            <w:r>
              <w:rPr>
                <w:rFonts w:ascii="Arial" w:cs="Arial" w:eastAsia="Arial" w:hAnsi="Arial"/>
                <w:sz w:val="20"/>
                <w:szCs w:val="20"/>
                <w:color w:val="auto"/>
                <w:w w:val="92"/>
              </w:rPr>
              <w:t>December 31, 2022</w:t>
            </w:r>
          </w:p>
        </w:tc>
      </w:tr>
      <w:tr>
        <w:trPr>
          <w:trHeight w:val="209"/>
        </w:trPr>
        <w:tc>
          <w:tcPr>
            <w:tcW w:w="6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16"/>
        </w:trPr>
        <w:tc>
          <w:tcPr>
            <w:tcW w:w="68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Inventory - gas stored</w:t>
            </w:r>
          </w:p>
        </w:tc>
        <w:tc>
          <w:tcPr>
            <w:tcW w:w="280" w:type="dxa"/>
            <w:vAlign w:val="bottom"/>
            <w:gridSpan w:val="2"/>
            <w:shd w:val="clear" w:color="auto" w:fill="CCEEFF"/>
          </w:tcPr>
          <w:p>
            <w:pPr>
              <w:jc w:val="right"/>
              <w:ind w:right="103"/>
              <w:spacing w:after="0" w:line="216" w:lineRule="exact"/>
              <w:rPr>
                <w:sz w:val="20"/>
                <w:szCs w:val="20"/>
                <w:color w:val="auto"/>
              </w:rPr>
            </w:pPr>
            <w:r>
              <w:rPr>
                <w:rFonts w:ascii="Arial" w:cs="Arial" w:eastAsia="Arial" w:hAnsi="Arial"/>
                <w:sz w:val="20"/>
                <w:szCs w:val="20"/>
                <w:color w:val="auto"/>
                <w:w w:val="71"/>
              </w:rPr>
              <w:t>$</w:t>
            </w:r>
          </w:p>
        </w:tc>
        <w:tc>
          <w:tcPr>
            <w:tcW w:w="176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592</w:t>
            </w:r>
          </w:p>
        </w:tc>
        <w:tc>
          <w:tcPr>
            <w:tcW w:w="420" w:type="dxa"/>
            <w:vAlign w:val="bottom"/>
            <w:gridSpan w:val="2"/>
            <w:shd w:val="clear" w:color="auto" w:fill="CCEEFF"/>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2,807</w:t>
            </w:r>
          </w:p>
        </w:tc>
      </w:tr>
      <w:tr>
        <w:trPr>
          <w:trHeight w:val="216"/>
        </w:trPr>
        <w:tc>
          <w:tcPr>
            <w:tcW w:w="6840" w:type="dxa"/>
            <w:vAlign w:val="bottom"/>
          </w:tcPr>
          <w:p>
            <w:pPr>
              <w:spacing w:after="0" w:line="216" w:lineRule="exact"/>
              <w:rPr>
                <w:sz w:val="20"/>
                <w:szCs w:val="20"/>
                <w:color w:val="auto"/>
              </w:rPr>
            </w:pPr>
            <w:r>
              <w:rPr>
                <w:rFonts w:ascii="Arial" w:cs="Arial" w:eastAsia="Arial" w:hAnsi="Arial"/>
                <w:sz w:val="20"/>
                <w:szCs w:val="20"/>
                <w:color w:val="auto"/>
              </w:rPr>
              <w:t>Other 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1,778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Arial" w:cs="Arial" w:eastAsia="Arial" w:hAnsi="Arial"/>
                <w:sz w:val="20"/>
                <w:szCs w:val="20"/>
                <w:color w:val="auto"/>
              </w:rPr>
              <w:t>3,284</w:t>
            </w:r>
          </w:p>
        </w:tc>
      </w:tr>
      <w:tr>
        <w:trPr>
          <w:trHeight w:val="203"/>
        </w:trPr>
        <w:tc>
          <w:tcPr>
            <w:tcW w:w="6840" w:type="dxa"/>
            <w:vAlign w:val="bottom"/>
            <w:tcBorders>
              <w:bottom w:val="single" w:sz="8" w:color="CCEEFF"/>
            </w:tcBorders>
            <w:shd w:val="clear" w:color="auto" w:fill="CCEEFF"/>
          </w:tcPr>
          <w:p>
            <w:pPr>
              <w:spacing w:after="0" w:line="203" w:lineRule="exact"/>
              <w:rPr>
                <w:sz w:val="20"/>
                <w:szCs w:val="20"/>
                <w:color w:val="auto"/>
              </w:rPr>
            </w:pPr>
            <w:r>
              <w:rPr>
                <w:rFonts w:ascii="Arial" w:cs="Arial" w:eastAsia="Arial" w:hAnsi="Arial"/>
                <w:sz w:val="20"/>
                <w:szCs w:val="20"/>
                <w:color w:val="auto"/>
              </w:rPr>
              <w:t>Regulatory assets</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5,008</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20"/>
                <w:szCs w:val="20"/>
                <w:color w:val="auto"/>
              </w:rPr>
              <w:t>5,076</w:t>
            </w:r>
          </w:p>
        </w:tc>
      </w:tr>
      <w:tr>
        <w:trPr>
          <w:trHeight w:val="209"/>
        </w:trPr>
        <w:tc>
          <w:tcPr>
            <w:tcW w:w="6840" w:type="dxa"/>
            <w:vAlign w:val="bottom"/>
          </w:tcPr>
          <w:p>
            <w:pPr>
              <w:ind w:left="120"/>
              <w:spacing w:after="0" w:line="209" w:lineRule="exact"/>
              <w:rPr>
                <w:sz w:val="20"/>
                <w:szCs w:val="20"/>
                <w:color w:val="auto"/>
              </w:rPr>
            </w:pPr>
            <w:r>
              <w:rPr>
                <w:rFonts w:ascii="Arial" w:cs="Arial" w:eastAsia="Arial" w:hAnsi="Arial"/>
                <w:sz w:val="20"/>
                <w:szCs w:val="20"/>
                <w:color w:val="auto"/>
              </w:rPr>
              <w:t>Current assets held for sale</w:t>
            </w:r>
          </w:p>
        </w:tc>
        <w:tc>
          <w:tcPr>
            <w:tcW w:w="280" w:type="dxa"/>
            <w:vAlign w:val="bottom"/>
            <w:gridSpan w:val="2"/>
          </w:tcPr>
          <w:p>
            <w:pPr>
              <w:jc w:val="right"/>
              <w:ind w:right="103"/>
              <w:spacing w:after="0" w:line="209" w:lineRule="exact"/>
              <w:rPr>
                <w:sz w:val="20"/>
                <w:szCs w:val="20"/>
                <w:color w:val="auto"/>
              </w:rPr>
            </w:pPr>
            <w:r>
              <w:rPr>
                <w:rFonts w:ascii="Arial" w:cs="Arial" w:eastAsia="Arial" w:hAnsi="Arial"/>
                <w:sz w:val="20"/>
                <w:szCs w:val="20"/>
                <w:color w:val="auto"/>
                <w:w w:val="71"/>
              </w:rPr>
              <w:t>$</w:t>
            </w:r>
          </w:p>
        </w:tc>
        <w:tc>
          <w:tcPr>
            <w:tcW w:w="176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7,378</w:t>
            </w:r>
          </w:p>
        </w:tc>
        <w:tc>
          <w:tcPr>
            <w:tcW w:w="420" w:type="dxa"/>
            <w:vAlign w:val="bottom"/>
            <w:gridSpan w:val="2"/>
          </w:tcPr>
          <w:p>
            <w:pPr>
              <w:jc w:val="right"/>
              <w:ind w:right="1"/>
              <w:spacing w:after="0" w:line="209" w:lineRule="exact"/>
              <w:rPr>
                <w:sz w:val="20"/>
                <w:szCs w:val="20"/>
                <w:color w:val="auto"/>
              </w:rPr>
            </w:pPr>
            <w:r>
              <w:rPr>
                <w:rFonts w:ascii="Arial" w:cs="Arial" w:eastAsia="Arial" w:hAnsi="Arial"/>
                <w:sz w:val="20"/>
                <w:szCs w:val="20"/>
                <w:color w:val="auto"/>
              </w:rPr>
              <w:t>$</w:t>
            </w:r>
          </w:p>
        </w:tc>
        <w:tc>
          <w:tcPr>
            <w:tcW w:w="1940" w:type="dxa"/>
            <w:vAlign w:val="bottom"/>
          </w:tcPr>
          <w:p>
            <w:pPr>
              <w:jc w:val="right"/>
              <w:spacing w:after="0" w:line="209" w:lineRule="exact"/>
              <w:rPr>
                <w:sz w:val="20"/>
                <w:szCs w:val="20"/>
                <w:color w:val="auto"/>
              </w:rPr>
            </w:pPr>
            <w:r>
              <w:rPr>
                <w:rFonts w:ascii="Arial" w:cs="Arial" w:eastAsia="Arial" w:hAnsi="Arial"/>
                <w:sz w:val="20"/>
                <w:szCs w:val="20"/>
                <w:color w:val="auto"/>
              </w:rPr>
              <w:t>11,167</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line="216" w:lineRule="exact"/>
              <w:rPr>
                <w:sz w:val="20"/>
                <w:szCs w:val="20"/>
                <w:color w:val="auto"/>
              </w:rPr>
            </w:pPr>
            <w:r>
              <w:rPr>
                <w:rFonts w:ascii="Arial" w:cs="Arial" w:eastAsia="Arial" w:hAnsi="Arial"/>
                <w:sz w:val="20"/>
                <w:szCs w:val="20"/>
                <w:color w:val="auto"/>
              </w:rPr>
              <w:t>Property, plant and equipment,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33,804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Arial" w:cs="Arial" w:eastAsia="Arial" w:hAnsi="Arial"/>
                <w:sz w:val="20"/>
                <w:szCs w:val="20"/>
                <w:color w:val="auto"/>
              </w:rPr>
              <w:t>30,267</w:t>
            </w:r>
          </w:p>
        </w:tc>
      </w:tr>
      <w:tr>
        <w:trPr>
          <w:trHeight w:val="216"/>
        </w:trPr>
        <w:tc>
          <w:tcPr>
            <w:tcW w:w="68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Regulatory assets and other</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615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1,857</w:t>
            </w:r>
          </w:p>
        </w:tc>
      </w:tr>
      <w:tr>
        <w:trPr>
          <w:trHeight w:val="249"/>
        </w:trPr>
        <w:tc>
          <w:tcPr>
            <w:tcW w:w="6840" w:type="dxa"/>
            <w:vAlign w:val="bottom"/>
            <w:tcBorders>
              <w:bottom w:val="single" w:sz="8" w:color="CCEEFF"/>
            </w:tcBorders>
          </w:tcPr>
          <w:p>
            <w:pPr>
              <w:ind w:left="120"/>
              <w:spacing w:after="0" w:line="209" w:lineRule="exact"/>
              <w:rPr>
                <w:sz w:val="20"/>
                <w:szCs w:val="20"/>
                <w:color w:val="auto"/>
              </w:rPr>
            </w:pPr>
            <w:r>
              <w:rPr>
                <w:rFonts w:ascii="Arial" w:cs="Arial" w:eastAsia="Arial" w:hAnsi="Arial"/>
                <w:sz w:val="20"/>
                <w:szCs w:val="20"/>
                <w:color w:val="auto"/>
              </w:rPr>
              <w:t>Non-current assets held for sale</w:t>
            </w:r>
          </w:p>
        </w:tc>
        <w:tc>
          <w:tcPr>
            <w:tcW w:w="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34,419</w:t>
            </w: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
              <w:spacing w:after="0" w:line="209" w:lineRule="exact"/>
              <w:rPr>
                <w:sz w:val="20"/>
                <w:szCs w:val="20"/>
                <w:color w:val="auto"/>
              </w:rPr>
            </w:pPr>
            <w:r>
              <w:rPr>
                <w:rFonts w:ascii="Arial" w:cs="Arial" w:eastAsia="Arial" w:hAnsi="Arial"/>
                <w:sz w:val="20"/>
                <w:szCs w:val="20"/>
                <w:color w:val="auto"/>
                <w:w w:val="71"/>
              </w:rPr>
              <w:t>$</w:t>
            </w:r>
          </w:p>
        </w:tc>
        <w:tc>
          <w:tcPr>
            <w:tcW w:w="1940" w:type="dxa"/>
            <w:vAlign w:val="bottom"/>
            <w:tcBorders>
              <w:top w:val="single" w:sz="8" w:color="auto"/>
              <w:bottom w:val="single" w:sz="8" w:color="auto"/>
            </w:tcBorders>
          </w:tcPr>
          <w:p>
            <w:pPr>
              <w:jc w:val="right"/>
              <w:spacing w:after="0" w:line="209" w:lineRule="exact"/>
              <w:rPr>
                <w:sz w:val="20"/>
                <w:szCs w:val="20"/>
                <w:color w:val="auto"/>
              </w:rPr>
            </w:pPr>
            <w:r>
              <w:rPr>
                <w:rFonts w:ascii="Arial" w:cs="Arial" w:eastAsia="Arial" w:hAnsi="Arial"/>
                <w:sz w:val="20"/>
                <w:szCs w:val="20"/>
                <w:color w:val="auto"/>
              </w:rPr>
              <w:t>32,124</w:t>
            </w:r>
          </w:p>
        </w:tc>
      </w:tr>
      <w:tr>
        <w:trPr>
          <w:trHeight w:val="183"/>
        </w:trPr>
        <w:tc>
          <w:tcPr>
            <w:tcW w:w="6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16"/>
        </w:trPr>
        <w:tc>
          <w:tcPr>
            <w:tcW w:w="6840" w:type="dxa"/>
            <w:vAlign w:val="bottom"/>
          </w:tcPr>
          <w:p>
            <w:pPr>
              <w:spacing w:after="0" w:line="216" w:lineRule="exact"/>
              <w:rPr>
                <w:sz w:val="20"/>
                <w:szCs w:val="20"/>
                <w:color w:val="auto"/>
              </w:rPr>
            </w:pPr>
            <w:r>
              <w:rPr>
                <w:rFonts w:ascii="Arial" w:cs="Arial" w:eastAsia="Arial" w:hAnsi="Arial"/>
                <w:sz w:val="20"/>
                <w:szCs w:val="20"/>
                <w:color w:val="auto"/>
              </w:rPr>
              <w:t>Current liabilities related to assets held for sale</w:t>
            </w:r>
          </w:p>
        </w:tc>
        <w:tc>
          <w:tcPr>
            <w:tcW w:w="280" w:type="dxa"/>
            <w:vAlign w:val="bottom"/>
            <w:gridSpan w:val="2"/>
          </w:tcPr>
          <w:p>
            <w:pPr>
              <w:jc w:val="right"/>
              <w:ind w:right="103"/>
              <w:spacing w:after="0" w:line="216" w:lineRule="exact"/>
              <w:rPr>
                <w:sz w:val="20"/>
                <w:szCs w:val="20"/>
                <w:color w:val="auto"/>
              </w:rPr>
            </w:pPr>
            <w:r>
              <w:rPr>
                <w:rFonts w:ascii="Arial" w:cs="Arial" w:eastAsia="Arial" w:hAnsi="Arial"/>
                <w:sz w:val="20"/>
                <w:szCs w:val="20"/>
                <w:color w:val="auto"/>
                <w:w w:val="71"/>
              </w:rPr>
              <w:t>$</w:t>
            </w:r>
          </w:p>
        </w:tc>
        <w:tc>
          <w:tcPr>
            <w:tcW w:w="17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3,081</w:t>
            </w:r>
          </w:p>
        </w:tc>
        <w:tc>
          <w:tcPr>
            <w:tcW w:w="420" w:type="dxa"/>
            <w:vAlign w:val="bottom"/>
            <w:gridSpan w:val="2"/>
          </w:tcPr>
          <w:p>
            <w:pPr>
              <w:jc w:val="right"/>
              <w:ind w:right="1"/>
              <w:spacing w:after="0" w:line="216" w:lineRule="exact"/>
              <w:rPr>
                <w:sz w:val="20"/>
                <w:szCs w:val="20"/>
                <w:color w:val="auto"/>
              </w:rPr>
            </w:pPr>
            <w:r>
              <w:rPr>
                <w:rFonts w:ascii="Arial" w:cs="Arial" w:eastAsia="Arial" w:hAnsi="Arial"/>
                <w:sz w:val="20"/>
                <w:szCs w:val="20"/>
                <w:color w:val="auto"/>
              </w:rPr>
              <w:t>$</w:t>
            </w:r>
          </w:p>
        </w:tc>
        <w:tc>
          <w:tcPr>
            <w:tcW w:w="1940" w:type="dxa"/>
            <w:vAlign w:val="bottom"/>
          </w:tcPr>
          <w:p>
            <w:pPr>
              <w:jc w:val="right"/>
              <w:spacing w:after="0" w:line="216" w:lineRule="exact"/>
              <w:rPr>
                <w:sz w:val="20"/>
                <w:szCs w:val="20"/>
                <w:color w:val="auto"/>
              </w:rPr>
            </w:pPr>
            <w:r>
              <w:rPr>
                <w:rFonts w:ascii="Arial" w:cs="Arial" w:eastAsia="Arial" w:hAnsi="Arial"/>
                <w:sz w:val="20"/>
                <w:szCs w:val="20"/>
                <w:color w:val="auto"/>
              </w:rPr>
              <w:t>3,263</w:t>
            </w: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line="216" w:lineRule="exact"/>
              <w:rPr>
                <w:sz w:val="20"/>
                <w:szCs w:val="20"/>
                <w:color w:val="auto"/>
              </w:rPr>
            </w:pPr>
            <w:r>
              <w:rPr>
                <w:rFonts w:ascii="Arial" w:cs="Arial" w:eastAsia="Arial" w:hAnsi="Arial"/>
                <w:sz w:val="20"/>
                <w:szCs w:val="20"/>
                <w:color w:val="auto"/>
              </w:rPr>
              <w:t>Regulatory liabilities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0"/>
              <w:spacing w:after="0" w:line="216" w:lineRule="exact"/>
              <w:rPr>
                <w:sz w:val="20"/>
                <w:szCs w:val="20"/>
                <w:color w:val="auto"/>
              </w:rPr>
            </w:pPr>
            <w:r>
              <w:rPr>
                <w:rFonts w:ascii="Arial" w:cs="Arial" w:eastAsia="Arial" w:hAnsi="Arial"/>
                <w:sz w:val="20"/>
                <w:szCs w:val="20"/>
                <w:color w:val="auto"/>
              </w:rPr>
              <w:t>529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line="216" w:lineRule="exact"/>
              <w:rPr>
                <w:sz w:val="20"/>
                <w:szCs w:val="20"/>
                <w:color w:val="auto"/>
              </w:rPr>
            </w:pPr>
            <w:r>
              <w:rPr>
                <w:rFonts w:ascii="Arial" w:cs="Arial" w:eastAsia="Arial" w:hAnsi="Arial"/>
                <w:sz w:val="20"/>
                <w:szCs w:val="20"/>
                <w:color w:val="auto"/>
              </w:rPr>
              <w:t>649</w:t>
            </w:r>
          </w:p>
        </w:tc>
      </w:tr>
      <w:tr>
        <w:trPr>
          <w:trHeight w:val="216"/>
        </w:trPr>
        <w:tc>
          <w:tcPr>
            <w:tcW w:w="68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Other long-term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0"/>
                <w:szCs w:val="20"/>
                <w:color w:val="auto"/>
              </w:rPr>
              <w:t>274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325</w:t>
            </w:r>
          </w:p>
        </w:tc>
      </w:tr>
      <w:tr>
        <w:trPr>
          <w:trHeight w:val="196"/>
        </w:trPr>
        <w:tc>
          <w:tcPr>
            <w:tcW w:w="6840" w:type="dxa"/>
            <w:vAlign w:val="bottom"/>
          </w:tcPr>
          <w:p>
            <w:pPr>
              <w:spacing w:after="0" w:line="196" w:lineRule="exact"/>
              <w:rPr>
                <w:sz w:val="20"/>
                <w:szCs w:val="20"/>
                <w:color w:val="auto"/>
              </w:rPr>
            </w:pPr>
            <w:r>
              <w:rPr>
                <w:rFonts w:ascii="Arial" w:cs="Arial" w:eastAsia="Arial" w:hAnsi="Arial"/>
                <w:sz w:val="20"/>
                <w:szCs w:val="20"/>
                <w:color w:val="auto"/>
              </w:rPr>
              <w:t>Non-current liabilities related to assets held for sale</w:t>
            </w: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803</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
              <w:spacing w:after="0" w:line="196" w:lineRule="exact"/>
              <w:rPr>
                <w:sz w:val="20"/>
                <w:szCs w:val="20"/>
                <w:color w:val="auto"/>
              </w:rPr>
            </w:pPr>
            <w:r>
              <w:rPr>
                <w:rFonts w:ascii="Arial" w:cs="Arial" w:eastAsia="Arial" w:hAnsi="Arial"/>
                <w:sz w:val="20"/>
                <w:szCs w:val="20"/>
                <w:color w:val="auto"/>
                <w:w w:val="71"/>
              </w:rPr>
              <w:t>$</w:t>
            </w:r>
          </w:p>
        </w:tc>
        <w:tc>
          <w:tcPr>
            <w:tcW w:w="1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20"/>
                <w:szCs w:val="20"/>
                <w:color w:val="auto"/>
              </w:rPr>
              <w:t>974</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 </w:t>
      </w:r>
      <w:r>
        <w:rPr>
          <w:rFonts w:ascii="Arial" w:cs="Arial" w:eastAsia="Arial" w:hAnsi="Arial"/>
          <w:sz w:val="22"/>
          <w:szCs w:val="22"/>
          <w:b w:val="1"/>
          <w:bCs w:val="1"/>
          <w:i w:val="1"/>
          <w:iCs w:val="1"/>
          <w:color w:val="auto"/>
        </w:rPr>
        <w:t>Goodwill</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changes in the Company’s goodwill, by business segment: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w w:val="93"/>
              </w:rPr>
              <w:t>Regulated Natural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4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Regulated Water</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Gas</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5"/>
              </w:rPr>
              <w:t>Consolidated</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440" w:type="dxa"/>
            <w:vAlign w:val="bottom"/>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2,340,792</w:t>
            </w:r>
          </w:p>
        </w:tc>
      </w:tr>
      <w:tr>
        <w:trPr>
          <w:trHeight w:val="229"/>
        </w:trPr>
        <w:tc>
          <w:tcPr>
            <w:tcW w:w="5480" w:type="dxa"/>
            <w:vAlign w:val="bottom"/>
          </w:tcPr>
          <w:p>
            <w:pPr>
              <w:ind w:left="120"/>
              <w:spacing w:after="0"/>
              <w:rPr>
                <w:sz w:val="20"/>
                <w:szCs w:val="20"/>
                <w:color w:val="auto"/>
              </w:rPr>
            </w:pPr>
            <w:r>
              <w:rPr>
                <w:rFonts w:ascii="Arial" w:cs="Arial" w:eastAsia="Arial" w:hAnsi="Arial"/>
                <w:sz w:val="18"/>
                <w:szCs w:val="18"/>
                <w:color w:val="auto"/>
              </w:rPr>
              <w:t>Reclassification to utility plant acquisition adjustment</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June 30, 2023</w:t>
            </w:r>
          </w:p>
        </w:tc>
        <w:tc>
          <w:tcPr>
            <w:tcW w:w="440" w:type="dxa"/>
            <w:vAlign w:val="bottom"/>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58,467</w:t>
            </w:r>
          </w:p>
        </w:tc>
        <w:tc>
          <w:tcPr>
            <w:tcW w:w="520" w:type="dxa"/>
            <w:vAlign w:val="bottom"/>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2,277,447</w:t>
            </w:r>
          </w:p>
        </w:tc>
        <w:tc>
          <w:tcPr>
            <w:tcW w:w="400" w:type="dxa"/>
            <w:vAlign w:val="bottom"/>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4,841</w:t>
            </w:r>
          </w:p>
        </w:tc>
        <w:tc>
          <w:tcPr>
            <w:tcW w:w="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2,340,755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222" w:lineRule="exact"/>
        <w:rPr>
          <w:sz w:val="20"/>
          <w:szCs w:val="20"/>
          <w:color w:val="auto"/>
        </w:rPr>
      </w:pPr>
    </w:p>
    <w:p>
      <w:pPr>
        <w:jc w:val="both"/>
        <w:ind w:right="440"/>
        <w:spacing w:after="0" w:line="231" w:lineRule="auto"/>
        <w:rPr>
          <w:sz w:val="20"/>
          <w:szCs w:val="20"/>
          <w:color w:val="auto"/>
        </w:rPr>
      </w:pPr>
      <w:r>
        <w:rPr>
          <w:rFonts w:ascii="Arial" w:cs="Arial" w:eastAsia="Arial" w:hAnsi="Arial"/>
          <w:sz w:val="22"/>
          <w:szCs w:val="22"/>
          <w:color w:val="auto"/>
        </w:rPr>
        <w:t>The reclassification of goodwill to utility plant acquisition adjustment results from a mechanism approved by the applicable utility commission. The mechanism provides for the transfer over time, and the recovery through customer rates, of goodwill associated with some acquisitions upon achieving specific objectives.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3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 </w:t>
      </w:r>
      <w:r>
        <w:rPr>
          <w:rFonts w:ascii="Arial" w:cs="Arial" w:eastAsia="Arial" w:hAnsi="Arial"/>
          <w:sz w:val="22"/>
          <w:szCs w:val="22"/>
          <w:b w:val="1"/>
          <w:bCs w:val="1"/>
          <w:i w:val="1"/>
          <w:iCs w:val="1"/>
          <w:color w:val="auto"/>
        </w:rPr>
        <w:t>Capitalization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At-the-Market Offering</w:t>
      </w:r>
    </w:p>
    <w:p>
      <w:pPr>
        <w:spacing w:after="0" w:line="220" w:lineRule="exact"/>
        <w:rPr>
          <w:sz w:val="20"/>
          <w:szCs w:val="20"/>
          <w:color w:val="auto"/>
        </w:rPr>
      </w:pPr>
    </w:p>
    <w:p>
      <w:pPr>
        <w:jc w:val="both"/>
        <w:ind w:right="200"/>
        <w:spacing w:after="0" w:line="265" w:lineRule="auto"/>
        <w:rPr>
          <w:sz w:val="20"/>
          <w:szCs w:val="20"/>
          <w:color w:val="auto"/>
        </w:rPr>
      </w:pPr>
      <w:r>
        <w:rPr>
          <w:rFonts w:ascii="Arial" w:cs="Arial" w:eastAsia="Arial" w:hAnsi="Arial"/>
          <w:sz w:val="19"/>
          <w:szCs w:val="19"/>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December 31, 2022, the Company issued 1,321,994 shares of common stock under the ATM for proceeds of $63,040, net of expenses. In January 2023, the Company issued 399,128 shares of common stock under the ATM for proceeds of $19,294, net of expenses. No shares were issued under the ATM in the second quarter of 2023.</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Tangible Equity Units</w:t>
      </w:r>
    </w:p>
    <w:p>
      <w:pPr>
        <w:spacing w:after="0" w:line="220"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auto"/>
        </w:rPr>
        <w:t>On April 23, 2019, the Company issued $690,000, less expenses of $16,358, of its tangible equity units (the “Units”), with a stated amount of $50.00 per unit. This issuance was part of the permanent financing to close the Peoples Gas Acquisition. Each Unit consisted of a prepaid stock purchase contract and an amortizing note, each issued by the Company. The amortizing notes had an initial principal amount of $8.62909, or $119,081 in aggregate, and yielded interest at a rate of 3.00% per year, and paid equal quarterly per unit cash installments of $0.75 per amortizing note (except for the July 30, 2019 installment payment, which was $0.80833 per amortizing note), that constituted a payment of interest and a partial repayment of principal. This cash payment in the aggregate was equivalent to 6.00% per year with respect to each $50.00 stated amount of the Units. The amortizing notes represented unsecured senior obligations of the Company.</w:t>
      </w:r>
    </w:p>
    <w:p>
      <w:pPr>
        <w:spacing w:after="0" w:line="184"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Certain holders of the tangible equity units had early settled their prepaid stock purchase contracts prior to the due date, and, in exchange, the Company issued shares of its common stock. During April 2022, 981,919 stock purchase contracts were early settled by the holders of the contracts, resulting in the issuance of 1,166,107 shares of the Company’s common stock. On May 2, 2022, the remaining 6,621,315 stock purchase contracts were each mandatorily settled for 1.18758 shares of the Company’s common stock, and in the aggregate the Company issued 7,863,354 shares of its common stock. Additionally, the final quarterly installment payment was made, which resulted in the complete pay-off of the amortizing notes.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Debt and Loans Payable</w:t>
      </w:r>
    </w:p>
    <w:p>
      <w:pPr>
        <w:spacing w:after="0" w:line="206"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June 29, 2023, Aqua Pennsylvania and Peoples Natural Gas Companies amended the terms of their respective $100,000 and $300,000, 364-day revolving credit agreements, as follows: (1) extended the maturity dates to June 27, 2024; and (2) updated the adjustment on the Bloomberg Short-Term Bank Yield Index (BSBY) Rate.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18" w:name="page19"/>
    <w:bookmarkEnd w:id="18"/>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100"/>
        <w:spacing w:after="0" w:line="231" w:lineRule="auto"/>
        <w:rPr>
          <w:sz w:val="20"/>
          <w:szCs w:val="20"/>
          <w:color w:val="auto"/>
        </w:rPr>
      </w:pPr>
      <w:r>
        <w:rPr>
          <w:rFonts w:ascii="Arial" w:cs="Arial" w:eastAsia="Arial" w:hAnsi="Arial"/>
          <w:sz w:val="22"/>
          <w:szCs w:val="22"/>
          <w:color w:val="auto"/>
        </w:rPr>
        <w:t>In January 2023 and October 2022, the Company’s subsidiary,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201" w:lineRule="exact"/>
        <w:rPr>
          <w:sz w:val="20"/>
          <w:szCs w:val="20"/>
          <w:color w:val="auto"/>
        </w:rPr>
      </w:pPr>
    </w:p>
    <w:p>
      <w:pPr>
        <w:ind w:right="180"/>
        <w:spacing w:after="0" w:line="243" w:lineRule="auto"/>
        <w:rPr>
          <w:sz w:val="20"/>
          <w:szCs w:val="20"/>
          <w:color w:val="auto"/>
        </w:rPr>
      </w:pPr>
      <w:r>
        <w:rPr>
          <w:rFonts w:ascii="Arial" w:cs="Arial" w:eastAsia="Arial" w:hAnsi="Arial"/>
          <w:sz w:val="21"/>
          <w:szCs w:val="21"/>
          <w:color w:val="auto"/>
        </w:rPr>
        <w:t>On May 20, 2022, the Company issued $500,000 of long-term debt (the “Senior Notes”), less expenses of $5,815, due in 2052 with an interest rate of 5.30%. The Company used the net proceeds from the issuance of Senior Notes to (1) to repay $49,700 of borrowings under Aqua Pennsylvania’s 364-day revolving credit facility and $410,000 of borrowings under the Company’s existing five year unsecured revolving credit facility, and (2) for general corporate purposes.</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On December 14, 2022, the Company entered into a five year $1,000,000 unsecured revolving credit facility, which replaced the Company’s prior five year $1,000,000 unsecured revolving credit facility. The Company’s new unsecured revolving credit facility was used to repay all indebtedness and fees under our prior unsecured revolving credit facility, and for other general corporate purposes. The facility includes a $100,000 sublimit for daily demand loan. Funds borrowed under this facility are classified as long-term debt and are used to provide working capital as well as support for letters of credit for insurance policies and other financing arrangements. As of June 30, 2023, the Company has the following sublimits and available capacity under the credit facility: $100,000 letter of credit sublimit, $82,362 of letters of credit available capacity, $0 borrowed under the swing-line commitment, $100,000 was available for borrowing under the swing-line commitment, $305,362 available for borrowing and $677,000 of funds borrowed under the agreement.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 </w:t>
      </w:r>
      <w:r>
        <w:rPr>
          <w:rFonts w:ascii="Arial" w:cs="Arial" w:eastAsia="Arial" w:hAnsi="Arial"/>
          <w:sz w:val="22"/>
          <w:szCs w:val="22"/>
          <w:b w:val="1"/>
          <w:bCs w:val="1"/>
          <w:i w:val="1"/>
          <w:iCs w:val="1"/>
          <w:color w:val="auto"/>
        </w:rPr>
        <w:t>Financial Instruments</w:t>
      </w:r>
    </w:p>
    <w:p>
      <w:pPr>
        <w:spacing w:after="0" w:line="212" w:lineRule="exact"/>
        <w:rPr>
          <w:sz w:val="20"/>
          <w:szCs w:val="20"/>
          <w:color w:val="auto"/>
        </w:rPr>
      </w:pPr>
    </w:p>
    <w:p>
      <w:pPr>
        <w:ind w:right="440"/>
        <w:spacing w:after="0" w:line="277" w:lineRule="auto"/>
        <w:rPr>
          <w:sz w:val="20"/>
          <w:szCs w:val="20"/>
          <w:color w:val="auto"/>
        </w:rPr>
      </w:pPr>
      <w:r>
        <w:rPr>
          <w:rFonts w:ascii="Arial" w:cs="Arial" w:eastAsia="Arial" w:hAnsi="Arial"/>
          <w:sz w:val="19"/>
          <w:szCs w:val="19"/>
          <w:color w:val="auto"/>
        </w:rPr>
        <w:t>Financial instruments are recorded at carrying value in the financial statements and approximate fair value as of the dates presented. The fair value of these instruments is disclosed below in accordance with current accounting guidance related to financial instruments. There have been no changes in the valuation techniques used to measure fair value, or asset or liability transfers between the levels of the fair value hierarchy for the six months ended June 30, 2023 and 2022.</w:t>
      </w:r>
    </w:p>
    <w:p>
      <w:pPr>
        <w:spacing w:after="0" w:line="166"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fair value of loans payable is determined based on its carrying amount and utilizing Level 1 methods and assumptions. As of June 30, 2023 and December 31, 2022, the carrying amount of the Company’s loans payable was $48,043 and $228,500, respectively, which equates to their estimated fair value. The fair value of cash and cash equivalents, is determined based on Level 1 methods and assumptions. As of June 30, 2023 and December 31, 2022, the carrying amounts of the Company's cash and cash equivalents was $11,642 and $11,398, respectively, which equates to their fair value. The Company’s assets underlying the deferred compensation and non-qualified pension plans are determined by the fair value of mutual funds, which are based on quoted market prices from active markets utilizing Level 1 methods and assumptions. As of June 30, 2023 and December 31, 2022, the carrying amount of these securities was $25,319 and $24,962, respectively, which equates to their fair value, and is reported in the consolidated balance sheet in deferred charges and other assets.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Unrealized gain and losses on equity securities held in conjunction with our non-qualified pension plan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300" w:type="dxa"/>
            <w:vAlign w:val="bottom"/>
            <w:gridSpan w:val="6"/>
          </w:tcPr>
          <w:p>
            <w:pPr>
              <w:jc w:val="right"/>
              <w:ind w:right="31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4"/>
          </w:tcPr>
          <w:p>
            <w:pPr>
              <w:jc w:val="right"/>
              <w:ind w:right="210"/>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17"/>
        </w:trPr>
        <w:tc>
          <w:tcPr>
            <w:tcW w:w="67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4"/>
              </w:rPr>
              <w:t>2022</w:t>
            </w:r>
          </w:p>
        </w:tc>
        <w:tc>
          <w:tcPr>
            <w:tcW w:w="0" w:type="dxa"/>
            <w:vAlign w:val="bottom"/>
          </w:tcPr>
          <w:p>
            <w:pPr>
              <w:spacing w:after="0"/>
              <w:rPr>
                <w:sz w:val="1"/>
                <w:szCs w:val="1"/>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recognized during the period on equity securities</w:t>
            </w:r>
          </w:p>
        </w:tc>
        <w:tc>
          <w:tcPr>
            <w:tcW w:w="720" w:type="dxa"/>
            <w:vAlign w:val="bottom"/>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175"/>
        </w:trPr>
        <w:tc>
          <w:tcPr>
            <w:tcW w:w="6780" w:type="dxa"/>
            <w:vAlign w:val="bottom"/>
          </w:tcPr>
          <w:p>
            <w:pPr>
              <w:spacing w:after="0" w:line="175" w:lineRule="exact"/>
              <w:rPr>
                <w:sz w:val="20"/>
                <w:szCs w:val="20"/>
                <w:color w:val="auto"/>
              </w:rPr>
            </w:pPr>
            <w:r>
              <w:rPr>
                <w:rFonts w:ascii="Arial" w:cs="Arial" w:eastAsia="Arial" w:hAnsi="Arial"/>
                <w:sz w:val="18"/>
                <w:szCs w:val="18"/>
                <w:color w:val="auto"/>
              </w:rPr>
              <w:t>Less: net gain / loss recognized during the period on equity securities sold during the</w:t>
            </w:r>
          </w:p>
        </w:tc>
        <w:tc>
          <w:tcPr>
            <w:tcW w:w="72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period</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78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Unrealized gain (loss) recognized during the reporting period on equity securities still held</w:t>
            </w:r>
          </w:p>
        </w:tc>
        <w:tc>
          <w:tcPr>
            <w:tcW w:w="720" w:type="dxa"/>
            <w:vAlign w:val="bottom"/>
            <w:vMerge w:val="restart"/>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211</w:t>
            </w:r>
          </w:p>
        </w:tc>
        <w:tc>
          <w:tcPr>
            <w:tcW w:w="10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8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2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at the reporting date</w:t>
            </w:r>
          </w:p>
        </w:tc>
        <w:tc>
          <w:tcPr>
            <w:tcW w:w="72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2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The net gain (loss) recognized on equity securities is presented on the consolidated statements of operations and comprehensive income on the line item “Other.”</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The carrying amounts and estimated fair values of the Company’s long-term debt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0" w:type="dxa"/>
            <w:vAlign w:val="bottom"/>
          </w:tcPr>
          <w:p>
            <w:pPr>
              <w:jc w:val="center"/>
              <w:ind w:left="937"/>
              <w:spacing w:after="0"/>
              <w:rPr>
                <w:sz w:val="20"/>
                <w:szCs w:val="20"/>
                <w:color w:val="auto"/>
              </w:rPr>
            </w:pPr>
            <w:r>
              <w:rPr>
                <w:rFonts w:ascii="Arial" w:cs="Arial" w:eastAsia="Arial" w:hAnsi="Arial"/>
                <w:sz w:val="22"/>
                <w:szCs w:val="22"/>
                <w:color w:val="auto"/>
                <w:w w:val="85"/>
              </w:rPr>
              <w:t>June 30,</w:t>
            </w: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792"/>
              <w:spacing w:after="0"/>
              <w:rPr>
                <w:sz w:val="20"/>
                <w:szCs w:val="20"/>
                <w:color w:val="auto"/>
              </w:rPr>
            </w:pPr>
            <w:r>
              <w:rPr>
                <w:rFonts w:ascii="Arial" w:cs="Arial" w:eastAsia="Arial" w:hAnsi="Arial"/>
                <w:sz w:val="22"/>
                <w:szCs w:val="22"/>
                <w:color w:val="auto"/>
              </w:rPr>
              <w:t>December 31,</w:t>
            </w:r>
          </w:p>
        </w:tc>
      </w:tr>
      <w:tr>
        <w:trPr>
          <w:trHeight w:val="251"/>
        </w:trPr>
        <w:tc>
          <w:tcPr>
            <w:tcW w:w="3260" w:type="dxa"/>
            <w:vAlign w:val="bottom"/>
          </w:tcPr>
          <w:p>
            <w:pPr>
              <w:spacing w:after="0"/>
              <w:rPr>
                <w:sz w:val="21"/>
                <w:szCs w:val="21"/>
                <w:color w:val="auto"/>
              </w:rPr>
            </w:pPr>
          </w:p>
        </w:tc>
        <w:tc>
          <w:tcPr>
            <w:tcW w:w="3520" w:type="dxa"/>
            <w:vAlign w:val="bottom"/>
            <w:gridSpan w:val="2"/>
          </w:tcPr>
          <w:p>
            <w:pPr>
              <w:jc w:val="right"/>
              <w:ind w:right="157"/>
              <w:spacing w:after="0" w:line="251" w:lineRule="exact"/>
              <w:rPr>
                <w:sz w:val="20"/>
                <w:szCs w:val="20"/>
                <w:color w:val="auto"/>
              </w:rPr>
            </w:pPr>
            <w:r>
              <w:rPr>
                <w:rFonts w:ascii="Arial" w:cs="Arial" w:eastAsia="Arial" w:hAnsi="Arial"/>
                <w:sz w:val="22"/>
                <w:szCs w:val="22"/>
                <w:color w:val="auto"/>
              </w:rPr>
              <w:t>2023</w:t>
            </w: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00" w:type="dxa"/>
            <w:vAlign w:val="bottom"/>
          </w:tcPr>
          <w:p>
            <w:pPr>
              <w:jc w:val="right"/>
              <w:ind w:right="1172"/>
              <w:spacing w:after="0" w:line="251" w:lineRule="exact"/>
              <w:rPr>
                <w:sz w:val="20"/>
                <w:szCs w:val="20"/>
                <w:color w:val="auto"/>
              </w:rPr>
            </w:pPr>
            <w:r>
              <w:rPr>
                <w:rFonts w:ascii="Arial" w:cs="Arial" w:eastAsia="Arial" w:hAnsi="Arial"/>
                <w:sz w:val="22"/>
                <w:szCs w:val="22"/>
                <w:color w:val="auto"/>
              </w:rPr>
              <w:t>2022</w:t>
            </w:r>
          </w:p>
        </w:tc>
      </w:tr>
      <w:tr>
        <w:trPr>
          <w:trHeight w:val="223"/>
        </w:trPr>
        <w:tc>
          <w:tcPr>
            <w:tcW w:w="32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Carrying amount</w:t>
            </w:r>
          </w:p>
        </w:tc>
        <w:tc>
          <w:tcPr>
            <w:tcW w:w="15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ind w:right="1797"/>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6,859,763</w:t>
            </w:r>
          </w:p>
        </w:tc>
        <w:tc>
          <w:tcPr>
            <w:tcW w:w="3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292"/>
              <w:spacing w:after="0" w:line="223" w:lineRule="exact"/>
              <w:rPr>
                <w:sz w:val="20"/>
                <w:szCs w:val="20"/>
                <w:color w:val="auto"/>
              </w:rPr>
            </w:pPr>
            <w:r>
              <w:rPr>
                <w:rFonts w:ascii="Arial" w:cs="Arial" w:eastAsia="Arial" w:hAnsi="Arial"/>
                <w:sz w:val="22"/>
                <w:szCs w:val="22"/>
                <w:color w:val="auto"/>
                <w:w w:val="81"/>
              </w:rPr>
              <w:t>$</w:t>
            </w:r>
          </w:p>
        </w:tc>
        <w:tc>
          <w:tcPr>
            <w:tcW w:w="25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6,617,395</w:t>
            </w:r>
          </w:p>
        </w:tc>
      </w:tr>
      <w:tr>
        <w:trPr>
          <w:trHeight w:val="274"/>
        </w:trPr>
        <w:tc>
          <w:tcPr>
            <w:tcW w:w="3260" w:type="dxa"/>
            <w:vAlign w:val="bottom"/>
          </w:tcPr>
          <w:p>
            <w:pPr>
              <w:spacing w:after="0"/>
              <w:rPr>
                <w:sz w:val="20"/>
                <w:szCs w:val="20"/>
                <w:color w:val="auto"/>
              </w:rPr>
            </w:pPr>
            <w:r>
              <w:rPr>
                <w:rFonts w:ascii="Arial" w:cs="Arial" w:eastAsia="Arial" w:hAnsi="Arial"/>
                <w:sz w:val="22"/>
                <w:szCs w:val="22"/>
                <w:color w:val="auto"/>
              </w:rPr>
              <w:t>Estimated fair value</w:t>
            </w:r>
          </w:p>
        </w:tc>
        <w:tc>
          <w:tcPr>
            <w:tcW w:w="15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5,638,394</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5,528,131</w:t>
            </w:r>
          </w:p>
        </w:tc>
      </w:tr>
    </w:tbl>
    <w:p>
      <w:pPr>
        <w:spacing w:after="0" w:line="190"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The fair value of long-term debt has been determined by discounting the future cash flows using current market interest rates for similar financial instruments of the same duration utilizing Level 2 methods and assumptions.</w:t>
      </w:r>
    </w:p>
    <w:p>
      <w:pPr>
        <w:spacing w:after="0" w:line="198" w:lineRule="exact"/>
        <w:rPr>
          <w:sz w:val="20"/>
          <w:szCs w:val="20"/>
          <w:color w:val="auto"/>
        </w:rPr>
      </w:pPr>
    </w:p>
    <w:p>
      <w:pPr>
        <w:ind w:right="20"/>
        <w:spacing w:after="0" w:line="226" w:lineRule="auto"/>
        <w:rPr>
          <w:sz w:val="20"/>
          <w:szCs w:val="20"/>
          <w:color w:val="auto"/>
        </w:rPr>
      </w:pPr>
      <w:r>
        <w:rPr>
          <w:rFonts w:ascii="Arial" w:cs="Arial" w:eastAsia="Arial" w:hAnsi="Arial"/>
          <w:sz w:val="22"/>
          <w:szCs w:val="22"/>
          <w:color w:val="auto"/>
        </w:rPr>
        <w:t>The Company’s customers’ advances for construction have a carrying value of $125,362 as of June 30, 2023, and $114,732 as of December 31, 2022. Their relative fair values cannot be accurately estimated because future refund payments depend on several variables, including new customer connections, customer consumption levels, and future rates. Portions of these non-interest-bearing instruments are payable annually through 2032, and amounts not paid by the respective contract expiration dates become non-refundable. The fair value of these amounts would, however, be less than their carrying value due to the non-interest-bearing feature.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 </w:t>
      </w:r>
      <w:r>
        <w:rPr>
          <w:rFonts w:ascii="Arial" w:cs="Arial" w:eastAsia="Arial" w:hAnsi="Arial"/>
          <w:sz w:val="22"/>
          <w:szCs w:val="22"/>
          <w:b w:val="1"/>
          <w:bCs w:val="1"/>
          <w:i w:val="1"/>
          <w:iCs w:val="1"/>
          <w:color w:val="auto"/>
        </w:rPr>
        <w:t>Net Income per Common Share</w:t>
      </w:r>
    </w:p>
    <w:p>
      <w:pPr>
        <w:spacing w:after="0" w:line="212" w:lineRule="exact"/>
        <w:rPr>
          <w:sz w:val="20"/>
          <w:szCs w:val="20"/>
          <w:color w:val="auto"/>
        </w:rPr>
      </w:pPr>
    </w:p>
    <w:p>
      <w:pPr>
        <w:ind w:right="40"/>
        <w:spacing w:after="0" w:line="265" w:lineRule="auto"/>
        <w:rPr>
          <w:sz w:val="20"/>
          <w:szCs w:val="20"/>
          <w:color w:val="auto"/>
        </w:rPr>
      </w:pPr>
      <w:r>
        <w:rPr>
          <w:rFonts w:ascii="Arial" w:cs="Arial" w:eastAsia="Arial" w:hAnsi="Arial"/>
          <w:sz w:val="19"/>
          <w:szCs w:val="19"/>
          <w:color w:val="auto"/>
        </w:rPr>
        <w:t>Basic net income per common share is based on the weighted average number of common shares outstanding and the weighted average minimum number of shares issued upon settlement of the stock purchase contracts issued under the tangible equity units. Diluted net income per common share is based on the weighted average number of common shares outstanding and potentially dilutive shares. The dilutive effect of employee stock-based compensation is included in the computation of diluted net income per common share. The dilutive effect of stock-based compensation is calculated using the treasury stock method and expected proceeds upon exercise of the stock-based compensation. The treasury stock method assumes that the proceeds from stock-based compensation is used to purchase the Company’s common stock at the average market price during the period. The following table summarizes the shares, in thousands, used in computing basic and diluted net income per common share: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000" w:type="dxa"/>
            <w:vAlign w:val="bottom"/>
          </w:tcPr>
          <w:p>
            <w:pPr>
              <w:spacing w:after="0"/>
              <w:rPr>
                <w:sz w:val="21"/>
                <w:szCs w:val="21"/>
                <w:color w:val="auto"/>
              </w:rPr>
            </w:pPr>
          </w:p>
        </w:tc>
        <w:tc>
          <w:tcPr>
            <w:tcW w:w="2560" w:type="dxa"/>
            <w:vAlign w:val="bottom"/>
            <w:gridSpan w:val="4"/>
          </w:tcPr>
          <w:p>
            <w:pPr>
              <w:jc w:val="center"/>
              <w:spacing w:after="0"/>
              <w:rPr>
                <w:sz w:val="20"/>
                <w:szCs w:val="20"/>
                <w:color w:val="auto"/>
              </w:rPr>
            </w:pPr>
            <w:r>
              <w:rPr>
                <w:rFonts w:ascii="Arial" w:cs="Arial" w:eastAsia="Arial" w:hAnsi="Arial"/>
                <w:sz w:val="22"/>
                <w:szCs w:val="22"/>
                <w:color w:val="auto"/>
                <w:w w:val="89"/>
              </w:rPr>
              <w:t>Three Months Ended</w:t>
            </w:r>
          </w:p>
        </w:tc>
        <w:tc>
          <w:tcPr>
            <w:tcW w:w="200" w:type="dxa"/>
            <w:vAlign w:val="bottom"/>
          </w:tcPr>
          <w:p>
            <w:pPr>
              <w:spacing w:after="0"/>
              <w:rPr>
                <w:sz w:val="21"/>
                <w:szCs w:val="21"/>
                <w:color w:val="auto"/>
              </w:rPr>
            </w:pPr>
          </w:p>
        </w:tc>
        <w:tc>
          <w:tcPr>
            <w:tcW w:w="2480" w:type="dxa"/>
            <w:vAlign w:val="bottom"/>
            <w:gridSpan w:val="4"/>
          </w:tcPr>
          <w:p>
            <w:pPr>
              <w:jc w:val="center"/>
              <w:spacing w:after="0"/>
              <w:rPr>
                <w:sz w:val="20"/>
                <w:szCs w:val="20"/>
                <w:color w:val="auto"/>
              </w:rPr>
            </w:pPr>
            <w:r>
              <w:rPr>
                <w:rFonts w:ascii="Arial" w:cs="Arial" w:eastAsia="Arial" w:hAnsi="Arial"/>
                <w:sz w:val="22"/>
                <w:szCs w:val="22"/>
                <w:color w:val="auto"/>
                <w:w w:val="89"/>
              </w:rPr>
              <w:t>Six Months Ended</w:t>
            </w:r>
          </w:p>
        </w:tc>
        <w:tc>
          <w:tcPr>
            <w:tcW w:w="0" w:type="dxa"/>
            <w:vAlign w:val="bottom"/>
          </w:tcPr>
          <w:p>
            <w:pPr>
              <w:spacing w:after="0"/>
              <w:rPr>
                <w:sz w:val="1"/>
                <w:szCs w:val="1"/>
                <w:color w:val="auto"/>
              </w:rPr>
            </w:pPr>
          </w:p>
        </w:tc>
      </w:tr>
      <w:tr>
        <w:trPr>
          <w:trHeight w:val="251"/>
        </w:trPr>
        <w:tc>
          <w:tcPr>
            <w:tcW w:w="6000" w:type="dxa"/>
            <w:vAlign w:val="bottom"/>
          </w:tcPr>
          <w:p>
            <w:pPr>
              <w:spacing w:after="0"/>
              <w:rPr>
                <w:sz w:val="21"/>
                <w:szCs w:val="21"/>
                <w:color w:val="auto"/>
              </w:rPr>
            </w:pPr>
          </w:p>
        </w:tc>
        <w:tc>
          <w:tcPr>
            <w:tcW w:w="1680" w:type="dxa"/>
            <w:vAlign w:val="bottom"/>
            <w:tcBorders>
              <w:bottom w:val="single" w:sz="8" w:color="auto"/>
            </w:tcBorders>
            <w:gridSpan w:val="3"/>
          </w:tcPr>
          <w:p>
            <w:pPr>
              <w:jc w:val="center"/>
              <w:ind w:left="772"/>
              <w:spacing w:after="0" w:line="251" w:lineRule="exact"/>
              <w:rPr>
                <w:sz w:val="20"/>
                <w:szCs w:val="20"/>
                <w:color w:val="auto"/>
              </w:rPr>
            </w:pPr>
            <w:r>
              <w:rPr>
                <w:rFonts w:ascii="Arial" w:cs="Arial" w:eastAsia="Arial" w:hAnsi="Arial"/>
                <w:sz w:val="22"/>
                <w:szCs w:val="22"/>
                <w:color w:val="auto"/>
                <w:w w:val="85"/>
              </w:rPr>
              <w:t>June 30,</w:t>
            </w:r>
          </w:p>
        </w:tc>
        <w:tc>
          <w:tcPr>
            <w:tcW w:w="8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732"/>
              <w:spacing w:after="0" w:line="251" w:lineRule="exact"/>
              <w:rPr>
                <w:sz w:val="20"/>
                <w:szCs w:val="20"/>
                <w:color w:val="auto"/>
              </w:rPr>
            </w:pPr>
            <w:r>
              <w:rPr>
                <w:rFonts w:ascii="Arial" w:cs="Arial" w:eastAsia="Arial" w:hAnsi="Arial"/>
                <w:sz w:val="22"/>
                <w:szCs w:val="22"/>
                <w:color w:val="auto"/>
                <w:w w:val="85"/>
              </w:rPr>
              <w:t>June 30,</w:t>
            </w: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1100" w:type="dxa"/>
            <w:vAlign w:val="bottom"/>
            <w:tcBorders>
              <w:bottom w:val="single" w:sz="8" w:color="auto"/>
            </w:tcBorders>
          </w:tcPr>
          <w:p>
            <w:pPr>
              <w:ind w:left="340"/>
              <w:spacing w:after="0" w:line="223" w:lineRule="exact"/>
              <w:rPr>
                <w:sz w:val="20"/>
                <w:szCs w:val="20"/>
                <w:color w:val="auto"/>
              </w:rPr>
            </w:pPr>
            <w:r>
              <w:rPr>
                <w:rFonts w:ascii="Arial" w:cs="Arial" w:eastAsia="Arial" w:hAnsi="Arial"/>
                <w:sz w:val="22"/>
                <w:szCs w:val="22"/>
                <w:color w:val="auto"/>
              </w:rPr>
              <w:t>2023</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line="223" w:lineRule="exact"/>
              <w:rPr>
                <w:sz w:val="20"/>
                <w:szCs w:val="20"/>
                <w:color w:val="auto"/>
              </w:rPr>
            </w:pPr>
            <w:r>
              <w:rPr>
                <w:rFonts w:ascii="Arial" w:cs="Arial" w:eastAsia="Arial" w:hAnsi="Arial"/>
                <w:sz w:val="22"/>
                <w:szCs w:val="22"/>
                <w:color w:val="auto"/>
                <w:w w:val="89"/>
              </w:rPr>
              <w:t>2022</w:t>
            </w:r>
          </w:p>
        </w:tc>
        <w:tc>
          <w:tcPr>
            <w:tcW w:w="200" w:type="dxa"/>
            <w:vAlign w:val="bottom"/>
          </w:tcPr>
          <w:p>
            <w:pPr>
              <w:spacing w:after="0"/>
              <w:rPr>
                <w:sz w:val="19"/>
                <w:szCs w:val="19"/>
                <w:color w:val="auto"/>
              </w:rPr>
            </w:pPr>
          </w:p>
        </w:tc>
        <w:tc>
          <w:tcPr>
            <w:tcW w:w="1100" w:type="dxa"/>
            <w:vAlign w:val="bottom"/>
            <w:tcBorders>
              <w:bottom w:val="single" w:sz="8" w:color="auto"/>
            </w:tcBorders>
          </w:tcPr>
          <w:p>
            <w:pPr>
              <w:ind w:left="340"/>
              <w:spacing w:after="0" w:line="223" w:lineRule="exact"/>
              <w:rPr>
                <w:sz w:val="20"/>
                <w:szCs w:val="20"/>
                <w:color w:val="auto"/>
              </w:rPr>
            </w:pPr>
            <w:r>
              <w:rPr>
                <w:rFonts w:ascii="Arial" w:cs="Arial" w:eastAsia="Arial" w:hAnsi="Arial"/>
                <w:sz w:val="22"/>
                <w:szCs w:val="22"/>
                <w:color w:val="auto"/>
              </w:rPr>
              <w:t>2023</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line="223" w:lineRule="exact"/>
              <w:rPr>
                <w:sz w:val="20"/>
                <w:szCs w:val="20"/>
                <w:color w:val="auto"/>
              </w:rPr>
            </w:pPr>
            <w:r>
              <w:rPr>
                <w:rFonts w:ascii="Arial" w:cs="Arial" w:eastAsia="Arial" w:hAnsi="Arial"/>
                <w:sz w:val="22"/>
                <w:szCs w:val="22"/>
                <w:color w:val="auto"/>
                <w:w w:val="89"/>
              </w:rPr>
              <w:t>2022</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5"/>
              </w:rPr>
              <w:t>Average common shares outstanding during the period for basic</w:t>
            </w: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00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computation</w:t>
            </w:r>
          </w:p>
        </w:tc>
        <w:tc>
          <w:tcPr>
            <w:tcW w:w="1100" w:type="dxa"/>
            <w:vAlign w:val="bottom"/>
            <w:shd w:val="clear" w:color="auto" w:fill="CCEEFF"/>
          </w:tcPr>
          <w:p>
            <w:pPr>
              <w:ind w:left="340"/>
              <w:spacing w:after="0" w:line="251" w:lineRule="exact"/>
              <w:rPr>
                <w:sz w:val="20"/>
                <w:szCs w:val="20"/>
                <w:color w:val="auto"/>
              </w:rPr>
            </w:pPr>
            <w:r>
              <w:rPr>
                <w:rFonts w:ascii="Arial" w:cs="Arial" w:eastAsia="Arial" w:hAnsi="Arial"/>
                <w:sz w:val="22"/>
                <w:szCs w:val="22"/>
                <w:color w:val="auto"/>
                <w:w w:val="93"/>
              </w:rPr>
              <w:t>264,418</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262,099</w:t>
            </w:r>
          </w:p>
        </w:tc>
        <w:tc>
          <w:tcPr>
            <w:tcW w:w="1300" w:type="dxa"/>
            <w:vAlign w:val="bottom"/>
            <w:gridSpan w:val="2"/>
            <w:shd w:val="clear" w:color="auto" w:fill="CCEEFF"/>
          </w:tcPr>
          <w:p>
            <w:pPr>
              <w:ind w:left="540"/>
              <w:spacing w:after="0" w:line="251" w:lineRule="exact"/>
              <w:rPr>
                <w:sz w:val="20"/>
                <w:szCs w:val="20"/>
                <w:color w:val="auto"/>
              </w:rPr>
            </w:pPr>
            <w:r>
              <w:rPr>
                <w:rFonts w:ascii="Arial" w:cs="Arial" w:eastAsia="Arial" w:hAnsi="Arial"/>
                <w:sz w:val="22"/>
                <w:szCs w:val="22"/>
                <w:color w:val="auto"/>
                <w:w w:val="93"/>
              </w:rPr>
              <w:t>264,306</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5"/>
              </w:rPr>
              <w:t>262,026</w:t>
            </w:r>
          </w:p>
        </w:tc>
        <w:tc>
          <w:tcPr>
            <w:tcW w:w="0" w:type="dxa"/>
            <w:vAlign w:val="bottom"/>
          </w:tcPr>
          <w:p>
            <w:pPr>
              <w:spacing w:after="0"/>
              <w:rPr>
                <w:sz w:val="1"/>
                <w:szCs w:val="1"/>
                <w:color w:val="auto"/>
              </w:rPr>
            </w:pPr>
          </w:p>
        </w:tc>
      </w:tr>
      <w:tr>
        <w:trPr>
          <w:trHeight w:val="243"/>
        </w:trPr>
        <w:tc>
          <w:tcPr>
            <w:tcW w:w="6000" w:type="dxa"/>
            <w:vAlign w:val="bottom"/>
          </w:tcPr>
          <w:p>
            <w:pPr>
              <w:spacing w:after="0" w:line="243" w:lineRule="exact"/>
              <w:rPr>
                <w:sz w:val="20"/>
                <w:szCs w:val="20"/>
                <w:color w:val="auto"/>
              </w:rPr>
            </w:pPr>
            <w:r>
              <w:rPr>
                <w:rFonts w:ascii="Arial" w:cs="Arial" w:eastAsia="Arial" w:hAnsi="Arial"/>
                <w:sz w:val="22"/>
                <w:szCs w:val="22"/>
                <w:color w:val="auto"/>
              </w:rPr>
              <w:t>Effect of dilutive securities:</w:t>
            </w: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Employee stock-based compensation</w:t>
            </w: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400</w:t>
            </w:r>
          </w:p>
        </w:tc>
        <w:tc>
          <w:tcPr>
            <w:tcW w:w="2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459</w:t>
            </w:r>
          </w:p>
        </w:tc>
        <w:tc>
          <w:tcPr>
            <w:tcW w:w="2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534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519</w:t>
            </w:r>
          </w:p>
        </w:tc>
        <w:tc>
          <w:tcPr>
            <w:tcW w:w="0" w:type="dxa"/>
            <w:vAlign w:val="bottom"/>
          </w:tcPr>
          <w:p>
            <w:pPr>
              <w:spacing w:after="0"/>
              <w:rPr>
                <w:sz w:val="1"/>
                <w:szCs w:val="1"/>
                <w:color w:val="auto"/>
              </w:rPr>
            </w:pPr>
          </w:p>
        </w:tc>
      </w:tr>
      <w:tr>
        <w:trPr>
          <w:trHeight w:val="202"/>
        </w:trPr>
        <w:tc>
          <w:tcPr>
            <w:tcW w:w="6000" w:type="dxa"/>
            <w:vAlign w:val="bottom"/>
          </w:tcPr>
          <w:p>
            <w:pPr>
              <w:spacing w:after="0" w:line="202" w:lineRule="exact"/>
              <w:rPr>
                <w:sz w:val="20"/>
                <w:szCs w:val="20"/>
                <w:color w:val="auto"/>
              </w:rPr>
            </w:pPr>
            <w:r>
              <w:rPr>
                <w:rFonts w:ascii="Arial" w:cs="Arial" w:eastAsia="Arial" w:hAnsi="Arial"/>
                <w:sz w:val="22"/>
                <w:szCs w:val="22"/>
                <w:color w:val="auto"/>
                <w:w w:val="93"/>
              </w:rPr>
              <w:t>Average common shares outstanding during the period for diluted</w:t>
            </w:r>
          </w:p>
        </w:tc>
        <w:tc>
          <w:tcPr>
            <w:tcW w:w="1100" w:type="dxa"/>
            <w:vAlign w:val="bottom"/>
            <w:vMerge w:val="restart"/>
          </w:tcPr>
          <w:p>
            <w:pPr>
              <w:ind w:left="340"/>
              <w:spacing w:after="0"/>
              <w:rPr>
                <w:sz w:val="20"/>
                <w:szCs w:val="20"/>
                <w:color w:val="auto"/>
              </w:rPr>
            </w:pPr>
            <w:r>
              <w:rPr>
                <w:rFonts w:ascii="Arial" w:cs="Arial" w:eastAsia="Arial" w:hAnsi="Arial"/>
                <w:sz w:val="22"/>
                <w:szCs w:val="22"/>
                <w:color w:val="auto"/>
                <w:w w:val="93"/>
              </w:rPr>
              <w:t>264,818</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22"/>
                <w:szCs w:val="22"/>
                <w:color w:val="auto"/>
              </w:rPr>
              <w:t>262,558</w:t>
            </w:r>
          </w:p>
        </w:tc>
        <w:tc>
          <w:tcPr>
            <w:tcW w:w="1300" w:type="dxa"/>
            <w:vAlign w:val="bottom"/>
            <w:gridSpan w:val="2"/>
            <w:vMerge w:val="restart"/>
          </w:tcPr>
          <w:p>
            <w:pPr>
              <w:ind w:left="540"/>
              <w:spacing w:after="0"/>
              <w:rPr>
                <w:sz w:val="20"/>
                <w:szCs w:val="20"/>
                <w:color w:val="auto"/>
              </w:rPr>
            </w:pPr>
            <w:r>
              <w:rPr>
                <w:rFonts w:ascii="Arial" w:cs="Arial" w:eastAsia="Arial" w:hAnsi="Arial"/>
                <w:sz w:val="22"/>
                <w:szCs w:val="22"/>
                <w:color w:val="auto"/>
                <w:w w:val="93"/>
              </w:rPr>
              <w:t>264,840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2"/>
                <w:szCs w:val="22"/>
                <w:color w:val="auto"/>
                <w:w w:val="95"/>
              </w:rPr>
              <w:t>262,545</w:t>
            </w:r>
          </w:p>
        </w:tc>
        <w:tc>
          <w:tcPr>
            <w:tcW w:w="0" w:type="dxa"/>
            <w:vAlign w:val="bottom"/>
          </w:tcPr>
          <w:p>
            <w:pPr>
              <w:spacing w:after="0"/>
              <w:rPr>
                <w:sz w:val="1"/>
                <w:szCs w:val="1"/>
                <w:color w:val="auto"/>
              </w:rPr>
            </w:pPr>
          </w:p>
        </w:tc>
      </w:tr>
      <w:tr>
        <w:trPr>
          <w:trHeight w:val="224"/>
        </w:trPr>
        <w:tc>
          <w:tcPr>
            <w:tcW w:w="6000" w:type="dxa"/>
            <w:vAlign w:val="bottom"/>
          </w:tcPr>
          <w:p>
            <w:pPr>
              <w:spacing w:after="0" w:line="224" w:lineRule="exact"/>
              <w:rPr>
                <w:sz w:val="20"/>
                <w:szCs w:val="20"/>
                <w:color w:val="auto"/>
              </w:rPr>
            </w:pPr>
            <w:r>
              <w:rPr>
                <w:rFonts w:ascii="Arial" w:cs="Arial" w:eastAsia="Arial" w:hAnsi="Arial"/>
                <w:sz w:val="22"/>
                <w:szCs w:val="22"/>
                <w:color w:val="auto"/>
              </w:rPr>
              <w:t>computation</w:t>
            </w: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00"/>
        <w:spacing w:after="0" w:line="228" w:lineRule="auto"/>
        <w:rPr>
          <w:sz w:val="20"/>
          <w:szCs w:val="20"/>
          <w:color w:val="auto"/>
        </w:rPr>
      </w:pPr>
      <w:r>
        <w:rPr>
          <w:rFonts w:ascii="Arial" w:cs="Arial" w:eastAsia="Arial" w:hAnsi="Arial"/>
          <w:sz w:val="22"/>
          <w:szCs w:val="22"/>
          <w:color w:val="auto"/>
        </w:rPr>
        <w:t>Based on the minimum number of shares to be issued upon settlement of the stock purchase contracts issued in April 2019 under the tangible equity units, the average common shares outstanding during the period for basic computation includes the weighted-average impact of the following shares: 2,830,021 shares for the three and six months ended June 30, 2023; and, 5,912,617 shares for the three and six months ended June 30, 2022. On May 2, 2022, all of the remaining stock purchase contracts under the tangible equity units were mandatorily settled.</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21"/>
          <w:szCs w:val="21"/>
          <w:color w:val="auto"/>
        </w:rPr>
        <w:t>The number of outstanding employee stock options that were not included in the diluted earnings per share calculation because the effect would have been anti-dilutive was: 150,062 for the three and six months ended June 30, 2023; and, 83,080 for the three and six months ended June 30, 2022. Additionally, the dilutive effect of performance share units and restricted share units granted are included in the Company’s calculation of diluted net income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 </w:t>
      </w:r>
      <w:r>
        <w:rPr>
          <w:rFonts w:ascii="Arial" w:cs="Arial" w:eastAsia="Arial" w:hAnsi="Arial"/>
          <w:sz w:val="22"/>
          <w:szCs w:val="22"/>
          <w:b w:val="1"/>
          <w:bCs w:val="1"/>
          <w:i w:val="1"/>
          <w:iCs w:val="1"/>
          <w:color w:val="auto"/>
        </w:rPr>
        <w:t>Stock-based Compensation</w:t>
      </w:r>
    </w:p>
    <w:p>
      <w:pPr>
        <w:spacing w:after="0" w:line="212"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 shares for issuance under the Plan. A maximum of 3,125,000 shares under the Plan may be issued pursuant to stock awards, stock units and other stock-based awards, subject to adjustment as provided in the Plan. During any calendar year, no individual may be granted (i) stock options and stock appreciation rights under the Plan for more than 500,000 shares of Company stock in the aggregate or (ii) stock awards, stock units or other stock-based awards under the Plan for more than 500,000 shares of Company stock in the aggregate, subject to adjustment as provided in the Plan. Awards to employees and consultants under the Plan are made by a committee of the Board of Directors of the Company, except that with respect to awards to the Chief Executive Officer, the committee recommends those awards for approval by the non-employee directors of the Board of Directors. In the case of awards to non-employee directors, the Board of Directors makes such awards. At June 30, 2023, 1,506,793 shares were still available for issuance under the Plan. No further grants may be made under the Company’s 2004 Equity Compensation Plan.</w:t>
      </w:r>
    </w:p>
    <w:p>
      <w:pPr>
        <w:spacing w:after="0" w:line="190" w:lineRule="exact"/>
        <w:rPr>
          <w:sz w:val="20"/>
          <w:szCs w:val="20"/>
          <w:color w:val="auto"/>
        </w:rPr>
      </w:pPr>
    </w:p>
    <w:p>
      <w:pPr>
        <w:ind w:right="100"/>
        <w:spacing w:after="0" w:line="239" w:lineRule="auto"/>
        <w:rPr>
          <w:sz w:val="20"/>
          <w:szCs w:val="20"/>
          <w:color w:val="auto"/>
        </w:rPr>
      </w:pPr>
      <w:r>
        <w:rPr>
          <w:rFonts w:ascii="Arial" w:cs="Arial" w:eastAsia="Arial" w:hAnsi="Arial"/>
          <w:sz w:val="21"/>
          <w:szCs w:val="21"/>
          <w:b w:val="1"/>
          <w:bCs w:val="1"/>
          <w:i w:val="1"/>
          <w:iCs w:val="1"/>
          <w:color w:val="auto"/>
        </w:rPr>
        <w:t xml:space="preserve">Performance Share Units </w:t>
      </w:r>
      <w:r>
        <w:rPr>
          <w:rFonts w:ascii="Arial" w:cs="Arial" w:eastAsia="Arial" w:hAnsi="Arial"/>
          <w:sz w:val="21"/>
          <w:szCs w:val="21"/>
          <w:color w:val="auto"/>
        </w:rPr>
        <w:t>– A performance share unit (“PSU”) represents the right to receive a share of the Company’s common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stock if specified performance goals are met over the three year performance period specified in the grant, subject to exceptions through the respective vesting period, which is generally three years. Each grantee is granted a target award of PSUs and may earn between 0% and 200% of the target amount depending on the Company’s performance against the performance goals. The following table provides compensation expense for PSUs: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60" w:type="dxa"/>
            <w:vAlign w:val="bottom"/>
            <w:gridSpan w:val="5"/>
          </w:tcPr>
          <w:p>
            <w:pPr>
              <w:jc w:val="center"/>
              <w:spacing w:after="0"/>
              <w:rPr>
                <w:sz w:val="20"/>
                <w:szCs w:val="20"/>
                <w:color w:val="auto"/>
              </w:rPr>
            </w:pPr>
            <w:r>
              <w:rPr>
                <w:rFonts w:ascii="Arial" w:cs="Arial" w:eastAsia="Arial" w:hAnsi="Arial"/>
                <w:sz w:val="22"/>
                <w:szCs w:val="22"/>
                <w:color w:val="auto"/>
                <w:w w:val="88"/>
              </w:rPr>
              <w:t>Three Months Ended</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60" w:type="dxa"/>
            <w:vAlign w:val="bottom"/>
            <w:gridSpan w:val="4"/>
          </w:tcPr>
          <w:p>
            <w:pPr>
              <w:jc w:val="center"/>
              <w:ind w:right="212"/>
              <w:spacing w:after="0"/>
              <w:rPr>
                <w:sz w:val="20"/>
                <w:szCs w:val="20"/>
                <w:color w:val="auto"/>
              </w:rPr>
            </w:pPr>
            <w:r>
              <w:rPr>
                <w:rFonts w:ascii="Arial" w:cs="Arial" w:eastAsia="Arial" w:hAnsi="Arial"/>
                <w:sz w:val="22"/>
                <w:szCs w:val="22"/>
                <w:color w:val="auto"/>
                <w:w w:val="89"/>
              </w:rPr>
              <w:t>Six Months Ended</w:t>
            </w:r>
          </w:p>
        </w:tc>
      </w:tr>
      <w:tr>
        <w:trPr>
          <w:trHeight w:val="251"/>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center"/>
              <w:spacing w:after="0" w:line="251" w:lineRule="exact"/>
              <w:rPr>
                <w:sz w:val="20"/>
                <w:szCs w:val="20"/>
                <w:color w:val="auto"/>
              </w:rPr>
            </w:pPr>
            <w:r>
              <w:rPr>
                <w:rFonts w:ascii="Arial" w:cs="Arial" w:eastAsia="Arial" w:hAnsi="Arial"/>
                <w:sz w:val="22"/>
                <w:szCs w:val="22"/>
                <w:color w:val="auto"/>
                <w:w w:val="85"/>
              </w:rPr>
              <w:t>June 30,</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left="632"/>
              <w:spacing w:after="0" w:line="251" w:lineRule="exact"/>
              <w:rPr>
                <w:sz w:val="20"/>
                <w:szCs w:val="20"/>
                <w:color w:val="auto"/>
              </w:rPr>
            </w:pPr>
            <w:r>
              <w:rPr>
                <w:rFonts w:ascii="Arial" w:cs="Arial" w:eastAsia="Arial" w:hAnsi="Arial"/>
                <w:sz w:val="22"/>
                <w:szCs w:val="22"/>
                <w:color w:val="auto"/>
                <w:w w:val="85"/>
              </w:rPr>
              <w:t>June 30,</w:t>
            </w:r>
          </w:p>
        </w:tc>
        <w:tc>
          <w:tcPr>
            <w:tcW w:w="1060" w:type="dxa"/>
            <w:vAlign w:val="bottom"/>
            <w:tcBorders>
              <w:bottom w:val="single" w:sz="8" w:color="auto"/>
            </w:tcBorders>
          </w:tcPr>
          <w:p>
            <w:pPr>
              <w:spacing w:after="0"/>
              <w:rPr>
                <w:sz w:val="21"/>
                <w:szCs w:val="21"/>
                <w:color w:val="auto"/>
              </w:rPr>
            </w:pPr>
          </w:p>
        </w:tc>
      </w:tr>
      <w:tr>
        <w:trPr>
          <w:trHeight w:val="237"/>
        </w:trPr>
        <w:tc>
          <w:tcPr>
            <w:tcW w:w="45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2023</w:t>
            </w: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line="237" w:lineRule="exact"/>
              <w:rPr>
                <w:sz w:val="20"/>
                <w:szCs w:val="20"/>
                <w:color w:val="auto"/>
              </w:rPr>
            </w:pPr>
            <w:r>
              <w:rPr>
                <w:rFonts w:ascii="Arial" w:cs="Arial" w:eastAsia="Arial" w:hAnsi="Arial"/>
                <w:sz w:val="22"/>
                <w:szCs w:val="22"/>
                <w:color w:val="auto"/>
              </w:rPr>
              <w:t>2022</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2"/>
              <w:spacing w:after="0" w:line="237" w:lineRule="exact"/>
              <w:rPr>
                <w:sz w:val="20"/>
                <w:szCs w:val="20"/>
                <w:color w:val="auto"/>
              </w:rPr>
            </w:pPr>
            <w:r>
              <w:rPr>
                <w:rFonts w:ascii="Arial" w:cs="Arial" w:eastAsia="Arial" w:hAnsi="Arial"/>
                <w:sz w:val="22"/>
                <w:szCs w:val="22"/>
                <w:color w:val="auto"/>
              </w:rPr>
              <w:t>2023</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2"/>
              <w:spacing w:after="0" w:line="237" w:lineRule="exact"/>
              <w:rPr>
                <w:sz w:val="20"/>
                <w:szCs w:val="20"/>
                <w:color w:val="auto"/>
              </w:rPr>
            </w:pPr>
            <w:r>
              <w:rPr>
                <w:rFonts w:ascii="Arial" w:cs="Arial" w:eastAsia="Arial" w:hAnsi="Arial"/>
                <w:sz w:val="22"/>
                <w:szCs w:val="22"/>
                <w:color w:val="auto"/>
              </w:rPr>
              <w:t>2022</w:t>
            </w:r>
          </w:p>
        </w:tc>
      </w:tr>
      <w:tr>
        <w:trPr>
          <w:trHeight w:val="188"/>
        </w:trPr>
        <w:tc>
          <w:tcPr>
            <w:tcW w:w="4500" w:type="dxa"/>
            <w:vAlign w:val="bottom"/>
            <w:shd w:val="clear" w:color="auto" w:fill="CCEEFF"/>
          </w:tcPr>
          <w:p>
            <w:pPr>
              <w:spacing w:after="0" w:line="188" w:lineRule="exact"/>
              <w:rPr>
                <w:sz w:val="20"/>
                <w:szCs w:val="20"/>
                <w:color w:val="auto"/>
              </w:rPr>
            </w:pPr>
            <w:r>
              <w:rPr>
                <w:rFonts w:ascii="Arial" w:cs="Arial" w:eastAsia="Arial" w:hAnsi="Arial"/>
                <w:sz w:val="21"/>
                <w:szCs w:val="21"/>
                <w:color w:val="auto"/>
                <w:w w:val="97"/>
              </w:rPr>
              <w:t>Stock-based compensation within operations and</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64"/>
        </w:trPr>
        <w:tc>
          <w:tcPr>
            <w:tcW w:w="450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1240" w:type="dxa"/>
            <w:vAlign w:val="bottom"/>
            <w:gridSpan w:val="2"/>
            <w:shd w:val="clear" w:color="auto" w:fill="CCEEFF"/>
          </w:tcPr>
          <w:p>
            <w:pPr>
              <w:jc w:val="right"/>
              <w:ind w:right="752"/>
              <w:spacing w:after="0"/>
              <w:rPr>
                <w:sz w:val="20"/>
                <w:szCs w:val="20"/>
                <w:color w:val="auto"/>
              </w:rPr>
            </w:pPr>
            <w:r>
              <w:rPr>
                <w:rFonts w:ascii="Arial" w:cs="Arial" w:eastAsia="Arial" w:hAnsi="Arial"/>
                <w:sz w:val="22"/>
                <w:szCs w:val="2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22"/>
                <w:szCs w:val="22"/>
                <w:color w:val="auto"/>
                <w:w w:val="87"/>
              </w:rPr>
              <w:t>1,962</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22"/>
                <w:szCs w:val="2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1,692</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22"/>
                <w:szCs w:val="22"/>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22"/>
                <w:szCs w:val="22"/>
                <w:color w:val="auto"/>
              </w:rPr>
              <w:t>4,405</w:t>
            </w:r>
          </w:p>
        </w:tc>
        <w:tc>
          <w:tcPr>
            <w:tcW w:w="380" w:type="dxa"/>
            <w:vAlign w:val="bottom"/>
            <w:shd w:val="clear" w:color="auto" w:fill="CCEEFF"/>
          </w:tcPr>
          <w:p>
            <w:pPr>
              <w:jc w:val="right"/>
              <w:ind w:right="152"/>
              <w:spacing w:after="0"/>
              <w:rPr>
                <w:sz w:val="20"/>
                <w:szCs w:val="20"/>
                <w:color w:val="auto"/>
              </w:rPr>
            </w:pPr>
            <w:r>
              <w:rPr>
                <w:rFonts w:ascii="Arial" w:cs="Arial" w:eastAsia="Arial" w:hAnsi="Arial"/>
                <w:sz w:val="22"/>
                <w:szCs w:val="22"/>
                <w:color w:val="auto"/>
                <w:w w:val="8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3,342</w:t>
            </w:r>
          </w:p>
        </w:tc>
      </w:tr>
      <w:tr>
        <w:trPr>
          <w:trHeight w:val="274"/>
        </w:trPr>
        <w:tc>
          <w:tcPr>
            <w:tcW w:w="4500" w:type="dxa"/>
            <w:vAlign w:val="bottom"/>
          </w:tcPr>
          <w:p>
            <w:pPr>
              <w:spacing w:after="0"/>
              <w:rPr>
                <w:sz w:val="20"/>
                <w:szCs w:val="20"/>
                <w:color w:val="auto"/>
              </w:rPr>
            </w:pPr>
            <w:r>
              <w:rPr>
                <w:rFonts w:ascii="Arial" w:cs="Arial" w:eastAsia="Arial" w:hAnsi="Arial"/>
                <w:sz w:val="22"/>
                <w:szCs w:val="22"/>
                <w:color w:val="auto"/>
              </w:rPr>
              <w:t>Income tax benefit</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2"/>
                <w:szCs w:val="22"/>
                <w:color w:val="auto"/>
              </w:rPr>
              <w:t>492</w:t>
            </w: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22"/>
                <w:szCs w:val="22"/>
                <w:color w:val="auto"/>
              </w:rPr>
              <w:t>485</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22"/>
                <w:szCs w:val="22"/>
                <w:color w:val="auto"/>
              </w:rPr>
              <w:t>1,104</w:t>
            </w:r>
          </w:p>
        </w:tc>
        <w:tc>
          <w:tcPr>
            <w:tcW w:w="3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2"/>
                <w:szCs w:val="22"/>
                <w:color w:val="auto"/>
              </w:rPr>
              <w:t>952</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PSU transactions for the six months ended June 30, 2023:</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22"/>
                <w:szCs w:val="22"/>
                <w:color w:val="auto"/>
                <w:w w:val="91"/>
              </w:rPr>
              <w:t>Number</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92"/>
              <w:spacing w:after="0"/>
              <w:rPr>
                <w:sz w:val="20"/>
                <w:szCs w:val="20"/>
                <w:color w:val="auto"/>
              </w:rPr>
            </w:pPr>
            <w:r>
              <w:rPr>
                <w:rFonts w:ascii="Arial" w:cs="Arial" w:eastAsia="Arial" w:hAnsi="Arial"/>
                <w:sz w:val="22"/>
                <w:szCs w:val="22"/>
                <w:color w:val="auto"/>
                <w:w w:val="88"/>
              </w:rPr>
              <w:t>Weighted</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40" w:type="dxa"/>
            <w:vAlign w:val="bottom"/>
            <w:gridSpan w:val="2"/>
          </w:tcPr>
          <w:p>
            <w:pPr>
              <w:jc w:val="center"/>
              <w:ind w:right="100"/>
              <w:spacing w:after="0" w:line="243" w:lineRule="exact"/>
              <w:rPr>
                <w:sz w:val="20"/>
                <w:szCs w:val="20"/>
                <w:color w:val="auto"/>
              </w:rPr>
            </w:pPr>
            <w:r>
              <w:rPr>
                <w:rFonts w:ascii="Arial" w:cs="Arial" w:eastAsia="Arial" w:hAnsi="Arial"/>
                <w:sz w:val="22"/>
                <w:szCs w:val="22"/>
                <w:color w:val="auto"/>
                <w:w w:val="97"/>
              </w:rPr>
              <w:t>of</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72"/>
              <w:spacing w:after="0" w:line="243" w:lineRule="exact"/>
              <w:rPr>
                <w:sz w:val="20"/>
                <w:szCs w:val="20"/>
                <w:color w:val="auto"/>
              </w:rPr>
            </w:pPr>
            <w:r>
              <w:rPr>
                <w:rFonts w:ascii="Arial" w:cs="Arial" w:eastAsia="Arial" w:hAnsi="Arial"/>
                <w:sz w:val="22"/>
                <w:szCs w:val="22"/>
                <w:color w:val="auto"/>
                <w:w w:val="87"/>
              </w:rPr>
              <w:t>Average</w:t>
            </w:r>
          </w:p>
        </w:tc>
        <w:tc>
          <w:tcPr>
            <w:tcW w:w="0" w:type="dxa"/>
            <w:vAlign w:val="bottom"/>
          </w:tcPr>
          <w:p>
            <w:pPr>
              <w:spacing w:after="0"/>
              <w:rPr>
                <w:sz w:val="1"/>
                <w:szCs w:val="1"/>
                <w:color w:val="auto"/>
              </w:rPr>
            </w:pPr>
          </w:p>
        </w:tc>
      </w:tr>
      <w:tr>
        <w:trPr>
          <w:trHeight w:val="251"/>
        </w:trPr>
        <w:tc>
          <w:tcPr>
            <w:tcW w:w="47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640" w:type="dxa"/>
            <w:vAlign w:val="bottom"/>
            <w:gridSpan w:val="2"/>
          </w:tcPr>
          <w:p>
            <w:pPr>
              <w:jc w:val="center"/>
              <w:ind w:right="120"/>
              <w:spacing w:after="0" w:line="251" w:lineRule="exact"/>
              <w:rPr>
                <w:sz w:val="20"/>
                <w:szCs w:val="20"/>
                <w:color w:val="auto"/>
              </w:rPr>
            </w:pPr>
            <w:r>
              <w:rPr>
                <w:rFonts w:ascii="Arial" w:cs="Arial" w:eastAsia="Arial" w:hAnsi="Arial"/>
                <w:sz w:val="22"/>
                <w:szCs w:val="22"/>
                <w:color w:val="auto"/>
                <w:w w:val="86"/>
              </w:rPr>
              <w:t>Share Units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center"/>
              <w:ind w:right="72"/>
              <w:spacing w:after="0" w:line="251" w:lineRule="exact"/>
              <w:rPr>
                <w:sz w:val="20"/>
                <w:szCs w:val="20"/>
                <w:color w:val="auto"/>
              </w:rPr>
            </w:pPr>
            <w:r>
              <w:rPr>
                <w:rFonts w:ascii="Arial" w:cs="Arial" w:eastAsia="Arial" w:hAnsi="Arial"/>
                <w:sz w:val="22"/>
                <w:szCs w:val="22"/>
                <w:color w:val="auto"/>
                <w:w w:val="87"/>
              </w:rPr>
              <w:t>Fair Value</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share units at beginning of period</w:t>
            </w:r>
          </w:p>
        </w:tc>
        <w:tc>
          <w:tcPr>
            <w:tcW w:w="33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556,462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42.77</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486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161,981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45.06</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Performance criteria adjustment</w:t>
            </w:r>
          </w:p>
        </w:tc>
        <w:tc>
          <w:tcPr>
            <w:tcW w:w="486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9,521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42.60</w:t>
            </w:r>
          </w:p>
        </w:tc>
        <w:tc>
          <w:tcPr>
            <w:tcW w:w="0" w:type="dxa"/>
            <w:vAlign w:val="bottom"/>
          </w:tcPr>
          <w:p>
            <w:pPr>
              <w:spacing w:after="0"/>
              <w:rPr>
                <w:sz w:val="1"/>
                <w:szCs w:val="1"/>
                <w:color w:val="auto"/>
              </w:rPr>
            </w:pPr>
          </w:p>
        </w:tc>
      </w:tr>
      <w:tr>
        <w:trPr>
          <w:trHeight w:val="230"/>
        </w:trPr>
        <w:tc>
          <w:tcPr>
            <w:tcW w:w="4700" w:type="dxa"/>
            <w:vAlign w:val="bottom"/>
          </w:tcPr>
          <w:p>
            <w:pPr>
              <w:ind w:left="120"/>
              <w:spacing w:after="0" w:line="229" w:lineRule="exact"/>
              <w:rPr>
                <w:sz w:val="20"/>
                <w:szCs w:val="20"/>
                <w:color w:val="auto"/>
              </w:rPr>
            </w:pPr>
            <w:r>
              <w:rPr>
                <w:rFonts w:ascii="Arial" w:cs="Arial" w:eastAsia="Arial" w:hAnsi="Arial"/>
                <w:sz w:val="22"/>
                <w:szCs w:val="22"/>
                <w:color w:val="auto"/>
              </w:rPr>
              <w:t>Actual vested</w:t>
            </w:r>
          </w:p>
        </w:tc>
        <w:tc>
          <w:tcPr>
            <w:tcW w:w="4980" w:type="dxa"/>
            <w:vAlign w:val="bottom"/>
            <w:gridSpan w:val="3"/>
          </w:tcPr>
          <w:p>
            <w:pPr>
              <w:jc w:val="right"/>
              <w:ind w:right="120"/>
              <w:spacing w:after="0" w:line="229" w:lineRule="exact"/>
              <w:rPr>
                <w:sz w:val="20"/>
                <w:szCs w:val="20"/>
                <w:color w:val="auto"/>
              </w:rPr>
            </w:pPr>
            <w:r>
              <w:rPr>
                <w:rFonts w:ascii="Arial" w:cs="Arial" w:eastAsia="Arial" w:hAnsi="Arial"/>
                <w:sz w:val="22"/>
                <w:szCs w:val="22"/>
                <w:color w:val="auto"/>
              </w:rPr>
              <w:t>(168,549)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53.77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33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(9,837)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43.94</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tcPr>
          <w:p>
            <w:pPr>
              <w:spacing w:after="0" w:line="223" w:lineRule="exact"/>
              <w:rPr>
                <w:sz w:val="20"/>
                <w:szCs w:val="20"/>
                <w:color w:val="auto"/>
              </w:rPr>
            </w:pPr>
            <w:r>
              <w:rPr>
                <w:rFonts w:ascii="Arial" w:cs="Arial" w:eastAsia="Arial" w:hAnsi="Arial"/>
                <w:sz w:val="22"/>
                <w:szCs w:val="22"/>
                <w:color w:val="auto"/>
              </w:rPr>
              <w:t>Nonvested share units at end of period</w:t>
            </w:r>
          </w:p>
        </w:tc>
        <w:tc>
          <w:tcPr>
            <w:tcW w:w="3340" w:type="dxa"/>
            <w:vAlign w:val="bottom"/>
            <w:tcBorders>
              <w:top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549,578</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spacing w:after="0" w:line="223" w:lineRule="exact"/>
              <w:rPr>
                <w:sz w:val="20"/>
                <w:szCs w:val="20"/>
                <w:color w:val="auto"/>
              </w:rPr>
            </w:pPr>
            <w:r>
              <w:rPr>
                <w:rFonts w:ascii="Arial" w:cs="Arial" w:eastAsia="Arial" w:hAnsi="Arial"/>
                <w:sz w:val="22"/>
                <w:szCs w:val="22"/>
                <w:color w:val="auto"/>
              </w:rPr>
              <w:t>40.05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40" w:type="dxa"/>
            <w:vAlign w:val="bottom"/>
            <w:vMerge w:val="restart"/>
          </w:tcPr>
          <w:p>
            <w:pPr>
              <w:jc w:val="right"/>
              <w:ind w:right="2192"/>
              <w:spacing w:after="0"/>
              <w:rPr>
                <w:sz w:val="20"/>
                <w:szCs w:val="20"/>
                <w:color w:val="auto"/>
              </w:rPr>
            </w:pPr>
            <w:r>
              <w:rPr>
                <w:rFonts w:ascii="Arial" w:cs="Arial" w:eastAsia="Arial" w:hAnsi="Arial"/>
                <w:sz w:val="22"/>
                <w:szCs w:val="22"/>
                <w:color w:val="auto"/>
              </w:rPr>
              <w:t>21</w:t>
            </w: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47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7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auto"/>
        </w:rPr>
        <w:t>A portion of the fair value of PSUs was estimated at the grant date based on the probability of satisfying the market-based conditions using the Monte Carlo valuation method, which assesses probabilities of various outcomes of market conditions. The other portion of the fair value of the PSUs is based on the fair market value of the Company’s stock at the grant date, regardless of whether the market-based condition is satisfied. The per unit weighted-average fair value at the date of grant for PSUs granted during the six months ended June 30, 2023 and 2022 was $45.06 and $42.31, respectively. The fair value of each PSU grant is amortized monthly into compensation expense on a straight-line basis over their respective vesting periods, generally 36 months. The accrual of compensation costs is based on the Company’s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w:t>
      </w:r>
    </w:p>
    <w:p>
      <w:pPr>
        <w:spacing w:after="0" w:line="171" w:lineRule="exact"/>
        <w:rPr>
          <w:sz w:val="20"/>
          <w:szCs w:val="20"/>
          <w:color w:val="auto"/>
        </w:rPr>
      </w:pPr>
    </w:p>
    <w:p>
      <w:pPr>
        <w:ind w:right="100"/>
        <w:spacing w:after="0" w:line="226" w:lineRule="auto"/>
        <w:rPr>
          <w:sz w:val="20"/>
          <w:szCs w:val="20"/>
          <w:color w:val="auto"/>
        </w:rPr>
      </w:pPr>
      <w:r>
        <w:rPr>
          <w:rFonts w:ascii="Arial" w:cs="Arial" w:eastAsia="Arial" w:hAnsi="Arial"/>
          <w:sz w:val="22"/>
          <w:szCs w:val="22"/>
          <w:b w:val="1"/>
          <w:bCs w:val="1"/>
          <w:i w:val="1"/>
          <w:iCs w:val="1"/>
          <w:color w:val="auto"/>
        </w:rPr>
        <w:t xml:space="preserve">Restricted Stock Units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 restricted stock unit (“RSU”) represents the right to receive a share of the Company’s common stock.</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RSUs are eligible to be earned at the end of a specified restricted period, which is generally three years, beginning on the date of grant.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4"/>
          </w:tcPr>
          <w:p>
            <w:pPr>
              <w:jc w:val="center"/>
              <w:ind w:left="31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tcPr>
          <w:p>
            <w:pPr>
              <w:jc w:val="center"/>
              <w:ind w:right="232"/>
              <w:spacing w:after="0"/>
              <w:rPr>
                <w:sz w:val="20"/>
                <w:szCs w:val="20"/>
                <w:color w:val="auto"/>
              </w:rPr>
            </w:pPr>
            <w:r>
              <w:rPr>
                <w:rFonts w:ascii="Arial" w:cs="Arial" w:eastAsia="Arial" w:hAnsi="Arial"/>
                <w:sz w:val="22"/>
                <w:szCs w:val="22"/>
                <w:color w:val="auto"/>
                <w:w w:val="89"/>
              </w:rPr>
              <w:t>Six Months Ended</w:t>
            </w:r>
          </w:p>
        </w:tc>
      </w:tr>
      <w:tr>
        <w:trPr>
          <w:trHeight w:val="251"/>
        </w:trPr>
        <w:tc>
          <w:tcPr>
            <w:tcW w:w="4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500"/>
              <w:spacing w:after="0" w:line="251" w:lineRule="exact"/>
              <w:rPr>
                <w:sz w:val="20"/>
                <w:szCs w:val="20"/>
                <w:color w:val="auto"/>
              </w:rPr>
            </w:pPr>
            <w:r>
              <w:rPr>
                <w:rFonts w:ascii="Arial" w:cs="Arial" w:eastAsia="Arial" w:hAnsi="Arial"/>
                <w:sz w:val="22"/>
                <w:szCs w:val="22"/>
                <w:color w:val="auto"/>
                <w:w w:val="85"/>
              </w:rPr>
              <w:t>June 30,</w:t>
            </w:r>
          </w:p>
        </w:tc>
        <w:tc>
          <w:tcPr>
            <w:tcW w:w="4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4"/>
          </w:tcPr>
          <w:p>
            <w:pPr>
              <w:jc w:val="center"/>
              <w:ind w:left="712"/>
              <w:spacing w:after="0" w:line="251" w:lineRule="exact"/>
              <w:rPr>
                <w:sz w:val="20"/>
                <w:szCs w:val="20"/>
                <w:color w:val="auto"/>
              </w:rPr>
            </w:pPr>
            <w:r>
              <w:rPr>
                <w:rFonts w:ascii="Arial" w:cs="Arial" w:eastAsia="Arial" w:hAnsi="Arial"/>
                <w:sz w:val="22"/>
                <w:szCs w:val="22"/>
                <w:color w:val="auto"/>
                <w:w w:val="85"/>
              </w:rPr>
              <w:t>June 30,</w:t>
            </w:r>
          </w:p>
        </w:tc>
        <w:tc>
          <w:tcPr>
            <w:tcW w:w="1160" w:type="dxa"/>
            <w:vAlign w:val="bottom"/>
            <w:tcBorders>
              <w:bottom w:val="single" w:sz="8" w:color="auto"/>
            </w:tcBorders>
          </w:tcPr>
          <w:p>
            <w:pPr>
              <w:spacing w:after="0"/>
              <w:rPr>
                <w:sz w:val="21"/>
                <w:szCs w:val="21"/>
                <w:color w:val="auto"/>
              </w:rPr>
            </w:pPr>
          </w:p>
        </w:tc>
      </w:tr>
      <w:tr>
        <w:trPr>
          <w:trHeight w:val="223"/>
        </w:trPr>
        <w:tc>
          <w:tcPr>
            <w:tcW w:w="4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line="223" w:lineRule="exact"/>
              <w:rPr>
                <w:sz w:val="20"/>
                <w:szCs w:val="20"/>
                <w:color w:val="auto"/>
              </w:rPr>
            </w:pPr>
            <w:r>
              <w:rPr>
                <w:rFonts w:ascii="Arial" w:cs="Arial" w:eastAsia="Arial" w:hAnsi="Arial"/>
                <w:sz w:val="22"/>
                <w:szCs w:val="22"/>
                <w:color w:val="auto"/>
              </w:rPr>
              <w:t>2023</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line="223" w:lineRule="exact"/>
              <w:rPr>
                <w:sz w:val="20"/>
                <w:szCs w:val="20"/>
                <w:color w:val="auto"/>
              </w:rPr>
            </w:pPr>
            <w:r>
              <w:rPr>
                <w:rFonts w:ascii="Arial" w:cs="Arial" w:eastAsia="Arial" w:hAnsi="Arial"/>
                <w:sz w:val="22"/>
                <w:szCs w:val="22"/>
                <w:color w:val="auto"/>
              </w:rPr>
              <w:t>2022</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72"/>
              <w:spacing w:after="0" w:line="223" w:lineRule="exact"/>
              <w:rPr>
                <w:sz w:val="20"/>
                <w:szCs w:val="20"/>
                <w:color w:val="auto"/>
              </w:rPr>
            </w:pPr>
            <w:r>
              <w:rPr>
                <w:rFonts w:ascii="Arial" w:cs="Arial" w:eastAsia="Arial" w:hAnsi="Arial"/>
                <w:sz w:val="22"/>
                <w:szCs w:val="22"/>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452"/>
              <w:spacing w:after="0" w:line="223" w:lineRule="exact"/>
              <w:rPr>
                <w:sz w:val="20"/>
                <w:szCs w:val="20"/>
                <w:color w:val="auto"/>
              </w:rPr>
            </w:pPr>
            <w:r>
              <w:rPr>
                <w:rFonts w:ascii="Arial" w:cs="Arial" w:eastAsia="Arial" w:hAnsi="Arial"/>
                <w:sz w:val="22"/>
                <w:szCs w:val="22"/>
                <w:color w:val="auto"/>
              </w:rPr>
              <w:t>2022</w:t>
            </w:r>
          </w:p>
        </w:tc>
      </w:tr>
      <w:tr>
        <w:trPr>
          <w:trHeight w:val="202"/>
        </w:trPr>
        <w:tc>
          <w:tcPr>
            <w:tcW w:w="452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3"/>
              </w:rPr>
              <w:t>Stock-based compensation within operations and</w:t>
            </w:r>
          </w:p>
        </w:tc>
        <w:tc>
          <w:tcPr>
            <w:tcW w:w="3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51"/>
        </w:trPr>
        <w:tc>
          <w:tcPr>
            <w:tcW w:w="452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200" w:type="dxa"/>
            <w:vAlign w:val="bottom"/>
            <w:gridSpan w:val="2"/>
            <w:shd w:val="clear" w:color="auto" w:fill="CCEEFF"/>
          </w:tcPr>
          <w:p>
            <w:pPr>
              <w:jc w:val="right"/>
              <w:ind w:right="692"/>
              <w:spacing w:after="0" w:line="251" w:lineRule="exact"/>
              <w:rPr>
                <w:sz w:val="20"/>
                <w:szCs w:val="20"/>
                <w:color w:val="auto"/>
              </w:rPr>
            </w:pPr>
            <w:r>
              <w:rPr>
                <w:rFonts w:ascii="Arial" w:cs="Arial" w:eastAsia="Arial" w:hAnsi="Arial"/>
                <w:sz w:val="22"/>
                <w:szCs w:val="22"/>
                <w:color w:val="auto"/>
              </w:rPr>
              <w:t>$</w:t>
            </w:r>
          </w:p>
        </w:tc>
        <w:tc>
          <w:tcPr>
            <w:tcW w:w="3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759</w:t>
            </w:r>
          </w:p>
        </w:tc>
        <w:tc>
          <w:tcPr>
            <w:tcW w:w="1120" w:type="dxa"/>
            <w:vAlign w:val="bottom"/>
            <w:gridSpan w:val="2"/>
            <w:shd w:val="clear" w:color="auto" w:fill="CCEEFF"/>
          </w:tcPr>
          <w:p>
            <w:pPr>
              <w:jc w:val="right"/>
              <w:ind w:right="800"/>
              <w:spacing w:after="0" w:line="251" w:lineRule="exact"/>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2"/>
              </w:rPr>
              <w:t>727</w:t>
            </w:r>
          </w:p>
        </w:tc>
        <w:tc>
          <w:tcPr>
            <w:tcW w:w="580" w:type="dxa"/>
            <w:vAlign w:val="bottom"/>
            <w:gridSpan w:val="2"/>
            <w:shd w:val="clear" w:color="auto" w:fill="CCEEFF"/>
          </w:tcPr>
          <w:p>
            <w:pPr>
              <w:jc w:val="right"/>
              <w:ind w:right="220"/>
              <w:spacing w:after="0" w:line="251" w:lineRule="exact"/>
              <w:rPr>
                <w:sz w:val="20"/>
                <w:szCs w:val="20"/>
                <w:color w:val="auto"/>
              </w:rPr>
            </w:pPr>
            <w:r>
              <w:rPr>
                <w:rFonts w:ascii="Arial" w:cs="Arial" w:eastAsia="Arial" w:hAnsi="Arial"/>
                <w:sz w:val="22"/>
                <w:szCs w:val="22"/>
                <w:color w:val="auto"/>
              </w:rPr>
              <w:t>$</w:t>
            </w:r>
          </w:p>
        </w:tc>
        <w:tc>
          <w:tcPr>
            <w:tcW w:w="1340" w:type="dxa"/>
            <w:vAlign w:val="bottom"/>
            <w:gridSpan w:val="2"/>
            <w:shd w:val="clear" w:color="auto" w:fill="CCEEFF"/>
          </w:tcPr>
          <w:p>
            <w:pPr>
              <w:jc w:val="right"/>
              <w:ind w:right="100"/>
              <w:spacing w:after="0" w:line="251" w:lineRule="exact"/>
              <w:rPr>
                <w:sz w:val="20"/>
                <w:szCs w:val="20"/>
                <w:color w:val="auto"/>
              </w:rPr>
            </w:pPr>
            <w:r>
              <w:rPr>
                <w:rFonts w:ascii="Arial" w:cs="Arial" w:eastAsia="Arial" w:hAnsi="Arial"/>
                <w:sz w:val="22"/>
                <w:szCs w:val="22"/>
                <w:color w:val="auto"/>
              </w:rPr>
              <w:t>1,440</w:t>
            </w:r>
          </w:p>
        </w:tc>
        <w:tc>
          <w:tcPr>
            <w:tcW w:w="520" w:type="dxa"/>
            <w:vAlign w:val="bottom"/>
            <w:gridSpan w:val="2"/>
            <w:shd w:val="clear" w:color="auto" w:fill="CCEEFF"/>
          </w:tcPr>
          <w:p>
            <w:pPr>
              <w:jc w:val="right"/>
              <w:ind w:right="300"/>
              <w:spacing w:after="0" w:line="251"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1,504</w:t>
            </w:r>
          </w:p>
        </w:tc>
      </w:tr>
      <w:tr>
        <w:trPr>
          <w:trHeight w:val="274"/>
        </w:trPr>
        <w:tc>
          <w:tcPr>
            <w:tcW w:w="4520" w:type="dxa"/>
            <w:vAlign w:val="bottom"/>
          </w:tcPr>
          <w:p>
            <w:pPr>
              <w:spacing w:after="0"/>
              <w:rPr>
                <w:sz w:val="20"/>
                <w:szCs w:val="20"/>
                <w:color w:val="auto"/>
              </w:rPr>
            </w:pPr>
            <w:r>
              <w:rPr>
                <w:rFonts w:ascii="Arial" w:cs="Arial" w:eastAsia="Arial" w:hAnsi="Arial"/>
                <w:sz w:val="22"/>
                <w:szCs w:val="22"/>
                <w:color w:val="auto"/>
              </w:rPr>
              <w:t>Income tax benefit</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w w:val="97"/>
              </w:rPr>
              <w:t>190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w w:val="92"/>
              </w:rPr>
              <w:t>209</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22"/>
                <w:szCs w:val="22"/>
                <w:color w:val="auto"/>
              </w:rPr>
              <w:t>361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2"/>
                <w:szCs w:val="22"/>
                <w:color w:val="auto"/>
              </w:rPr>
              <w:t>428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RSU transactions for the six months ended June 30, 2023: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center"/>
              <w:ind w:right="132"/>
              <w:spacing w:after="0"/>
              <w:rPr>
                <w:sz w:val="20"/>
                <w:szCs w:val="20"/>
                <w:color w:val="auto"/>
              </w:rPr>
            </w:pPr>
            <w:r>
              <w:rPr>
                <w:rFonts w:ascii="Arial" w:cs="Arial" w:eastAsia="Arial" w:hAnsi="Arial"/>
                <w:sz w:val="22"/>
                <w:szCs w:val="22"/>
                <w:color w:val="auto"/>
                <w:w w:val="88"/>
              </w:rPr>
              <w:t>Weighted</w:t>
            </w:r>
          </w:p>
        </w:tc>
      </w:tr>
      <w:tr>
        <w:trPr>
          <w:trHeight w:val="243"/>
        </w:trPr>
        <w:tc>
          <w:tcPr>
            <w:tcW w:w="79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color w:val="auto"/>
                <w:w w:val="97"/>
              </w:rPr>
              <w:t>of</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85"/>
              </w:rPr>
              <w:t>Average</w:t>
            </w:r>
          </w:p>
        </w:tc>
      </w:tr>
      <w:tr>
        <w:trPr>
          <w:trHeight w:val="251"/>
        </w:trPr>
        <w:tc>
          <w:tcPr>
            <w:tcW w:w="794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91"/>
              </w:rPr>
              <w:t>Stock Units</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9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beginning of period</w:t>
            </w:r>
          </w:p>
        </w:tc>
        <w:tc>
          <w:tcPr>
            <w:tcW w:w="14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180,306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2"/>
              <w:spacing w:after="0" w:line="223" w:lineRule="exact"/>
              <w:rPr>
                <w:sz w:val="20"/>
                <w:szCs w:val="20"/>
                <w:color w:val="auto"/>
              </w:rPr>
            </w:pPr>
            <w:r>
              <w:rPr>
                <w:rFonts w:ascii="Arial" w:cs="Arial" w:eastAsia="Arial" w:hAnsi="Arial"/>
                <w:sz w:val="22"/>
                <w:szCs w:val="22"/>
                <w:color w:val="auto"/>
                <w:w w:val="81"/>
              </w:rPr>
              <w:t>$</w:t>
            </w:r>
          </w:p>
        </w:tc>
        <w:tc>
          <w:tcPr>
            <w:tcW w:w="13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45.94</w:t>
            </w:r>
          </w:p>
        </w:tc>
      </w:tr>
      <w:tr>
        <w:trPr>
          <w:trHeight w:val="229"/>
        </w:trPr>
        <w:tc>
          <w:tcPr>
            <w:tcW w:w="79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460" w:type="dxa"/>
            <w:vAlign w:val="bottom"/>
          </w:tcPr>
          <w:p>
            <w:pPr>
              <w:jc w:val="right"/>
              <w:spacing w:after="0" w:line="229" w:lineRule="exact"/>
              <w:rPr>
                <w:sz w:val="20"/>
                <w:szCs w:val="20"/>
                <w:color w:val="auto"/>
              </w:rPr>
            </w:pPr>
            <w:r>
              <w:rPr>
                <w:rFonts w:ascii="Arial" w:cs="Arial" w:eastAsia="Arial" w:hAnsi="Arial"/>
                <w:sz w:val="22"/>
                <w:szCs w:val="22"/>
                <w:color w:val="auto"/>
              </w:rPr>
              <w:t>73,696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Arial" w:cs="Arial" w:eastAsia="Arial" w:hAnsi="Arial"/>
                <w:sz w:val="22"/>
                <w:szCs w:val="22"/>
                <w:color w:val="auto"/>
              </w:rPr>
              <w:t>45.61</w:t>
            </w:r>
          </w:p>
        </w:tc>
      </w:tr>
      <w:tr>
        <w:trPr>
          <w:trHeight w:val="243"/>
        </w:trPr>
        <w:tc>
          <w:tcPr>
            <w:tcW w:w="794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Stock units vested and issued</w:t>
            </w:r>
          </w:p>
        </w:tc>
        <w:tc>
          <w:tcPr>
            <w:tcW w:w="14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(52,611)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49.26</w:t>
            </w:r>
          </w:p>
        </w:tc>
      </w:tr>
      <w:tr>
        <w:trPr>
          <w:trHeight w:val="229"/>
        </w:trPr>
        <w:tc>
          <w:tcPr>
            <w:tcW w:w="7940" w:type="dxa"/>
            <w:vAlign w:val="bottom"/>
            <w:tcBorders>
              <w:bottom w:val="single" w:sz="8" w:color="CCEEFF"/>
            </w:tcBorders>
          </w:tcPr>
          <w:p>
            <w:pPr>
              <w:ind w:left="120"/>
              <w:spacing w:after="0" w:line="229" w:lineRule="exact"/>
              <w:rPr>
                <w:sz w:val="20"/>
                <w:szCs w:val="20"/>
                <w:color w:val="auto"/>
              </w:rPr>
            </w:pPr>
            <w:r>
              <w:rPr>
                <w:rFonts w:ascii="Arial" w:cs="Arial" w:eastAsia="Arial" w:hAnsi="Arial"/>
                <w:sz w:val="22"/>
                <w:szCs w:val="22"/>
                <w:color w:val="auto"/>
              </w:rPr>
              <w:t>Forfeited</w:t>
            </w:r>
          </w:p>
        </w:tc>
        <w:tc>
          <w:tcPr>
            <w:tcW w:w="146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(3,794)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line="229" w:lineRule="exact"/>
              <w:rPr>
                <w:sz w:val="20"/>
                <w:szCs w:val="20"/>
                <w:color w:val="auto"/>
              </w:rPr>
            </w:pPr>
            <w:r>
              <w:rPr>
                <w:rFonts w:ascii="Arial" w:cs="Arial" w:eastAsia="Arial" w:hAnsi="Arial"/>
                <w:sz w:val="22"/>
                <w:szCs w:val="22"/>
                <w:color w:val="auto"/>
              </w:rPr>
              <w:t>44.99</w:t>
            </w:r>
          </w:p>
        </w:tc>
      </w:tr>
      <w:tr>
        <w:trPr>
          <w:trHeight w:val="263"/>
        </w:trPr>
        <w:tc>
          <w:tcPr>
            <w:tcW w:w="79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units at end of period</w:t>
            </w:r>
          </w:p>
        </w:tc>
        <w:tc>
          <w:tcPr>
            <w:tcW w:w="14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197,597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44.94</w:t>
            </w:r>
          </w:p>
        </w:tc>
      </w:tr>
    </w:tbl>
    <w:p>
      <w:pPr>
        <w:spacing w:after="0" w:line="235" w:lineRule="exact"/>
        <w:rPr>
          <w:sz w:val="20"/>
          <w:szCs w:val="20"/>
          <w:color w:val="auto"/>
        </w:rPr>
      </w:pPr>
    </w:p>
    <w:p>
      <w:pPr>
        <w:ind w:right="340"/>
        <w:spacing w:after="0" w:line="239" w:lineRule="auto"/>
        <w:rPr>
          <w:sz w:val="20"/>
          <w:szCs w:val="20"/>
          <w:color w:val="auto"/>
        </w:rPr>
      </w:pPr>
      <w:r>
        <w:rPr>
          <w:rFonts w:ascii="Arial" w:cs="Arial" w:eastAsia="Arial" w:hAnsi="Arial"/>
          <w:sz w:val="22"/>
          <w:szCs w:val="22"/>
          <w:color w:val="auto"/>
        </w:rPr>
        <w:t>The per unit weighted-average fair value at the date of grant for RSUs granted during the six months ended June 30, 2023 and 2022 was $45.61 and $45.10,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20"/>
        <w:spacing w:after="0" w:line="237" w:lineRule="auto"/>
        <w:rPr>
          <w:sz w:val="20"/>
          <w:szCs w:val="20"/>
          <w:color w:val="auto"/>
        </w:rPr>
      </w:pPr>
      <w:r>
        <w:rPr>
          <w:rFonts w:ascii="Arial" w:cs="Arial" w:eastAsia="Arial" w:hAnsi="Arial"/>
          <w:sz w:val="21"/>
          <w:szCs w:val="21"/>
          <w:b w:val="1"/>
          <w:bCs w:val="1"/>
          <w:i w:val="1"/>
          <w:iCs w:val="1"/>
          <w:color w:val="auto"/>
        </w:rPr>
        <w:t xml:space="preserve">Stock Options </w:t>
      </w:r>
      <w:r>
        <w:rPr>
          <w:rFonts w:ascii="Arial" w:cs="Arial" w:eastAsia="Arial" w:hAnsi="Arial"/>
          <w:sz w:val="21"/>
          <w:szCs w:val="21"/>
          <w:color w:val="auto"/>
        </w:rPr>
        <w:t>– A stock option represents the option to purchase a number of shares of common stock of the Company 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specified in the stock option grant agreement at the exercise price per share as determined by the closing market price of our common stock on the grant date. Stock options are exercisable in installments of 33% annually, starting one year from the grant date and expire 10 years from the grant date, subject to satisfaction of designated performance goals. The fair value of each stock option is amortized into compensation expense using the graded-vesting method, which results in the recognition of compensation costs over the requisite service period for each separately vesting tranche of the stock options as though the stock options were, in substance, multiple stock option grants. The following table provides the compensation cost and income tax benefit for stock-based compensation related to stock options: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80" w:type="dxa"/>
            <w:vAlign w:val="bottom"/>
          </w:tcPr>
          <w:p>
            <w:pPr>
              <w:spacing w:after="0"/>
              <w:rPr>
                <w:sz w:val="21"/>
                <w:szCs w:val="21"/>
                <w:color w:val="auto"/>
              </w:rPr>
            </w:pPr>
          </w:p>
        </w:tc>
        <w:tc>
          <w:tcPr>
            <w:tcW w:w="2460" w:type="dxa"/>
            <w:vAlign w:val="bottom"/>
            <w:gridSpan w:val="4"/>
          </w:tcPr>
          <w:p>
            <w:pPr>
              <w:jc w:val="center"/>
              <w:ind w:left="332"/>
              <w:spacing w:after="0"/>
              <w:rPr>
                <w:sz w:val="20"/>
                <w:szCs w:val="20"/>
                <w:color w:val="auto"/>
              </w:rPr>
            </w:pPr>
            <w:r>
              <w:rPr>
                <w:rFonts w:ascii="Arial" w:cs="Arial" w:eastAsia="Arial" w:hAnsi="Arial"/>
                <w:sz w:val="22"/>
                <w:szCs w:val="22"/>
                <w:color w:val="auto"/>
                <w:w w:val="88"/>
              </w:rPr>
              <w:t>Three Months Ended</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60" w:type="dxa"/>
            <w:vAlign w:val="bottom"/>
            <w:gridSpan w:val="4"/>
          </w:tcPr>
          <w:p>
            <w:pPr>
              <w:jc w:val="right"/>
              <w:ind w:right="492"/>
              <w:spacing w:after="0"/>
              <w:rPr>
                <w:sz w:val="20"/>
                <w:szCs w:val="20"/>
                <w:color w:val="auto"/>
              </w:rPr>
            </w:pPr>
            <w:r>
              <w:rPr>
                <w:rFonts w:ascii="Arial" w:cs="Arial" w:eastAsia="Arial" w:hAnsi="Arial"/>
                <w:sz w:val="22"/>
                <w:szCs w:val="22"/>
                <w:color w:val="auto"/>
              </w:rPr>
              <w:t>Six Months Ended</w:t>
            </w:r>
          </w:p>
        </w:tc>
      </w:tr>
      <w:tr>
        <w:trPr>
          <w:trHeight w:val="251"/>
        </w:trPr>
        <w:tc>
          <w:tcPr>
            <w:tcW w:w="52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540"/>
              <w:spacing w:after="0" w:line="251" w:lineRule="exact"/>
              <w:rPr>
                <w:sz w:val="20"/>
                <w:szCs w:val="20"/>
                <w:color w:val="auto"/>
              </w:rPr>
            </w:pPr>
            <w:r>
              <w:rPr>
                <w:rFonts w:ascii="Arial" w:cs="Arial" w:eastAsia="Arial" w:hAnsi="Arial"/>
                <w:sz w:val="22"/>
                <w:szCs w:val="22"/>
                <w:color w:val="auto"/>
                <w:w w:val="85"/>
              </w:rPr>
              <w:t>June 30,</w:t>
            </w:r>
          </w:p>
        </w:tc>
        <w:tc>
          <w:tcPr>
            <w:tcW w:w="4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line="251" w:lineRule="exact"/>
              <w:rPr>
                <w:sz w:val="20"/>
                <w:szCs w:val="20"/>
                <w:color w:val="auto"/>
              </w:rPr>
            </w:pPr>
            <w:r>
              <w:rPr>
                <w:rFonts w:ascii="Arial" w:cs="Arial" w:eastAsia="Arial" w:hAnsi="Arial"/>
                <w:sz w:val="22"/>
                <w:szCs w:val="22"/>
                <w:color w:val="auto"/>
              </w:rPr>
              <w:t>June 30,</w:t>
            </w:r>
          </w:p>
        </w:tc>
        <w:tc>
          <w:tcPr>
            <w:tcW w:w="900" w:type="dxa"/>
            <w:vAlign w:val="bottom"/>
            <w:tcBorders>
              <w:bottom w:val="single" w:sz="8" w:color="auto"/>
            </w:tcBorders>
          </w:tcPr>
          <w:p>
            <w:pPr>
              <w:spacing w:after="0"/>
              <w:rPr>
                <w:sz w:val="21"/>
                <w:szCs w:val="21"/>
                <w:color w:val="auto"/>
              </w:rPr>
            </w:pPr>
          </w:p>
        </w:tc>
      </w:tr>
      <w:tr>
        <w:trPr>
          <w:trHeight w:val="223"/>
        </w:trPr>
        <w:tc>
          <w:tcPr>
            <w:tcW w:w="528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Arial" w:cs="Arial" w:eastAsia="Arial" w:hAnsi="Arial"/>
                <w:sz w:val="22"/>
                <w:szCs w:val="22"/>
                <w:color w:val="auto"/>
              </w:rPr>
              <w:t>2023</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line="223" w:lineRule="exact"/>
              <w:rPr>
                <w:sz w:val="20"/>
                <w:szCs w:val="20"/>
                <w:color w:val="auto"/>
              </w:rPr>
            </w:pPr>
            <w:r>
              <w:rPr>
                <w:rFonts w:ascii="Arial" w:cs="Arial" w:eastAsia="Arial" w:hAnsi="Arial"/>
                <w:sz w:val="22"/>
                <w:szCs w:val="22"/>
                <w:color w:val="auto"/>
              </w:rPr>
              <w:t>2022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32"/>
              <w:spacing w:after="0" w:line="223" w:lineRule="exact"/>
              <w:rPr>
                <w:sz w:val="20"/>
                <w:szCs w:val="20"/>
                <w:color w:val="auto"/>
              </w:rPr>
            </w:pPr>
            <w:r>
              <w:rPr>
                <w:rFonts w:ascii="Arial" w:cs="Arial" w:eastAsia="Arial" w:hAnsi="Arial"/>
                <w:sz w:val="22"/>
                <w:szCs w:val="22"/>
                <w:color w:val="auto"/>
              </w:rPr>
              <w:t>2023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ind w:right="332"/>
              <w:spacing w:after="0" w:line="223" w:lineRule="exact"/>
              <w:rPr>
                <w:sz w:val="20"/>
                <w:szCs w:val="20"/>
                <w:color w:val="auto"/>
              </w:rPr>
            </w:pPr>
            <w:r>
              <w:rPr>
                <w:rFonts w:ascii="Arial" w:cs="Arial" w:eastAsia="Arial" w:hAnsi="Arial"/>
                <w:sz w:val="22"/>
                <w:szCs w:val="22"/>
                <w:color w:val="auto"/>
                <w:w w:val="89"/>
              </w:rPr>
              <w:t>2022</w:t>
            </w:r>
          </w:p>
        </w:tc>
      </w:tr>
      <w:tr>
        <w:trPr>
          <w:trHeight w:val="202"/>
        </w:trPr>
        <w:tc>
          <w:tcPr>
            <w:tcW w:w="528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rPr>
              <w:t>Stock-based compensation within operations and</w:t>
            </w: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64"/>
        </w:trPr>
        <w:tc>
          <w:tcPr>
            <w:tcW w:w="5280" w:type="dxa"/>
            <w:vAlign w:val="bottom"/>
            <w:shd w:val="clear" w:color="auto" w:fill="CCEEFF"/>
          </w:tcPr>
          <w:p>
            <w:pPr>
              <w:spacing w:after="0"/>
              <w:rPr>
                <w:sz w:val="20"/>
                <w:szCs w:val="20"/>
                <w:color w:val="auto"/>
              </w:rPr>
            </w:pPr>
            <w:r>
              <w:rPr>
                <w:rFonts w:ascii="Arial" w:cs="Arial" w:eastAsia="Arial" w:hAnsi="Arial"/>
                <w:sz w:val="22"/>
                <w:szCs w:val="22"/>
                <w:color w:val="auto"/>
              </w:rPr>
              <w:t>maintenance expenses</w:t>
            </w:r>
          </w:p>
        </w:tc>
        <w:tc>
          <w:tcPr>
            <w:tcW w:w="960" w:type="dxa"/>
            <w:vAlign w:val="bottom"/>
            <w:shd w:val="clear" w:color="auto" w:fill="CCEEFF"/>
          </w:tcPr>
          <w:p>
            <w:pPr>
              <w:jc w:val="right"/>
              <w:ind w:right="732"/>
              <w:spacing w:after="0"/>
              <w:rPr>
                <w:sz w:val="20"/>
                <w:szCs w:val="20"/>
                <w:color w:val="auto"/>
              </w:rPr>
            </w:pPr>
            <w:r>
              <w:rPr>
                <w:rFonts w:ascii="Arial" w:cs="Arial" w:eastAsia="Arial" w:hAnsi="Arial"/>
                <w:sz w:val="22"/>
                <w:szCs w:val="22"/>
                <w:color w:val="auto"/>
                <w:w w:val="8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7"/>
              </w:rPr>
              <w:t>222</w:t>
            </w:r>
          </w:p>
        </w:tc>
        <w:tc>
          <w:tcPr>
            <w:tcW w:w="1120" w:type="dxa"/>
            <w:vAlign w:val="bottom"/>
            <w:gridSpan w:val="2"/>
            <w:shd w:val="clear" w:color="auto" w:fill="CCEEFF"/>
          </w:tcPr>
          <w:p>
            <w:pPr>
              <w:jc w:val="right"/>
              <w:ind w:right="800"/>
              <w:spacing w:after="0"/>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2"/>
              </w:rPr>
              <w:t>141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22"/>
                <w:szCs w:val="2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22"/>
                <w:szCs w:val="22"/>
                <w:color w:val="auto"/>
              </w:rPr>
              <w:t>299</w:t>
            </w: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9"/>
                <w:szCs w:val="19"/>
                <w:color w:val="auto"/>
                <w:w w:val="7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241</w:t>
            </w:r>
          </w:p>
        </w:tc>
      </w:tr>
      <w:tr>
        <w:trPr>
          <w:trHeight w:val="274"/>
        </w:trPr>
        <w:tc>
          <w:tcPr>
            <w:tcW w:w="5280" w:type="dxa"/>
            <w:vAlign w:val="bottom"/>
          </w:tcPr>
          <w:p>
            <w:pPr>
              <w:spacing w:after="0"/>
              <w:rPr>
                <w:sz w:val="20"/>
                <w:szCs w:val="20"/>
                <w:color w:val="auto"/>
              </w:rPr>
            </w:pPr>
            <w:r>
              <w:rPr>
                <w:rFonts w:ascii="Arial" w:cs="Arial" w:eastAsia="Arial" w:hAnsi="Arial"/>
                <w:sz w:val="22"/>
                <w:szCs w:val="22"/>
                <w:color w:val="auto"/>
              </w:rPr>
              <w:t>Income tax benefit</w:t>
            </w:r>
          </w:p>
        </w:tc>
        <w:tc>
          <w:tcPr>
            <w:tcW w:w="9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22"/>
                <w:szCs w:val="22"/>
                <w:color w:val="auto"/>
              </w:rPr>
              <w:t>56</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22"/>
                <w:szCs w:val="22"/>
                <w:color w:val="auto"/>
              </w:rPr>
              <w:t>41</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22"/>
                <w:szCs w:val="22"/>
                <w:color w:val="auto"/>
              </w:rPr>
              <w:t>75</w:t>
            </w: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2"/>
                <w:szCs w:val="22"/>
                <w:color w:val="auto"/>
              </w:rPr>
              <w:t>69</w:t>
            </w:r>
          </w:p>
        </w:tc>
      </w:tr>
    </w:tbl>
    <w:p>
      <w:pPr>
        <w:spacing w:after="0" w:line="163" w:lineRule="exact"/>
        <w:rPr>
          <w:sz w:val="20"/>
          <w:szCs w:val="20"/>
          <w:color w:val="auto"/>
        </w:rPr>
      </w:pPr>
    </w:p>
    <w:p>
      <w:pPr>
        <w:ind w:right="960"/>
        <w:spacing w:after="0" w:line="239" w:lineRule="auto"/>
        <w:rPr>
          <w:sz w:val="20"/>
          <w:szCs w:val="20"/>
          <w:color w:val="auto"/>
        </w:rPr>
      </w:pPr>
      <w:r>
        <w:rPr>
          <w:rFonts w:ascii="Arial" w:cs="Arial" w:eastAsia="Arial" w:hAnsi="Arial"/>
          <w:sz w:val="22"/>
          <w:szCs w:val="22"/>
          <w:color w:val="auto"/>
        </w:rPr>
        <w:t>The fair value of options was estimated at the grant date using the Black-Scholes option-pricing model. The following assumptions were used in the application of this valuation model: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spacing w:after="0"/>
              <w:rPr>
                <w:sz w:val="21"/>
                <w:szCs w:val="21"/>
                <w:color w:val="auto"/>
              </w:rPr>
            </w:pPr>
          </w:p>
        </w:tc>
        <w:tc>
          <w:tcPr>
            <w:tcW w:w="3200" w:type="dxa"/>
            <w:vAlign w:val="bottom"/>
            <w:gridSpan w:val="2"/>
          </w:tcPr>
          <w:p>
            <w:pPr>
              <w:jc w:val="right"/>
              <w:ind w:right="280"/>
              <w:spacing w:after="0"/>
              <w:rPr>
                <w:sz w:val="20"/>
                <w:szCs w:val="20"/>
                <w:color w:val="auto"/>
              </w:rPr>
            </w:pPr>
            <w:r>
              <w:rPr>
                <w:rFonts w:ascii="Arial" w:cs="Arial" w:eastAsia="Arial" w:hAnsi="Arial"/>
                <w:sz w:val="22"/>
                <w:szCs w:val="22"/>
                <w:color w:val="auto"/>
              </w:rPr>
              <w:t>2023</w:t>
            </w: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160" w:type="dxa"/>
            <w:vAlign w:val="bottom"/>
          </w:tcPr>
          <w:p>
            <w:pPr>
              <w:jc w:val="right"/>
              <w:ind w:right="1072"/>
              <w:spacing w:after="0"/>
              <w:rPr>
                <w:sz w:val="20"/>
                <w:szCs w:val="20"/>
                <w:color w:val="auto"/>
              </w:rPr>
            </w:pPr>
            <w:r>
              <w:rPr>
                <w:rFonts w:ascii="Arial" w:cs="Arial" w:eastAsia="Arial" w:hAnsi="Arial"/>
                <w:sz w:val="22"/>
                <w:szCs w:val="22"/>
                <w:color w:val="auto"/>
              </w:rPr>
              <w:t>2022</w:t>
            </w:r>
          </w:p>
        </w:tc>
      </w:tr>
      <w:tr>
        <w:trPr>
          <w:trHeight w:val="236"/>
        </w:trPr>
        <w:tc>
          <w:tcPr>
            <w:tcW w:w="392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Expected term (years)</w:t>
            </w:r>
          </w:p>
        </w:tc>
        <w:tc>
          <w:tcPr>
            <w:tcW w:w="1200" w:type="dxa"/>
            <w:vAlign w:val="bottom"/>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5.5</w:t>
            </w:r>
          </w:p>
        </w:tc>
        <w:tc>
          <w:tcPr>
            <w:tcW w:w="300" w:type="dxa"/>
            <w:vAlign w:val="bottom"/>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21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5.5</w:t>
            </w:r>
          </w:p>
        </w:tc>
      </w:tr>
      <w:tr>
        <w:trPr>
          <w:trHeight w:val="230"/>
        </w:trPr>
        <w:tc>
          <w:tcPr>
            <w:tcW w:w="3920" w:type="dxa"/>
            <w:vAlign w:val="bottom"/>
          </w:tcPr>
          <w:p>
            <w:pPr>
              <w:spacing w:after="0" w:line="229" w:lineRule="exact"/>
              <w:rPr>
                <w:sz w:val="20"/>
                <w:szCs w:val="20"/>
                <w:color w:val="auto"/>
              </w:rPr>
            </w:pPr>
            <w:r>
              <w:rPr>
                <w:rFonts w:ascii="Arial" w:cs="Arial" w:eastAsia="Arial" w:hAnsi="Arial"/>
                <w:sz w:val="22"/>
                <w:szCs w:val="22"/>
                <w:color w:val="auto"/>
              </w:rPr>
              <w:t>Risk-free interest rate</w:t>
            </w:r>
          </w:p>
        </w:tc>
        <w:tc>
          <w:tcPr>
            <w:tcW w:w="1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Arial" w:cs="Arial" w:eastAsia="Arial" w:hAnsi="Arial"/>
                <w:sz w:val="22"/>
                <w:szCs w:val="22"/>
                <w:color w:val="auto"/>
              </w:rPr>
              <w:t>4.03%</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60" w:type="dxa"/>
            <w:vAlign w:val="bottom"/>
          </w:tcPr>
          <w:p>
            <w:pPr>
              <w:jc w:val="right"/>
              <w:spacing w:after="0" w:line="229" w:lineRule="exact"/>
              <w:rPr>
                <w:sz w:val="20"/>
                <w:szCs w:val="20"/>
                <w:color w:val="auto"/>
              </w:rPr>
            </w:pPr>
            <w:r>
              <w:rPr>
                <w:rFonts w:ascii="Arial" w:cs="Arial" w:eastAsia="Arial" w:hAnsi="Arial"/>
                <w:sz w:val="22"/>
                <w:szCs w:val="22"/>
                <w:color w:val="auto"/>
              </w:rPr>
              <w:t>1.92%</w:t>
            </w:r>
          </w:p>
        </w:tc>
      </w:tr>
      <w:tr>
        <w:trPr>
          <w:trHeight w:val="230"/>
        </w:trPr>
        <w:tc>
          <w:tcPr>
            <w:tcW w:w="392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volatility</w:t>
            </w:r>
          </w:p>
        </w:tc>
        <w:tc>
          <w:tcPr>
            <w:tcW w:w="1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27.80%</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26.50%</w:t>
            </w:r>
          </w:p>
        </w:tc>
      </w:tr>
      <w:tr>
        <w:trPr>
          <w:trHeight w:val="230"/>
        </w:trPr>
        <w:tc>
          <w:tcPr>
            <w:tcW w:w="3920" w:type="dxa"/>
            <w:vAlign w:val="bottom"/>
          </w:tcPr>
          <w:p>
            <w:pPr>
              <w:spacing w:after="0" w:line="229" w:lineRule="exact"/>
              <w:rPr>
                <w:sz w:val="20"/>
                <w:szCs w:val="20"/>
                <w:color w:val="auto"/>
              </w:rPr>
            </w:pPr>
            <w:r>
              <w:rPr>
                <w:rFonts w:ascii="Arial" w:cs="Arial" w:eastAsia="Arial" w:hAnsi="Arial"/>
                <w:sz w:val="22"/>
                <w:szCs w:val="22"/>
                <w:color w:val="auto"/>
              </w:rPr>
              <w:t>Dividend yield</w:t>
            </w:r>
          </w:p>
        </w:tc>
        <w:tc>
          <w:tcPr>
            <w:tcW w:w="1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Arial" w:cs="Arial" w:eastAsia="Arial" w:hAnsi="Arial"/>
                <w:sz w:val="22"/>
                <w:szCs w:val="22"/>
                <w:color w:val="auto"/>
              </w:rPr>
              <w:t>2.53%</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60" w:type="dxa"/>
            <w:vAlign w:val="bottom"/>
          </w:tcPr>
          <w:p>
            <w:pPr>
              <w:jc w:val="right"/>
              <w:spacing w:after="0" w:line="229" w:lineRule="exact"/>
              <w:rPr>
                <w:sz w:val="20"/>
                <w:szCs w:val="20"/>
                <w:color w:val="auto"/>
              </w:rPr>
            </w:pPr>
            <w:r>
              <w:rPr>
                <w:rFonts w:ascii="Arial" w:cs="Arial" w:eastAsia="Arial" w:hAnsi="Arial"/>
                <w:sz w:val="22"/>
                <w:szCs w:val="22"/>
                <w:color w:val="auto"/>
              </w:rPr>
              <w:t>2.37%</w:t>
            </w:r>
          </w:p>
        </w:tc>
      </w:tr>
      <w:tr>
        <w:trPr>
          <w:trHeight w:val="243"/>
        </w:trPr>
        <w:tc>
          <w:tcPr>
            <w:tcW w:w="3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Grant date fair value per option</w:t>
            </w:r>
          </w:p>
        </w:tc>
        <w:tc>
          <w:tcPr>
            <w:tcW w:w="3200" w:type="dxa"/>
            <w:vAlign w:val="bottom"/>
            <w:gridSpan w:val="2"/>
            <w:shd w:val="clear" w:color="auto" w:fill="CCEEFF"/>
          </w:tcPr>
          <w:p>
            <w:pPr>
              <w:jc w:val="right"/>
              <w:ind w:right="1900"/>
              <w:spacing w:after="0" w:line="243" w:lineRule="exact"/>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11.37</w:t>
            </w:r>
          </w:p>
        </w:tc>
        <w:tc>
          <w:tcPr>
            <w:tcW w:w="940" w:type="dxa"/>
            <w:vAlign w:val="bottom"/>
            <w:gridSpan w:val="2"/>
            <w:shd w:val="clear" w:color="auto" w:fill="CCEEFF"/>
          </w:tcPr>
          <w:p>
            <w:pPr>
              <w:jc w:val="right"/>
              <w:ind w:right="540"/>
              <w:spacing w:after="0" w:line="243" w:lineRule="exact"/>
              <w:rPr>
                <w:sz w:val="20"/>
                <w:szCs w:val="20"/>
                <w:color w:val="auto"/>
              </w:rPr>
            </w:pPr>
            <w:r>
              <w:rPr>
                <w:rFonts w:ascii="Arial" w:cs="Arial" w:eastAsia="Arial" w:hAnsi="Arial"/>
                <w:sz w:val="22"/>
                <w:szCs w:val="22"/>
                <w:color w:val="auto"/>
              </w:rPr>
              <w:t>$</w:t>
            </w:r>
          </w:p>
        </w:tc>
        <w:tc>
          <w:tcPr>
            <w:tcW w:w="2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9.34</w:t>
            </w:r>
          </w:p>
        </w:tc>
      </w:tr>
    </w:tbl>
    <w:p>
      <w:pPr>
        <w:spacing w:after="0" w:line="208"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Historical information was the principal basis for the selection of the expected term and dividend yield. The expected volatility is based on a weighted-average combination of historical and implied volatilities over a time period that approximates the expected term of the option. The risk-free interest rate was selected based upon the U.S. Treasury yield curve in effect at the time of grant for the expected term of the 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option transactions for the six months ended June 30, 2023:</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22"/>
                <w:szCs w:val="22"/>
                <w:color w:val="auto"/>
                <w:w w:val="88"/>
              </w:rPr>
              <w:t>Weighted</w:t>
            </w:r>
          </w:p>
        </w:tc>
        <w:tc>
          <w:tcPr>
            <w:tcW w:w="1340" w:type="dxa"/>
            <w:vAlign w:val="bottom"/>
          </w:tcPr>
          <w:p>
            <w:pPr>
              <w:jc w:val="center"/>
              <w:spacing w:after="0"/>
              <w:rPr>
                <w:sz w:val="20"/>
                <w:szCs w:val="20"/>
                <w:color w:val="auto"/>
              </w:rPr>
            </w:pPr>
            <w:r>
              <w:rPr>
                <w:rFonts w:ascii="Arial" w:cs="Arial" w:eastAsia="Arial" w:hAnsi="Arial"/>
                <w:sz w:val="22"/>
                <w:szCs w:val="22"/>
                <w:color w:val="auto"/>
                <w:w w:val="88"/>
              </w:rPr>
              <w:t>Weighted</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4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center"/>
              <w:ind w:right="380"/>
              <w:spacing w:after="0" w:line="243" w:lineRule="exact"/>
              <w:rPr>
                <w:sz w:val="20"/>
                <w:szCs w:val="20"/>
                <w:color w:val="auto"/>
              </w:rPr>
            </w:pPr>
            <w:r>
              <w:rPr>
                <w:rFonts w:ascii="Arial" w:cs="Arial" w:eastAsia="Arial" w:hAnsi="Arial"/>
                <w:sz w:val="22"/>
                <w:szCs w:val="22"/>
                <w:color w:val="auto"/>
                <w:w w:val="87"/>
              </w:rPr>
              <w:t>Average</w:t>
            </w:r>
          </w:p>
        </w:tc>
        <w:tc>
          <w:tcPr>
            <w:tcW w:w="1340" w:type="dxa"/>
            <w:vAlign w:val="bottom"/>
          </w:tcPr>
          <w:p>
            <w:pPr>
              <w:jc w:val="center"/>
              <w:spacing w:after="0" w:line="243" w:lineRule="exact"/>
              <w:rPr>
                <w:sz w:val="20"/>
                <w:szCs w:val="20"/>
                <w:color w:val="auto"/>
              </w:rPr>
            </w:pPr>
            <w:r>
              <w:rPr>
                <w:rFonts w:ascii="Arial" w:cs="Arial" w:eastAsia="Arial" w:hAnsi="Arial"/>
                <w:sz w:val="22"/>
                <w:szCs w:val="22"/>
                <w:color w:val="auto"/>
                <w:w w:val="85"/>
              </w:rPr>
              <w:t>Average</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88"/>
              </w:rPr>
              <w:t>Aggregate</w:t>
            </w:r>
          </w:p>
        </w:tc>
      </w:tr>
      <w:tr>
        <w:trPr>
          <w:trHeight w:val="229"/>
        </w:trPr>
        <w:tc>
          <w:tcPr>
            <w:tcW w:w="4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60"/>
              <w:spacing w:after="0" w:line="229" w:lineRule="exact"/>
              <w:rPr>
                <w:sz w:val="20"/>
                <w:szCs w:val="20"/>
                <w:color w:val="auto"/>
              </w:rPr>
            </w:pPr>
            <w:r>
              <w:rPr>
                <w:rFonts w:ascii="Arial" w:cs="Arial" w:eastAsia="Arial" w:hAnsi="Arial"/>
                <w:sz w:val="22"/>
                <w:szCs w:val="22"/>
                <w:color w:val="auto"/>
                <w:w w:val="87"/>
              </w:rPr>
              <w:t>Exercise</w:t>
            </w:r>
          </w:p>
        </w:tc>
        <w:tc>
          <w:tcPr>
            <w:tcW w:w="1340" w:type="dxa"/>
            <w:vAlign w:val="bottom"/>
          </w:tcPr>
          <w:p>
            <w:pPr>
              <w:jc w:val="center"/>
              <w:spacing w:after="0" w:line="229" w:lineRule="exact"/>
              <w:rPr>
                <w:sz w:val="20"/>
                <w:szCs w:val="20"/>
                <w:color w:val="auto"/>
              </w:rPr>
            </w:pPr>
            <w:r>
              <w:rPr>
                <w:rFonts w:ascii="Arial" w:cs="Arial" w:eastAsia="Arial" w:hAnsi="Arial"/>
                <w:sz w:val="22"/>
                <w:szCs w:val="22"/>
                <w:color w:val="auto"/>
                <w:w w:val="89"/>
              </w:rPr>
              <w:t>Remaining</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132"/>
              <w:spacing w:after="0" w:line="229" w:lineRule="exact"/>
              <w:rPr>
                <w:sz w:val="20"/>
                <w:szCs w:val="20"/>
                <w:color w:val="auto"/>
              </w:rPr>
            </w:pPr>
            <w:r>
              <w:rPr>
                <w:rFonts w:ascii="Arial" w:cs="Arial" w:eastAsia="Arial" w:hAnsi="Arial"/>
                <w:sz w:val="22"/>
                <w:szCs w:val="22"/>
                <w:color w:val="auto"/>
                <w:w w:val="94"/>
              </w:rPr>
              <w:t>Intrinsic</w:t>
            </w:r>
          </w:p>
        </w:tc>
      </w:tr>
      <w:tr>
        <w:trPr>
          <w:trHeight w:val="251"/>
        </w:trPr>
        <w:tc>
          <w:tcPr>
            <w:tcW w:w="4980" w:type="dxa"/>
            <w:vAlign w:val="bottom"/>
          </w:tcPr>
          <w:p>
            <w:pPr>
              <w:spacing w:after="0"/>
              <w:rPr>
                <w:sz w:val="21"/>
                <w:szCs w:val="21"/>
                <w:color w:val="auto"/>
              </w:rPr>
            </w:pPr>
          </w:p>
        </w:tc>
        <w:tc>
          <w:tcPr>
            <w:tcW w:w="1560" w:type="dxa"/>
            <w:vAlign w:val="bottom"/>
            <w:gridSpan w:val="2"/>
          </w:tcPr>
          <w:p>
            <w:pPr>
              <w:jc w:val="right"/>
              <w:ind w:right="580"/>
              <w:spacing w:after="0" w:line="251" w:lineRule="exact"/>
              <w:rPr>
                <w:sz w:val="20"/>
                <w:szCs w:val="20"/>
                <w:color w:val="auto"/>
              </w:rPr>
            </w:pPr>
            <w:r>
              <w:rPr>
                <w:rFonts w:ascii="Arial" w:cs="Arial" w:eastAsia="Arial" w:hAnsi="Arial"/>
                <w:sz w:val="22"/>
                <w:szCs w:val="22"/>
                <w:color w:val="auto"/>
              </w:rPr>
              <w:t>Shares</w:t>
            </w:r>
          </w:p>
        </w:tc>
        <w:tc>
          <w:tcPr>
            <w:tcW w:w="180" w:type="dxa"/>
            <w:vAlign w:val="bottom"/>
          </w:tcPr>
          <w:p>
            <w:pPr>
              <w:spacing w:after="0"/>
              <w:rPr>
                <w:sz w:val="21"/>
                <w:szCs w:val="21"/>
                <w:color w:val="auto"/>
              </w:rPr>
            </w:pPr>
          </w:p>
        </w:tc>
        <w:tc>
          <w:tcPr>
            <w:tcW w:w="1340" w:type="dxa"/>
            <w:vAlign w:val="bottom"/>
            <w:gridSpan w:val="2"/>
          </w:tcPr>
          <w:p>
            <w:pPr>
              <w:jc w:val="center"/>
              <w:ind w:right="380"/>
              <w:spacing w:after="0" w:line="251" w:lineRule="exact"/>
              <w:rPr>
                <w:sz w:val="20"/>
                <w:szCs w:val="20"/>
                <w:color w:val="auto"/>
              </w:rPr>
            </w:pPr>
            <w:r>
              <w:rPr>
                <w:rFonts w:ascii="Arial" w:cs="Arial" w:eastAsia="Arial" w:hAnsi="Arial"/>
                <w:sz w:val="22"/>
                <w:szCs w:val="22"/>
                <w:color w:val="auto"/>
                <w:w w:val="87"/>
              </w:rPr>
              <w:t>Price</w:t>
            </w:r>
          </w:p>
        </w:tc>
        <w:tc>
          <w:tcPr>
            <w:tcW w:w="1340" w:type="dxa"/>
            <w:vAlign w:val="bottom"/>
          </w:tcPr>
          <w:p>
            <w:pPr>
              <w:jc w:val="center"/>
              <w:spacing w:after="0" w:line="251" w:lineRule="exact"/>
              <w:rPr>
                <w:sz w:val="20"/>
                <w:szCs w:val="20"/>
                <w:color w:val="auto"/>
              </w:rPr>
            </w:pPr>
            <w:r>
              <w:rPr>
                <w:rFonts w:ascii="Arial" w:cs="Arial" w:eastAsia="Arial" w:hAnsi="Arial"/>
                <w:sz w:val="22"/>
                <w:szCs w:val="22"/>
                <w:color w:val="auto"/>
                <w:w w:val="92"/>
              </w:rPr>
              <w:t>Life (years)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center"/>
              <w:ind w:right="152"/>
              <w:spacing w:after="0" w:line="251" w:lineRule="exact"/>
              <w:rPr>
                <w:sz w:val="20"/>
                <w:szCs w:val="20"/>
                <w:color w:val="auto"/>
              </w:rPr>
            </w:pPr>
            <w:r>
              <w:rPr>
                <w:rFonts w:ascii="Arial" w:cs="Arial" w:eastAsia="Arial" w:hAnsi="Arial"/>
                <w:sz w:val="22"/>
                <w:szCs w:val="22"/>
                <w:color w:val="auto"/>
                <w:w w:val="88"/>
              </w:rPr>
              <w:t>Value</w:t>
            </w:r>
          </w:p>
        </w:tc>
      </w:tr>
      <w:tr>
        <w:trPr>
          <w:trHeight w:val="223"/>
        </w:trPr>
        <w:tc>
          <w:tcPr>
            <w:tcW w:w="49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Outstanding at beginning of period</w:t>
            </w:r>
          </w:p>
        </w:tc>
        <w:tc>
          <w:tcPr>
            <w:tcW w:w="1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820,061</w:t>
            </w:r>
          </w:p>
        </w:tc>
        <w:tc>
          <w:tcPr>
            <w:tcW w:w="20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w w:val="81"/>
              </w:rPr>
              <w:t>$</w:t>
            </w: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36.29</w:t>
            </w:r>
          </w:p>
        </w:tc>
        <w:tc>
          <w:tcPr>
            <w:tcW w:w="20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r>
      <w:tr>
        <w:trPr>
          <w:trHeight w:val="243"/>
        </w:trPr>
        <w:tc>
          <w:tcPr>
            <w:tcW w:w="4980" w:type="dxa"/>
            <w:vAlign w:val="bottom"/>
          </w:tcPr>
          <w:p>
            <w:pPr>
              <w:ind w:left="120"/>
              <w:spacing w:after="0" w:line="243" w:lineRule="exact"/>
              <w:rPr>
                <w:sz w:val="20"/>
                <w:szCs w:val="20"/>
                <w:color w:val="auto"/>
              </w:rPr>
            </w:pPr>
            <w:r>
              <w:rPr>
                <w:rFonts w:ascii="Arial" w:cs="Arial" w:eastAsia="Arial" w:hAnsi="Arial"/>
                <w:sz w:val="22"/>
                <w:szCs w:val="22"/>
                <w:color w:val="auto"/>
              </w:rPr>
              <w:t>Granted</w:t>
            </w:r>
          </w:p>
        </w:tc>
        <w:tc>
          <w:tcPr>
            <w:tcW w:w="1360" w:type="dxa"/>
            <w:vAlign w:val="bottom"/>
          </w:tcPr>
          <w:p>
            <w:pPr>
              <w:jc w:val="right"/>
              <w:spacing w:after="0" w:line="243" w:lineRule="exact"/>
              <w:rPr>
                <w:sz w:val="20"/>
                <w:szCs w:val="20"/>
                <w:color w:val="auto"/>
              </w:rPr>
            </w:pPr>
            <w:r>
              <w:rPr>
                <w:rFonts w:ascii="Arial" w:cs="Arial" w:eastAsia="Arial" w:hAnsi="Arial"/>
                <w:sz w:val="22"/>
                <w:szCs w:val="22"/>
                <w:color w:val="auto"/>
              </w:rPr>
              <w:t>74,632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rPr>
              <w:t>45.39</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498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Forfeited</w:t>
            </w:r>
          </w:p>
        </w:tc>
        <w:tc>
          <w:tcPr>
            <w:tcW w:w="13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(2,076)</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45.31</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4980" w:type="dxa"/>
            <w:vAlign w:val="bottom"/>
          </w:tcPr>
          <w:p>
            <w:pPr>
              <w:ind w:left="120"/>
              <w:spacing w:after="0" w:line="229" w:lineRule="exact"/>
              <w:rPr>
                <w:sz w:val="20"/>
                <w:szCs w:val="20"/>
                <w:color w:val="auto"/>
              </w:rPr>
            </w:pPr>
            <w:r>
              <w:rPr>
                <w:rFonts w:ascii="Arial" w:cs="Arial" w:eastAsia="Arial" w:hAnsi="Arial"/>
                <w:sz w:val="22"/>
                <w:szCs w:val="22"/>
                <w:color w:val="auto"/>
              </w:rPr>
              <w:t>Expired</w:t>
            </w:r>
          </w:p>
        </w:tc>
        <w:tc>
          <w:tcPr>
            <w:tcW w:w="1360" w:type="dxa"/>
            <w:vAlign w:val="bottom"/>
          </w:tcPr>
          <w:p>
            <w:pPr>
              <w:jc w:val="right"/>
              <w:spacing w:after="0" w:line="229" w:lineRule="exact"/>
              <w:rPr>
                <w:sz w:val="20"/>
                <w:szCs w:val="20"/>
                <w:color w:val="auto"/>
              </w:rPr>
            </w:pPr>
            <w:r>
              <w:rPr>
                <w:rFonts w:ascii="Arial" w:cs="Arial" w:eastAsia="Arial" w:hAnsi="Arial"/>
                <w:sz w:val="22"/>
                <w:szCs w:val="22"/>
                <w:color w:val="auto"/>
              </w:rPr>
              <w:t>(664)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35.20</w:t>
            </w: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980" w:type="dxa"/>
            <w:vAlign w:val="bottom"/>
            <w:tcBorders>
              <w:bottom w:val="single" w:sz="8" w:color="CCEEFF"/>
            </w:tcBorders>
            <w:shd w:val="clear" w:color="auto" w:fill="CCEEFF"/>
          </w:tcPr>
          <w:p>
            <w:pPr>
              <w:ind w:left="120"/>
              <w:spacing w:after="0" w:line="229" w:lineRule="exact"/>
              <w:rPr>
                <w:sz w:val="20"/>
                <w:szCs w:val="20"/>
                <w:color w:val="auto"/>
              </w:rPr>
            </w:pPr>
            <w:r>
              <w:rPr>
                <w:rFonts w:ascii="Arial" w:cs="Arial" w:eastAsia="Arial" w:hAnsi="Arial"/>
                <w:sz w:val="22"/>
                <w:szCs w:val="22"/>
                <w:color w:val="auto"/>
              </w:rPr>
              <w:t>Exercised</w:t>
            </w:r>
          </w:p>
        </w:tc>
        <w:tc>
          <w:tcPr>
            <w:tcW w:w="13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(5,943)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35.21</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r>
      <w:tr>
        <w:trPr>
          <w:trHeight w:val="237"/>
        </w:trPr>
        <w:tc>
          <w:tcPr>
            <w:tcW w:w="4980" w:type="dxa"/>
            <w:vAlign w:val="bottom"/>
          </w:tcPr>
          <w:p>
            <w:pPr>
              <w:spacing w:after="0" w:line="237" w:lineRule="exact"/>
              <w:rPr>
                <w:sz w:val="20"/>
                <w:szCs w:val="20"/>
                <w:color w:val="auto"/>
              </w:rPr>
            </w:pPr>
            <w:r>
              <w:rPr>
                <w:rFonts w:ascii="Arial" w:cs="Arial" w:eastAsia="Arial" w:hAnsi="Arial"/>
                <w:sz w:val="22"/>
                <w:szCs w:val="22"/>
                <w:color w:val="auto"/>
              </w:rPr>
              <w:t>Outstanding at end of period</w:t>
            </w:r>
          </w:p>
        </w:tc>
        <w:tc>
          <w:tcPr>
            <w:tcW w:w="1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886,010</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81"/>
              </w:rPr>
              <w:t>$</w:t>
            </w:r>
          </w:p>
        </w:tc>
        <w:tc>
          <w:tcPr>
            <w:tcW w:w="11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37.04</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6.0</w:t>
            </w:r>
          </w:p>
        </w:tc>
        <w:tc>
          <w:tcPr>
            <w:tcW w:w="440" w:type="dxa"/>
            <w:vAlign w:val="bottom"/>
            <w:tcBorders>
              <w:bottom w:val="single" w:sz="8" w:color="auto"/>
            </w:tcBorders>
            <w:gridSpan w:val="2"/>
          </w:tcPr>
          <w:p>
            <w:pPr>
              <w:jc w:val="right"/>
              <w:ind w:right="140"/>
              <w:spacing w:after="0" w:line="237" w:lineRule="exact"/>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3,347</w:t>
            </w:r>
          </w:p>
        </w:tc>
      </w:tr>
      <w:tr>
        <w:trPr>
          <w:trHeight w:val="20"/>
        </w:trPr>
        <w:tc>
          <w:tcPr>
            <w:tcW w:w="4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4980" w:type="dxa"/>
            <w:vAlign w:val="bottom"/>
            <w:tcBorders>
              <w:bottom w:val="single" w:sz="8" w:color="CCEEFF"/>
            </w:tcBorders>
            <w:shd w:val="clear" w:color="auto" w:fill="CCEEFF"/>
          </w:tcPr>
          <w:p>
            <w:pPr>
              <w:spacing w:after="0" w:line="229" w:lineRule="exact"/>
              <w:rPr>
                <w:sz w:val="20"/>
                <w:szCs w:val="20"/>
                <w:color w:val="auto"/>
              </w:rPr>
            </w:pPr>
            <w:r>
              <w:rPr>
                <w:rFonts w:ascii="Arial" w:cs="Arial" w:eastAsia="Arial" w:hAnsi="Arial"/>
                <w:sz w:val="22"/>
                <w:szCs w:val="22"/>
                <w:color w:val="auto"/>
              </w:rPr>
              <w:t>Exercisable at end of period</w:t>
            </w:r>
          </w:p>
        </w:tc>
        <w:tc>
          <w:tcPr>
            <w:tcW w:w="1560" w:type="dxa"/>
            <w:vAlign w:val="bottom"/>
            <w:tcBorders>
              <w:bottom w:val="single" w:sz="8" w:color="auto"/>
            </w:tcBorders>
            <w:gridSpan w:val="2"/>
            <w:shd w:val="clear" w:color="auto" w:fill="CCEEFF"/>
          </w:tcPr>
          <w:p>
            <w:pPr>
              <w:jc w:val="right"/>
              <w:ind w:right="200"/>
              <w:spacing w:after="0" w:line="229" w:lineRule="exact"/>
              <w:rPr>
                <w:sz w:val="20"/>
                <w:szCs w:val="20"/>
                <w:color w:val="auto"/>
              </w:rPr>
            </w:pPr>
            <w:r>
              <w:rPr>
                <w:rFonts w:ascii="Arial" w:cs="Arial" w:eastAsia="Arial" w:hAnsi="Arial"/>
                <w:sz w:val="22"/>
                <w:szCs w:val="22"/>
                <w:color w:val="auto"/>
              </w:rPr>
              <w:t>763,196</w:t>
            </w:r>
          </w:p>
        </w:tc>
        <w:tc>
          <w:tcPr>
            <w:tcW w:w="18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w w:val="81"/>
              </w:rPr>
              <w:t>$</w:t>
            </w:r>
          </w:p>
        </w:tc>
        <w:tc>
          <w:tcPr>
            <w:tcW w:w="1340" w:type="dxa"/>
            <w:vAlign w:val="bottom"/>
            <w:tcBorders>
              <w:bottom w:val="single" w:sz="8" w:color="auto"/>
            </w:tcBorders>
            <w:gridSpan w:val="2"/>
            <w:shd w:val="clear" w:color="auto" w:fill="CCEEFF"/>
          </w:tcPr>
          <w:p>
            <w:pPr>
              <w:jc w:val="right"/>
              <w:ind w:right="180"/>
              <w:spacing w:after="0" w:line="229" w:lineRule="exact"/>
              <w:rPr>
                <w:sz w:val="20"/>
                <w:szCs w:val="20"/>
                <w:color w:val="auto"/>
              </w:rPr>
            </w:pPr>
            <w:r>
              <w:rPr>
                <w:rFonts w:ascii="Arial" w:cs="Arial" w:eastAsia="Arial" w:hAnsi="Arial"/>
                <w:sz w:val="22"/>
                <w:szCs w:val="22"/>
                <w:color w:val="auto"/>
              </w:rPr>
              <w:t>35.71</w:t>
            </w:r>
          </w:p>
        </w:tc>
        <w:tc>
          <w:tcPr>
            <w:tcW w:w="13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5.5</w:t>
            </w:r>
          </w:p>
        </w:tc>
        <w:tc>
          <w:tcPr>
            <w:tcW w:w="440" w:type="dxa"/>
            <w:vAlign w:val="bottom"/>
            <w:tcBorders>
              <w:bottom w:val="single" w:sz="8" w:color="auto"/>
            </w:tcBorders>
            <w:gridSpan w:val="2"/>
            <w:shd w:val="clear" w:color="auto" w:fill="CCEEFF"/>
          </w:tcPr>
          <w:p>
            <w:pPr>
              <w:jc w:val="right"/>
              <w:ind w:right="140"/>
              <w:spacing w:after="0" w:line="229" w:lineRule="exact"/>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3,347</w:t>
            </w:r>
          </w:p>
        </w:tc>
      </w:tr>
    </w:tbl>
    <w:p>
      <w:pPr>
        <w:spacing w:after="0" w:line="235" w:lineRule="exact"/>
        <w:rPr>
          <w:sz w:val="20"/>
          <w:szCs w:val="20"/>
          <w:color w:val="auto"/>
        </w:rPr>
      </w:pPr>
    </w:p>
    <w:p>
      <w:pPr>
        <w:spacing w:after="0" w:line="271" w:lineRule="auto"/>
        <w:rPr>
          <w:sz w:val="20"/>
          <w:szCs w:val="20"/>
          <w:color w:val="auto"/>
        </w:rPr>
      </w:pPr>
      <w:r>
        <w:rPr>
          <w:rFonts w:ascii="Arial" w:cs="Arial" w:eastAsia="Arial" w:hAnsi="Arial"/>
          <w:sz w:val="19"/>
          <w:szCs w:val="19"/>
          <w:b w:val="1"/>
          <w:bCs w:val="1"/>
          <w:i w:val="1"/>
          <w:iCs w:val="1"/>
          <w:color w:val="auto"/>
        </w:rPr>
        <w:t xml:space="preserve">Restricted Stock – </w:t>
      </w:r>
      <w:r>
        <w:rPr>
          <w:rFonts w:ascii="Arial" w:cs="Arial" w:eastAsia="Arial" w:hAnsi="Arial"/>
          <w:sz w:val="19"/>
          <w:szCs w:val="19"/>
          <w:color w:val="auto"/>
        </w:rPr>
        <w:t>Restricted stock awards provide the grantee with the rights of a shareholder, including the right to receive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The following table provides the compensation cost and income tax benefit for stock-based compensation related to restricted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5"/>
          </w:tcPr>
          <w:p>
            <w:pPr>
              <w:jc w:val="center"/>
              <w:ind w:left="232"/>
              <w:spacing w:after="0"/>
              <w:rPr>
                <w:sz w:val="20"/>
                <w:szCs w:val="20"/>
                <w:color w:val="auto"/>
              </w:rPr>
            </w:pPr>
            <w:r>
              <w:rPr>
                <w:rFonts w:ascii="Arial" w:cs="Arial" w:eastAsia="Arial" w:hAnsi="Arial"/>
                <w:sz w:val="22"/>
                <w:szCs w:val="22"/>
                <w:color w:val="auto"/>
                <w:w w:val="88"/>
              </w:rPr>
              <w:t>Three Months Ended</w:t>
            </w: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4"/>
          </w:tcPr>
          <w:p>
            <w:pPr>
              <w:jc w:val="center"/>
              <w:ind w:right="192"/>
              <w:spacing w:after="0"/>
              <w:rPr>
                <w:sz w:val="20"/>
                <w:szCs w:val="20"/>
                <w:color w:val="auto"/>
              </w:rPr>
            </w:pPr>
            <w:r>
              <w:rPr>
                <w:rFonts w:ascii="Arial" w:cs="Arial" w:eastAsia="Arial" w:hAnsi="Arial"/>
                <w:sz w:val="22"/>
                <w:szCs w:val="22"/>
                <w:color w:val="auto"/>
                <w:w w:val="90"/>
              </w:rPr>
              <w:t>Six Months Ended</w:t>
            </w:r>
          </w:p>
        </w:tc>
      </w:tr>
      <w:tr>
        <w:trPr>
          <w:trHeight w:val="251"/>
        </w:trPr>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center"/>
              <w:spacing w:after="0" w:line="251" w:lineRule="exact"/>
              <w:rPr>
                <w:sz w:val="20"/>
                <w:szCs w:val="20"/>
                <w:color w:val="auto"/>
              </w:rPr>
            </w:pPr>
            <w:r>
              <w:rPr>
                <w:rFonts w:ascii="Arial" w:cs="Arial" w:eastAsia="Arial" w:hAnsi="Arial"/>
                <w:sz w:val="22"/>
                <w:szCs w:val="22"/>
                <w:color w:val="auto"/>
                <w:w w:val="85"/>
              </w:rPr>
              <w:t>June 30,</w:t>
            </w:r>
          </w:p>
        </w:tc>
        <w:tc>
          <w:tcPr>
            <w:tcW w:w="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left="652"/>
              <w:spacing w:after="0" w:line="251" w:lineRule="exact"/>
              <w:rPr>
                <w:sz w:val="20"/>
                <w:szCs w:val="20"/>
                <w:color w:val="auto"/>
              </w:rPr>
            </w:pPr>
            <w:r>
              <w:rPr>
                <w:rFonts w:ascii="Arial" w:cs="Arial" w:eastAsia="Arial" w:hAnsi="Arial"/>
                <w:sz w:val="22"/>
                <w:szCs w:val="22"/>
                <w:color w:val="auto"/>
                <w:w w:val="85"/>
              </w:rPr>
              <w:t>June 30,</w:t>
            </w:r>
          </w:p>
        </w:tc>
        <w:tc>
          <w:tcPr>
            <w:tcW w:w="1080" w:type="dxa"/>
            <w:vAlign w:val="bottom"/>
            <w:tcBorders>
              <w:bottom w:val="single" w:sz="8" w:color="auto"/>
            </w:tcBorders>
          </w:tcPr>
          <w:p>
            <w:pPr>
              <w:spacing w:after="0"/>
              <w:rPr>
                <w:sz w:val="21"/>
                <w:szCs w:val="21"/>
                <w:color w:val="auto"/>
              </w:rPr>
            </w:pPr>
          </w:p>
        </w:tc>
      </w:tr>
      <w:tr>
        <w:trPr>
          <w:trHeight w:val="223"/>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line="223" w:lineRule="exact"/>
              <w:rPr>
                <w:sz w:val="20"/>
                <w:szCs w:val="20"/>
                <w:color w:val="auto"/>
              </w:rPr>
            </w:pPr>
            <w:r>
              <w:rPr>
                <w:rFonts w:ascii="Arial" w:cs="Arial" w:eastAsia="Arial" w:hAnsi="Arial"/>
                <w:sz w:val="22"/>
                <w:szCs w:val="22"/>
                <w:color w:val="auto"/>
              </w:rPr>
              <w:t>2023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line="223" w:lineRule="exact"/>
              <w:rPr>
                <w:sz w:val="20"/>
                <w:szCs w:val="20"/>
                <w:color w:val="auto"/>
              </w:rPr>
            </w:pPr>
            <w:r>
              <w:rPr>
                <w:rFonts w:ascii="Arial" w:cs="Arial" w:eastAsia="Arial" w:hAnsi="Arial"/>
                <w:sz w:val="22"/>
                <w:szCs w:val="22"/>
                <w:color w:val="auto"/>
              </w:rPr>
              <w:t>2022</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92"/>
              <w:spacing w:after="0" w:line="223" w:lineRule="exact"/>
              <w:rPr>
                <w:sz w:val="20"/>
                <w:szCs w:val="20"/>
                <w:color w:val="auto"/>
              </w:rPr>
            </w:pPr>
            <w:r>
              <w:rPr>
                <w:rFonts w:ascii="Arial" w:cs="Arial" w:eastAsia="Arial" w:hAnsi="Arial"/>
                <w:sz w:val="22"/>
                <w:szCs w:val="22"/>
                <w:color w:val="auto"/>
              </w:rPr>
              <w:t>2023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412"/>
              <w:spacing w:after="0" w:line="223" w:lineRule="exact"/>
              <w:rPr>
                <w:sz w:val="20"/>
                <w:szCs w:val="20"/>
                <w:color w:val="auto"/>
              </w:rPr>
            </w:pPr>
            <w:r>
              <w:rPr>
                <w:rFonts w:ascii="Arial" w:cs="Arial" w:eastAsia="Arial" w:hAnsi="Arial"/>
                <w:sz w:val="22"/>
                <w:szCs w:val="22"/>
                <w:color w:val="auto"/>
              </w:rPr>
              <w:t>2022</w:t>
            </w:r>
          </w:p>
        </w:tc>
      </w:tr>
      <w:tr>
        <w:trPr>
          <w:trHeight w:val="202"/>
        </w:trPr>
        <w:tc>
          <w:tcPr>
            <w:tcW w:w="440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1"/>
              </w:rPr>
              <w:t>Stock-based compensation within operations and</w:t>
            </w:r>
          </w:p>
        </w:tc>
        <w:tc>
          <w:tcPr>
            <w:tcW w:w="16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51"/>
        </w:trPr>
        <w:tc>
          <w:tcPr>
            <w:tcW w:w="440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1380" w:type="dxa"/>
            <w:vAlign w:val="bottom"/>
            <w:gridSpan w:val="2"/>
            <w:shd w:val="clear" w:color="auto" w:fill="CCEEFF"/>
          </w:tcPr>
          <w:p>
            <w:pPr>
              <w:jc w:val="right"/>
              <w:ind w:right="1012"/>
              <w:spacing w:after="0" w:line="251" w:lineRule="exact"/>
              <w:rPr>
                <w:sz w:val="20"/>
                <w:szCs w:val="20"/>
                <w:color w:val="auto"/>
              </w:rPr>
            </w:pPr>
            <w:r>
              <w:rPr>
                <w:rFonts w:ascii="Arial" w:cs="Arial" w:eastAsia="Arial" w:hAnsi="Arial"/>
                <w:sz w:val="22"/>
                <w:szCs w:val="22"/>
                <w:color w:val="auto"/>
              </w:rPr>
              <w:t>$</w:t>
            </w:r>
          </w:p>
        </w:tc>
        <w:tc>
          <w:tcPr>
            <w:tcW w:w="6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13</w:t>
            </w: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0"/>
              <w:spacing w:after="0" w:line="251" w:lineRule="exact"/>
              <w:rPr>
                <w:sz w:val="20"/>
                <w:szCs w:val="20"/>
                <w:color w:val="auto"/>
              </w:rPr>
            </w:pPr>
            <w:r>
              <w:rPr>
                <w:rFonts w:ascii="Arial" w:cs="Arial" w:eastAsia="Arial" w:hAnsi="Arial"/>
                <w:sz w:val="22"/>
                <w:szCs w:val="22"/>
                <w:color w:val="auto"/>
                <w:w w:val="97"/>
              </w:rPr>
              <w:t>$</w:t>
            </w:r>
          </w:p>
        </w:tc>
        <w:tc>
          <w:tcPr>
            <w:tcW w:w="36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13</w:t>
            </w:r>
          </w:p>
        </w:tc>
        <w:tc>
          <w:tcPr>
            <w:tcW w:w="560" w:type="dxa"/>
            <w:vAlign w:val="bottom"/>
            <w:gridSpan w:val="2"/>
            <w:shd w:val="clear" w:color="auto" w:fill="CCEEFF"/>
          </w:tcPr>
          <w:p>
            <w:pPr>
              <w:jc w:val="right"/>
              <w:ind w:right="200"/>
              <w:spacing w:after="0" w:line="251" w:lineRule="exact"/>
              <w:rPr>
                <w:sz w:val="20"/>
                <w:szCs w:val="20"/>
                <w:color w:val="auto"/>
              </w:rPr>
            </w:pPr>
            <w:r>
              <w:rPr>
                <w:rFonts w:ascii="Arial" w:cs="Arial" w:eastAsia="Arial" w:hAnsi="Arial"/>
                <w:sz w:val="22"/>
                <w:szCs w:val="22"/>
                <w:color w:val="auto"/>
              </w:rPr>
              <w:t>$</w:t>
            </w:r>
          </w:p>
        </w:tc>
        <w:tc>
          <w:tcPr>
            <w:tcW w:w="112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w:t>
            </w:r>
          </w:p>
        </w:tc>
        <w:tc>
          <w:tcPr>
            <w:tcW w:w="600" w:type="dxa"/>
            <w:vAlign w:val="bottom"/>
            <w:gridSpan w:val="2"/>
            <w:shd w:val="clear" w:color="auto" w:fill="CCEEFF"/>
          </w:tcPr>
          <w:p>
            <w:pPr>
              <w:jc w:val="right"/>
              <w:ind w:right="280"/>
              <w:spacing w:after="0" w:line="251" w:lineRule="exact"/>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25</w:t>
            </w:r>
          </w:p>
        </w:tc>
      </w:tr>
      <w:tr>
        <w:trPr>
          <w:trHeight w:val="274"/>
        </w:trPr>
        <w:tc>
          <w:tcPr>
            <w:tcW w:w="4400" w:type="dxa"/>
            <w:vAlign w:val="bottom"/>
          </w:tcPr>
          <w:p>
            <w:pPr>
              <w:spacing w:after="0"/>
              <w:rPr>
                <w:sz w:val="20"/>
                <w:szCs w:val="20"/>
                <w:color w:val="auto"/>
              </w:rPr>
            </w:pPr>
            <w:r>
              <w:rPr>
                <w:rFonts w:ascii="Arial" w:cs="Arial" w:eastAsia="Arial" w:hAnsi="Arial"/>
                <w:sz w:val="22"/>
                <w:szCs w:val="22"/>
                <w:color w:val="auto"/>
              </w:rPr>
              <w:t>Income tax benefit</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22"/>
                <w:szCs w:val="22"/>
                <w:color w:val="auto"/>
              </w:rPr>
              <w:t>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3</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2"/>
                <w:szCs w:val="22"/>
                <w:color w:val="auto"/>
              </w:rPr>
              <w:t>7</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22"/>
                <w:szCs w:val="22"/>
                <w:color w:val="auto"/>
              </w:rPr>
              <w:t>7</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restricted stock transactions for the six months ended June 30,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4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2"/>
                <w:szCs w:val="22"/>
                <w:color w:val="auto"/>
                <w:w w:val="89"/>
              </w:rPr>
              <w:t>Number</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center"/>
              <w:ind w:right="212"/>
              <w:spacing w:after="0"/>
              <w:rPr>
                <w:sz w:val="20"/>
                <w:szCs w:val="20"/>
                <w:color w:val="auto"/>
              </w:rPr>
            </w:pPr>
            <w:r>
              <w:rPr>
                <w:rFonts w:ascii="Arial" w:cs="Arial" w:eastAsia="Arial" w:hAnsi="Arial"/>
                <w:sz w:val="22"/>
                <w:szCs w:val="22"/>
                <w:color w:val="auto"/>
                <w:w w:val="88"/>
              </w:rPr>
              <w:t>Weighted</w:t>
            </w:r>
          </w:p>
        </w:tc>
      </w:tr>
      <w:tr>
        <w:trPr>
          <w:trHeight w:val="243"/>
        </w:trPr>
        <w:tc>
          <w:tcPr>
            <w:tcW w:w="7240" w:type="dxa"/>
            <w:vAlign w:val="bottom"/>
          </w:tcPr>
          <w:p>
            <w:pPr>
              <w:spacing w:after="0"/>
              <w:rPr>
                <w:sz w:val="21"/>
                <w:szCs w:val="21"/>
                <w:color w:val="auto"/>
              </w:rPr>
            </w:pPr>
          </w:p>
        </w:tc>
        <w:tc>
          <w:tcPr>
            <w:tcW w:w="1740" w:type="dxa"/>
            <w:vAlign w:val="bottom"/>
          </w:tcPr>
          <w:p>
            <w:pPr>
              <w:jc w:val="center"/>
              <w:spacing w:after="0" w:line="243" w:lineRule="exact"/>
              <w:rPr>
                <w:sz w:val="20"/>
                <w:szCs w:val="20"/>
                <w:color w:val="auto"/>
              </w:rPr>
            </w:pPr>
            <w:r>
              <w:rPr>
                <w:rFonts w:ascii="Arial" w:cs="Arial" w:eastAsia="Arial" w:hAnsi="Arial"/>
                <w:sz w:val="22"/>
                <w:szCs w:val="22"/>
                <w:color w:val="auto"/>
                <w:w w:val="97"/>
              </w:rPr>
              <w:t>of</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87"/>
              </w:rPr>
              <w:t>Average</w:t>
            </w:r>
          </w:p>
        </w:tc>
      </w:tr>
      <w:tr>
        <w:trPr>
          <w:trHeight w:val="251"/>
        </w:trPr>
        <w:tc>
          <w:tcPr>
            <w:tcW w:w="7240" w:type="dxa"/>
            <w:vAlign w:val="bottom"/>
          </w:tcPr>
          <w:p>
            <w:pPr>
              <w:spacing w:after="0"/>
              <w:rPr>
                <w:sz w:val="21"/>
                <w:szCs w:val="21"/>
                <w:color w:val="auto"/>
              </w:rPr>
            </w:pPr>
          </w:p>
        </w:tc>
        <w:tc>
          <w:tcPr>
            <w:tcW w:w="1740" w:type="dxa"/>
            <w:vAlign w:val="bottom"/>
            <w:tcBorders>
              <w:bottom w:val="single" w:sz="8" w:color="auto"/>
            </w:tcBorders>
          </w:tcPr>
          <w:p>
            <w:pPr>
              <w:jc w:val="center"/>
              <w:spacing w:after="0" w:line="251" w:lineRule="exact"/>
              <w:rPr>
                <w:sz w:val="20"/>
                <w:szCs w:val="20"/>
                <w:color w:val="auto"/>
              </w:rPr>
            </w:pPr>
            <w:r>
              <w:rPr>
                <w:rFonts w:ascii="Arial" w:cs="Arial" w:eastAsia="Arial" w:hAnsi="Arial"/>
                <w:sz w:val="22"/>
                <w:szCs w:val="22"/>
                <w:color w:val="auto"/>
                <w:w w:val="83"/>
              </w:rPr>
              <w:t>Shares</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21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2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Nonvested restricted stock at beginning of period</w:t>
            </w:r>
          </w:p>
        </w:tc>
        <w:tc>
          <w:tcPr>
            <w:tcW w:w="17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1,170</w:t>
            </w:r>
          </w:p>
        </w:tc>
        <w:tc>
          <w:tcPr>
            <w:tcW w:w="600" w:type="dxa"/>
            <w:vAlign w:val="bottom"/>
            <w:gridSpan w:val="2"/>
            <w:shd w:val="clear" w:color="auto" w:fill="CCEEFF"/>
          </w:tcPr>
          <w:p>
            <w:pPr>
              <w:jc w:val="right"/>
              <w:ind w:right="123"/>
              <w:spacing w:after="0" w:line="223" w:lineRule="exact"/>
              <w:rPr>
                <w:sz w:val="20"/>
                <w:szCs w:val="20"/>
                <w:color w:val="auto"/>
              </w:rPr>
            </w:pPr>
            <w:r>
              <w:rPr>
                <w:rFonts w:ascii="Arial" w:cs="Arial" w:eastAsia="Arial" w:hAnsi="Arial"/>
                <w:sz w:val="22"/>
                <w:szCs w:val="22"/>
                <w:color w:val="auto"/>
              </w:rPr>
              <w:t>$</w:t>
            </w:r>
          </w:p>
        </w:tc>
        <w:tc>
          <w:tcPr>
            <w:tcW w:w="16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42.75</w:t>
            </w:r>
          </w:p>
        </w:tc>
      </w:tr>
      <w:tr>
        <w:trPr>
          <w:trHeight w:val="243"/>
        </w:trPr>
        <w:tc>
          <w:tcPr>
            <w:tcW w:w="7240" w:type="dxa"/>
            <w:vAlign w:val="bottom"/>
          </w:tcPr>
          <w:p>
            <w:pPr>
              <w:ind w:left="120"/>
              <w:spacing w:after="0" w:line="243" w:lineRule="exact"/>
              <w:rPr>
                <w:sz w:val="20"/>
                <w:szCs w:val="20"/>
                <w:color w:val="auto"/>
              </w:rPr>
            </w:pPr>
            <w:r>
              <w:rPr>
                <w:rFonts w:ascii="Arial" w:cs="Arial" w:eastAsia="Arial" w:hAnsi="Arial"/>
                <w:sz w:val="22"/>
                <w:szCs w:val="22"/>
                <w:color w:val="auto"/>
              </w:rPr>
              <w:t>Granted</w:t>
            </w:r>
          </w:p>
        </w:tc>
        <w:tc>
          <w:tcPr>
            <w:tcW w:w="174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r>
      <w:tr>
        <w:trPr>
          <w:trHeight w:val="230"/>
        </w:trPr>
        <w:tc>
          <w:tcPr>
            <w:tcW w:w="724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Vested</w:t>
            </w:r>
          </w:p>
        </w:tc>
        <w:tc>
          <w:tcPr>
            <w:tcW w:w="174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w:t>
            </w:r>
          </w:p>
        </w:tc>
      </w:tr>
      <w:tr>
        <w:trPr>
          <w:trHeight w:val="223"/>
        </w:trPr>
        <w:tc>
          <w:tcPr>
            <w:tcW w:w="7240" w:type="dxa"/>
            <w:vAlign w:val="bottom"/>
          </w:tcPr>
          <w:p>
            <w:pPr>
              <w:spacing w:after="0" w:line="223" w:lineRule="exact"/>
              <w:rPr>
                <w:sz w:val="20"/>
                <w:szCs w:val="20"/>
                <w:color w:val="auto"/>
              </w:rPr>
            </w:pPr>
            <w:r>
              <w:rPr>
                <w:rFonts w:ascii="Arial" w:cs="Arial" w:eastAsia="Arial" w:hAnsi="Arial"/>
                <w:sz w:val="22"/>
                <w:szCs w:val="22"/>
                <w:color w:val="auto"/>
              </w:rPr>
              <w:t>Nonvested restricted stock at end of period</w:t>
            </w:r>
          </w:p>
        </w:tc>
        <w:tc>
          <w:tcPr>
            <w:tcW w:w="17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1,170</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color w:val="auto"/>
                <w:w w:val="75"/>
              </w:rPr>
              <w:t>$</w:t>
            </w:r>
          </w:p>
        </w:tc>
        <w:tc>
          <w:tcPr>
            <w:tcW w:w="16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42.75</w:t>
            </w:r>
          </w:p>
        </w:tc>
      </w:tr>
      <w:tr>
        <w:trPr>
          <w:trHeight w:val="20"/>
        </w:trPr>
        <w:tc>
          <w:tcPr>
            <w:tcW w:w="7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There were no restricted stock awards granted during the six months ended June 30, 2023 and 2022.</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b w:val="1"/>
          <w:bCs w:val="1"/>
          <w:i w:val="1"/>
          <w:iCs w:val="1"/>
          <w:color w:val="auto"/>
        </w:rPr>
        <w:t xml:space="preserve">Stock Awards </w:t>
      </w:r>
      <w:r>
        <w:rPr>
          <w:rFonts w:ascii="Arial" w:cs="Arial" w:eastAsia="Arial" w:hAnsi="Arial"/>
          <w:sz w:val="22"/>
          <w:szCs w:val="22"/>
          <w:color w:val="auto"/>
        </w:rPr>
        <w:t>– Stock awards represent the issuance of the Company’s common stock, without restriction. The issuance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awards results in compensation expense that is equal to the fair market value of the stock on the grant date and is expensed immediately upon grant. The following table provides the compensation cost and income tax benefit for stock-based compensation related to stock awards: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2460" w:type="dxa"/>
            <w:vAlign w:val="bottom"/>
            <w:gridSpan w:val="4"/>
          </w:tcPr>
          <w:p>
            <w:pPr>
              <w:jc w:val="center"/>
              <w:ind w:left="336"/>
              <w:spacing w:after="0"/>
              <w:rPr>
                <w:sz w:val="20"/>
                <w:szCs w:val="20"/>
                <w:color w:val="auto"/>
              </w:rPr>
            </w:pPr>
            <w:r>
              <w:rPr>
                <w:rFonts w:ascii="Arial" w:cs="Arial" w:eastAsia="Arial" w:hAnsi="Arial"/>
                <w:sz w:val="22"/>
                <w:szCs w:val="22"/>
                <w:color w:val="auto"/>
                <w:w w:val="88"/>
              </w:rPr>
              <w:t>Three Months Ended</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00" w:type="dxa"/>
            <w:vAlign w:val="bottom"/>
            <w:gridSpan w:val="5"/>
          </w:tcPr>
          <w:p>
            <w:pPr>
              <w:jc w:val="center"/>
              <w:ind w:right="232"/>
              <w:spacing w:after="0"/>
              <w:rPr>
                <w:sz w:val="20"/>
                <w:szCs w:val="20"/>
                <w:color w:val="auto"/>
              </w:rPr>
            </w:pPr>
            <w:r>
              <w:rPr>
                <w:rFonts w:ascii="Arial" w:cs="Arial" w:eastAsia="Arial" w:hAnsi="Arial"/>
                <w:sz w:val="22"/>
                <w:szCs w:val="22"/>
                <w:color w:val="auto"/>
                <w:w w:val="89"/>
              </w:rPr>
              <w:t>Six Months Ended</w:t>
            </w:r>
          </w:p>
        </w:tc>
      </w:tr>
      <w:tr>
        <w:trPr>
          <w:trHeight w:val="251"/>
        </w:trPr>
        <w:tc>
          <w:tcPr>
            <w:tcW w:w="46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500"/>
              <w:spacing w:after="0" w:line="251" w:lineRule="exact"/>
              <w:rPr>
                <w:sz w:val="20"/>
                <w:szCs w:val="20"/>
                <w:color w:val="auto"/>
              </w:rPr>
            </w:pPr>
            <w:r>
              <w:rPr>
                <w:rFonts w:ascii="Arial" w:cs="Arial" w:eastAsia="Arial" w:hAnsi="Arial"/>
                <w:sz w:val="22"/>
                <w:szCs w:val="22"/>
                <w:color w:val="auto"/>
                <w:w w:val="85"/>
              </w:rPr>
              <w:t>June 30,</w:t>
            </w:r>
          </w:p>
        </w:tc>
        <w:tc>
          <w:tcPr>
            <w:tcW w:w="4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center"/>
              <w:ind w:left="752"/>
              <w:spacing w:after="0" w:line="251" w:lineRule="exact"/>
              <w:rPr>
                <w:sz w:val="20"/>
                <w:szCs w:val="20"/>
                <w:color w:val="auto"/>
              </w:rPr>
            </w:pPr>
            <w:r>
              <w:rPr>
                <w:rFonts w:ascii="Arial" w:cs="Arial" w:eastAsia="Arial" w:hAnsi="Arial"/>
                <w:sz w:val="22"/>
                <w:szCs w:val="22"/>
                <w:color w:val="auto"/>
                <w:w w:val="85"/>
              </w:rPr>
              <w:t>June 30,</w:t>
            </w:r>
          </w:p>
        </w:tc>
        <w:tc>
          <w:tcPr>
            <w:tcW w:w="1200" w:type="dxa"/>
            <w:vAlign w:val="bottom"/>
            <w:tcBorders>
              <w:bottom w:val="single" w:sz="8" w:color="auto"/>
            </w:tcBorders>
          </w:tcPr>
          <w:p>
            <w:pPr>
              <w:spacing w:after="0"/>
              <w:rPr>
                <w:sz w:val="21"/>
                <w:szCs w:val="21"/>
                <w:color w:val="auto"/>
              </w:rPr>
            </w:pPr>
          </w:p>
        </w:tc>
      </w:tr>
      <w:tr>
        <w:trPr>
          <w:trHeight w:val="223"/>
        </w:trPr>
        <w:tc>
          <w:tcPr>
            <w:tcW w:w="4660" w:type="dxa"/>
            <w:vAlign w:val="bottom"/>
          </w:tcPr>
          <w:p>
            <w:pPr>
              <w:spacing w:after="0"/>
              <w:rPr>
                <w:sz w:val="19"/>
                <w:szCs w:val="19"/>
                <w:color w:val="auto"/>
              </w:rPr>
            </w:pPr>
          </w:p>
        </w:tc>
        <w:tc>
          <w:tcPr>
            <w:tcW w:w="920" w:type="dxa"/>
            <w:vAlign w:val="bottom"/>
          </w:tcPr>
          <w:p>
            <w:pPr>
              <w:jc w:val="right"/>
              <w:spacing w:after="0" w:line="223" w:lineRule="exact"/>
              <w:rPr>
                <w:sz w:val="20"/>
                <w:szCs w:val="20"/>
                <w:color w:val="auto"/>
              </w:rPr>
            </w:pPr>
            <w:r>
              <w:rPr>
                <w:rFonts w:ascii="Arial" w:cs="Arial" w:eastAsia="Arial" w:hAnsi="Arial"/>
                <w:sz w:val="22"/>
                <w:szCs w:val="22"/>
                <w:color w:val="auto"/>
              </w:rPr>
              <w:t>2023</w:t>
            </w:r>
          </w:p>
        </w:tc>
        <w:tc>
          <w:tcPr>
            <w:tcW w:w="400" w:type="dxa"/>
            <w:vAlign w:val="bottom"/>
          </w:tcPr>
          <w:p>
            <w:pPr>
              <w:spacing w:after="0"/>
              <w:rPr>
                <w:sz w:val="19"/>
                <w:szCs w:val="19"/>
                <w:color w:val="auto"/>
              </w:rPr>
            </w:pPr>
          </w:p>
        </w:tc>
        <w:tc>
          <w:tcPr>
            <w:tcW w:w="1140" w:type="dxa"/>
            <w:vAlign w:val="bottom"/>
            <w:gridSpan w:val="2"/>
          </w:tcPr>
          <w:p>
            <w:pPr>
              <w:jc w:val="right"/>
              <w:ind w:right="20"/>
              <w:spacing w:after="0" w:line="223" w:lineRule="exact"/>
              <w:rPr>
                <w:sz w:val="20"/>
                <w:szCs w:val="20"/>
                <w:color w:val="auto"/>
              </w:rPr>
            </w:pPr>
            <w:r>
              <w:rPr>
                <w:rFonts w:ascii="Arial" w:cs="Arial" w:eastAsia="Arial" w:hAnsi="Arial"/>
                <w:sz w:val="22"/>
                <w:szCs w:val="22"/>
                <w:color w:val="auto"/>
              </w:rPr>
              <w:t>2022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472"/>
              <w:spacing w:after="0" w:line="223" w:lineRule="exact"/>
              <w:rPr>
                <w:sz w:val="20"/>
                <w:szCs w:val="20"/>
                <w:color w:val="auto"/>
              </w:rPr>
            </w:pPr>
            <w:r>
              <w:rPr>
                <w:rFonts w:ascii="Arial" w:cs="Arial" w:eastAsia="Arial" w:hAnsi="Arial"/>
                <w:sz w:val="22"/>
                <w:szCs w:val="22"/>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472"/>
              <w:spacing w:after="0" w:line="223" w:lineRule="exact"/>
              <w:rPr>
                <w:sz w:val="20"/>
                <w:szCs w:val="20"/>
                <w:color w:val="auto"/>
              </w:rPr>
            </w:pPr>
            <w:r>
              <w:rPr>
                <w:rFonts w:ascii="Arial" w:cs="Arial" w:eastAsia="Arial" w:hAnsi="Arial"/>
                <w:sz w:val="22"/>
                <w:szCs w:val="22"/>
                <w:color w:val="auto"/>
              </w:rPr>
              <w:t>2022</w:t>
            </w:r>
          </w:p>
        </w:tc>
      </w:tr>
      <w:tr>
        <w:trPr>
          <w:trHeight w:val="202"/>
        </w:trPr>
        <w:tc>
          <w:tcPr>
            <w:tcW w:w="4660" w:type="dxa"/>
            <w:vAlign w:val="bottom"/>
            <w:shd w:val="clear" w:color="auto" w:fill="CCEEFF"/>
          </w:tcPr>
          <w:p>
            <w:pPr>
              <w:spacing w:after="0" w:line="202" w:lineRule="exact"/>
              <w:rPr>
                <w:sz w:val="20"/>
                <w:szCs w:val="20"/>
                <w:color w:val="auto"/>
              </w:rPr>
            </w:pPr>
            <w:r>
              <w:rPr>
                <w:rFonts w:ascii="Arial" w:cs="Arial" w:eastAsia="Arial" w:hAnsi="Arial"/>
                <w:sz w:val="22"/>
                <w:szCs w:val="22"/>
                <w:color w:val="auto"/>
                <w:w w:val="96"/>
              </w:rPr>
              <w:t>Stock-based compensation within operations and</w:t>
            </w:r>
          </w:p>
        </w:tc>
        <w:tc>
          <w:tcPr>
            <w:tcW w:w="9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51"/>
        </w:trPr>
        <w:tc>
          <w:tcPr>
            <w:tcW w:w="4660" w:type="dxa"/>
            <w:vAlign w:val="bottom"/>
            <w:shd w:val="clear" w:color="auto" w:fill="CCEEFF"/>
          </w:tcPr>
          <w:p>
            <w:pPr>
              <w:spacing w:after="0" w:line="251" w:lineRule="exact"/>
              <w:rPr>
                <w:sz w:val="20"/>
                <w:szCs w:val="20"/>
                <w:color w:val="auto"/>
              </w:rPr>
            </w:pPr>
            <w:r>
              <w:rPr>
                <w:rFonts w:ascii="Arial" w:cs="Arial" w:eastAsia="Arial" w:hAnsi="Arial"/>
                <w:sz w:val="22"/>
                <w:szCs w:val="22"/>
                <w:color w:val="auto"/>
              </w:rPr>
              <w:t>maintenance expenses</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9"/>
                <w:szCs w:val="19"/>
                <w:color w:val="auto"/>
                <w:w w:val="75"/>
              </w:rPr>
              <w:t>$</w:t>
            </w:r>
          </w:p>
        </w:tc>
        <w:tc>
          <w:tcPr>
            <w:tcW w:w="4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570</w:t>
            </w:r>
          </w:p>
        </w:tc>
        <w:tc>
          <w:tcPr>
            <w:tcW w:w="1140" w:type="dxa"/>
            <w:vAlign w:val="bottom"/>
            <w:gridSpan w:val="2"/>
            <w:shd w:val="clear" w:color="auto" w:fill="CCEEFF"/>
          </w:tcPr>
          <w:p>
            <w:pPr>
              <w:jc w:val="right"/>
              <w:ind w:right="820"/>
              <w:spacing w:after="0" w:line="251" w:lineRule="exact"/>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w w:val="97"/>
              </w:rPr>
              <w:t>165</w:t>
            </w:r>
          </w:p>
        </w:tc>
        <w:tc>
          <w:tcPr>
            <w:tcW w:w="580" w:type="dxa"/>
            <w:vAlign w:val="bottom"/>
            <w:gridSpan w:val="2"/>
            <w:shd w:val="clear" w:color="auto" w:fill="CCEEFF"/>
          </w:tcPr>
          <w:p>
            <w:pPr>
              <w:jc w:val="right"/>
              <w:ind w:right="240"/>
              <w:spacing w:after="0" w:line="251" w:lineRule="exact"/>
              <w:rPr>
                <w:sz w:val="20"/>
                <w:szCs w:val="20"/>
                <w:color w:val="auto"/>
              </w:rPr>
            </w:pPr>
            <w:r>
              <w:rPr>
                <w:rFonts w:ascii="Arial" w:cs="Arial" w:eastAsia="Arial" w:hAnsi="Arial"/>
                <w:sz w:val="22"/>
                <w:szCs w:val="22"/>
                <w:color w:val="auto"/>
              </w:rPr>
              <w:t>$</w:t>
            </w:r>
          </w:p>
        </w:tc>
        <w:tc>
          <w:tcPr>
            <w:tcW w:w="1380" w:type="dxa"/>
            <w:vAlign w:val="bottom"/>
            <w:gridSpan w:val="2"/>
            <w:shd w:val="clear" w:color="auto" w:fill="CCEEFF"/>
          </w:tcPr>
          <w:p>
            <w:pPr>
              <w:jc w:val="right"/>
              <w:ind w:right="120"/>
              <w:spacing w:after="0" w:line="251" w:lineRule="exact"/>
              <w:rPr>
                <w:sz w:val="20"/>
                <w:szCs w:val="20"/>
                <w:color w:val="auto"/>
              </w:rPr>
            </w:pPr>
            <w:r>
              <w:rPr>
                <w:rFonts w:ascii="Arial" w:cs="Arial" w:eastAsia="Arial" w:hAnsi="Arial"/>
                <w:sz w:val="22"/>
                <w:szCs w:val="22"/>
                <w:color w:val="auto"/>
              </w:rPr>
              <w:t>780</w:t>
            </w:r>
          </w:p>
        </w:tc>
        <w:tc>
          <w:tcPr>
            <w:tcW w:w="520" w:type="dxa"/>
            <w:vAlign w:val="bottom"/>
            <w:gridSpan w:val="2"/>
            <w:shd w:val="clear" w:color="auto" w:fill="CCEEFF"/>
          </w:tcPr>
          <w:p>
            <w:pPr>
              <w:jc w:val="right"/>
              <w:ind w:right="300"/>
              <w:spacing w:after="0" w:line="251"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line="251" w:lineRule="exact"/>
              <w:rPr>
                <w:sz w:val="20"/>
                <w:szCs w:val="20"/>
                <w:color w:val="auto"/>
              </w:rPr>
            </w:pPr>
            <w:r>
              <w:rPr>
                <w:rFonts w:ascii="Arial" w:cs="Arial" w:eastAsia="Arial" w:hAnsi="Arial"/>
                <w:sz w:val="22"/>
                <w:szCs w:val="22"/>
                <w:color w:val="auto"/>
              </w:rPr>
              <w:t>357</w:t>
            </w:r>
          </w:p>
        </w:tc>
      </w:tr>
      <w:tr>
        <w:trPr>
          <w:trHeight w:val="274"/>
        </w:trPr>
        <w:tc>
          <w:tcPr>
            <w:tcW w:w="4660" w:type="dxa"/>
            <w:vAlign w:val="bottom"/>
          </w:tcPr>
          <w:p>
            <w:pPr>
              <w:spacing w:after="0"/>
              <w:rPr>
                <w:sz w:val="20"/>
                <w:szCs w:val="20"/>
                <w:color w:val="auto"/>
              </w:rPr>
            </w:pPr>
            <w:r>
              <w:rPr>
                <w:rFonts w:ascii="Arial" w:cs="Arial" w:eastAsia="Arial" w:hAnsi="Arial"/>
                <w:sz w:val="22"/>
                <w:szCs w:val="22"/>
                <w:color w:val="auto"/>
              </w:rPr>
              <w:t>Income tax benefit</w:t>
            </w:r>
          </w:p>
        </w:tc>
        <w:tc>
          <w:tcPr>
            <w:tcW w:w="9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22"/>
                <w:szCs w:val="22"/>
                <w:color w:val="auto"/>
              </w:rPr>
              <w:t>160</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22"/>
                <w:szCs w:val="22"/>
                <w:color w:val="auto"/>
              </w:rPr>
              <w:t>47</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22"/>
                <w:szCs w:val="22"/>
                <w:color w:val="auto"/>
              </w:rPr>
              <w:t>219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103</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stock award transactions for the six months ended June 30,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40" w:type="dxa"/>
            <w:vAlign w:val="bottom"/>
          </w:tcPr>
          <w:p>
            <w:pPr>
              <w:spacing w:after="0"/>
              <w:rPr>
                <w:sz w:val="21"/>
                <w:szCs w:val="21"/>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22"/>
                <w:szCs w:val="22"/>
                <w:color w:val="auto"/>
                <w:w w:val="89"/>
              </w:rPr>
              <w:t>Number</w:t>
            </w:r>
          </w:p>
        </w:tc>
        <w:tc>
          <w:tcPr>
            <w:tcW w:w="340" w:type="dxa"/>
            <w:vAlign w:val="bottom"/>
          </w:tcPr>
          <w:p>
            <w:pPr>
              <w:spacing w:after="0"/>
              <w:rPr>
                <w:sz w:val="21"/>
                <w:szCs w:val="21"/>
                <w:color w:val="auto"/>
              </w:rPr>
            </w:pPr>
          </w:p>
        </w:tc>
        <w:tc>
          <w:tcPr>
            <w:tcW w:w="1680" w:type="dxa"/>
            <w:vAlign w:val="bottom"/>
          </w:tcPr>
          <w:p>
            <w:pPr>
              <w:jc w:val="center"/>
              <w:ind w:right="232"/>
              <w:spacing w:after="0"/>
              <w:rPr>
                <w:sz w:val="20"/>
                <w:szCs w:val="20"/>
                <w:color w:val="auto"/>
              </w:rPr>
            </w:pPr>
            <w:r>
              <w:rPr>
                <w:rFonts w:ascii="Arial" w:cs="Arial" w:eastAsia="Arial" w:hAnsi="Arial"/>
                <w:sz w:val="22"/>
                <w:szCs w:val="22"/>
                <w:color w:val="auto"/>
                <w:w w:val="88"/>
              </w:rPr>
              <w:t>Weighted</w:t>
            </w:r>
          </w:p>
        </w:tc>
      </w:tr>
      <w:tr>
        <w:trPr>
          <w:trHeight w:val="243"/>
        </w:trPr>
        <w:tc>
          <w:tcPr>
            <w:tcW w:w="7140" w:type="dxa"/>
            <w:vAlign w:val="bottom"/>
          </w:tcPr>
          <w:p>
            <w:pPr>
              <w:spacing w:after="0"/>
              <w:rPr>
                <w:sz w:val="21"/>
                <w:szCs w:val="21"/>
                <w:color w:val="auto"/>
              </w:rPr>
            </w:pPr>
          </w:p>
        </w:tc>
        <w:tc>
          <w:tcPr>
            <w:tcW w:w="2080" w:type="dxa"/>
            <w:vAlign w:val="bottom"/>
            <w:gridSpan w:val="2"/>
          </w:tcPr>
          <w:p>
            <w:pPr>
              <w:jc w:val="center"/>
              <w:ind w:right="260"/>
              <w:spacing w:after="0" w:line="243" w:lineRule="exact"/>
              <w:rPr>
                <w:sz w:val="20"/>
                <w:szCs w:val="20"/>
                <w:color w:val="auto"/>
              </w:rPr>
            </w:pPr>
            <w:r>
              <w:rPr>
                <w:rFonts w:ascii="Arial" w:cs="Arial" w:eastAsia="Arial" w:hAnsi="Arial"/>
                <w:sz w:val="22"/>
                <w:szCs w:val="22"/>
                <w:color w:val="auto"/>
                <w:w w:val="97"/>
              </w:rPr>
              <w:t>of</w:t>
            </w:r>
          </w:p>
        </w:tc>
        <w:tc>
          <w:tcPr>
            <w:tcW w:w="340" w:type="dxa"/>
            <w:vAlign w:val="bottom"/>
          </w:tcPr>
          <w:p>
            <w:pPr>
              <w:spacing w:after="0"/>
              <w:rPr>
                <w:sz w:val="21"/>
                <w:szCs w:val="21"/>
                <w:color w:val="auto"/>
              </w:rPr>
            </w:pPr>
          </w:p>
        </w:tc>
        <w:tc>
          <w:tcPr>
            <w:tcW w:w="1680" w:type="dxa"/>
            <w:vAlign w:val="bottom"/>
          </w:tcPr>
          <w:p>
            <w:pPr>
              <w:jc w:val="center"/>
              <w:ind w:right="212"/>
              <w:spacing w:after="0" w:line="243" w:lineRule="exact"/>
              <w:rPr>
                <w:sz w:val="20"/>
                <w:szCs w:val="20"/>
                <w:color w:val="auto"/>
              </w:rPr>
            </w:pPr>
            <w:r>
              <w:rPr>
                <w:rFonts w:ascii="Arial" w:cs="Arial" w:eastAsia="Arial" w:hAnsi="Arial"/>
                <w:sz w:val="22"/>
                <w:szCs w:val="22"/>
                <w:color w:val="auto"/>
                <w:w w:val="87"/>
              </w:rPr>
              <w:t>Average</w:t>
            </w:r>
          </w:p>
        </w:tc>
      </w:tr>
      <w:tr>
        <w:trPr>
          <w:trHeight w:val="251"/>
        </w:trPr>
        <w:tc>
          <w:tcPr>
            <w:tcW w:w="7140" w:type="dxa"/>
            <w:vAlign w:val="bottom"/>
          </w:tcPr>
          <w:p>
            <w:pPr>
              <w:spacing w:after="0"/>
              <w:rPr>
                <w:sz w:val="21"/>
                <w:szCs w:val="21"/>
                <w:color w:val="auto"/>
              </w:rPr>
            </w:pPr>
          </w:p>
        </w:tc>
        <w:tc>
          <w:tcPr>
            <w:tcW w:w="2080" w:type="dxa"/>
            <w:vAlign w:val="bottom"/>
            <w:gridSpan w:val="2"/>
          </w:tcPr>
          <w:p>
            <w:pPr>
              <w:jc w:val="center"/>
              <w:ind w:right="260"/>
              <w:spacing w:after="0" w:line="251" w:lineRule="exact"/>
              <w:rPr>
                <w:sz w:val="20"/>
                <w:szCs w:val="20"/>
                <w:color w:val="auto"/>
              </w:rPr>
            </w:pPr>
            <w:r>
              <w:rPr>
                <w:rFonts w:ascii="Arial" w:cs="Arial" w:eastAsia="Arial" w:hAnsi="Arial"/>
                <w:sz w:val="22"/>
                <w:szCs w:val="22"/>
                <w:color w:val="auto"/>
                <w:w w:val="87"/>
              </w:rPr>
              <w:t>Stock Awards</w:t>
            </w:r>
          </w:p>
        </w:tc>
        <w:tc>
          <w:tcPr>
            <w:tcW w:w="340" w:type="dxa"/>
            <w:vAlign w:val="bottom"/>
          </w:tcPr>
          <w:p>
            <w:pPr>
              <w:spacing w:after="0"/>
              <w:rPr>
                <w:sz w:val="21"/>
                <w:szCs w:val="21"/>
                <w:color w:val="auto"/>
              </w:rPr>
            </w:pPr>
          </w:p>
        </w:tc>
        <w:tc>
          <w:tcPr>
            <w:tcW w:w="1680" w:type="dxa"/>
            <w:vAlign w:val="bottom"/>
          </w:tcPr>
          <w:p>
            <w:pPr>
              <w:jc w:val="center"/>
              <w:ind w:right="232"/>
              <w:spacing w:after="0" w:line="251" w:lineRule="exact"/>
              <w:rPr>
                <w:sz w:val="20"/>
                <w:szCs w:val="20"/>
                <w:color w:val="auto"/>
              </w:rPr>
            </w:pPr>
            <w:r>
              <w:rPr>
                <w:rFonts w:ascii="Arial" w:cs="Arial" w:eastAsia="Arial" w:hAnsi="Arial"/>
                <w:sz w:val="22"/>
                <w:szCs w:val="22"/>
                <w:color w:val="auto"/>
                <w:w w:val="89"/>
              </w:rPr>
              <w:t>Fair Value</w:t>
            </w:r>
          </w:p>
        </w:tc>
      </w:tr>
      <w:tr>
        <w:trPr>
          <w:trHeight w:val="223"/>
        </w:trPr>
        <w:tc>
          <w:tcPr>
            <w:tcW w:w="71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Nonvested stock awards at beginning of period</w:t>
            </w:r>
          </w:p>
        </w:tc>
        <w:tc>
          <w:tcPr>
            <w:tcW w:w="18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12"/>
              <w:spacing w:after="0" w:line="223" w:lineRule="exact"/>
              <w:rPr>
                <w:sz w:val="20"/>
                <w:szCs w:val="20"/>
                <w:color w:val="auto"/>
              </w:rPr>
            </w:pPr>
            <w:r>
              <w:rPr>
                <w:rFonts w:ascii="Arial" w:cs="Arial" w:eastAsia="Arial" w:hAnsi="Arial"/>
                <w:sz w:val="22"/>
                <w:szCs w:val="22"/>
                <w:color w:val="auto"/>
                <w:w w:val="81"/>
              </w:rPr>
              <w:t>$</w:t>
            </w:r>
          </w:p>
        </w:tc>
        <w:tc>
          <w:tcPr>
            <w:tcW w:w="16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w:t>
            </w:r>
          </w:p>
        </w:tc>
      </w:tr>
      <w:tr>
        <w:trPr>
          <w:trHeight w:val="230"/>
        </w:trPr>
        <w:tc>
          <w:tcPr>
            <w:tcW w:w="7140" w:type="dxa"/>
            <w:vAlign w:val="bottom"/>
          </w:tcPr>
          <w:p>
            <w:pPr>
              <w:ind w:left="120"/>
              <w:spacing w:after="0" w:line="229" w:lineRule="exact"/>
              <w:rPr>
                <w:sz w:val="20"/>
                <w:szCs w:val="20"/>
                <w:color w:val="auto"/>
              </w:rPr>
            </w:pPr>
            <w:r>
              <w:rPr>
                <w:rFonts w:ascii="Arial" w:cs="Arial" w:eastAsia="Arial" w:hAnsi="Arial"/>
                <w:sz w:val="22"/>
                <w:szCs w:val="22"/>
                <w:color w:val="auto"/>
              </w:rPr>
              <w:t>Granted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18,676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jc w:val="right"/>
              <w:spacing w:after="0" w:line="229" w:lineRule="exact"/>
              <w:rPr>
                <w:sz w:val="20"/>
                <w:szCs w:val="20"/>
                <w:color w:val="auto"/>
              </w:rPr>
            </w:pPr>
            <w:r>
              <w:rPr>
                <w:rFonts w:ascii="Arial" w:cs="Arial" w:eastAsia="Arial" w:hAnsi="Arial"/>
                <w:sz w:val="22"/>
                <w:szCs w:val="22"/>
                <w:color w:val="auto"/>
              </w:rPr>
              <w:t>41.78</w:t>
            </w:r>
          </w:p>
        </w:tc>
      </w:tr>
      <w:tr>
        <w:trPr>
          <w:trHeight w:val="243"/>
        </w:trPr>
        <w:tc>
          <w:tcPr>
            <w:tcW w:w="714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Vested</w:t>
            </w:r>
          </w:p>
        </w:tc>
        <w:tc>
          <w:tcPr>
            <w:tcW w:w="2080" w:type="dxa"/>
            <w:vAlign w:val="bottom"/>
            <w:gridSpan w:val="2"/>
            <w:shd w:val="clear" w:color="auto" w:fill="CCEEFF"/>
          </w:tcPr>
          <w:p>
            <w:pPr>
              <w:jc w:val="right"/>
              <w:ind w:right="280"/>
              <w:spacing w:after="0" w:line="243" w:lineRule="exact"/>
              <w:rPr>
                <w:sz w:val="20"/>
                <w:szCs w:val="20"/>
                <w:color w:val="auto"/>
              </w:rPr>
            </w:pPr>
            <w:r>
              <w:rPr>
                <w:rFonts w:ascii="Arial" w:cs="Arial" w:eastAsia="Arial" w:hAnsi="Arial"/>
                <w:sz w:val="22"/>
                <w:szCs w:val="22"/>
                <w:color w:val="auto"/>
              </w:rPr>
              <w:t>(18,676)</w:t>
            </w:r>
          </w:p>
        </w:tc>
        <w:tc>
          <w:tcPr>
            <w:tcW w:w="3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(41.78)</w:t>
            </w:r>
          </w:p>
        </w:tc>
      </w:tr>
      <w:tr>
        <w:trPr>
          <w:trHeight w:val="223"/>
        </w:trPr>
        <w:tc>
          <w:tcPr>
            <w:tcW w:w="7140" w:type="dxa"/>
            <w:vAlign w:val="bottom"/>
          </w:tcPr>
          <w:p>
            <w:pPr>
              <w:spacing w:after="0" w:line="223" w:lineRule="exact"/>
              <w:rPr>
                <w:sz w:val="20"/>
                <w:szCs w:val="20"/>
                <w:color w:val="auto"/>
              </w:rPr>
            </w:pPr>
            <w:r>
              <w:rPr>
                <w:rFonts w:ascii="Arial" w:cs="Arial" w:eastAsia="Arial" w:hAnsi="Arial"/>
                <w:sz w:val="22"/>
                <w:szCs w:val="22"/>
                <w:color w:val="auto"/>
              </w:rPr>
              <w:t>Nonvested stock awards at end of period</w:t>
            </w:r>
          </w:p>
        </w:tc>
        <w:tc>
          <w:tcPr>
            <w:tcW w:w="1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r>
      <w:tr>
        <w:trPr>
          <w:trHeight w:val="20"/>
        </w:trPr>
        <w:tc>
          <w:tcPr>
            <w:tcW w:w="7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The weighted-average fair value at the date of grant for stock awards granted during the six months ended June 30, 2023 and 2022 was $41.78 and $46.66,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 </w:t>
      </w:r>
      <w:r>
        <w:rPr>
          <w:rFonts w:ascii="Arial" w:cs="Arial" w:eastAsia="Arial" w:hAnsi="Arial"/>
          <w:sz w:val="22"/>
          <w:szCs w:val="22"/>
          <w:b w:val="1"/>
          <w:bCs w:val="1"/>
          <w:i w:val="1"/>
          <w:iCs w:val="1"/>
          <w:color w:val="auto"/>
        </w:rPr>
        <w:t>Pension Plans and Other Postretirement Benefits</w:t>
      </w:r>
    </w:p>
    <w:p>
      <w:pPr>
        <w:spacing w:after="0" w:line="226" w:lineRule="exact"/>
        <w:rPr>
          <w:sz w:val="20"/>
          <w:szCs w:val="20"/>
          <w:color w:val="auto"/>
        </w:rPr>
      </w:pPr>
    </w:p>
    <w:p>
      <w:pPr>
        <w:ind w:right="380"/>
        <w:spacing w:after="0" w:line="239" w:lineRule="auto"/>
        <w:rPr>
          <w:sz w:val="20"/>
          <w:szCs w:val="20"/>
          <w:color w:val="auto"/>
        </w:rPr>
      </w:pPr>
      <w:r>
        <w:rPr>
          <w:rFonts w:ascii="Arial" w:cs="Arial" w:eastAsia="Arial" w:hAnsi="Arial"/>
          <w:sz w:val="22"/>
          <w:szCs w:val="22"/>
          <w:color w:val="auto"/>
        </w:rPr>
        <w:t>The Company maintains a qualified defined benefit pension plan (the “Pension Plan”), a nonqualified pension plan, and other postretirement benefit plans for certain of its employees.</w:t>
      </w:r>
    </w:p>
    <w:p>
      <w:pPr>
        <w:spacing w:after="0" w:line="185" w:lineRule="exact"/>
        <w:rPr>
          <w:sz w:val="20"/>
          <w:szCs w:val="20"/>
          <w:color w:val="auto"/>
        </w:rPr>
      </w:pPr>
    </w:p>
    <w:p>
      <w:pPr>
        <w:ind w:right="1000"/>
        <w:spacing w:after="0" w:line="250" w:lineRule="auto"/>
        <w:rPr>
          <w:sz w:val="20"/>
          <w:szCs w:val="20"/>
          <w:color w:val="auto"/>
        </w:rPr>
      </w:pPr>
      <w:r>
        <w:rPr>
          <w:rFonts w:ascii="Arial" w:cs="Arial" w:eastAsia="Arial" w:hAnsi="Arial"/>
          <w:sz w:val="22"/>
          <w:szCs w:val="22"/>
          <w:color w:val="auto"/>
        </w:rPr>
        <w:t>The following tables provide the components of net periodic benefit cost (credit) for the Company’s pension and other postretirement benefit plans: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22"/>
                <w:szCs w:val="22"/>
                <w:color w:val="auto"/>
                <w:w w:val="88"/>
              </w:rPr>
              <w:t>Pension Benefits</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15"/>
        </w:trPr>
        <w:tc>
          <w:tcPr>
            <w:tcW w:w="3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gridSpan w:val="5"/>
          </w:tcPr>
          <w:p>
            <w:pPr>
              <w:jc w:val="right"/>
              <w:ind w:right="760"/>
              <w:spacing w:after="0" w:line="216" w:lineRule="exact"/>
              <w:rPr>
                <w:sz w:val="20"/>
                <w:szCs w:val="20"/>
                <w:color w:val="auto"/>
              </w:rPr>
            </w:pPr>
            <w:r>
              <w:rPr>
                <w:rFonts w:ascii="Arial" w:cs="Arial" w:eastAsia="Arial" w:hAnsi="Arial"/>
                <w:sz w:val="22"/>
                <w:szCs w:val="22"/>
                <w:color w:val="auto"/>
              </w:rPr>
              <w:t>Three Months Ended</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5"/>
          </w:tcPr>
          <w:p>
            <w:pPr>
              <w:jc w:val="right"/>
              <w:ind w:right="812"/>
              <w:spacing w:after="0" w:line="216" w:lineRule="exact"/>
              <w:rPr>
                <w:sz w:val="20"/>
                <w:szCs w:val="20"/>
                <w:color w:val="auto"/>
              </w:rPr>
            </w:pPr>
            <w:r>
              <w:rPr>
                <w:rFonts w:ascii="Arial" w:cs="Arial" w:eastAsia="Arial" w:hAnsi="Arial"/>
                <w:sz w:val="22"/>
                <w:szCs w:val="22"/>
                <w:color w:val="auto"/>
              </w:rPr>
              <w:t>Six Months Ended</w:t>
            </w:r>
          </w:p>
        </w:tc>
      </w:tr>
      <w:tr>
        <w:trPr>
          <w:trHeight w:val="251"/>
        </w:trPr>
        <w:tc>
          <w:tcPr>
            <w:tcW w:w="3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140"/>
              <w:spacing w:after="0" w:line="251" w:lineRule="exact"/>
              <w:rPr>
                <w:sz w:val="20"/>
                <w:szCs w:val="20"/>
                <w:color w:val="auto"/>
              </w:rPr>
            </w:pPr>
            <w:r>
              <w:rPr>
                <w:rFonts w:ascii="Arial" w:cs="Arial" w:eastAsia="Arial" w:hAnsi="Arial"/>
                <w:sz w:val="22"/>
                <w:szCs w:val="22"/>
                <w:color w:val="auto"/>
              </w:rPr>
              <w:t>June 30,</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jc w:val="right"/>
              <w:ind w:right="160"/>
              <w:spacing w:after="0" w:line="251" w:lineRule="exact"/>
              <w:rPr>
                <w:sz w:val="20"/>
                <w:szCs w:val="20"/>
                <w:color w:val="auto"/>
              </w:rPr>
            </w:pPr>
            <w:r>
              <w:rPr>
                <w:rFonts w:ascii="Arial" w:cs="Arial" w:eastAsia="Arial" w:hAnsi="Arial"/>
                <w:sz w:val="22"/>
                <w:szCs w:val="22"/>
                <w:color w:val="auto"/>
              </w:rPr>
              <w:t>June 30,</w:t>
            </w:r>
          </w:p>
        </w:tc>
        <w:tc>
          <w:tcPr>
            <w:tcW w:w="1200" w:type="dxa"/>
            <w:vAlign w:val="bottom"/>
            <w:tcBorders>
              <w:bottom w:val="single" w:sz="8" w:color="auto"/>
            </w:tcBorders>
          </w:tcPr>
          <w:p>
            <w:pPr>
              <w:spacing w:after="0"/>
              <w:rPr>
                <w:sz w:val="21"/>
                <w:szCs w:val="21"/>
                <w:color w:val="auto"/>
              </w:rPr>
            </w:pPr>
          </w:p>
        </w:tc>
      </w:tr>
      <w:tr>
        <w:trPr>
          <w:trHeight w:val="223"/>
        </w:trPr>
        <w:tc>
          <w:tcPr>
            <w:tcW w:w="3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rPr>
              <w:t>2022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2022</w:t>
            </w:r>
          </w:p>
        </w:tc>
      </w:tr>
      <w:tr>
        <w:trPr>
          <w:trHeight w:val="223"/>
        </w:trPr>
        <w:tc>
          <w:tcPr>
            <w:tcW w:w="36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1080" w:type="dxa"/>
            <w:vAlign w:val="bottom"/>
            <w:gridSpan w:val="2"/>
            <w:shd w:val="clear" w:color="auto" w:fill="CCEEFF"/>
          </w:tcPr>
          <w:p>
            <w:pPr>
              <w:jc w:val="right"/>
              <w:ind w:right="220"/>
              <w:spacing w:after="0" w:line="223" w:lineRule="exact"/>
              <w:rPr>
                <w:sz w:val="20"/>
                <w:szCs w:val="20"/>
                <w:color w:val="auto"/>
              </w:rPr>
            </w:pPr>
            <w:r>
              <w:rPr>
                <w:rFonts w:ascii="Arial" w:cs="Arial" w:eastAsia="Arial" w:hAnsi="Arial"/>
                <w:sz w:val="22"/>
                <w:szCs w:val="22"/>
                <w:color w:val="auto"/>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400</w:t>
            </w:r>
          </w:p>
        </w:tc>
        <w:tc>
          <w:tcPr>
            <w:tcW w:w="520" w:type="dxa"/>
            <w:vAlign w:val="bottom"/>
            <w:gridSpan w:val="2"/>
            <w:shd w:val="clear" w:color="auto" w:fill="CCEEFF"/>
          </w:tcPr>
          <w:p>
            <w:pPr>
              <w:jc w:val="right"/>
              <w:ind w:right="200"/>
              <w:spacing w:after="0" w:line="223" w:lineRule="exact"/>
              <w:rPr>
                <w:sz w:val="20"/>
                <w:szCs w:val="20"/>
                <w:color w:val="auto"/>
              </w:rPr>
            </w:pPr>
            <w:r>
              <w:rPr>
                <w:rFonts w:ascii="Arial" w:cs="Arial" w:eastAsia="Arial" w:hAnsi="Arial"/>
                <w:sz w:val="22"/>
                <w:szCs w:val="22"/>
                <w:color w:val="auto"/>
              </w:rPr>
              <w:t>$</w:t>
            </w:r>
          </w:p>
        </w:tc>
        <w:tc>
          <w:tcPr>
            <w:tcW w:w="102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707</w:t>
            </w:r>
          </w:p>
        </w:tc>
        <w:tc>
          <w:tcPr>
            <w:tcW w:w="1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ind w:right="100"/>
              <w:spacing w:after="0" w:line="223" w:lineRule="exact"/>
              <w:rPr>
                <w:sz w:val="20"/>
                <w:szCs w:val="20"/>
                <w:color w:val="auto"/>
              </w:rPr>
            </w:pPr>
            <w:r>
              <w:rPr>
                <w:rFonts w:ascii="Arial" w:cs="Arial" w:eastAsia="Arial" w:hAnsi="Arial"/>
                <w:sz w:val="22"/>
                <w:szCs w:val="22"/>
                <w:color w:val="auto"/>
                <w:w w:val="81"/>
              </w:rPr>
              <w:t>$</w:t>
            </w:r>
          </w:p>
        </w:tc>
        <w:tc>
          <w:tcPr>
            <w:tcW w:w="12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801</w:t>
            </w: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line="223"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1,414</w:t>
            </w:r>
          </w:p>
        </w:tc>
      </w:tr>
      <w:tr>
        <w:trPr>
          <w:trHeight w:val="243"/>
        </w:trPr>
        <w:tc>
          <w:tcPr>
            <w:tcW w:w="3680" w:type="dxa"/>
            <w:vAlign w:val="bottom"/>
          </w:tcPr>
          <w:p>
            <w:pPr>
              <w:spacing w:after="0" w:line="243" w:lineRule="exact"/>
              <w:rPr>
                <w:sz w:val="20"/>
                <w:szCs w:val="20"/>
                <w:color w:val="auto"/>
              </w:rPr>
            </w:pPr>
            <w:r>
              <w:rPr>
                <w:rFonts w:ascii="Arial" w:cs="Arial" w:eastAsia="Arial" w:hAnsi="Arial"/>
                <w:sz w:val="22"/>
                <w:szCs w:val="22"/>
                <w:color w:val="auto"/>
              </w:rPr>
              <w:t>Interest cost</w:t>
            </w: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line="243" w:lineRule="exact"/>
              <w:rPr>
                <w:sz w:val="20"/>
                <w:szCs w:val="20"/>
                <w:color w:val="auto"/>
              </w:rPr>
            </w:pPr>
            <w:r>
              <w:rPr>
                <w:rFonts w:ascii="Arial" w:cs="Arial" w:eastAsia="Arial" w:hAnsi="Arial"/>
                <w:sz w:val="22"/>
                <w:szCs w:val="22"/>
                <w:color w:val="auto"/>
              </w:rPr>
              <w:t>4,309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Arial" w:cs="Arial" w:eastAsia="Arial" w:hAnsi="Arial"/>
                <w:sz w:val="22"/>
                <w:szCs w:val="22"/>
                <w:color w:val="auto"/>
              </w:rPr>
              <w:t>3,202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8,617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line="243" w:lineRule="exact"/>
              <w:rPr>
                <w:sz w:val="20"/>
                <w:szCs w:val="20"/>
                <w:color w:val="auto"/>
              </w:rPr>
            </w:pPr>
            <w:r>
              <w:rPr>
                <w:rFonts w:ascii="Arial" w:cs="Arial" w:eastAsia="Arial" w:hAnsi="Arial"/>
                <w:sz w:val="22"/>
                <w:szCs w:val="22"/>
                <w:color w:val="auto"/>
              </w:rPr>
              <w:t>6,403</w:t>
            </w:r>
          </w:p>
        </w:tc>
      </w:tr>
      <w:tr>
        <w:trPr>
          <w:trHeight w:val="230"/>
        </w:trPr>
        <w:tc>
          <w:tcPr>
            <w:tcW w:w="36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Expected return on plan assets</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(5,673)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line="229" w:lineRule="exact"/>
              <w:rPr>
                <w:sz w:val="20"/>
                <w:szCs w:val="20"/>
                <w:color w:val="auto"/>
              </w:rPr>
            </w:pPr>
            <w:r>
              <w:rPr>
                <w:rFonts w:ascii="Arial" w:cs="Arial" w:eastAsia="Arial" w:hAnsi="Arial"/>
                <w:sz w:val="22"/>
                <w:szCs w:val="22"/>
                <w:color w:val="auto"/>
              </w:rPr>
              <w:t>(5,894)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line="229" w:lineRule="exact"/>
              <w:rPr>
                <w:sz w:val="20"/>
                <w:szCs w:val="20"/>
                <w:color w:val="auto"/>
              </w:rPr>
            </w:pPr>
            <w:r>
              <w:rPr>
                <w:rFonts w:ascii="Arial" w:cs="Arial" w:eastAsia="Arial" w:hAnsi="Arial"/>
                <w:sz w:val="22"/>
                <w:szCs w:val="22"/>
                <w:color w:val="auto"/>
              </w:rPr>
              <w:t>(11,345)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(11,789)</w:t>
            </w:r>
          </w:p>
        </w:tc>
      </w:tr>
      <w:tr>
        <w:trPr>
          <w:trHeight w:val="230"/>
        </w:trPr>
        <w:tc>
          <w:tcPr>
            <w:tcW w:w="3680" w:type="dxa"/>
            <w:vAlign w:val="bottom"/>
          </w:tcPr>
          <w:p>
            <w:pPr>
              <w:spacing w:after="0" w:line="229" w:lineRule="exact"/>
              <w:rPr>
                <w:sz w:val="20"/>
                <w:szCs w:val="20"/>
                <w:color w:val="auto"/>
              </w:rPr>
            </w:pPr>
            <w:r>
              <w:rPr>
                <w:rFonts w:ascii="Arial" w:cs="Arial" w:eastAsia="Arial" w:hAnsi="Arial"/>
                <w:sz w:val="22"/>
                <w:szCs w:val="22"/>
                <w:color w:val="auto"/>
              </w:rPr>
              <w:t>Amortization of prior service cost</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171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9" w:lineRule="exact"/>
              <w:rPr>
                <w:sz w:val="20"/>
                <w:szCs w:val="20"/>
                <w:color w:val="auto"/>
              </w:rPr>
            </w:pPr>
            <w:r>
              <w:rPr>
                <w:rFonts w:ascii="Arial" w:cs="Arial" w:eastAsia="Arial" w:hAnsi="Arial"/>
                <w:sz w:val="22"/>
                <w:szCs w:val="22"/>
                <w:color w:val="auto"/>
              </w:rPr>
              <w:t>134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line="229" w:lineRule="exact"/>
              <w:rPr>
                <w:sz w:val="20"/>
                <w:szCs w:val="20"/>
                <w:color w:val="auto"/>
              </w:rPr>
            </w:pPr>
            <w:r>
              <w:rPr>
                <w:rFonts w:ascii="Arial" w:cs="Arial" w:eastAsia="Arial" w:hAnsi="Arial"/>
                <w:sz w:val="22"/>
                <w:szCs w:val="22"/>
                <w:color w:val="auto"/>
              </w:rPr>
              <w:t>342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268</w:t>
            </w:r>
          </w:p>
        </w:tc>
      </w:tr>
      <w:tr>
        <w:trPr>
          <w:trHeight w:val="229"/>
        </w:trPr>
        <w:tc>
          <w:tcPr>
            <w:tcW w:w="3680" w:type="dxa"/>
            <w:vAlign w:val="bottom"/>
            <w:tcBorders>
              <w:bottom w:val="single" w:sz="8" w:color="CCEEFF"/>
            </w:tcBorders>
            <w:shd w:val="clear" w:color="auto" w:fill="CCEEFF"/>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809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436</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1,618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line="229" w:lineRule="exact"/>
              <w:rPr>
                <w:sz w:val="20"/>
                <w:szCs w:val="20"/>
                <w:color w:val="auto"/>
              </w:rPr>
            </w:pPr>
            <w:r>
              <w:rPr>
                <w:rFonts w:ascii="Arial" w:cs="Arial" w:eastAsia="Arial" w:hAnsi="Arial"/>
                <w:sz w:val="22"/>
                <w:szCs w:val="22"/>
                <w:color w:val="auto"/>
              </w:rPr>
              <w:t>871</w:t>
            </w:r>
          </w:p>
        </w:tc>
      </w:tr>
      <w:tr>
        <w:trPr>
          <w:trHeight w:val="236"/>
        </w:trPr>
        <w:tc>
          <w:tcPr>
            <w:tcW w:w="3680" w:type="dxa"/>
            <w:vAlign w:val="bottom"/>
          </w:tcPr>
          <w:p>
            <w:pPr>
              <w:spacing w:after="0" w:line="237" w:lineRule="exact"/>
              <w:rPr>
                <w:sz w:val="20"/>
                <w:szCs w:val="20"/>
                <w:color w:val="auto"/>
              </w:rPr>
            </w:pPr>
            <w:r>
              <w:rPr>
                <w:rFonts w:ascii="Arial" w:cs="Arial" w:eastAsia="Arial" w:hAnsi="Arial"/>
                <w:sz w:val="22"/>
                <w:szCs w:val="22"/>
                <w:color w:val="auto"/>
              </w:rPr>
              <w:t>Net periodic benefit cost (credit)</w:t>
            </w:r>
          </w:p>
        </w:tc>
        <w:tc>
          <w:tcPr>
            <w:tcW w:w="1080" w:type="dxa"/>
            <w:vAlign w:val="bottom"/>
            <w:gridSpan w:val="2"/>
          </w:tcPr>
          <w:p>
            <w:pPr>
              <w:jc w:val="right"/>
              <w:ind w:right="220"/>
              <w:spacing w:after="0" w:line="237" w:lineRule="exact"/>
              <w:rPr>
                <w:sz w:val="20"/>
                <w:szCs w:val="20"/>
                <w:color w:val="auto"/>
              </w:rPr>
            </w:pPr>
            <w:r>
              <w:rPr>
                <w:rFonts w:ascii="Arial" w:cs="Arial" w:eastAsia="Arial" w:hAnsi="Arial"/>
                <w:sz w:val="22"/>
                <w:szCs w:val="22"/>
                <w:color w:val="auto"/>
              </w:rPr>
              <w:t>$</w:t>
            </w:r>
          </w:p>
        </w:tc>
        <w:tc>
          <w:tcPr>
            <w:tcW w:w="1160" w:type="dxa"/>
            <w:vAlign w:val="bottom"/>
          </w:tcPr>
          <w:p>
            <w:pPr>
              <w:jc w:val="right"/>
              <w:spacing w:after="0" w:line="237" w:lineRule="exact"/>
              <w:rPr>
                <w:sz w:val="20"/>
                <w:szCs w:val="20"/>
                <w:color w:val="auto"/>
              </w:rPr>
            </w:pPr>
            <w:r>
              <w:rPr>
                <w:rFonts w:ascii="Arial" w:cs="Arial" w:eastAsia="Arial" w:hAnsi="Arial"/>
                <w:sz w:val="22"/>
                <w:szCs w:val="22"/>
                <w:color w:val="auto"/>
              </w:rPr>
              <w:t>16</w:t>
            </w:r>
          </w:p>
        </w:tc>
        <w:tc>
          <w:tcPr>
            <w:tcW w:w="520" w:type="dxa"/>
            <w:vAlign w:val="bottom"/>
            <w:gridSpan w:val="2"/>
          </w:tcPr>
          <w:p>
            <w:pPr>
              <w:jc w:val="right"/>
              <w:ind w:right="200"/>
              <w:spacing w:after="0" w:line="237" w:lineRule="exact"/>
              <w:rPr>
                <w:sz w:val="20"/>
                <w:szCs w:val="20"/>
                <w:color w:val="auto"/>
              </w:rPr>
            </w:pPr>
            <w:r>
              <w:rPr>
                <w:rFonts w:ascii="Arial" w:cs="Arial" w:eastAsia="Arial" w:hAnsi="Arial"/>
                <w:sz w:val="22"/>
                <w:szCs w:val="22"/>
                <w:color w:val="auto"/>
              </w:rPr>
              <w:t>$</w:t>
            </w:r>
          </w:p>
        </w:tc>
        <w:tc>
          <w:tcPr>
            <w:tcW w:w="1180" w:type="dxa"/>
            <w:vAlign w:val="bottom"/>
            <w:gridSpan w:val="2"/>
          </w:tcPr>
          <w:p>
            <w:pPr>
              <w:jc w:val="right"/>
              <w:ind w:right="160"/>
              <w:spacing w:after="0" w:line="237" w:lineRule="exact"/>
              <w:rPr>
                <w:sz w:val="20"/>
                <w:szCs w:val="20"/>
                <w:color w:val="auto"/>
              </w:rPr>
            </w:pPr>
            <w:r>
              <w:rPr>
                <w:rFonts w:ascii="Arial" w:cs="Arial" w:eastAsia="Arial" w:hAnsi="Arial"/>
                <w:sz w:val="22"/>
                <w:szCs w:val="22"/>
                <w:color w:val="auto"/>
              </w:rPr>
              <w:t>(1,415)</w:t>
            </w:r>
          </w:p>
        </w:tc>
        <w:tc>
          <w:tcPr>
            <w:tcW w:w="520" w:type="dxa"/>
            <w:vAlign w:val="bottom"/>
            <w:gridSpan w:val="2"/>
          </w:tcPr>
          <w:p>
            <w:pPr>
              <w:jc w:val="center"/>
              <w:ind w:right="100"/>
              <w:spacing w:after="0" w:line="237" w:lineRule="exact"/>
              <w:rPr>
                <w:sz w:val="20"/>
                <w:szCs w:val="20"/>
                <w:color w:val="auto"/>
              </w:rPr>
            </w:pPr>
            <w:r>
              <w:rPr>
                <w:rFonts w:ascii="Arial" w:cs="Arial" w:eastAsia="Arial" w:hAnsi="Arial"/>
                <w:sz w:val="22"/>
                <w:szCs w:val="22"/>
                <w:color w:val="auto"/>
                <w:w w:val="81"/>
              </w:rPr>
              <w:t>$</w:t>
            </w:r>
          </w:p>
        </w:tc>
        <w:tc>
          <w:tcPr>
            <w:tcW w:w="1260" w:type="dxa"/>
            <w:vAlign w:val="bottom"/>
          </w:tcPr>
          <w:p>
            <w:pPr>
              <w:jc w:val="right"/>
              <w:spacing w:after="0" w:line="237" w:lineRule="exact"/>
              <w:rPr>
                <w:sz w:val="20"/>
                <w:szCs w:val="20"/>
                <w:color w:val="auto"/>
              </w:rPr>
            </w:pPr>
            <w:r>
              <w:rPr>
                <w:rFonts w:ascii="Arial" w:cs="Arial" w:eastAsia="Arial" w:hAnsi="Arial"/>
                <w:sz w:val="22"/>
                <w:szCs w:val="22"/>
                <w:color w:val="auto"/>
              </w:rPr>
              <w:t>33</w:t>
            </w:r>
          </w:p>
        </w:tc>
        <w:tc>
          <w:tcPr>
            <w:tcW w:w="120" w:type="dxa"/>
            <w:vAlign w:val="bottom"/>
          </w:tcPr>
          <w:p>
            <w:pPr>
              <w:spacing w:after="0"/>
              <w:rPr>
                <w:sz w:val="20"/>
                <w:szCs w:val="20"/>
                <w:color w:val="auto"/>
              </w:rPr>
            </w:pPr>
          </w:p>
        </w:tc>
        <w:tc>
          <w:tcPr>
            <w:tcW w:w="520" w:type="dxa"/>
            <w:vAlign w:val="bottom"/>
            <w:gridSpan w:val="2"/>
          </w:tcPr>
          <w:p>
            <w:pPr>
              <w:jc w:val="right"/>
              <w:ind w:right="300"/>
              <w:spacing w:after="0" w:line="237" w:lineRule="exact"/>
              <w:rPr>
                <w:sz w:val="20"/>
                <w:szCs w:val="20"/>
                <w:color w:val="auto"/>
              </w:rPr>
            </w:pPr>
            <w:r>
              <w:rPr>
                <w:rFonts w:ascii="Arial" w:cs="Arial" w:eastAsia="Arial" w:hAnsi="Arial"/>
                <w:sz w:val="22"/>
                <w:szCs w:val="22"/>
                <w:color w:val="auto"/>
              </w:rPr>
              <w:t>$</w:t>
            </w:r>
          </w:p>
        </w:tc>
        <w:tc>
          <w:tcPr>
            <w:tcW w:w="1200" w:type="dxa"/>
            <w:vAlign w:val="bottom"/>
          </w:tcPr>
          <w:p>
            <w:pPr>
              <w:jc w:val="right"/>
              <w:spacing w:after="0" w:line="237" w:lineRule="exact"/>
              <w:rPr>
                <w:sz w:val="20"/>
                <w:szCs w:val="20"/>
                <w:color w:val="auto"/>
              </w:rPr>
            </w:pPr>
            <w:r>
              <w:rPr>
                <w:rFonts w:ascii="Arial" w:cs="Arial" w:eastAsia="Arial" w:hAnsi="Arial"/>
                <w:sz w:val="22"/>
                <w:szCs w:val="22"/>
                <w:color w:val="auto"/>
              </w:rPr>
              <w:t>(2,833)</w:t>
            </w:r>
          </w:p>
        </w:tc>
      </w:tr>
      <w:tr>
        <w:trPr>
          <w:trHeight w:val="20"/>
        </w:trPr>
        <w:tc>
          <w:tcPr>
            <w:tcW w:w="3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63"/>
        </w:trPr>
        <w:tc>
          <w:tcPr>
            <w:tcW w:w="3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2"/>
              <w:spacing w:after="0"/>
              <w:rPr>
                <w:sz w:val="20"/>
                <w:szCs w:val="20"/>
                <w:color w:val="auto"/>
              </w:rPr>
            </w:pPr>
            <w:r>
              <w:rPr>
                <w:rFonts w:ascii="Arial" w:cs="Arial" w:eastAsia="Arial" w:hAnsi="Arial"/>
                <w:sz w:val="22"/>
                <w:szCs w:val="22"/>
                <w:color w:val="auto"/>
              </w:rPr>
              <w:t>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8"/>
        </w:trPr>
        <w:tc>
          <w:tcPr>
            <w:tcW w:w="36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22"/>
                <w:szCs w:val="22"/>
                <w:color w:val="auto"/>
                <w:w w:val="87"/>
              </w:rPr>
              <w:t>Other</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44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6"/>
          </w:tcPr>
          <w:p>
            <w:pPr>
              <w:jc w:val="center"/>
              <w:ind w:right="360"/>
              <w:spacing w:after="0" w:line="251" w:lineRule="exact"/>
              <w:rPr>
                <w:sz w:val="20"/>
                <w:szCs w:val="20"/>
                <w:color w:val="auto"/>
              </w:rPr>
            </w:pPr>
            <w:r>
              <w:rPr>
                <w:rFonts w:ascii="Arial" w:cs="Arial" w:eastAsia="Arial" w:hAnsi="Arial"/>
                <w:sz w:val="22"/>
                <w:szCs w:val="22"/>
                <w:color w:val="auto"/>
                <w:w w:val="89"/>
              </w:rPr>
              <w:t>Postretirement Benefits</w:t>
            </w: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02"/>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gridSpan w:val="5"/>
          </w:tcPr>
          <w:p>
            <w:pPr>
              <w:jc w:val="right"/>
              <w:ind w:right="540"/>
              <w:spacing w:after="0" w:line="202" w:lineRule="exact"/>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0" w:type="dxa"/>
            <w:vAlign w:val="bottom"/>
            <w:gridSpan w:val="5"/>
          </w:tcPr>
          <w:p>
            <w:pPr>
              <w:jc w:val="right"/>
              <w:ind w:right="712"/>
              <w:spacing w:after="0" w:line="202" w:lineRule="exact"/>
              <w:rPr>
                <w:sz w:val="20"/>
                <w:szCs w:val="20"/>
                <w:color w:val="auto"/>
              </w:rPr>
            </w:pPr>
            <w:r>
              <w:rPr>
                <w:rFonts w:ascii="Arial" w:cs="Arial" w:eastAsia="Arial" w:hAnsi="Arial"/>
                <w:sz w:val="22"/>
                <w:szCs w:val="22"/>
                <w:color w:val="auto"/>
              </w:rPr>
              <w:t>Six Months Ended</w:t>
            </w:r>
          </w:p>
        </w:tc>
      </w:tr>
      <w:tr>
        <w:trPr>
          <w:trHeight w:val="264"/>
        </w:trPr>
        <w:tc>
          <w:tcPr>
            <w:tcW w:w="44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June 30,</w:t>
            </w:r>
          </w:p>
        </w:tc>
        <w:tc>
          <w:tcPr>
            <w:tcW w:w="9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22"/>
                <w:szCs w:val="22"/>
                <w:color w:val="auto"/>
              </w:rPr>
              <w:t>June 30,</w:t>
            </w:r>
          </w:p>
        </w:tc>
        <w:tc>
          <w:tcPr>
            <w:tcW w:w="1140" w:type="dxa"/>
            <w:vAlign w:val="bottom"/>
            <w:tcBorders>
              <w:bottom w:val="single" w:sz="8" w:color="auto"/>
            </w:tcBorders>
          </w:tcPr>
          <w:p>
            <w:pPr>
              <w:spacing w:after="0"/>
              <w:rPr>
                <w:sz w:val="22"/>
                <w:szCs w:val="22"/>
                <w:color w:val="auto"/>
              </w:rPr>
            </w:pPr>
          </w:p>
        </w:tc>
      </w:tr>
      <w:tr>
        <w:trPr>
          <w:trHeight w:val="223"/>
        </w:trPr>
        <w:tc>
          <w:tcPr>
            <w:tcW w:w="4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2"/>
              <w:spacing w:after="0" w:line="223" w:lineRule="exact"/>
              <w:rPr>
                <w:sz w:val="20"/>
                <w:szCs w:val="20"/>
                <w:color w:val="auto"/>
              </w:rPr>
            </w:pPr>
            <w:r>
              <w:rPr>
                <w:rFonts w:ascii="Arial" w:cs="Arial" w:eastAsia="Arial" w:hAnsi="Arial"/>
                <w:sz w:val="22"/>
                <w:szCs w:val="22"/>
                <w:color w:val="auto"/>
              </w:rPr>
              <w:t>2023</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line="223" w:lineRule="exact"/>
              <w:rPr>
                <w:sz w:val="20"/>
                <w:szCs w:val="20"/>
                <w:color w:val="auto"/>
              </w:rPr>
            </w:pPr>
            <w:r>
              <w:rPr>
                <w:rFonts w:ascii="Arial" w:cs="Arial" w:eastAsia="Arial" w:hAnsi="Arial"/>
                <w:sz w:val="22"/>
                <w:szCs w:val="22"/>
                <w:color w:val="auto"/>
                <w:w w:val="98"/>
              </w:rPr>
              <w:t>2022</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line="223" w:lineRule="exact"/>
              <w:rPr>
                <w:sz w:val="20"/>
                <w:szCs w:val="20"/>
                <w:color w:val="auto"/>
              </w:rPr>
            </w:pPr>
            <w:r>
              <w:rPr>
                <w:rFonts w:ascii="Arial" w:cs="Arial" w:eastAsia="Arial" w:hAnsi="Arial"/>
                <w:sz w:val="22"/>
                <w:szCs w:val="22"/>
                <w:color w:val="auto"/>
              </w:rPr>
              <w:t>2022</w:t>
            </w:r>
          </w:p>
        </w:tc>
      </w:tr>
      <w:tr>
        <w:trPr>
          <w:trHeight w:val="223"/>
        </w:trPr>
        <w:tc>
          <w:tcPr>
            <w:tcW w:w="444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Service cost</w:t>
            </w:r>
          </w:p>
        </w:tc>
        <w:tc>
          <w:tcPr>
            <w:tcW w:w="320" w:type="dxa"/>
            <w:vAlign w:val="bottom"/>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337</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477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right="25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674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9"/>
                <w:szCs w:val="19"/>
                <w:color w:val="auto"/>
                <w:w w:val="75"/>
              </w:rPr>
              <w:t>$</w:t>
            </w:r>
          </w:p>
        </w:tc>
        <w:tc>
          <w:tcPr>
            <w:tcW w:w="11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955</w:t>
            </w:r>
          </w:p>
        </w:tc>
      </w:tr>
      <w:tr>
        <w:trPr>
          <w:trHeight w:val="230"/>
        </w:trPr>
        <w:tc>
          <w:tcPr>
            <w:tcW w:w="4440" w:type="dxa"/>
            <w:vAlign w:val="bottom"/>
          </w:tcPr>
          <w:p>
            <w:pPr>
              <w:spacing w:after="0" w:line="229" w:lineRule="exact"/>
              <w:rPr>
                <w:sz w:val="20"/>
                <w:szCs w:val="20"/>
                <w:color w:val="auto"/>
              </w:rPr>
            </w:pPr>
            <w:r>
              <w:rPr>
                <w:rFonts w:ascii="Arial" w:cs="Arial" w:eastAsia="Arial" w:hAnsi="Arial"/>
                <w:sz w:val="22"/>
                <w:szCs w:val="22"/>
                <w:color w:val="auto"/>
              </w:rPr>
              <w:t>Interest cost</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1,119</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line="229" w:lineRule="exact"/>
              <w:rPr>
                <w:sz w:val="20"/>
                <w:szCs w:val="20"/>
                <w:color w:val="auto"/>
              </w:rPr>
            </w:pPr>
            <w:r>
              <w:rPr>
                <w:rFonts w:ascii="Arial" w:cs="Arial" w:eastAsia="Arial" w:hAnsi="Arial"/>
                <w:sz w:val="22"/>
                <w:szCs w:val="22"/>
                <w:color w:val="auto"/>
              </w:rPr>
              <w:t>843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2,238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1,685</w:t>
            </w:r>
          </w:p>
        </w:tc>
      </w:tr>
      <w:tr>
        <w:trPr>
          <w:trHeight w:val="243"/>
        </w:trPr>
        <w:tc>
          <w:tcPr>
            <w:tcW w:w="44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Expected return on plan assets</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(1,093)</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(1,126)</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(2,186)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(2,251)</w:t>
            </w:r>
          </w:p>
        </w:tc>
      </w:tr>
      <w:tr>
        <w:trPr>
          <w:trHeight w:val="230"/>
        </w:trPr>
        <w:tc>
          <w:tcPr>
            <w:tcW w:w="4440" w:type="dxa"/>
            <w:vAlign w:val="bottom"/>
          </w:tcPr>
          <w:p>
            <w:pPr>
              <w:spacing w:after="0" w:line="229" w:lineRule="exact"/>
              <w:rPr>
                <w:sz w:val="20"/>
                <w:szCs w:val="20"/>
                <w:color w:val="auto"/>
              </w:rPr>
            </w:pPr>
            <w:r>
              <w:rPr>
                <w:rFonts w:ascii="Arial" w:cs="Arial" w:eastAsia="Arial" w:hAnsi="Arial"/>
                <w:sz w:val="22"/>
                <w:szCs w:val="22"/>
                <w:color w:val="auto"/>
              </w:rPr>
              <w:t>Amortization of actuarial loss</w:t>
            </w:r>
          </w:p>
        </w:tc>
        <w:tc>
          <w:tcPr>
            <w:tcW w:w="320" w:type="dxa"/>
            <w:vAlign w:val="bottom"/>
          </w:tcPr>
          <w:p>
            <w:pPr>
              <w:spacing w:after="0"/>
              <w:rPr>
                <w:sz w:val="19"/>
                <w:szCs w:val="19"/>
                <w:color w:val="auto"/>
              </w:rPr>
            </w:pPr>
          </w:p>
        </w:tc>
        <w:tc>
          <w:tcPr>
            <w:tcW w:w="1160" w:type="dxa"/>
            <w:vAlign w:val="bottom"/>
          </w:tcPr>
          <w:p>
            <w:pPr>
              <w:jc w:val="right"/>
              <w:spacing w:after="0" w:line="229" w:lineRule="exact"/>
              <w:rPr>
                <w:sz w:val="20"/>
                <w:szCs w:val="20"/>
                <w:color w:val="auto"/>
              </w:rPr>
            </w:pPr>
            <w:r>
              <w:rPr>
                <w:rFonts w:ascii="Arial" w:cs="Arial" w:eastAsia="Arial" w:hAnsi="Arial"/>
                <w:sz w:val="22"/>
                <w:szCs w:val="22"/>
                <w:color w:val="auto"/>
              </w:rPr>
              <w:t>(330)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60"/>
              <w:spacing w:after="0" w:line="229" w:lineRule="exact"/>
              <w:rPr>
                <w:sz w:val="20"/>
                <w:szCs w:val="20"/>
                <w:color w:val="auto"/>
              </w:rPr>
            </w:pPr>
            <w:r>
              <w:rPr>
                <w:rFonts w:ascii="Arial" w:cs="Arial" w:eastAsia="Arial" w:hAnsi="Arial"/>
                <w:sz w:val="22"/>
                <w:szCs w:val="22"/>
                <w:color w:val="auto"/>
              </w:rPr>
              <w:t>(334)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120"/>
              <w:spacing w:after="0" w:line="229" w:lineRule="exact"/>
              <w:rPr>
                <w:sz w:val="20"/>
                <w:szCs w:val="20"/>
                <w:color w:val="auto"/>
              </w:rPr>
            </w:pPr>
            <w:r>
              <w:rPr>
                <w:rFonts w:ascii="Arial" w:cs="Arial" w:eastAsia="Arial" w:hAnsi="Arial"/>
                <w:sz w:val="22"/>
                <w:szCs w:val="22"/>
                <w:color w:val="auto"/>
              </w:rPr>
              <w:t>(659)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line="229" w:lineRule="exact"/>
              <w:rPr>
                <w:sz w:val="20"/>
                <w:szCs w:val="20"/>
                <w:color w:val="auto"/>
              </w:rPr>
            </w:pPr>
            <w:r>
              <w:rPr>
                <w:rFonts w:ascii="Arial" w:cs="Arial" w:eastAsia="Arial" w:hAnsi="Arial"/>
                <w:sz w:val="22"/>
                <w:szCs w:val="22"/>
                <w:color w:val="auto"/>
              </w:rPr>
              <w:t>(668)</w:t>
            </w:r>
          </w:p>
        </w:tc>
      </w:tr>
      <w:tr>
        <w:trPr>
          <w:trHeight w:val="263"/>
        </w:trPr>
        <w:tc>
          <w:tcPr>
            <w:tcW w:w="44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Arial" w:cs="Arial" w:eastAsia="Arial" w:hAnsi="Arial"/>
                <w:sz w:val="22"/>
                <w:szCs w:val="22"/>
                <w:color w:val="auto"/>
              </w:rPr>
              <w:t>Net periodic benefit cost (credit)</w:t>
            </w:r>
          </w:p>
        </w:tc>
        <w:tc>
          <w:tcPr>
            <w:tcW w:w="32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33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9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(140)</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center"/>
              <w:ind w:right="252"/>
              <w:spacing w:after="0" w:line="223" w:lineRule="exact"/>
              <w:rPr>
                <w:sz w:val="20"/>
                <w:szCs w:val="20"/>
                <w:color w:val="auto"/>
              </w:rPr>
            </w:pPr>
            <w:r>
              <w:rPr>
                <w:rFonts w:ascii="Arial" w:cs="Arial" w:eastAsia="Arial" w:hAnsi="Arial"/>
                <w:sz w:val="22"/>
                <w:szCs w:val="22"/>
                <w:color w:val="auto"/>
                <w:w w:val="81"/>
              </w:rPr>
              <w:t>$</w:t>
            </w:r>
          </w:p>
        </w:tc>
        <w:tc>
          <w:tcPr>
            <w:tcW w:w="11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67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Arial" w:cs="Arial" w:eastAsia="Arial" w:hAnsi="Arial"/>
                <w:sz w:val="19"/>
                <w:szCs w:val="19"/>
                <w:color w:val="auto"/>
                <w:w w:val="75"/>
              </w:rPr>
              <w:t>$</w:t>
            </w:r>
          </w:p>
        </w:tc>
        <w:tc>
          <w:tcPr>
            <w:tcW w:w="1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2"/>
                <w:szCs w:val="22"/>
                <w:color w:val="auto"/>
              </w:rPr>
              <w:t>(279)</w:t>
            </w:r>
          </w:p>
        </w:tc>
      </w:tr>
    </w:tbl>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The net periodic benefit cost (credit) is based on estimated values and an extensive use of assumptions about the discount rate, expected return on plan assets, the rate of future compensation increases received by the Company’s employees, mortality, turnover, and medical costs. The Company presents the components of net periodic benefit cost (credit) other than service cost in the consolidated statements of operations and comprehensive income on the line item “Other”.</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There were no cash contributions made to the Pension Plan during the first six months of 2023.</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 </w:t>
      </w:r>
      <w:r>
        <w:rPr>
          <w:rFonts w:ascii="Arial" w:cs="Arial" w:eastAsia="Arial" w:hAnsi="Arial"/>
          <w:sz w:val="22"/>
          <w:szCs w:val="22"/>
          <w:b w:val="1"/>
          <w:bCs w:val="1"/>
          <w:i w:val="1"/>
          <w:iCs w:val="1"/>
          <w:color w:val="auto"/>
        </w:rPr>
        <w:t>Rate Activity</w:t>
      </w:r>
    </w:p>
    <w:p>
      <w:pPr>
        <w:spacing w:after="0" w:line="212" w:lineRule="exact"/>
        <w:rPr>
          <w:sz w:val="20"/>
          <w:szCs w:val="20"/>
          <w:color w:val="auto"/>
        </w:rPr>
      </w:pPr>
    </w:p>
    <w:p>
      <w:pPr>
        <w:ind w:right="680"/>
        <w:spacing w:after="0" w:line="260" w:lineRule="auto"/>
        <w:rPr>
          <w:sz w:val="20"/>
          <w:szCs w:val="20"/>
          <w:color w:val="auto"/>
        </w:rPr>
      </w:pPr>
      <w:r>
        <w:rPr>
          <w:rFonts w:ascii="Arial" w:cs="Arial" w:eastAsia="Arial" w:hAnsi="Arial"/>
          <w:sz w:val="21"/>
          <w:szCs w:val="21"/>
          <w:color w:val="auto"/>
        </w:rPr>
        <w:t>On July 27, 2023, the Company’s regulated water and wastewater operating subsidiary in Virginia, Aqua Virginia, filed an application with the State Corporation Commission designed to increase revenues by $6,911 annually.</w:t>
      </w:r>
    </w:p>
    <w:p>
      <w:pPr>
        <w:spacing w:after="0" w:line="179"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On June 5, 2023, the Company’s regulated water and wastewater operating subsidiary in North Carolina, Aqua North Carolina, received an order from the North Carolina Utilities Commission designed to increase rates by $14,001 in the first year of new rates being implemented, then an additional $3,743 and $4,130 in the second and third years, respectively. In February 2023, the Company had implemented interim rates, based on an estimate of the final outcome of the order, and no refunds or additional billings are required for the difference between interim and final approved rates.</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auto"/>
        </w:rPr>
        <w:t>On March 28, 2023, the Company received authorization, in advance of the final order being approved, to implement infrastructure rehabilitation surcharges designed to increase total operating revenues on an annual basis by $7,685 in its water and wastewater utility operating divisions in Texas effective on April 1, 2023. The additional revenue billed and collected prior to the final order is subject to refund based on the outcome of the ruling.</w:t>
      </w:r>
    </w:p>
    <w:p>
      <w:pPr>
        <w:spacing w:after="0" w:line="199" w:lineRule="exact"/>
        <w:rPr>
          <w:sz w:val="20"/>
          <w:szCs w:val="20"/>
          <w:color w:val="auto"/>
        </w:rPr>
      </w:pPr>
    </w:p>
    <w:p>
      <w:pPr>
        <w:ind w:right="180"/>
        <w:spacing w:after="0" w:line="223" w:lineRule="auto"/>
        <w:rPr>
          <w:sz w:val="20"/>
          <w:szCs w:val="20"/>
          <w:color w:val="auto"/>
        </w:rPr>
      </w:pPr>
      <w:r>
        <w:rPr>
          <w:rFonts w:ascii="Arial" w:cs="Arial" w:eastAsia="Arial" w:hAnsi="Arial"/>
          <w:sz w:val="22"/>
          <w:szCs w:val="22"/>
          <w:color w:val="auto"/>
        </w:rPr>
        <w:t>In January 2023, the Company’s two water utility operating divisions in Ohio that are regulated by local regulatory authorities implemented base rate increases designed to increase total operating revenues on an annual basis by $1,569. Further, one of the Company’s wastewater divisions in Indiana implemented a base rate increase designed to increase operating revenues on an annual basis by $134. Lastly, during the first six months of 2023, the Company implemented infrastructure rehabilitation surcharges designed to increase total operating revenues on an annual basis by $1,919 in its water and wastewater utility operating divisions in Illinois and by $1,483 and $20,887 in its natural gas operating divisions in Kentucky and Pennsylvania, respectively.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On December 30, 2022, our water and wastewater utility operating divisions in Ohio filed an application with the Public Utilities Commission of Ohio designed to increase rates by $9,816 annually.</w:t>
      </w:r>
    </w:p>
    <w:p>
      <w:pPr>
        <w:spacing w:after="0" w:line="198" w:lineRule="exact"/>
        <w:rPr>
          <w:sz w:val="20"/>
          <w:szCs w:val="20"/>
          <w:color w:val="auto"/>
        </w:rPr>
      </w:pPr>
    </w:p>
    <w:p>
      <w:pPr>
        <w:jc w:val="both"/>
        <w:ind w:right="20"/>
        <w:spacing w:after="0" w:line="231" w:lineRule="auto"/>
        <w:rPr>
          <w:sz w:val="20"/>
          <w:szCs w:val="20"/>
          <w:color w:val="auto"/>
        </w:rPr>
      </w:pPr>
      <w:r>
        <w:rPr>
          <w:rFonts w:ascii="Arial" w:cs="Arial" w:eastAsia="Arial" w:hAnsi="Arial"/>
          <w:sz w:val="22"/>
          <w:szCs w:val="22"/>
          <w:color w:val="auto"/>
        </w:rPr>
        <w:t>On September 21, 2022, our regulated water and wastewater utility operating divisions in Ohio received an order from the Public Utilities Commission of Ohio designed to increase operating revenues by $5,483 annually. New rates for water and sewer service went into effect on September 21, 2022.</w:t>
      </w:r>
    </w:p>
    <w:p>
      <w:pPr>
        <w:spacing w:after="0" w:line="201" w:lineRule="exact"/>
        <w:rPr>
          <w:sz w:val="20"/>
          <w:szCs w:val="20"/>
          <w:color w:val="auto"/>
        </w:rPr>
      </w:pPr>
    </w:p>
    <w:p>
      <w:pPr>
        <w:ind w:right="100"/>
        <w:spacing w:after="0" w:line="271" w:lineRule="auto"/>
        <w:rPr>
          <w:sz w:val="20"/>
          <w:szCs w:val="20"/>
          <w:color w:val="auto"/>
        </w:rPr>
      </w:pPr>
      <w:r>
        <w:rPr>
          <w:rFonts w:ascii="Arial" w:cs="Arial" w:eastAsia="Arial" w:hAnsi="Arial"/>
          <w:sz w:val="19"/>
          <w:szCs w:val="19"/>
          <w:color w:val="auto"/>
        </w:rPr>
        <w:t>On May 16, 2022, the Company’s regulated water and wastewater operating subsidiary in Pennsylvania, Aqua Pennsylvania, received an order from the Pennsylvania Public Utility Commission that allowed base rate increases that would increase total annual operating revenues by $69,251. New rates went into effect on May 19, 2022. At the time the rate order was received, the rates in effect also included $35,470 in Distribution System Improvement Charges (“DSIC”), which was 7.2% above prior base rates. Consequently, the aggregate base rates increased by $104,721 since the last base rate increase and DSIC was reset to zero.</w:t>
      </w:r>
    </w:p>
    <w:p>
      <w:pPr>
        <w:spacing w:after="0" w:line="170"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On January 3, 2022, the Company’s natural gas operating division in Kentucky received an order from the Kentucky Public Service Commission resulting in an increase of $5,238 in annual revenues, and new rates went into effect on January 4, 2022. On June 7, 2022, an additional $260 was approved and made effective by the Commission, resulting from a rehearing requested by the operating division.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 </w:t>
      </w:r>
      <w:r>
        <w:rPr>
          <w:rFonts w:ascii="Arial" w:cs="Arial" w:eastAsia="Arial" w:hAnsi="Arial"/>
          <w:sz w:val="22"/>
          <w:szCs w:val="22"/>
          <w:b w:val="1"/>
          <w:bCs w:val="1"/>
          <w:i w:val="1"/>
          <w:iCs w:val="1"/>
          <w:color w:val="auto"/>
        </w:rPr>
        <w:t>Taxes Other than Income Taxes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the components of taxes other than income taxes: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gridSpan w:val="4"/>
          </w:tcPr>
          <w:p>
            <w:pPr>
              <w:jc w:val="right"/>
              <w:ind w:right="492"/>
              <w:spacing w:after="0"/>
              <w:rPr>
                <w:sz w:val="20"/>
                <w:szCs w:val="20"/>
                <w:color w:val="auto"/>
              </w:rPr>
            </w:pPr>
            <w:r>
              <w:rPr>
                <w:rFonts w:ascii="Arial" w:cs="Arial" w:eastAsia="Arial" w:hAnsi="Arial"/>
                <w:sz w:val="22"/>
                <w:szCs w:val="22"/>
                <w:color w:val="auto"/>
              </w:rPr>
              <w:t>Three Months Ended</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20" w:type="dxa"/>
            <w:vAlign w:val="bottom"/>
            <w:gridSpan w:val="4"/>
          </w:tcPr>
          <w:p>
            <w:pPr>
              <w:jc w:val="right"/>
              <w:ind w:right="832"/>
              <w:spacing w:after="0"/>
              <w:rPr>
                <w:sz w:val="20"/>
                <w:szCs w:val="20"/>
                <w:color w:val="auto"/>
              </w:rPr>
            </w:pPr>
            <w:r>
              <w:rPr>
                <w:rFonts w:ascii="Arial" w:cs="Arial" w:eastAsia="Arial" w:hAnsi="Arial"/>
                <w:sz w:val="22"/>
                <w:szCs w:val="22"/>
                <w:color w:val="auto"/>
              </w:rPr>
              <w:t>Six Months Ended</w:t>
            </w:r>
          </w:p>
        </w:tc>
      </w:tr>
      <w:tr>
        <w:trPr>
          <w:trHeight w:val="251"/>
        </w:trPr>
        <w:tc>
          <w:tcPr>
            <w:tcW w:w="4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12"/>
              <w:spacing w:after="0" w:line="251" w:lineRule="exact"/>
              <w:rPr>
                <w:sz w:val="20"/>
                <w:szCs w:val="20"/>
                <w:color w:val="auto"/>
              </w:rPr>
            </w:pPr>
            <w:r>
              <w:rPr>
                <w:rFonts w:ascii="Arial" w:cs="Arial" w:eastAsia="Arial" w:hAnsi="Arial"/>
                <w:sz w:val="22"/>
                <w:szCs w:val="22"/>
                <w:color w:val="auto"/>
              </w:rPr>
              <w:t>June 30,</w:t>
            </w:r>
          </w:p>
        </w:tc>
        <w:tc>
          <w:tcPr>
            <w:tcW w:w="10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72"/>
              <w:spacing w:after="0" w:line="251" w:lineRule="exact"/>
              <w:rPr>
                <w:sz w:val="20"/>
                <w:szCs w:val="20"/>
                <w:color w:val="auto"/>
              </w:rPr>
            </w:pPr>
            <w:r>
              <w:rPr>
                <w:rFonts w:ascii="Arial" w:cs="Arial" w:eastAsia="Arial" w:hAnsi="Arial"/>
                <w:sz w:val="22"/>
                <w:szCs w:val="22"/>
                <w:color w:val="auto"/>
              </w:rPr>
              <w:t>June 30,</w:t>
            </w:r>
          </w:p>
        </w:tc>
        <w:tc>
          <w:tcPr>
            <w:tcW w:w="1200" w:type="dxa"/>
            <w:vAlign w:val="bottom"/>
            <w:tcBorders>
              <w:bottom w:val="single" w:sz="8" w:color="auto"/>
            </w:tcBorders>
          </w:tcPr>
          <w:p>
            <w:pPr>
              <w:spacing w:after="0"/>
              <w:rPr>
                <w:sz w:val="21"/>
                <w:szCs w:val="21"/>
                <w:color w:val="auto"/>
              </w:rPr>
            </w:pPr>
          </w:p>
        </w:tc>
      </w:tr>
      <w:tr>
        <w:trPr>
          <w:trHeight w:val="236"/>
        </w:trPr>
        <w:tc>
          <w:tcPr>
            <w:tcW w:w="44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2"/>
              <w:spacing w:after="0" w:line="237" w:lineRule="exact"/>
              <w:rPr>
                <w:sz w:val="20"/>
                <w:szCs w:val="20"/>
                <w:color w:val="auto"/>
              </w:rPr>
            </w:pPr>
            <w:r>
              <w:rPr>
                <w:rFonts w:ascii="Arial" w:cs="Arial" w:eastAsia="Arial" w:hAnsi="Arial"/>
                <w:sz w:val="22"/>
                <w:szCs w:val="22"/>
                <w:color w:val="auto"/>
              </w:rPr>
              <w:t>2023</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2"/>
              <w:spacing w:after="0" w:line="237" w:lineRule="exact"/>
              <w:rPr>
                <w:sz w:val="20"/>
                <w:szCs w:val="20"/>
                <w:color w:val="auto"/>
              </w:rPr>
            </w:pPr>
            <w:r>
              <w:rPr>
                <w:rFonts w:ascii="Arial" w:cs="Arial" w:eastAsia="Arial" w:hAnsi="Arial"/>
                <w:sz w:val="22"/>
                <w:szCs w:val="22"/>
                <w:color w:val="auto"/>
              </w:rPr>
              <w:t>2022</w:t>
            </w:r>
          </w:p>
        </w:tc>
        <w:tc>
          <w:tcPr>
            <w:tcW w:w="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2"/>
              <w:spacing w:after="0" w:line="237" w:lineRule="exact"/>
              <w:rPr>
                <w:sz w:val="20"/>
                <w:szCs w:val="20"/>
                <w:color w:val="auto"/>
              </w:rPr>
            </w:pPr>
            <w:r>
              <w:rPr>
                <w:rFonts w:ascii="Arial" w:cs="Arial" w:eastAsia="Arial" w:hAnsi="Arial"/>
                <w:sz w:val="22"/>
                <w:szCs w:val="22"/>
                <w:color w:val="auto"/>
              </w:rPr>
              <w:t>2023</w:t>
            </w:r>
          </w:p>
        </w:tc>
        <w:tc>
          <w:tcPr>
            <w:tcW w:w="2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2"/>
              <w:spacing w:after="0" w:line="237" w:lineRule="exact"/>
              <w:rPr>
                <w:sz w:val="20"/>
                <w:szCs w:val="20"/>
                <w:color w:val="auto"/>
              </w:rPr>
            </w:pPr>
            <w:r>
              <w:rPr>
                <w:rFonts w:ascii="Arial" w:cs="Arial" w:eastAsia="Arial" w:hAnsi="Arial"/>
                <w:sz w:val="22"/>
                <w:szCs w:val="22"/>
                <w:color w:val="auto"/>
              </w:rPr>
              <w:t>2022</w:t>
            </w:r>
          </w:p>
        </w:tc>
      </w:tr>
      <w:tr>
        <w:trPr>
          <w:trHeight w:val="223"/>
        </w:trPr>
        <w:tc>
          <w:tcPr>
            <w:tcW w:w="448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Property</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1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8,431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2"/>
              <w:spacing w:after="0" w:line="223" w:lineRule="exact"/>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8,239</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9"/>
                <w:szCs w:val="19"/>
                <w:color w:val="auto"/>
                <w:w w:val="75"/>
              </w:rPr>
              <w:t>$</w:t>
            </w:r>
          </w:p>
        </w:tc>
        <w:tc>
          <w:tcPr>
            <w:tcW w:w="12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16,535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92"/>
              <w:spacing w:after="0" w:line="223" w:lineRule="exact"/>
              <w:rPr>
                <w:sz w:val="20"/>
                <w:szCs w:val="20"/>
                <w:color w:val="auto"/>
              </w:rPr>
            </w:pPr>
            <w:r>
              <w:rPr>
                <w:rFonts w:ascii="Arial" w:cs="Arial" w:eastAsia="Arial" w:hAnsi="Arial"/>
                <w:sz w:val="22"/>
                <w:szCs w:val="22"/>
                <w:color w:val="auto"/>
                <w:w w:val="81"/>
              </w:rPr>
              <w:t>$</w:t>
            </w:r>
          </w:p>
        </w:tc>
        <w:tc>
          <w:tcPr>
            <w:tcW w:w="120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16,253</w:t>
            </w:r>
          </w:p>
        </w:tc>
      </w:tr>
      <w:tr>
        <w:trPr>
          <w:trHeight w:val="229"/>
        </w:trPr>
        <w:tc>
          <w:tcPr>
            <w:tcW w:w="4480" w:type="dxa"/>
            <w:vAlign w:val="bottom"/>
          </w:tcPr>
          <w:p>
            <w:pPr>
              <w:spacing w:after="0" w:line="229" w:lineRule="exact"/>
              <w:rPr>
                <w:sz w:val="20"/>
                <w:szCs w:val="20"/>
                <w:color w:val="auto"/>
              </w:rPr>
            </w:pPr>
            <w:r>
              <w:rPr>
                <w:rFonts w:ascii="Arial" w:cs="Arial" w:eastAsia="Arial" w:hAnsi="Arial"/>
                <w:sz w:val="22"/>
                <w:szCs w:val="22"/>
                <w:color w:val="auto"/>
              </w:rPr>
              <w:t>Gross receipts, excise and franchise</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4,175</w:t>
            </w: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4,017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8,205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8,117</w:t>
            </w:r>
          </w:p>
        </w:tc>
      </w:tr>
      <w:tr>
        <w:trPr>
          <w:trHeight w:val="243"/>
        </w:trPr>
        <w:tc>
          <w:tcPr>
            <w:tcW w:w="44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Payroll</w:t>
            </w: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4,935</w:t>
            </w: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4,778</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11,567</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11,439</w:t>
            </w:r>
          </w:p>
        </w:tc>
      </w:tr>
      <w:tr>
        <w:trPr>
          <w:trHeight w:val="229"/>
        </w:trPr>
        <w:tc>
          <w:tcPr>
            <w:tcW w:w="4480" w:type="dxa"/>
            <w:vAlign w:val="bottom"/>
          </w:tcPr>
          <w:p>
            <w:pPr>
              <w:spacing w:after="0" w:line="229" w:lineRule="exact"/>
              <w:rPr>
                <w:sz w:val="20"/>
                <w:szCs w:val="20"/>
                <w:color w:val="auto"/>
              </w:rPr>
            </w:pPr>
            <w:r>
              <w:rPr>
                <w:rFonts w:ascii="Arial" w:cs="Arial" w:eastAsia="Arial" w:hAnsi="Arial"/>
                <w:sz w:val="22"/>
                <w:szCs w:val="22"/>
                <w:color w:val="auto"/>
              </w:rPr>
              <w:t>Regulatory assessments</w:t>
            </w:r>
          </w:p>
        </w:tc>
        <w:tc>
          <w:tcPr>
            <w:tcW w:w="280" w:type="dxa"/>
            <w:vAlign w:val="bottom"/>
          </w:tcPr>
          <w:p>
            <w:pPr>
              <w:spacing w:after="0"/>
              <w:rPr>
                <w:sz w:val="19"/>
                <w:szCs w:val="19"/>
                <w:color w:val="auto"/>
              </w:rPr>
            </w:pPr>
          </w:p>
        </w:tc>
        <w:tc>
          <w:tcPr>
            <w:tcW w:w="1320" w:type="dxa"/>
            <w:vAlign w:val="bottom"/>
            <w:gridSpan w:val="2"/>
          </w:tcPr>
          <w:p>
            <w:pPr>
              <w:jc w:val="right"/>
              <w:ind w:right="220"/>
              <w:spacing w:after="0" w:line="229" w:lineRule="exact"/>
              <w:rPr>
                <w:sz w:val="20"/>
                <w:szCs w:val="20"/>
                <w:color w:val="auto"/>
              </w:rPr>
            </w:pPr>
            <w:r>
              <w:rPr>
                <w:rFonts w:ascii="Arial" w:cs="Arial" w:eastAsia="Arial" w:hAnsi="Arial"/>
                <w:sz w:val="22"/>
                <w:szCs w:val="22"/>
                <w:color w:val="auto"/>
              </w:rPr>
              <w:t>1,715</w:t>
            </w:r>
          </w:p>
        </w:tc>
        <w:tc>
          <w:tcPr>
            <w:tcW w:w="400" w:type="dxa"/>
            <w:vAlign w:val="bottom"/>
          </w:tcPr>
          <w:p>
            <w:pPr>
              <w:spacing w:after="0"/>
              <w:rPr>
                <w:sz w:val="19"/>
                <w:szCs w:val="19"/>
                <w:color w:val="auto"/>
              </w:rPr>
            </w:pPr>
          </w:p>
        </w:tc>
        <w:tc>
          <w:tcPr>
            <w:tcW w:w="1040" w:type="dxa"/>
            <w:vAlign w:val="bottom"/>
          </w:tcPr>
          <w:p>
            <w:pPr>
              <w:jc w:val="right"/>
              <w:spacing w:after="0" w:line="229" w:lineRule="exact"/>
              <w:rPr>
                <w:sz w:val="20"/>
                <w:szCs w:val="20"/>
                <w:color w:val="auto"/>
              </w:rPr>
            </w:pPr>
            <w:r>
              <w:rPr>
                <w:rFonts w:ascii="Arial" w:cs="Arial" w:eastAsia="Arial" w:hAnsi="Arial"/>
                <w:sz w:val="22"/>
                <w:szCs w:val="22"/>
                <w:color w:val="auto"/>
              </w:rPr>
              <w:t>1,812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2"/>
                <w:szCs w:val="22"/>
                <w:color w:val="auto"/>
              </w:rPr>
              <w:t>3,398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spacing w:after="0" w:line="229" w:lineRule="exact"/>
              <w:rPr>
                <w:sz w:val="20"/>
                <w:szCs w:val="20"/>
                <w:color w:val="auto"/>
              </w:rPr>
            </w:pPr>
            <w:r>
              <w:rPr>
                <w:rFonts w:ascii="Arial" w:cs="Arial" w:eastAsia="Arial" w:hAnsi="Arial"/>
                <w:sz w:val="22"/>
                <w:szCs w:val="22"/>
                <w:color w:val="auto"/>
              </w:rPr>
              <w:t>3,577</w:t>
            </w:r>
          </w:p>
        </w:tc>
      </w:tr>
      <w:tr>
        <w:trPr>
          <w:trHeight w:val="230"/>
        </w:trPr>
        <w:tc>
          <w:tcPr>
            <w:tcW w:w="4480" w:type="dxa"/>
            <w:vAlign w:val="bottom"/>
            <w:shd w:val="clear" w:color="auto" w:fill="CCEEFF"/>
          </w:tcPr>
          <w:p>
            <w:pPr>
              <w:spacing w:after="0" w:line="229" w:lineRule="exact"/>
              <w:rPr>
                <w:sz w:val="20"/>
                <w:szCs w:val="20"/>
                <w:color w:val="auto"/>
              </w:rPr>
            </w:pPr>
            <w:r>
              <w:rPr>
                <w:rFonts w:ascii="Arial" w:cs="Arial" w:eastAsia="Arial" w:hAnsi="Arial"/>
                <w:sz w:val="22"/>
                <w:szCs w:val="22"/>
                <w:color w:val="auto"/>
              </w:rPr>
              <w:t>Pumping fees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line="229" w:lineRule="exact"/>
              <w:rPr>
                <w:sz w:val="20"/>
                <w:szCs w:val="20"/>
                <w:color w:val="auto"/>
              </w:rPr>
            </w:pPr>
            <w:r>
              <w:rPr>
                <w:rFonts w:ascii="Arial" w:cs="Arial" w:eastAsia="Arial" w:hAnsi="Arial"/>
                <w:sz w:val="22"/>
                <w:szCs w:val="22"/>
                <w:color w:val="auto"/>
              </w:rPr>
              <w:t>181</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1,947</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1,647</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3,323</w:t>
            </w:r>
          </w:p>
        </w:tc>
      </w:tr>
      <w:tr>
        <w:trPr>
          <w:trHeight w:val="230"/>
        </w:trPr>
        <w:tc>
          <w:tcPr>
            <w:tcW w:w="4480" w:type="dxa"/>
            <w:vAlign w:val="bottom"/>
          </w:tcPr>
          <w:p>
            <w:pPr>
              <w:spacing w:after="0" w:line="229" w:lineRule="exact"/>
              <w:rPr>
                <w:sz w:val="20"/>
                <w:szCs w:val="20"/>
                <w:color w:val="auto"/>
              </w:rPr>
            </w:pPr>
            <w:r>
              <w:rPr>
                <w:rFonts w:ascii="Arial" w:cs="Arial" w:eastAsia="Arial" w:hAnsi="Arial"/>
                <w:sz w:val="22"/>
                <w:szCs w:val="22"/>
                <w:color w:val="auto"/>
              </w:rPr>
              <w:t>Other</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911</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927</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1,874</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2,018</w:t>
            </w:r>
          </w:p>
        </w:tc>
      </w:tr>
      <w:tr>
        <w:trPr>
          <w:trHeight w:val="236"/>
        </w:trPr>
        <w:tc>
          <w:tcPr>
            <w:tcW w:w="448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Total taxes other than income</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9"/>
                <w:szCs w:val="19"/>
                <w:color w:val="auto"/>
                <w:w w:val="75"/>
              </w:rPr>
              <w:t>$</w:t>
            </w:r>
          </w:p>
        </w:tc>
        <w:tc>
          <w:tcPr>
            <w:tcW w:w="11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20,348</w:t>
            </w: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72"/>
              <w:spacing w:after="0" w:line="237" w:lineRule="exact"/>
              <w:rPr>
                <w:sz w:val="20"/>
                <w:szCs w:val="20"/>
                <w:color w:val="auto"/>
              </w:rPr>
            </w:pPr>
            <w:r>
              <w:rPr>
                <w:rFonts w:ascii="Arial" w:cs="Arial" w:eastAsia="Arial" w:hAnsi="Arial"/>
                <w:sz w:val="22"/>
                <w:szCs w:val="22"/>
                <w:color w:val="auto"/>
                <w:w w:val="81"/>
              </w:rPr>
              <w:t>$</w:t>
            </w:r>
          </w:p>
        </w:tc>
        <w:tc>
          <w:tcPr>
            <w:tcW w:w="10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21,720</w:t>
            </w:r>
          </w:p>
        </w:tc>
        <w:tc>
          <w:tcPr>
            <w:tcW w:w="600" w:type="dxa"/>
            <w:vAlign w:val="bottom"/>
            <w:gridSpan w:val="2"/>
            <w:shd w:val="clear" w:color="auto" w:fill="CCEEFF"/>
          </w:tcPr>
          <w:p>
            <w:pPr>
              <w:jc w:val="right"/>
              <w:ind w:right="143"/>
              <w:spacing w:after="0" w:line="237" w:lineRule="exact"/>
              <w:rPr>
                <w:sz w:val="20"/>
                <w:szCs w:val="20"/>
                <w:color w:val="auto"/>
              </w:rPr>
            </w:pPr>
            <w:r>
              <w:rPr>
                <w:rFonts w:ascii="Arial" w:cs="Arial" w:eastAsia="Arial" w:hAnsi="Arial"/>
                <w:sz w:val="22"/>
                <w:szCs w:val="22"/>
                <w:color w:val="auto"/>
              </w:rPr>
              <w:t>$</w:t>
            </w:r>
          </w:p>
        </w:tc>
        <w:tc>
          <w:tcPr>
            <w:tcW w:w="12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43,226</w:t>
            </w:r>
          </w:p>
        </w:tc>
        <w:tc>
          <w:tcPr>
            <w:tcW w:w="640" w:type="dxa"/>
            <w:vAlign w:val="bottom"/>
            <w:gridSpan w:val="2"/>
            <w:shd w:val="clear" w:color="auto" w:fill="CCEEFF"/>
          </w:tcPr>
          <w:p>
            <w:pPr>
              <w:jc w:val="right"/>
              <w:ind w:right="192"/>
              <w:spacing w:after="0" w:line="237" w:lineRule="exact"/>
              <w:rPr>
                <w:sz w:val="20"/>
                <w:szCs w:val="20"/>
                <w:color w:val="auto"/>
              </w:rPr>
            </w:pPr>
            <w:r>
              <w:rPr>
                <w:rFonts w:ascii="Arial" w:cs="Arial" w:eastAsia="Arial" w:hAnsi="Arial"/>
                <w:sz w:val="22"/>
                <w:szCs w:val="22"/>
                <w:color w:val="auto"/>
              </w:rPr>
              <w:t>$</w:t>
            </w:r>
          </w:p>
        </w:tc>
        <w:tc>
          <w:tcPr>
            <w:tcW w:w="120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44,727</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733"/>
        </w:trPr>
        <w:tc>
          <w:tcPr>
            <w:tcW w:w="4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22"/>
                <w:szCs w:val="22"/>
                <w:color w:val="auto"/>
              </w:rPr>
              <w:t>27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8"/>
        </w:trPr>
        <w:tc>
          <w:tcPr>
            <w:tcW w:w="4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3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39"/>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 </w:t>
      </w:r>
      <w:r>
        <w:rPr>
          <w:rFonts w:ascii="Arial" w:cs="Arial" w:eastAsia="Arial" w:hAnsi="Arial"/>
          <w:sz w:val="22"/>
          <w:szCs w:val="22"/>
          <w:b w:val="1"/>
          <w:bCs w:val="1"/>
          <w:i w:val="1"/>
          <w:iCs w:val="1"/>
          <w:color w:val="auto"/>
        </w:rPr>
        <w:t>Segment Information</w:t>
      </w:r>
    </w:p>
    <w:p>
      <w:pPr>
        <w:spacing w:after="0" w:line="212"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The Company has eleven operating segments and two reportable segments. The Regulated Water segment is comprised of eight operating segments representing its water and wastewater regulated utility companies, which are organized by the states where the Company provides water and wastewater services. The eight water and wastewater utility operating segments are aggregated into one 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acquired in the Peoples Gas Acquisition, for which the Company provides natural gas distribution services.</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In addition to the Company’s two reportable segments, we include two of our operating segments within the Other category below. These segments are not quantitatively significant and are comprised of our non-regulated natural gas operations and Aqua Resources. Our non-regulated natural gas operations consist of utility service line protection solutions and repair services to households and the operation of gas marketing and production entities.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29" w:name="page30"/>
    <w:bookmarkEnd w:id="29"/>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spacing w:after="0"/>
        <w:rPr>
          <w:sz w:val="20"/>
          <w:szCs w:val="20"/>
          <w:color w:val="auto"/>
        </w:rPr>
      </w:pPr>
      <w:r>
        <w:rPr>
          <w:rFonts w:ascii="Arial" w:cs="Arial" w:eastAsia="Arial" w:hAnsi="Arial"/>
          <w:sz w:val="22"/>
          <w:szCs w:val="22"/>
          <w:color w:val="auto"/>
        </w:rPr>
        <w:t>(UNAUDITED)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presents information about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color w:val="auto"/>
                <w:w w:val="93"/>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0"/>
              </w:rPr>
              <w:t>June 30, 2023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June 30, 2022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37"/>
        </w:trPr>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68"/>
              <w:spacing w:after="0" w:line="137" w:lineRule="exact"/>
              <w:rPr>
                <w:sz w:val="20"/>
                <w:szCs w:val="20"/>
                <w:color w:val="auto"/>
              </w:rPr>
            </w:pPr>
            <w:r>
              <w:rPr>
                <w:rFonts w:ascii="Arial" w:cs="Arial" w:eastAsia="Arial" w:hAnsi="Arial"/>
                <w:sz w:val="14"/>
                <w:szCs w:val="14"/>
                <w:color w:val="auto"/>
                <w:w w:val="90"/>
              </w:rPr>
              <w:t>Regulated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60"/>
              <w:spacing w:after="0" w:line="137" w:lineRule="exact"/>
              <w:rPr>
                <w:sz w:val="20"/>
                <w:szCs w:val="20"/>
                <w:color w:val="auto"/>
              </w:rPr>
            </w:pPr>
            <w:r>
              <w:rPr>
                <w:rFonts w:ascii="Arial" w:cs="Arial" w:eastAsia="Arial" w:hAnsi="Arial"/>
                <w:sz w:val="14"/>
                <w:szCs w:val="14"/>
                <w:color w:val="auto"/>
                <w:w w:val="97"/>
              </w:rPr>
              <w:t>Regulated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68"/>
              <w:spacing w:after="0" w:line="137" w:lineRule="exact"/>
              <w:rPr>
                <w:sz w:val="20"/>
                <w:szCs w:val="20"/>
                <w:color w:val="auto"/>
              </w:rPr>
            </w:pPr>
            <w:r>
              <w:rPr>
                <w:rFonts w:ascii="Arial" w:cs="Arial" w:eastAsia="Arial" w:hAnsi="Arial"/>
                <w:sz w:val="14"/>
                <w:szCs w:val="14"/>
                <w:color w:val="auto"/>
                <w:w w:val="93"/>
              </w:rPr>
              <w:t>Regulated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108"/>
              <w:spacing w:after="0" w:line="137" w:lineRule="exact"/>
              <w:rPr>
                <w:sz w:val="20"/>
                <w:szCs w:val="20"/>
                <w:color w:val="auto"/>
              </w:rPr>
            </w:pPr>
            <w:r>
              <w:rPr>
                <w:rFonts w:ascii="Arial" w:cs="Arial" w:eastAsia="Arial" w:hAnsi="Arial"/>
                <w:sz w:val="14"/>
                <w:szCs w:val="14"/>
                <w:color w:val="auto"/>
              </w:rPr>
              <w:t>Regulated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7"/>
        </w:trPr>
        <w:tc>
          <w:tcPr>
            <w:tcW w:w="3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0"/>
              </w:rPr>
              <w:t>Water</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Natural Gas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0"/>
              </w:rPr>
              <w:t>Consolidated</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0"/>
              </w:rPr>
              <w:t>Water</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Natural Gas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95"/>
              </w:rPr>
              <w:t>Consolidated</w:t>
            </w:r>
          </w:p>
        </w:tc>
      </w:tr>
      <w:tr>
        <w:trPr>
          <w:trHeight w:val="156"/>
        </w:trPr>
        <w:tc>
          <w:tcPr>
            <w:tcW w:w="30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revenues</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293,672</w:t>
            </w:r>
          </w:p>
        </w:tc>
        <w:tc>
          <w:tcPr>
            <w:tcW w:w="24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138,983</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4,045</w:t>
            </w:r>
          </w:p>
        </w:tc>
        <w:tc>
          <w:tcPr>
            <w:tcW w:w="1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436,700</w:t>
            </w:r>
          </w:p>
        </w:tc>
        <w:tc>
          <w:tcPr>
            <w:tcW w:w="2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269,355</w:t>
            </w:r>
          </w:p>
        </w:tc>
        <w:tc>
          <w:tcPr>
            <w:tcW w:w="1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167,729</w:t>
            </w:r>
          </w:p>
        </w:tc>
        <w:tc>
          <w:tcPr>
            <w:tcW w:w="320" w:type="dxa"/>
            <w:vAlign w:val="bottom"/>
            <w:gridSpan w:val="2"/>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11,672</w:t>
            </w: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448,756</w:t>
            </w: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color w:val="auto"/>
              </w:rPr>
              <w:t>Operations and maintenance expense</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93,227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41,114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133,508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92,815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44,907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134,981</w:t>
            </w:r>
          </w:p>
        </w:tc>
      </w:tr>
      <w:tr>
        <w:trPr>
          <w:trHeight w:val="162"/>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Purchased gas</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41,933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63,392</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11,751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75,143</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53,231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32,188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85,661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50,260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29,131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79,176</w:t>
            </w:r>
          </w:p>
        </w:tc>
      </w:tr>
      <w:tr>
        <w:trPr>
          <w:trHeight w:val="162"/>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 net (a)</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68,212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19,171</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54,397</w:t>
            </w:r>
          </w:p>
        </w:tc>
      </w:tr>
      <w:tr>
        <w:trPr>
          <w:trHeight w:val="148"/>
        </w:trPr>
        <w:tc>
          <w:tcPr>
            <w:tcW w:w="3060" w:type="dxa"/>
            <w:vAlign w:val="bottom"/>
          </w:tcPr>
          <w:p>
            <w:pPr>
              <w:spacing w:after="0" w:line="149" w:lineRule="exact"/>
              <w:rPr>
                <w:sz w:val="20"/>
                <w:szCs w:val="20"/>
                <w:color w:val="auto"/>
              </w:rPr>
            </w:pPr>
            <w:r>
              <w:rPr>
                <w:rFonts w:ascii="Arial" w:cs="Arial" w:eastAsia="Arial" w:hAnsi="Arial"/>
                <w:sz w:val="14"/>
                <w:szCs w:val="14"/>
                <w:color w:val="auto"/>
              </w:rPr>
              <w:t>Allowance for funds used during construction</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(804)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(6,151)</w:t>
            </w:r>
          </w:p>
        </w:tc>
      </w:tr>
      <w:tr>
        <w:trPr>
          <w:trHeight w:val="162"/>
        </w:trPr>
        <w:tc>
          <w:tcPr>
            <w:tcW w:w="306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 (benefit)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(13,314)</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8,100</w:t>
            </w:r>
          </w:p>
        </w:tc>
      </w:tr>
      <w:tr>
        <w:trPr>
          <w:trHeight w:val="182"/>
        </w:trPr>
        <w:tc>
          <w:tcPr>
            <w:tcW w:w="3060" w:type="dxa"/>
            <w:vAlign w:val="bottom"/>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90,027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91,268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76,342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11,478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(5,529)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82,291</w:t>
            </w:r>
          </w:p>
        </w:tc>
      </w:tr>
      <w:tr>
        <w:trPr>
          <w:trHeight w:val="258"/>
        </w:trPr>
        <w:tc>
          <w:tcPr>
            <w:tcW w:w="3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color w:val="auto"/>
                <w:w w:val="95"/>
              </w:rPr>
              <w:t>Six Months Ended</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gridSpan w:val="5"/>
          </w:tcPr>
          <w:p>
            <w:pPr>
              <w:jc w:val="center"/>
              <w:spacing w:after="0"/>
              <w:rPr>
                <w:sz w:val="20"/>
                <w:szCs w:val="20"/>
                <w:color w:val="auto"/>
              </w:rPr>
            </w:pPr>
            <w:r>
              <w:rPr>
                <w:rFonts w:ascii="Arial" w:cs="Arial" w:eastAsia="Arial" w:hAnsi="Arial"/>
                <w:sz w:val="14"/>
                <w:szCs w:val="14"/>
                <w:color w:val="auto"/>
                <w:w w:val="93"/>
              </w:rPr>
              <w:t>Six Months Ended</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81"/>
        </w:trPr>
        <w:tc>
          <w:tcPr>
            <w:tcW w:w="3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0"/>
              </w:rPr>
              <w:t>June 30, 2023</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June 30, 2022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23"/>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68"/>
              <w:spacing w:after="0" w:line="123" w:lineRule="exact"/>
              <w:rPr>
                <w:sz w:val="20"/>
                <w:szCs w:val="20"/>
                <w:color w:val="auto"/>
              </w:rPr>
            </w:pPr>
            <w:r>
              <w:rPr>
                <w:rFonts w:ascii="Arial" w:cs="Arial" w:eastAsia="Arial" w:hAnsi="Arial"/>
                <w:sz w:val="14"/>
                <w:szCs w:val="14"/>
                <w:color w:val="auto"/>
                <w:w w:val="90"/>
              </w:rPr>
              <w:t>Regulated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w w:val="97"/>
              </w:rPr>
              <w:t>Regulated</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68"/>
              <w:spacing w:after="0" w:line="123" w:lineRule="exact"/>
              <w:rPr>
                <w:sz w:val="20"/>
                <w:szCs w:val="20"/>
                <w:color w:val="auto"/>
              </w:rPr>
            </w:pPr>
            <w:r>
              <w:rPr>
                <w:rFonts w:ascii="Arial" w:cs="Arial" w:eastAsia="Arial" w:hAnsi="Arial"/>
                <w:sz w:val="14"/>
                <w:szCs w:val="14"/>
                <w:color w:val="auto"/>
                <w:w w:val="93"/>
              </w:rPr>
              <w:t>Regulated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ind w:right="108"/>
              <w:spacing w:after="0" w:line="123" w:lineRule="exact"/>
              <w:rPr>
                <w:sz w:val="20"/>
                <w:szCs w:val="20"/>
                <w:color w:val="auto"/>
              </w:rPr>
            </w:pPr>
            <w:r>
              <w:rPr>
                <w:rFonts w:ascii="Arial" w:cs="Arial" w:eastAsia="Arial" w:hAnsi="Arial"/>
                <w:sz w:val="14"/>
                <w:szCs w:val="14"/>
                <w:color w:val="auto"/>
              </w:rPr>
              <w:t>Regulated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81"/>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color w:val="auto"/>
                <w:w w:val="90"/>
              </w:rPr>
              <w:t>Water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w w:val="93"/>
              </w:rPr>
              <w:t>Natural Gas</w:t>
            </w:r>
          </w:p>
        </w:tc>
        <w:tc>
          <w:tcPr>
            <w:tcW w:w="180" w:type="dxa"/>
            <w:vAlign w:val="bottom"/>
          </w:tcPr>
          <w:p>
            <w:pPr>
              <w:spacing w:after="0"/>
              <w:rPr>
                <w:sz w:val="15"/>
                <w:szCs w:val="15"/>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w w:val="90"/>
              </w:rPr>
              <w:t>Consolidated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color w:val="auto"/>
                <w:w w:val="90"/>
              </w:rPr>
              <w:t>Water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3"/>
              </w:rPr>
              <w:t>Natural Gas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w w:val="95"/>
              </w:rPr>
              <w:t>Consolidated</w:t>
            </w: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revenues</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560,972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580,278</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21,900</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1,163,150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508,553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612,912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26,566</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1,148,031</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Operations and maintenance expense</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176,029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98,264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271,502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178,903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104,359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(5,700)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277,562</w:t>
            </w: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Purchased gas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281,521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298,248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280,698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302,855</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106,698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62,316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169,455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98,976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58,835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(289)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157,522</w:t>
            </w: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 net (a)</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48,489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31,336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39,823</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107,424</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Allowance for funds used during construction</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(1,226)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(10,496)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(11,990)</w:t>
            </w: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 (benefit)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(56,798)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(9,133)</w:t>
            </w:r>
          </w:p>
        </w:tc>
      </w:tr>
      <w:tr>
        <w:trPr>
          <w:trHeight w:val="162"/>
        </w:trPr>
        <w:tc>
          <w:tcPr>
            <w:tcW w:w="3060" w:type="dxa"/>
            <w:vAlign w:val="bottom"/>
          </w:tcPr>
          <w:p>
            <w:pPr>
              <w:spacing w:after="0"/>
              <w:rPr>
                <w:sz w:val="20"/>
                <w:szCs w:val="20"/>
                <w:color w:val="auto"/>
              </w:rPr>
            </w:pPr>
            <w:r>
              <w:rPr>
                <w:rFonts w:ascii="Arial" w:cs="Arial" w:eastAsia="Arial" w:hAnsi="Arial"/>
                <w:sz w:val="14"/>
                <w:szCs w:val="14"/>
                <w:color w:val="auto"/>
              </w:rPr>
              <w:t>Net income (loss)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167,429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137,176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282,702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136,885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150,964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(6,182)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281,667</w:t>
            </w: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329,862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215,212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216,612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207,394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424,645</w:t>
            </w:r>
          </w:p>
        </w:tc>
      </w:tr>
    </w:tbl>
    <w:p>
      <w:pPr>
        <w:spacing w:after="0" w:line="191" w:lineRule="exact"/>
        <w:rPr>
          <w:sz w:val="20"/>
          <w:szCs w:val="20"/>
          <w:color w:val="auto"/>
        </w:rPr>
      </w:pPr>
    </w:p>
    <w:p>
      <w:pPr>
        <w:ind w:right="460" w:firstLine="8"/>
        <w:spacing w:after="0"/>
        <w:tabs>
          <w:tab w:leader="none" w:pos="163"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The regulated water and regulated natural gas segments report interest expense that includes long-term debt that was pushed-down to the regulated operating subsidiaries from Essential Utilities, Inc.</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22"/>
                <w:szCs w:val="22"/>
                <w:color w:val="auto"/>
              </w:rPr>
              <w:t>June 30,</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80" w:type="dxa"/>
            <w:vAlign w:val="bottom"/>
          </w:tcPr>
          <w:p>
            <w:pPr>
              <w:jc w:val="right"/>
              <w:ind w:right="832"/>
              <w:spacing w:after="0"/>
              <w:rPr>
                <w:sz w:val="20"/>
                <w:szCs w:val="20"/>
                <w:color w:val="auto"/>
              </w:rPr>
            </w:pPr>
            <w:r>
              <w:rPr>
                <w:rFonts w:ascii="Arial" w:cs="Arial" w:eastAsia="Arial" w:hAnsi="Arial"/>
                <w:sz w:val="22"/>
                <w:szCs w:val="22"/>
                <w:color w:val="auto"/>
              </w:rPr>
              <w:t>December 31,</w:t>
            </w:r>
          </w:p>
        </w:tc>
      </w:tr>
      <w:tr>
        <w:trPr>
          <w:trHeight w:val="251"/>
        </w:trPr>
        <w:tc>
          <w:tcPr>
            <w:tcW w:w="3420" w:type="dxa"/>
            <w:vAlign w:val="bottom"/>
          </w:tcPr>
          <w:p>
            <w:pPr>
              <w:spacing w:after="0"/>
              <w:rPr>
                <w:sz w:val="21"/>
                <w:szCs w:val="21"/>
                <w:color w:val="auto"/>
              </w:rPr>
            </w:pPr>
          </w:p>
        </w:tc>
        <w:tc>
          <w:tcPr>
            <w:tcW w:w="3300" w:type="dxa"/>
            <w:vAlign w:val="bottom"/>
            <w:gridSpan w:val="2"/>
          </w:tcPr>
          <w:p>
            <w:pPr>
              <w:jc w:val="right"/>
              <w:ind w:right="72"/>
              <w:spacing w:after="0" w:line="251" w:lineRule="exact"/>
              <w:rPr>
                <w:sz w:val="20"/>
                <w:szCs w:val="20"/>
                <w:color w:val="auto"/>
              </w:rPr>
            </w:pPr>
            <w:r>
              <w:rPr>
                <w:rFonts w:ascii="Arial" w:cs="Arial" w:eastAsia="Arial" w:hAnsi="Arial"/>
                <w:sz w:val="22"/>
                <w:szCs w:val="22"/>
                <w:color w:val="auto"/>
              </w:rPr>
              <w:t>2023</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80" w:type="dxa"/>
            <w:vAlign w:val="bottom"/>
          </w:tcPr>
          <w:p>
            <w:pPr>
              <w:jc w:val="right"/>
              <w:ind w:right="1232"/>
              <w:spacing w:after="0" w:line="251" w:lineRule="exact"/>
              <w:rPr>
                <w:sz w:val="20"/>
                <w:szCs w:val="20"/>
                <w:color w:val="auto"/>
              </w:rPr>
            </w:pPr>
            <w:r>
              <w:rPr>
                <w:rFonts w:ascii="Arial" w:cs="Arial" w:eastAsia="Arial" w:hAnsi="Arial"/>
                <w:sz w:val="22"/>
                <w:szCs w:val="22"/>
                <w:color w:val="auto"/>
              </w:rPr>
              <w:t>2022</w:t>
            </w:r>
          </w:p>
        </w:tc>
      </w:tr>
      <w:tr>
        <w:trPr>
          <w:trHeight w:val="223"/>
        </w:trPr>
        <w:tc>
          <w:tcPr>
            <w:tcW w:w="342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Total assets:</w:t>
            </w:r>
          </w:p>
        </w:tc>
        <w:tc>
          <w:tcPr>
            <w:tcW w:w="1440" w:type="dxa"/>
            <w:vAlign w:val="bottom"/>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spacing w:after="0"/>
              <w:rPr>
                <w:sz w:val="19"/>
                <w:szCs w:val="19"/>
                <w:color w:val="auto"/>
              </w:rPr>
            </w:pPr>
          </w:p>
        </w:tc>
      </w:tr>
      <w:tr>
        <w:trPr>
          <w:trHeight w:val="243"/>
        </w:trPr>
        <w:tc>
          <w:tcPr>
            <w:tcW w:w="3420" w:type="dxa"/>
            <w:vAlign w:val="bottom"/>
          </w:tcPr>
          <w:p>
            <w:pPr>
              <w:ind w:left="120"/>
              <w:spacing w:after="0" w:line="243" w:lineRule="exact"/>
              <w:rPr>
                <w:sz w:val="20"/>
                <w:szCs w:val="20"/>
                <w:color w:val="auto"/>
              </w:rPr>
            </w:pPr>
            <w:r>
              <w:rPr>
                <w:rFonts w:ascii="Arial" w:cs="Arial" w:eastAsia="Arial" w:hAnsi="Arial"/>
                <w:sz w:val="22"/>
                <w:szCs w:val="22"/>
                <w:color w:val="auto"/>
              </w:rPr>
              <w:t>Regulated water</w:t>
            </w:r>
          </w:p>
        </w:tc>
        <w:tc>
          <w:tcPr>
            <w:tcW w:w="3300" w:type="dxa"/>
            <w:vAlign w:val="bottom"/>
            <w:gridSpan w:val="2"/>
          </w:tcPr>
          <w:p>
            <w:pPr>
              <w:jc w:val="right"/>
              <w:ind w:right="1652"/>
              <w:spacing w:after="0" w:line="243" w:lineRule="exact"/>
              <w:rPr>
                <w:sz w:val="20"/>
                <w:szCs w:val="20"/>
                <w:color w:val="auto"/>
              </w:rPr>
            </w:pPr>
            <w:r>
              <w:rPr>
                <w:rFonts w:ascii="Arial" w:cs="Arial" w:eastAsia="Arial" w:hAnsi="Arial"/>
                <w:sz w:val="22"/>
                <w:szCs w:val="22"/>
                <w:color w:val="auto"/>
              </w:rPr>
              <w:t>$</w:t>
            </w:r>
          </w:p>
        </w:tc>
        <w:tc>
          <w:tcPr>
            <w:tcW w:w="1080" w:type="dxa"/>
            <w:vAlign w:val="bottom"/>
          </w:tcPr>
          <w:p>
            <w:pPr>
              <w:jc w:val="right"/>
              <w:spacing w:after="0" w:line="243" w:lineRule="exact"/>
              <w:rPr>
                <w:sz w:val="20"/>
                <w:szCs w:val="20"/>
                <w:color w:val="auto"/>
              </w:rPr>
            </w:pPr>
            <w:r>
              <w:rPr>
                <w:rFonts w:ascii="Arial" w:cs="Arial" w:eastAsia="Arial" w:hAnsi="Arial"/>
                <w:sz w:val="22"/>
                <w:szCs w:val="22"/>
                <w:color w:val="auto"/>
              </w:rPr>
              <w:t>9,144,894</w:t>
            </w:r>
          </w:p>
        </w:tc>
        <w:tc>
          <w:tcPr>
            <w:tcW w:w="860" w:type="dxa"/>
            <w:vAlign w:val="bottom"/>
            <w:gridSpan w:val="2"/>
          </w:tcPr>
          <w:p>
            <w:pPr>
              <w:jc w:val="right"/>
              <w:ind w:right="420"/>
              <w:spacing w:after="0" w:line="243" w:lineRule="exact"/>
              <w:rPr>
                <w:sz w:val="20"/>
                <w:szCs w:val="20"/>
                <w:color w:val="auto"/>
              </w:rPr>
            </w:pPr>
            <w:r>
              <w:rPr>
                <w:rFonts w:ascii="Arial" w:cs="Arial" w:eastAsia="Arial" w:hAnsi="Arial"/>
                <w:sz w:val="22"/>
                <w:szCs w:val="22"/>
                <w:color w:val="auto"/>
              </w:rPr>
              <w:t>$</w:t>
            </w:r>
          </w:p>
        </w:tc>
        <w:tc>
          <w:tcPr>
            <w:tcW w:w="2580" w:type="dxa"/>
            <w:vAlign w:val="bottom"/>
          </w:tcPr>
          <w:p>
            <w:pPr>
              <w:jc w:val="right"/>
              <w:spacing w:after="0" w:line="243" w:lineRule="exact"/>
              <w:rPr>
                <w:sz w:val="20"/>
                <w:szCs w:val="20"/>
                <w:color w:val="auto"/>
              </w:rPr>
            </w:pPr>
            <w:r>
              <w:rPr>
                <w:rFonts w:ascii="Arial" w:cs="Arial" w:eastAsia="Arial" w:hAnsi="Arial"/>
                <w:sz w:val="22"/>
                <w:szCs w:val="22"/>
                <w:color w:val="auto"/>
              </w:rPr>
              <w:t>8,792,633</w:t>
            </w:r>
          </w:p>
        </w:tc>
      </w:tr>
      <w:tr>
        <w:trPr>
          <w:trHeight w:val="230"/>
        </w:trPr>
        <w:tc>
          <w:tcPr>
            <w:tcW w:w="3420" w:type="dxa"/>
            <w:vAlign w:val="bottom"/>
            <w:shd w:val="clear" w:color="auto" w:fill="CCEEFF"/>
          </w:tcPr>
          <w:p>
            <w:pPr>
              <w:ind w:left="120"/>
              <w:spacing w:after="0" w:line="229" w:lineRule="exact"/>
              <w:rPr>
                <w:sz w:val="20"/>
                <w:szCs w:val="20"/>
                <w:color w:val="auto"/>
              </w:rPr>
            </w:pPr>
            <w:r>
              <w:rPr>
                <w:rFonts w:ascii="Arial" w:cs="Arial" w:eastAsia="Arial" w:hAnsi="Arial"/>
                <w:sz w:val="22"/>
                <w:szCs w:val="22"/>
                <w:color w:val="auto"/>
              </w:rPr>
              <w:t>Regulated natural gas</w:t>
            </w:r>
          </w:p>
        </w:tc>
        <w:tc>
          <w:tcPr>
            <w:tcW w:w="14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6,548,153</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line="229" w:lineRule="exact"/>
              <w:rPr>
                <w:sz w:val="20"/>
                <w:szCs w:val="20"/>
                <w:color w:val="auto"/>
              </w:rPr>
            </w:pPr>
            <w:r>
              <w:rPr>
                <w:rFonts w:ascii="Arial" w:cs="Arial" w:eastAsia="Arial" w:hAnsi="Arial"/>
                <w:sz w:val="22"/>
                <w:szCs w:val="22"/>
                <w:color w:val="auto"/>
              </w:rPr>
              <w:t>6,528,654</w:t>
            </w:r>
          </w:p>
        </w:tc>
      </w:tr>
      <w:tr>
        <w:trPr>
          <w:trHeight w:val="230"/>
        </w:trPr>
        <w:tc>
          <w:tcPr>
            <w:tcW w:w="3420" w:type="dxa"/>
            <w:vAlign w:val="bottom"/>
          </w:tcPr>
          <w:p>
            <w:pPr>
              <w:ind w:left="120"/>
              <w:spacing w:after="0" w:line="229" w:lineRule="exact"/>
              <w:rPr>
                <w:sz w:val="20"/>
                <w:szCs w:val="20"/>
                <w:color w:val="auto"/>
              </w:rPr>
            </w:pPr>
            <w:r>
              <w:rPr>
                <w:rFonts w:ascii="Arial" w:cs="Arial" w:eastAsia="Arial" w:hAnsi="Arial"/>
                <w:sz w:val="22"/>
                <w:szCs w:val="22"/>
                <w:color w:val="auto"/>
              </w:rPr>
              <w:t>Other</w:t>
            </w:r>
          </w:p>
        </w:tc>
        <w:tc>
          <w:tcPr>
            <w:tcW w:w="144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408,888</w:t>
            </w:r>
          </w:p>
        </w:tc>
        <w:tc>
          <w:tcPr>
            <w:tcW w:w="3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line="229" w:lineRule="exact"/>
              <w:rPr>
                <w:sz w:val="20"/>
                <w:szCs w:val="20"/>
                <w:color w:val="auto"/>
              </w:rPr>
            </w:pPr>
            <w:r>
              <w:rPr>
                <w:rFonts w:ascii="Arial" w:cs="Arial" w:eastAsia="Arial" w:hAnsi="Arial"/>
                <w:sz w:val="22"/>
                <w:szCs w:val="22"/>
                <w:color w:val="auto"/>
              </w:rPr>
              <w:t>397,820</w:t>
            </w:r>
          </w:p>
        </w:tc>
      </w:tr>
      <w:tr>
        <w:trPr>
          <w:trHeight w:val="243"/>
        </w:trPr>
        <w:tc>
          <w:tcPr>
            <w:tcW w:w="3420" w:type="dxa"/>
            <w:vAlign w:val="bottom"/>
            <w:shd w:val="clear" w:color="auto" w:fill="CCEEFF"/>
          </w:tcPr>
          <w:p>
            <w:pPr>
              <w:ind w:left="120"/>
              <w:spacing w:after="0" w:line="223" w:lineRule="exact"/>
              <w:rPr>
                <w:sz w:val="20"/>
                <w:szCs w:val="20"/>
                <w:color w:val="auto"/>
              </w:rPr>
            </w:pPr>
            <w:r>
              <w:rPr>
                <w:rFonts w:ascii="Arial" w:cs="Arial" w:eastAsia="Arial" w:hAnsi="Arial"/>
                <w:sz w:val="22"/>
                <w:szCs w:val="22"/>
                <w:color w:val="auto"/>
              </w:rPr>
              <w:t>Consolidated</w:t>
            </w:r>
          </w:p>
        </w:tc>
        <w:tc>
          <w:tcPr>
            <w:tcW w:w="3300" w:type="dxa"/>
            <w:vAlign w:val="bottom"/>
            <w:gridSpan w:val="2"/>
            <w:shd w:val="clear" w:color="auto" w:fill="CCEEFF"/>
          </w:tcPr>
          <w:p>
            <w:pPr>
              <w:jc w:val="right"/>
              <w:ind w:right="1652"/>
              <w:spacing w:after="0" w:line="223" w:lineRule="exact"/>
              <w:rPr>
                <w:sz w:val="20"/>
                <w:szCs w:val="20"/>
                <w:color w:val="auto"/>
              </w:rPr>
            </w:pPr>
            <w:r>
              <w:rPr>
                <w:rFonts w:ascii="Arial" w:cs="Arial" w:eastAsia="Arial" w:hAnsi="Arial"/>
                <w:sz w:val="22"/>
                <w:szCs w:val="22"/>
                <w:color w:val="auto"/>
              </w:rPr>
              <w:t>$</w:t>
            </w:r>
          </w:p>
        </w:tc>
        <w:tc>
          <w:tcPr>
            <w:tcW w:w="10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w w:val="88"/>
              </w:rPr>
              <w:t>16,101,935</w:t>
            </w:r>
          </w:p>
        </w:tc>
        <w:tc>
          <w:tcPr>
            <w:tcW w:w="860" w:type="dxa"/>
            <w:vAlign w:val="bottom"/>
            <w:gridSpan w:val="2"/>
            <w:shd w:val="clear" w:color="auto" w:fill="CCEEFF"/>
          </w:tcPr>
          <w:p>
            <w:pPr>
              <w:jc w:val="right"/>
              <w:ind w:right="420"/>
              <w:spacing w:after="0" w:line="223" w:lineRule="exact"/>
              <w:rPr>
                <w:sz w:val="20"/>
                <w:szCs w:val="20"/>
                <w:color w:val="auto"/>
              </w:rPr>
            </w:pPr>
            <w:r>
              <w:rPr>
                <w:rFonts w:ascii="Arial" w:cs="Arial" w:eastAsia="Arial" w:hAnsi="Arial"/>
                <w:sz w:val="22"/>
                <w:szCs w:val="22"/>
                <w:color w:val="auto"/>
              </w:rPr>
              <w:t>$</w:t>
            </w:r>
          </w:p>
        </w:tc>
        <w:tc>
          <w:tcPr>
            <w:tcW w:w="2580" w:type="dxa"/>
            <w:vAlign w:val="bottom"/>
            <w:shd w:val="clear" w:color="auto" w:fill="CCEEFF"/>
          </w:tcPr>
          <w:p>
            <w:pPr>
              <w:jc w:val="right"/>
              <w:spacing w:after="0" w:line="223" w:lineRule="exact"/>
              <w:rPr>
                <w:sz w:val="20"/>
                <w:szCs w:val="20"/>
                <w:color w:val="auto"/>
              </w:rPr>
            </w:pPr>
            <w:r>
              <w:rPr>
                <w:rFonts w:ascii="Arial" w:cs="Arial" w:eastAsia="Arial" w:hAnsi="Arial"/>
                <w:sz w:val="22"/>
                <w:szCs w:val="22"/>
                <w:color w:val="auto"/>
              </w:rPr>
              <w:t>15,719,107</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58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 </w:t>
      </w:r>
      <w:r>
        <w:rPr>
          <w:rFonts w:ascii="Arial" w:cs="Arial" w:eastAsia="Arial" w:hAnsi="Arial"/>
          <w:sz w:val="22"/>
          <w:szCs w:val="22"/>
          <w:b w:val="1"/>
          <w:bCs w:val="1"/>
          <w:i w:val="1"/>
          <w:iCs w:val="1"/>
          <w:color w:val="auto"/>
        </w:rPr>
        <w:t>Commitments and Contingencies</w:t>
      </w:r>
    </w:p>
    <w:p>
      <w:pPr>
        <w:spacing w:after="0" w:line="226"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June 30, 2023, the aggregate amount of $19,427 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1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19"/>
        <w:spacing w:after="0"/>
        <w:rPr>
          <w:sz w:val="20"/>
          <w:szCs w:val="20"/>
          <w:color w:val="auto"/>
        </w:rPr>
      </w:pPr>
      <w:r>
        <w:rPr>
          <w:rFonts w:ascii="Arial" w:cs="Arial" w:eastAsia="Arial" w:hAnsi="Arial"/>
          <w:sz w:val="22"/>
          <w:szCs w:val="22"/>
          <w:color w:val="auto"/>
        </w:rPr>
        <w:t>(UNAUDITED)</w:t>
      </w:r>
    </w:p>
    <w:p>
      <w:pPr>
        <w:spacing w:after="0" w:line="202" w:lineRule="exact"/>
        <w:rPr>
          <w:sz w:val="20"/>
          <w:szCs w:val="20"/>
          <w:color w:val="auto"/>
        </w:rPr>
      </w:pPr>
    </w:p>
    <w:p>
      <w:pPr>
        <w:jc w:val="both"/>
        <w:ind w:right="300"/>
        <w:spacing w:after="0" w:line="244" w:lineRule="auto"/>
        <w:rPr>
          <w:sz w:val="20"/>
          <w:szCs w:val="20"/>
          <w:color w:val="auto"/>
        </w:rPr>
      </w:pPr>
      <w:r>
        <w:rPr>
          <w:rFonts w:ascii="Arial" w:cs="Arial" w:eastAsia="Arial" w:hAnsi="Arial"/>
          <w:sz w:val="21"/>
          <w:szCs w:val="21"/>
          <w:color w:val="auto"/>
        </w:rPr>
        <w:t>insurance coverage for certain of these loss contingencies, and as of June 30, 2023, estimates that approximately $1,428 of the amount accrued for these matters are probable of recovery through insurance, which amount is also reported in the Company’s consolidated balance sheet as deferred charges and other assets, net.</w:t>
      </w:r>
    </w:p>
    <w:p>
      <w:pPr>
        <w:spacing w:after="0" w:line="195"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During the second quarter of 2021, an amount was accrued for the portion of the fine or penalty that we determined to be probable and estimable of being incurred.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that exceeded the standards established by the federal Lead and Copper Rule. The complaint is in the discovery phase and class certification has not been granted. During the third quarter of 2022, the Company established an accrual for the amount of loss asserted in the complaint that we determined to be probable and estimable of being incurred. The Company is vigorously defending against this claim. The Company submitted a claim for the expenses incurred to its insurance carrier for potential recovery of a portion of these costs and is currently in litigation with one of its carriers seeking to enforce its claims. The Company continues to assess the potential loss contingency on this matter.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operations or cash flows.</w:t>
      </w:r>
    </w:p>
    <w:p>
      <w:pPr>
        <w:spacing w:after="0" w:line="200" w:lineRule="exact"/>
        <w:rPr>
          <w:sz w:val="20"/>
          <w:szCs w:val="20"/>
          <w:color w:val="auto"/>
        </w:rPr>
      </w:pPr>
    </w:p>
    <w:p>
      <w:pPr>
        <w:spacing w:after="0" w:line="220"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w:t>
      </w:r>
    </w:p>
    <w:p>
      <w:pPr>
        <w:spacing w:after="0" w:line="161" w:lineRule="exact"/>
        <w:rPr>
          <w:sz w:val="20"/>
          <w:szCs w:val="20"/>
          <w:color w:val="auto"/>
        </w:rPr>
      </w:pPr>
    </w:p>
    <w:p>
      <w:pPr>
        <w:ind w:right="460"/>
        <w:spacing w:after="0" w:line="231" w:lineRule="auto"/>
        <w:rPr>
          <w:sz w:val="20"/>
          <w:szCs w:val="20"/>
          <w:color w:val="auto"/>
        </w:rPr>
      </w:pPr>
      <w:r>
        <w:rPr>
          <w:rFonts w:ascii="Arial" w:cs="Arial" w:eastAsia="Arial" w:hAnsi="Arial"/>
          <w:sz w:val="22"/>
          <w:szCs w:val="22"/>
          <w:color w:val="auto"/>
        </w:rPr>
        <w:t>In addition to the aforementioned loss contingencies, the Company self-insures a portion of its employee medical benefit program, and maintains stop-loss coverage to limit the exposure arising from these claims. The Company’s reserve for these claims totaled $2,327 at June 30, 2023 and represents a reserve for unpaid claim costs, including an estimate for the cost of incurred but not reported claims.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u w:val="single" w:color="auto"/>
          <w:color w:val="0563C1"/>
        </w:rPr>
        <w:t>Table of Contents</w:t>
      </w:r>
    </w:p>
    <w:p>
      <w:pPr>
        <w:ind w:left="3200"/>
        <w:spacing w:after="0" w:line="230" w:lineRule="auto"/>
        <w:rPr>
          <w:sz w:val="20"/>
          <w:szCs w:val="20"/>
          <w:color w:val="auto"/>
        </w:rPr>
      </w:pPr>
      <w:r>
        <w:rPr>
          <w:rFonts w:ascii="Arial" w:cs="Arial" w:eastAsia="Arial" w:hAnsi="Arial"/>
          <w:sz w:val="22"/>
          <w:szCs w:val="22"/>
          <w:color w:val="auto"/>
        </w:rPr>
        <w:t>ESSENTIAL UTILITIES, INC. AND SUBSIDIARIES</w:t>
      </w:r>
    </w:p>
    <w:p>
      <w:pPr>
        <w:ind w:left="2420"/>
        <w:spacing w:after="0" w:line="218" w:lineRule="auto"/>
        <w:rPr>
          <w:sz w:val="20"/>
          <w:szCs w:val="20"/>
          <w:color w:val="auto"/>
        </w:rPr>
      </w:pPr>
      <w:r>
        <w:rPr>
          <w:rFonts w:ascii="Arial" w:cs="Arial" w:eastAsia="Arial" w:hAnsi="Arial"/>
          <w:sz w:val="22"/>
          <w:szCs w:val="22"/>
          <w:color w:val="auto"/>
        </w:rPr>
        <w:t>NOTES TO CONSOLIDATED FINANCIAL STATEMENTS (continued)</w:t>
      </w:r>
    </w:p>
    <w:p>
      <w:pPr>
        <w:jc w:val="center"/>
        <w:ind w:right="-79"/>
        <w:spacing w:after="0" w:line="218" w:lineRule="auto"/>
        <w:rPr>
          <w:sz w:val="20"/>
          <w:szCs w:val="20"/>
          <w:color w:val="auto"/>
        </w:rPr>
      </w:pPr>
      <w:r>
        <w:rPr>
          <w:rFonts w:ascii="Arial" w:cs="Arial" w:eastAsia="Arial" w:hAnsi="Arial"/>
          <w:sz w:val="22"/>
          <w:szCs w:val="22"/>
          <w:color w:val="auto"/>
        </w:rPr>
        <w:t>(In thousands of dollars, except per share amounts)</w:t>
      </w:r>
    </w:p>
    <w:p>
      <w:pPr>
        <w:jc w:val="center"/>
        <w:ind w:right="-79"/>
        <w:spacing w:after="0"/>
        <w:rPr>
          <w:sz w:val="20"/>
          <w:szCs w:val="20"/>
          <w:color w:val="auto"/>
        </w:rPr>
      </w:pPr>
      <w:r>
        <w:rPr>
          <w:rFonts w:ascii="Arial" w:cs="Arial" w:eastAsia="Arial" w:hAnsi="Arial"/>
          <w:sz w:val="22"/>
          <w:szCs w:val="22"/>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15 – </w:t>
      </w:r>
      <w:r>
        <w:rPr>
          <w:rFonts w:ascii="Arial" w:cs="Arial" w:eastAsia="Arial" w:hAnsi="Arial"/>
          <w:sz w:val="22"/>
          <w:szCs w:val="22"/>
          <w:b w:val="1"/>
          <w:bCs w:val="1"/>
          <w:i w:val="1"/>
          <w:iCs w:val="1"/>
          <w:color w:val="auto"/>
        </w:rPr>
        <w:t>Income Taxes</w:t>
      </w:r>
    </w:p>
    <w:p>
      <w:pPr>
        <w:spacing w:after="0" w:line="212" w:lineRule="exact"/>
        <w:rPr>
          <w:sz w:val="20"/>
          <w:szCs w:val="20"/>
          <w:color w:val="auto"/>
        </w:rPr>
      </w:pPr>
    </w:p>
    <w:p>
      <w:pPr>
        <w:spacing w:after="0" w:line="227" w:lineRule="auto"/>
        <w:rPr>
          <w:sz w:val="20"/>
          <w:szCs w:val="20"/>
          <w:color w:val="auto"/>
        </w:rPr>
      </w:pPr>
      <w:r>
        <w:rPr>
          <w:rFonts w:ascii="Arial" w:cs="Arial" w:eastAsia="Arial" w:hAnsi="Arial"/>
          <w:sz w:val="22"/>
          <w:szCs w:val="22"/>
          <w:color w:val="auto"/>
        </w:rPr>
        <w:t>The Company’s effective tax rate was (0.3)% and (12.7)% for the three and six months ended June 30, 2023, respectively. The Company’s effective tax rate was 9.0% and (3.4)% for the three and six months ended June 30, 2022, respectively. The decreases in the effective tax rate for the second quarter and first half of the year are primarily attributed to the increase in income tax benefits associated with the tax deduction for qualifying infrastructure. In determining its interim tax provision, the Company reflects its estimated permanent and flow-through tax differences for the taxable year. The Company uses the flow-through method to account for the tax deduction for qualifying utility infrastructure at its regulated Pennsylvania and New Jersey subsidiaries.</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The statutory Federal tax rate is 21.0% for the six months ended June 30, 2023 and 2022. For states with a corporate net income tax, the state corporate net income tax rates range from 2.5% to 9.99% for all periods presented. On July 8, 2022, Pennsylvania enacted House Bill 1342 into law, which among other things, reduces Pennsylvania’s corporate income tax rate from 9.99% to 8.99% beginning January 1, 2023, and an additional 0.5% annually through 2031, when it reaches to 4.99%. The Company evaluated the impacts of the tax rate change and recorded, in the year ended December 31, 2022, a reduction to our deferred tax liabilities of $244,537 with a corresponding reduction primarily to our regulatory assets.</w:t>
      </w:r>
    </w:p>
    <w:p>
      <w:pPr>
        <w:spacing w:after="0" w:line="159" w:lineRule="exact"/>
        <w:rPr>
          <w:sz w:val="20"/>
          <w:szCs w:val="20"/>
          <w:color w:val="auto"/>
        </w:rPr>
      </w:pPr>
    </w:p>
    <w:p>
      <w:pPr>
        <w:ind w:right="60"/>
        <w:spacing w:after="0" w:line="238" w:lineRule="auto"/>
        <w:rPr>
          <w:sz w:val="20"/>
          <w:szCs w:val="20"/>
          <w:color w:val="auto"/>
        </w:rPr>
      </w:pPr>
      <w:r>
        <w:rPr>
          <w:rFonts w:ascii="Arial" w:cs="Arial" w:eastAsia="Arial" w:hAnsi="Arial"/>
          <w:sz w:val="21"/>
          <w:szCs w:val="21"/>
          <w:color w:val="auto"/>
        </w:rPr>
        <w:t>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is evaluating the safe harbor and intends to adopt the methodology on its 2023 tax return. Based on the tax legislative guidance that was issued, the Company reevaluated the uncertain tax positions and ultimately released a portion of its historical income tax reserves. Concurrently, the Company deferred this tax benefit from the reserve release as a regulatory liability, as the accounting treatment is expected to be determined in the next rate case.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16 – </w:t>
      </w:r>
      <w:r>
        <w:rPr>
          <w:rFonts w:ascii="Arial" w:cs="Arial" w:eastAsia="Arial" w:hAnsi="Arial"/>
          <w:sz w:val="22"/>
          <w:szCs w:val="22"/>
          <w:b w:val="1"/>
          <w:bCs w:val="1"/>
          <w:i w:val="1"/>
          <w:iCs w:val="1"/>
          <w:color w:val="auto"/>
        </w:rPr>
        <w:t>Recent Accounting Pronouncements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Pronouncement adopted during the year:</w:t>
      </w:r>
    </w:p>
    <w:p>
      <w:pPr>
        <w:spacing w:after="0" w:line="206"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In October 2021, the FASB issued accounting guidance on accounting for acquired revenue contracts with customers in a business combination. The guidance specifies for all acquired revenue contracts, regardless of their timing of payment, the circumstances in which the acquirer should recognize contract assets and contract liabilities that are acquired in a business combination, as well as how to measure those contract assets and contract liabilities. The updated accounting guidance is effective for fiscal years beginning after December 15, 2022 with early adoption permitted. The Company adopted this guidance effective January 1, 2023, and will apply it prospectively to business combinations occurring on or after that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 w:right="419" w:bottom="1440" w:gutter="0" w:footer="0" w:header="0"/>
        </w:sectPr>
      </w:pPr>
    </w:p>
    <w:bookmarkStart w:id="32" w:name="page33"/>
    <w:bookmarkEnd w:id="32"/>
    <w:p>
      <w:pPr>
        <w:spacing w:after="0"/>
        <w:rPr>
          <w:sz w:val="20"/>
          <w:szCs w:val="20"/>
          <w:color w:val="auto"/>
        </w:rPr>
      </w:pPr>
      <w:r>
        <w:rPr>
          <w:rFonts w:ascii="Arial" w:cs="Arial" w:eastAsia="Arial" w:hAnsi="Arial"/>
          <w:sz w:val="22"/>
          <w:szCs w:val="22"/>
          <w:u w:val="single" w:color="auto"/>
          <w:color w:val="0563C1"/>
        </w:rPr>
        <w:t>Table of Contents</w:t>
      </w:r>
    </w:p>
    <w:p>
      <w:pPr>
        <w:jc w:val="center"/>
        <w:ind w:right="40"/>
        <w:spacing w:after="0"/>
        <w:rPr>
          <w:sz w:val="20"/>
          <w:szCs w:val="20"/>
          <w:color w:val="auto"/>
        </w:rPr>
      </w:pPr>
      <w:r>
        <w:rPr>
          <w:rFonts w:ascii="Arial" w:cs="Arial" w:eastAsia="Arial" w:hAnsi="Arial"/>
          <w:sz w:val="22"/>
          <w:szCs w:val="22"/>
          <w:color w:val="auto"/>
        </w:rPr>
        <w:t>ESSENTIAL UTILITIES, INC. AND SUBSIDIARIES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MANAGEMENT’S DISCUSSION AND ANALYSIS OF</w:t>
      </w:r>
    </w:p>
    <w:p>
      <w:pPr>
        <w:jc w:val="center"/>
        <w:ind w:right="40"/>
        <w:spacing w:after="0" w:line="217" w:lineRule="auto"/>
        <w:rPr>
          <w:sz w:val="20"/>
          <w:szCs w:val="20"/>
          <w:color w:val="auto"/>
        </w:rPr>
      </w:pPr>
      <w:r>
        <w:rPr>
          <w:rFonts w:ascii="Arial" w:cs="Arial" w:eastAsia="Arial" w:hAnsi="Arial"/>
          <w:sz w:val="22"/>
          <w:szCs w:val="22"/>
          <w:color w:val="auto"/>
        </w:rPr>
        <w:t>FINANCIAL CONDITION AND RESULTS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Item 2 – Management’s Discussion and Analysis of Financial Condition and Results of Operations</w:t>
      </w: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Forward-looking Statements</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19"/>
          <w:szCs w:val="19"/>
          <w:i w:val="1"/>
          <w:iCs w:val="1"/>
          <w:color w:val="auto"/>
        </w:rPr>
        <w:t>This Management’s Discussion and Analysis of Financial Condition and Results of Operations and other sections of this Quarterly Report contain, in addition to historical information, forward-looking statements within the meaning of the Private Securities Litigation Reform Act of 1995. These forward-looking statements address, among other things: the expected timing of closing of our acquisitions; the projected impact of various legal proceedings; the projected effects of recent accounting pronouncements; prospects, plans, objectives, expectations and beliefs of management, as well as information contained in this report where statements are preceded by, followed by or include the words “believes,” “expects,” “estimates,” “anticipates,” “plans,” “future,” “potential,” “probably,” “predictions,” “intends,” “will,” “continue,” “in the event” or the negative of such terms or similar expressions. Forward-looking statements are based on a number of assumptions concerning future events, and are subject to a number of risks, uncertainties and other factors, many of which are outside our control, which could cause actual results to differ materially from those expressed or implied by such statements. These risks and uncertainties include, among others, the effects of regulation, abnormal weather, geopolitical forces, the impact of inflation and supply chain pressures, changes in capital requirements and funding, our ability to close acquisitions, changes to the capital markets, the COVID-19 pandemic, and our ability to assimilate acquired operations, as well as those risks, uncertainties and other factors discussed in our Annual Report on Form 10-K for the fiscal year ended December 31, 2022, and the Form 10-Q for the quarter ended March 31, 2023 under the captions “Risk Factors” and “Management’s Discussion and Analysis of Financial Condition and Results of Operations” and elsewhere in such reports. As a result, readers are cautioned not to place undue reliance on any forward-looking statements. We undertake no obligation to update or revise forward-looking statements, whether as a result of new information, future events or otherwise.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 Information</w:t>
      </w:r>
    </w:p>
    <w:p>
      <w:pPr>
        <w:spacing w:after="0" w:line="220" w:lineRule="exact"/>
        <w:rPr>
          <w:sz w:val="20"/>
          <w:szCs w:val="20"/>
          <w:color w:val="auto"/>
        </w:rPr>
      </w:pPr>
    </w:p>
    <w:p>
      <w:pPr>
        <w:spacing w:after="0" w:line="232" w:lineRule="auto"/>
        <w:rPr>
          <w:sz w:val="20"/>
          <w:szCs w:val="20"/>
          <w:color w:val="auto"/>
        </w:rPr>
      </w:pPr>
      <w:r>
        <w:rPr>
          <w:rFonts w:ascii="Arial" w:cs="Arial" w:eastAsia="Arial" w:hAnsi="Arial"/>
          <w:sz w:val="21"/>
          <w:szCs w:val="21"/>
          <w:color w:val="auto"/>
        </w:rPr>
        <w:t>Essential Utilities, Inc. (“we”, “us”, “our” or the “Company”), a Pennsylvania corporation, is the holding company for regulated utilities providing water, wastewater, or natural gas services to an estimated five million people in Pennsylvania, Ohio, Texas, Illinois, North Carolina, New Jersey, Indiana, Virginia, West Virginia, and Kentucky under the Aqua and Peoples brands. One of our largest operating subsidiaries, Aqua Pennsylvania, Inc. (“Aqua Pennsylvania”), provides water or wastewater services to approximately one-half of the total number of water or wastewater customers we serve, who are located in the suburban areas in counties north and west of the City of Philadelphia and in 27 other counties in Pennsylvania. Our other regulated water or wastewater utility subsidiaries provide similar services in seven additional states. Additionally, commencing on March 16, 2020, with the completion of the Peoples Gas Acquisition, the Company began to provide natural gas distribution services to customers in western Pennsylvania, Kentucky, and West Virginia. Approximately 93% of the total number of natural gas utility customers we serve are in western Pennsylvania. The Company also operates market-based businesses, conducted through its non-regulated subsidiaries, that provide utility service line protection solutions and repair services to households and gas marketing and production activities. During the fourth quarter of 2022, the Company signed an agreement to sell its regulated natural gas utility assets in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 w:right="359" w:bottom="1440" w:gutter="0" w:footer="0" w:header="0"/>
        </w:sectPr>
      </w:pPr>
    </w:p>
    <w:bookmarkStart w:id="33" w:name="page34"/>
    <w:bookmarkEnd w:id="33"/>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West Virginia, which represent approximately two percent of the Company’s regulated natural gas customers.</w:t>
      </w:r>
    </w:p>
    <w:p>
      <w:pPr>
        <w:spacing w:after="0" w:line="220"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For many years, starting in the early 1990s, our business strategy was primarily directed toward the regulated water and wastewater utility industry, where we have more than quadrupled the number of regulated customers we serve, and have extended our regulated operations from southeastern Pennsylvania to include our current regulated utility operations throughout Pennsylvania and in seven additional states. On March 16, 2020, we completed the Peoples Gas Acquisition, a natural gas distribution utility, expanding the Company’s regulated utility business to include natural gas.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spacing w:after="0" w:line="187" w:lineRule="exact"/>
        <w:rPr>
          <w:sz w:val="20"/>
          <w:szCs w:val="20"/>
          <w:color w:val="auto"/>
        </w:rPr>
      </w:pPr>
    </w:p>
    <w:p>
      <w:pPr>
        <w:ind w:right="600"/>
        <w:spacing w:after="0" w:line="239" w:lineRule="auto"/>
        <w:rPr>
          <w:sz w:val="20"/>
          <w:szCs w:val="20"/>
          <w:color w:val="auto"/>
        </w:rPr>
      </w:pPr>
      <w:r>
        <w:rPr>
          <w:rFonts w:ascii="Arial" w:cs="Arial" w:eastAsia="Arial" w:hAnsi="Arial"/>
          <w:sz w:val="22"/>
          <w:szCs w:val="22"/>
          <w:i w:val="1"/>
          <w:iCs w:val="1"/>
          <w:color w:val="auto"/>
        </w:rPr>
        <w:t>The following discussion and analysis of our financial condition and results of operations should be read together with our consolidated financial statements and related notes.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Recent Developments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Macroeconomic Factors</w:t>
      </w:r>
    </w:p>
    <w:p>
      <w:pPr>
        <w:spacing w:after="0" w:line="220"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Macroeconomic factors and uncertainties continue to affect the overall business climate as well as our business. Inflation, higher interest rates, and supply chain pressures resulted to an increase in our operating and capital spending requirements in 2022 and 2023 to date, which we expect to continue through the remainder of 2023.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Environmental Compliance</w:t>
      </w:r>
    </w:p>
    <w:p>
      <w:pPr>
        <w:spacing w:after="0" w:line="206"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On March 14, 2023, the U.S. Environmental Protection Agency (“EPA”) announced the proposed National Primary Drinking Water Regulation (“NPDWR”) for the treatment of six per-and polyfluoroalkyl substances or compounds (“PFAS”). The Company submitted comments on the proposed rulemaking, and it is expected that the EPA will finalize the regulation by early 2024.</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7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We expect that the regulation, once finalized, will result in changes to or addition of certain treatment processes that will require increased capital expenditures and operating expenses. 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Capital expenditures and operating costs required as a result of water quality standards have been traditionally recognized by state utility commissions as appropriate for inclusion in establishing rates; however, we are also actively applying for grants and low interest loans, whenever possible, to reduce the overall cost to customers.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Condition</w:t>
      </w:r>
    </w:p>
    <w:p>
      <w:pPr>
        <w:spacing w:after="0" w:line="206" w:lineRule="exact"/>
        <w:rPr>
          <w:sz w:val="20"/>
          <w:szCs w:val="20"/>
          <w:color w:val="auto"/>
        </w:rPr>
      </w:pPr>
    </w:p>
    <w:p>
      <w:pPr>
        <w:ind w:right="120"/>
        <w:spacing w:after="0" w:line="238" w:lineRule="auto"/>
        <w:rPr>
          <w:sz w:val="20"/>
          <w:szCs w:val="20"/>
          <w:color w:val="auto"/>
        </w:rPr>
      </w:pPr>
      <w:r>
        <w:rPr>
          <w:rFonts w:ascii="Arial" w:cs="Arial" w:eastAsia="Arial" w:hAnsi="Arial"/>
          <w:sz w:val="21"/>
          <w:szCs w:val="21"/>
          <w:color w:val="auto"/>
        </w:rPr>
        <w:t>Our regulated water and gas business is capital intensive and requires a significant level of capital spending. The liquidity required to fund our working capital, capital expenditures and other cash needs is provided from a combination of internally generated cash flows and external debt and equity financing. The Company’s consolidated balance sheet historically has had a negative working capital position whereby our current liabilities routinely exceed our current assets. Management believes that internally generated funds along with existing credit facilities, and the proceeds from the issuance of long-term debt and equity will be adequate to provide sufficient working capital to maintain normal operations and to meet our financing requirements for at least the next twelve months.</w:t>
      </w:r>
    </w:p>
    <w:p>
      <w:pPr>
        <w:spacing w:after="0" w:line="187" w:lineRule="exact"/>
        <w:rPr>
          <w:sz w:val="20"/>
          <w:szCs w:val="20"/>
          <w:color w:val="auto"/>
        </w:rPr>
      </w:pPr>
    </w:p>
    <w:p>
      <w:pPr>
        <w:ind w:right="20"/>
        <w:spacing w:after="0" w:line="227" w:lineRule="auto"/>
        <w:rPr>
          <w:sz w:val="20"/>
          <w:szCs w:val="20"/>
          <w:color w:val="auto"/>
        </w:rPr>
      </w:pPr>
      <w:r>
        <w:rPr>
          <w:rFonts w:ascii="Arial" w:cs="Arial" w:eastAsia="Arial" w:hAnsi="Arial"/>
          <w:sz w:val="22"/>
          <w:szCs w:val="22"/>
          <w:color w:val="auto"/>
        </w:rPr>
        <w:t>Our operating cash flow can be significantly affected by changes in operating working capital, especially during periods with significant changes in natural gas commodity prices and also the timing of our natural gas inventory purchases. Cash flow from operations was $621,422 for the first half of 2023, compared to $416,302 for the first half of 2022. The net change in working capital and other assets and liabilities resulted in an increase in cash from operations of $185,901 for the first half of 2023 compared to a decrease of $12,299 for the first half of 2022. The net change in working capital for the first half of 2023 as compared to the first half of 2022 was primarily due to a larger change in inventory – gas stored during the first half of 2023 as a result of a higher cost of gas.</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21"/>
          <w:szCs w:val="21"/>
          <w:color w:val="auto"/>
        </w:rPr>
        <w:t>During the first six months of 2023, we incurred $547,600 of capital expenditures, expended $25,793 for the acquisition of a wastewater utility system, issued $384,715 of long-term debt, repaid short-term debt, and made sinking fund contributions and other long-term debt repayments in aggregate of $317,061. The capital expenditures were related to new and replacement water, wastewater, and natural gas mains, improvements to treatment plants, tanks, hydrants, and service lines, well and booster improvements, information technology improvements, and other enhancements and improvements. The proceeds from the issuance of long-term debt, including borrowings from our revolving credit facility, were used for capital expenditures, repayment of existing indebtedness, general corporate purposes, and acquisitions. Cash flows used in financing activities were higher during the first half of 2023 principally as a result of a greater amount for the paydown of loans payable associated with the financing of inventory.</w:t>
      </w:r>
    </w:p>
    <w:p>
      <w:pPr>
        <w:spacing w:after="0" w:line="198" w:lineRule="exact"/>
        <w:rPr>
          <w:sz w:val="20"/>
          <w:szCs w:val="20"/>
          <w:color w:val="auto"/>
        </w:rPr>
      </w:pPr>
    </w:p>
    <w:p>
      <w:pPr>
        <w:ind w:right="240"/>
        <w:spacing w:after="0" w:line="227" w:lineRule="auto"/>
        <w:rPr>
          <w:sz w:val="20"/>
          <w:szCs w:val="20"/>
          <w:color w:val="auto"/>
        </w:rPr>
      </w:pPr>
      <w:r>
        <w:rPr>
          <w:rFonts w:ascii="Arial" w:cs="Arial" w:eastAsia="Arial" w:hAnsi="Arial"/>
          <w:sz w:val="22"/>
          <w:szCs w:val="22"/>
          <w:color w:val="auto"/>
        </w:rPr>
        <w:t>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35" w:name="page36"/>
    <w:bookmarkEnd w:id="35"/>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37" w:lineRule="auto"/>
        <w:rPr>
          <w:sz w:val="20"/>
          <w:szCs w:val="20"/>
          <w:color w:val="auto"/>
        </w:rPr>
      </w:pPr>
      <w:r>
        <w:rPr>
          <w:rFonts w:ascii="Arial" w:cs="Arial" w:eastAsia="Arial" w:hAnsi="Arial"/>
          <w:sz w:val="21"/>
          <w:szCs w:val="21"/>
          <w:color w:val="auto"/>
        </w:rPr>
        <w:t>On October 14, 2022, the Company entered into at-the market sales agreements (“ATM”) with third-party sales agents, under which the Company may offer and sell shares of its common stock, from time to time, at its option, having an aggregate gross offering price of up to $500,000 pursuant to the Company’s effective shelf registration statement on Form S-3 (File No. 333-255235). The Company intends to use the net proceeds from the sales of shares through the ATM for working capital, capital expenditures, water and wastewater utility acquisitions and repaying outstanding indebtedness. As of December 31, 2022, the Company had issued 1,321,994 shares of common stock for net proceeds of $63,040 under the ATM. In January 2023, the Company issued 399,128 shares of common stock for net proceeds of $19,294 under the ATM. No shares were issued under the ATM in the quarter ended June 30, 2023.</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9"/>
          <w:szCs w:val="19"/>
          <w:color w:val="auto"/>
        </w:rPr>
        <w:t>On May 20, 2022, the Company issued $500,000 of long-term debt (the “Senior Notes”), less expenses of $5,815, due in 2052 with an interest rate of 5.30%. The Company used the net proceeds from the issuance of Senior Notes to (1) to repay $49,700 of borrowings under the Aqua Pennsylvania’s 364-day revolving credit facility and $410,000 of borrowings under the Company’s existing five-year unsecured revolving credit facility, and (2) for general corporate purposes.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At June 30, 2023, we had $11,642 of cash and cash equivalents compared to $11,398 at December 31, 2022. During the first six</w:t>
      </w:r>
    </w:p>
    <w:p>
      <w:pPr>
        <w:spacing w:after="0" w:line="56" w:lineRule="exact"/>
        <w:rPr>
          <w:sz w:val="20"/>
          <w:szCs w:val="20"/>
          <w:color w:val="auto"/>
        </w:rPr>
      </w:pPr>
    </w:p>
    <w:p>
      <w:pPr>
        <w:ind w:right="340"/>
        <w:spacing w:after="0" w:line="230" w:lineRule="auto"/>
        <w:rPr>
          <w:sz w:val="20"/>
          <w:szCs w:val="20"/>
          <w:color w:val="auto"/>
        </w:rPr>
      </w:pPr>
      <w:r>
        <w:rPr>
          <w:rFonts w:ascii="Arial" w:cs="Arial" w:eastAsia="Arial" w:hAnsi="Arial"/>
          <w:sz w:val="22"/>
          <w:szCs w:val="22"/>
          <w:color w:val="auto"/>
        </w:rPr>
        <w:t>months of 2023, we used the proceeds from long-term debt and the issuance of common stock, as well as internally generated funds to fund the cash requirements discussed above and to pay dividends.</w:t>
      </w:r>
    </w:p>
    <w:p>
      <w:pPr>
        <w:spacing w:after="0" w:line="186"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color w:val="auto"/>
        </w:rPr>
        <w:t>At June 30, 2023 our $1,000,000 unsecured revolving credit facility, which expires in December 2027, had $305,362 available for borrowing. Additionally, at June 30, 2023, we had short-term lines of credit of $435,500, primarily used for working capital, of which $382,839 was available for borrowing. On June 29, 2023, Aqua Pennsylvania and Peoples Natural Gas Companies amended the terms of its respective $100,000 and $300,000 364-day revolving credit agreements by extending the maturity dates to June 27, 2024 and updated the adjustment on the Bloomberg Short-Term Bank Yield Index (BSBY) floating rate. Our short-term lines of credit of $435,500 are subject to renewal on an annual basis. Although we believe we will be able to renew these facilities, there is no assurance that they will be renewed, or what the terms of any such renewal will be.</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As of June 30, 2023, our credit ratings remained at investment grade levels. In July 2023, S&amp;P affirmed an A credit rating for the Company and its subsidiaries, Aqua Pennsylvania and Peoples Natural Gas Companies, and revised its outlook from stable to negative for the companies, citing weakening financial measures as a result of inflationary pressures and our significant capital spending.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In May 2022, Moody’s Investors Service (“Moody’s”) affirmed its Baa2 rating on the Company with a stable outlook. 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w:t>
      </w: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ind w:right="100"/>
        <w:spacing w:after="0" w:line="290" w:lineRule="auto"/>
        <w:rPr>
          <w:sz w:val="20"/>
          <w:szCs w:val="20"/>
          <w:color w:val="auto"/>
        </w:rPr>
      </w:pPr>
      <w:r>
        <w:rPr>
          <w:rFonts w:ascii="Arial" w:cs="Arial" w:eastAsia="Arial" w:hAnsi="Arial"/>
          <w:sz w:val="19"/>
          <w:szCs w:val="19"/>
          <w:color w:val="auto"/>
        </w:rPr>
        <w:t>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Consolidated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Consolidated financial and operational highlights for the periods ended June 30, 2023 and 2022 are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4"/>
              </w:rPr>
              <w:t>Three Months Ended June 30,</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7"/>
              </w:rPr>
              <w:t>Six Months Ended June 30,</w:t>
            </w:r>
          </w:p>
        </w:tc>
        <w:tc>
          <w:tcPr>
            <w:tcW w:w="0" w:type="dxa"/>
            <w:vAlign w:val="bottom"/>
          </w:tcPr>
          <w:p>
            <w:pPr>
              <w:spacing w:after="0"/>
              <w:rPr>
                <w:sz w:val="1"/>
                <w:szCs w:val="1"/>
                <w:color w:val="auto"/>
              </w:rPr>
            </w:pPr>
          </w:p>
        </w:tc>
      </w:tr>
      <w:tr>
        <w:trPr>
          <w:trHeight w:val="183"/>
        </w:trPr>
        <w:tc>
          <w:tcPr>
            <w:tcW w:w="5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560" w:type="dxa"/>
            <w:vAlign w:val="bottom"/>
            <w:gridSpan w:val="2"/>
            <w:shd w:val="clear" w:color="auto" w:fill="CCEEFF"/>
          </w:tcPr>
          <w:p>
            <w:pPr>
              <w:jc w:val="right"/>
              <w:ind w:right="47"/>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436,700</w:t>
            </w:r>
          </w:p>
        </w:tc>
        <w:tc>
          <w:tcPr>
            <w:tcW w:w="500" w:type="dxa"/>
            <w:vAlign w:val="bottom"/>
            <w:gridSpan w:val="2"/>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448,756</w:t>
            </w:r>
          </w:p>
        </w:tc>
        <w:tc>
          <w:tcPr>
            <w:tcW w:w="440" w:type="dxa"/>
            <w:vAlign w:val="bottom"/>
            <w:gridSpan w:val="2"/>
            <w:shd w:val="clear" w:color="auto" w:fill="CCEEFF"/>
          </w:tcPr>
          <w:p>
            <w:pPr>
              <w:jc w:val="right"/>
              <w:ind w:right="107"/>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1,163,150</w:t>
            </w:r>
          </w:p>
        </w:tc>
        <w:tc>
          <w:tcPr>
            <w:tcW w:w="480" w:type="dxa"/>
            <w:vAlign w:val="bottom"/>
            <w:gridSpan w:val="2"/>
            <w:shd w:val="clear" w:color="auto" w:fill="CCEEFF"/>
          </w:tcPr>
          <w:p>
            <w:pPr>
              <w:jc w:val="right"/>
              <w:ind w:right="107"/>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1,148,031</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tcBorders>
              <w:bottom w:val="single" w:sz="8" w:color="CCEEFF"/>
            </w:tcBorders>
            <w:vMerge w:val="continue"/>
          </w:tcPr>
          <w:p>
            <w:pPr>
              <w:spacing w:after="0"/>
              <w:rPr>
                <w:sz w:val="18"/>
                <w:szCs w:val="18"/>
                <w:color w:val="auto"/>
              </w:rPr>
            </w:pPr>
          </w:p>
        </w:tc>
        <w:tc>
          <w:tcPr>
            <w:tcW w:w="3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133,508</w:t>
            </w:r>
          </w:p>
        </w:tc>
        <w:tc>
          <w:tcPr>
            <w:tcW w:w="2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134,981</w:t>
            </w:r>
          </w:p>
        </w:tc>
        <w:tc>
          <w:tcPr>
            <w:tcW w:w="1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271,502</w:t>
            </w:r>
          </w:p>
        </w:tc>
        <w:tc>
          <w:tcPr>
            <w:tcW w:w="22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277,562</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Purchased gas</w:t>
            </w:r>
          </w:p>
        </w:tc>
        <w:tc>
          <w:tcPr>
            <w:tcW w:w="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41,933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75,143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298,248</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302,855</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spacing w:after="0" w:line="183" w:lineRule="exact"/>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91,268</w:t>
            </w: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82,291</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282,702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281,667</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Operating Statistics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Selected operating results as a percentage of operating revenues:</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0"/>
              </w:rPr>
              <w:t>30.6%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0"/>
              </w:rPr>
              <w:t>30.1%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0"/>
              </w:rPr>
              <w:t>23.3%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0"/>
              </w:rPr>
              <w:t>24.2%</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Purchased gas</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2"/>
              </w:rPr>
              <w:t>9.6%</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0"/>
              </w:rPr>
              <w:t>16.7%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25.6%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189"/>
        </w:trPr>
        <w:tc>
          <w:tcPr>
            <w:tcW w:w="5020" w:type="dxa"/>
            <w:vAlign w:val="bottom"/>
          </w:tcPr>
          <w:p>
            <w:pPr>
              <w:ind w:left="100"/>
              <w:spacing w:after="0" w:line="189"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0"/>
              </w:rPr>
              <w:t>19.6%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left="30"/>
              <w:spacing w:after="0" w:line="189" w:lineRule="exact"/>
              <w:rPr>
                <w:sz w:val="20"/>
                <w:szCs w:val="20"/>
                <w:color w:val="auto"/>
              </w:rPr>
            </w:pPr>
            <w:r>
              <w:rPr>
                <w:rFonts w:ascii="Arial" w:cs="Arial" w:eastAsia="Arial" w:hAnsi="Arial"/>
                <w:sz w:val="18"/>
                <w:szCs w:val="18"/>
                <w:color w:val="auto"/>
                <w:w w:val="90"/>
              </w:rPr>
              <w:t>17.6%</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0"/>
              </w:rPr>
              <w:t>14.6%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spacing w:after="0" w:line="189" w:lineRule="exact"/>
              <w:rPr>
                <w:sz w:val="20"/>
                <w:szCs w:val="20"/>
                <w:color w:val="auto"/>
              </w:rPr>
            </w:pPr>
            <w:r>
              <w:rPr>
                <w:rFonts w:ascii="Arial" w:cs="Arial" w:eastAsia="Arial" w:hAnsi="Arial"/>
                <w:sz w:val="18"/>
                <w:szCs w:val="18"/>
                <w:color w:val="auto"/>
                <w:w w:val="90"/>
              </w:rPr>
              <w:t>13.7%</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4.7%</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2"/>
              </w:rPr>
              <w:t>4.8%</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3.7%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3.9%</w:t>
            </w:r>
          </w:p>
        </w:tc>
        <w:tc>
          <w:tcPr>
            <w:tcW w:w="0" w:type="dxa"/>
            <w:vAlign w:val="bottom"/>
          </w:tcPr>
          <w:p>
            <w:pPr>
              <w:spacing w:after="0"/>
              <w:rPr>
                <w:sz w:val="1"/>
                <w:szCs w:val="1"/>
                <w:color w:val="auto"/>
              </w:rPr>
            </w:pP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 of interest income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0"/>
              </w:rPr>
              <w:t>15.6%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0"/>
              </w:rPr>
              <w:t>12.1%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0"/>
              </w:rPr>
              <w:t>12.0%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8"/>
                <w:szCs w:val="18"/>
                <w:color w:val="auto"/>
                <w:w w:val="92"/>
              </w:rPr>
              <w:t>9.4%</w:t>
            </w: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20.9%</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0"/>
              </w:rPr>
              <w:t>18.3%</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24.3%</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24.5%</w:t>
            </w: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Effective tax rate</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3"/>
              </w:rPr>
              <w:t>-0.3%</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30"/>
              <w:spacing w:after="0" w:line="189" w:lineRule="exact"/>
              <w:rPr>
                <w:sz w:val="20"/>
                <w:szCs w:val="20"/>
                <w:color w:val="auto"/>
              </w:rPr>
            </w:pPr>
            <w:r>
              <w:rPr>
                <w:rFonts w:ascii="Arial" w:cs="Arial" w:eastAsia="Arial" w:hAnsi="Arial"/>
                <w:sz w:val="18"/>
                <w:szCs w:val="18"/>
                <w:color w:val="auto"/>
                <w:w w:val="92"/>
              </w:rPr>
              <w:t>9.0%</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-12.7%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June 30, 2023 compared with three months ended June 30, 2022</w:t>
      </w:r>
    </w:p>
    <w:p>
      <w:pPr>
        <w:spacing w:after="0" w:line="220" w:lineRule="exact"/>
        <w:rPr>
          <w:sz w:val="20"/>
          <w:szCs w:val="20"/>
          <w:color w:val="auto"/>
        </w:rPr>
      </w:pPr>
    </w:p>
    <w:p>
      <w:pPr>
        <w:ind w:right="120"/>
        <w:spacing w:after="0" w:line="233" w:lineRule="auto"/>
        <w:rPr>
          <w:sz w:val="20"/>
          <w:szCs w:val="20"/>
          <w:color w:val="auto"/>
        </w:rPr>
      </w:pPr>
      <w:r>
        <w:rPr>
          <w:rFonts w:ascii="Arial" w:cs="Arial" w:eastAsia="Arial" w:hAnsi="Arial"/>
          <w:sz w:val="21"/>
          <w:szCs w:val="21"/>
          <w:color w:val="auto"/>
        </w:rPr>
        <w:t>Consolidated operating revenues decreased by $12,056 or 2.7% as compared to the same period in 2022. Revenues from our Regulated Water segment increased by $24,317. Revenues from our Regulated Natural Gas and Other business segment decreased by $28,746 and $7,627, respectively. A detailed discussion of the factors contributing to the changes in segment revenue is included below under the section, Segment Results of Operations. The decrease in our Other business segment revenue is due to lower revenues from our non-regulated natural gas operations primarily as a result of lower average gas prices and lower gas usage in the current period as compared to the prior period.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expense decreased by $1,473 or 1.1%, primarily due to:</w:t>
      </w:r>
    </w:p>
    <w:p>
      <w:pPr>
        <w:spacing w:after="0" w:line="206" w:lineRule="exact"/>
        <w:rPr>
          <w:sz w:val="20"/>
          <w:szCs w:val="20"/>
          <w:color w:val="auto"/>
        </w:rPr>
      </w:pPr>
    </w:p>
    <w:p>
      <w:pPr>
        <w:ind w:left="660" w:right="20"/>
        <w:spacing w:after="0" w:line="232" w:lineRule="auto"/>
        <w:rPr>
          <w:sz w:val="20"/>
          <w:szCs w:val="20"/>
          <w:color w:val="auto"/>
        </w:rPr>
      </w:pPr>
      <w:r>
        <w:rPr>
          <w:rFonts w:ascii="Arial" w:cs="Arial" w:eastAsia="Arial" w:hAnsi="Arial"/>
          <w:sz w:val="22"/>
          <w:szCs w:val="22"/>
          <w:color w:val="auto"/>
        </w:rPr>
        <w:t>decrease in customer assistance surcharge costs of $2,761 in our Regulated Natural Gas segment, which has an equivalent offsetting amount in revenues;</w:t>
      </w:r>
    </w:p>
    <w:p>
      <w:pPr>
        <w:spacing w:after="0" w:line="1" w:lineRule="exact"/>
        <w:rPr>
          <w:sz w:val="20"/>
          <w:szCs w:val="20"/>
          <w:color w:val="auto"/>
        </w:rPr>
      </w:pPr>
    </w:p>
    <w:p>
      <w:pPr>
        <w:ind w:left="340"/>
        <w:spacing w:after="0" w:line="217" w:lineRule="auto"/>
        <w:rPr>
          <w:sz w:val="20"/>
          <w:szCs w:val="20"/>
          <w:color w:val="auto"/>
        </w:rPr>
      </w:pPr>
      <w:r>
        <w:rPr>
          <w:rFonts w:ascii="Arial" w:cs="Arial" w:eastAsia="Arial" w:hAnsi="Arial"/>
          <w:sz w:val="22"/>
          <w:szCs w:val="22"/>
          <w:color w:val="auto"/>
        </w:rPr>
        <w:t>decrease in insurance expense of $1,326 in our Regulated Natural Gas segment;</w:t>
      </w:r>
    </w:p>
    <w:p>
      <w:pPr>
        <w:ind w:left="660" w:right="480"/>
        <w:spacing w:after="0" w:line="222" w:lineRule="auto"/>
        <w:rPr>
          <w:sz w:val="20"/>
          <w:szCs w:val="20"/>
          <w:color w:val="auto"/>
        </w:rPr>
      </w:pPr>
      <w:r>
        <w:rPr>
          <w:rFonts w:ascii="Arial" w:cs="Arial" w:eastAsia="Arial" w:hAnsi="Arial"/>
          <w:sz w:val="22"/>
          <w:szCs w:val="22"/>
          <w:color w:val="auto"/>
        </w:rPr>
        <w:t>decrease in outside services, maintenance expenses and other operating expenses in our Regulated Water segment of $4,366, primarily due to lower water main break activity and higher capitalization as a result of greater capital spend during the period; offset by,</w:t>
      </w:r>
    </w:p>
    <w:p>
      <w:pPr>
        <w:ind w:left="660" w:right="220"/>
        <w:spacing w:after="0" w:line="217" w:lineRule="auto"/>
        <w:rPr>
          <w:sz w:val="20"/>
          <w:szCs w:val="20"/>
          <w:color w:val="auto"/>
        </w:rPr>
      </w:pPr>
      <w:r>
        <w:rPr>
          <w:rFonts w:ascii="Arial" w:cs="Arial" w:eastAsia="Arial" w:hAnsi="Arial"/>
          <w:sz w:val="22"/>
          <w:szCs w:val="22"/>
          <w:color w:val="auto"/>
        </w:rPr>
        <w:t>increase in production costs for water and wastewater operations of $4,428, primarily due to higher chemical prices and increased purchased water costs;</w:t>
      </w:r>
    </w:p>
    <w:p>
      <w:pPr>
        <w:spacing w:after="0" w:line="1" w:lineRule="exact"/>
        <w:rPr>
          <w:sz w:val="20"/>
          <w:szCs w:val="20"/>
          <w:color w:val="auto"/>
        </w:rPr>
      </w:pPr>
    </w:p>
    <w:p>
      <w:pPr>
        <w:ind w:left="340"/>
        <w:spacing w:after="0" w:line="230" w:lineRule="auto"/>
        <w:rPr>
          <w:sz w:val="20"/>
          <w:szCs w:val="20"/>
          <w:color w:val="auto"/>
        </w:rPr>
      </w:pPr>
      <w:r>
        <w:rPr>
          <w:rFonts w:ascii="Arial" w:cs="Arial" w:eastAsia="Arial" w:hAnsi="Arial"/>
          <w:sz w:val="22"/>
          <w:szCs w:val="22"/>
          <w:color w:val="auto"/>
        </w:rPr>
        <w:t>increase in transportation costs of $730;</w:t>
      </w:r>
    </w:p>
    <w:p>
      <w:pPr>
        <w:ind w:left="660"/>
        <w:spacing w:after="0" w:line="217"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$964; and,</w:t>
      </w:r>
    </w:p>
    <w:p>
      <w:pPr>
        <w:spacing w:after="0" w:line="1" w:lineRule="exact"/>
        <w:rPr>
          <w:sz w:val="20"/>
          <w:szCs w:val="20"/>
          <w:color w:val="auto"/>
        </w:rPr>
      </w:pPr>
    </w:p>
    <w:p>
      <w:pPr>
        <w:jc w:val="both"/>
        <w:ind w:left="660" w:right="160"/>
        <w:spacing w:after="0" w:line="259" w:lineRule="auto"/>
        <w:rPr>
          <w:sz w:val="20"/>
          <w:szCs w:val="20"/>
          <w:color w:val="auto"/>
        </w:rPr>
      </w:pPr>
      <w:r>
        <w:rPr>
          <w:rFonts w:ascii="Arial" w:cs="Arial" w:eastAsia="Arial" w:hAnsi="Arial"/>
          <w:sz w:val="19"/>
          <w:szCs w:val="19"/>
          <w:color w:val="auto"/>
        </w:rPr>
        <w:t>increase in employee related costs, primarily due to higher headcount and employee benefits, net of lower pension cost; expenses of $161, associated with remediating an advisory for some of our water utility customers served by our Illinois</w:t>
      </w:r>
    </w:p>
    <w:p>
      <w:pPr>
        <w:ind w:left="660"/>
        <w:spacing w:after="0"/>
        <w:rPr>
          <w:sz w:val="20"/>
          <w:szCs w:val="20"/>
          <w:color w:val="auto"/>
        </w:rPr>
      </w:pPr>
      <w:r>
        <w:rPr>
          <w:rFonts w:ascii="Arial" w:cs="Arial" w:eastAsia="Arial" w:hAnsi="Arial"/>
          <w:sz w:val="22"/>
          <w:szCs w:val="22"/>
          <w:color w:val="auto"/>
        </w:rPr>
        <w:t>subsidiary. We expect the expenses associated with remediating the advisory to continue through 2023.</w:t>
      </w:r>
    </w:p>
    <w:p>
      <w:pPr>
        <w:spacing w:after="0" w:line="188" w:lineRule="exact"/>
        <w:rPr>
          <w:sz w:val="20"/>
          <w:szCs w:val="20"/>
          <w:color w:val="auto"/>
        </w:rPr>
      </w:pPr>
    </w:p>
    <w:p>
      <w:pPr>
        <w:ind w:right="60"/>
        <w:spacing w:after="0" w:line="290" w:lineRule="auto"/>
        <w:rPr>
          <w:sz w:val="20"/>
          <w:szCs w:val="20"/>
          <w:color w:val="auto"/>
        </w:rPr>
      </w:pPr>
      <w:r>
        <w:rPr>
          <w:rFonts w:ascii="Arial" w:cs="Arial" w:eastAsia="Arial" w:hAnsi="Arial"/>
          <w:sz w:val="19"/>
          <w:szCs w:val="19"/>
          <w:color w:val="auto"/>
        </w:rPr>
        <w:t>Purchased gas decreased by $33,210 or 44.2%. Purchased gas represents the cost of gas sold by Peoples, which for the regulated gas business has a corresponding offset in revenue. The expense decreased primarily due to lower gas usage and lower average cost of gas withdrawn from storage during the second quarter of 2023 as compared to the same period in the prior year.</w:t>
      </w:r>
    </w:p>
    <w:p>
      <w:pPr>
        <w:spacing w:after="0" w:line="13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Depreciation and amortization expense increased by $6,485 or 8.2% principally due to continued capital expenditures to expand and improve our utility facilities and our acquisitions of new utility systems.</w:t>
      </w:r>
    </w:p>
    <w:p>
      <w:pPr>
        <w:spacing w:after="0" w:line="161" w:lineRule="exact"/>
        <w:rPr>
          <w:sz w:val="20"/>
          <w:szCs w:val="20"/>
          <w:color w:val="auto"/>
        </w:rPr>
      </w:pPr>
    </w:p>
    <w:p>
      <w:pPr>
        <w:ind w:right="620"/>
        <w:spacing w:after="0" w:line="239" w:lineRule="auto"/>
        <w:rPr>
          <w:sz w:val="20"/>
          <w:szCs w:val="20"/>
          <w:color w:val="auto"/>
        </w:rPr>
      </w:pPr>
      <w:r>
        <w:rPr>
          <w:rFonts w:ascii="Arial" w:cs="Arial" w:eastAsia="Arial" w:hAnsi="Arial"/>
          <w:sz w:val="22"/>
          <w:szCs w:val="22"/>
          <w:color w:val="auto"/>
        </w:rPr>
        <w:t>Taxes other than income taxes decreased by $1,372 or 6.3% largely due to the decrease in pumping fees in our Aqua Texas subsidiary.</w:t>
      </w:r>
    </w:p>
    <w:p>
      <w:pPr>
        <w:spacing w:after="0" w:line="198" w:lineRule="exact"/>
        <w:rPr>
          <w:sz w:val="20"/>
          <w:szCs w:val="20"/>
          <w:color w:val="auto"/>
        </w:rPr>
      </w:pPr>
    </w:p>
    <w:p>
      <w:pPr>
        <w:ind w:right="200"/>
        <w:spacing w:after="0" w:line="231" w:lineRule="auto"/>
        <w:rPr>
          <w:sz w:val="20"/>
          <w:szCs w:val="20"/>
          <w:color w:val="auto"/>
        </w:rPr>
      </w:pPr>
      <w:r>
        <w:rPr>
          <w:rFonts w:ascii="Arial" w:cs="Arial" w:eastAsia="Arial" w:hAnsi="Arial"/>
          <w:sz w:val="22"/>
          <w:szCs w:val="22"/>
          <w:b w:val="1"/>
          <w:bCs w:val="1"/>
          <w:i w:val="1"/>
          <w:iCs w:val="1"/>
          <w:color w:val="auto"/>
        </w:rPr>
        <w:t xml:space="preserve">Other expense, net </w:t>
      </w:r>
      <w:r>
        <w:rPr>
          <w:rFonts w:ascii="Arial" w:cs="Arial" w:eastAsia="Arial" w:hAnsi="Arial"/>
          <w:sz w:val="22"/>
          <w:szCs w:val="22"/>
          <w:color w:val="auto"/>
        </w:rPr>
        <w:t>- Interest expense, net of interest income increased by $13,815 or 25.4% for the quarter primarily due to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increase in average borrowings and higher interest rates on our revolving lines of credit and our 2022 and 2023 long term borrowings.</w:t>
      </w:r>
    </w:p>
    <w:p>
      <w:pPr>
        <w:spacing w:after="0" w:line="201" w:lineRule="exact"/>
        <w:rPr>
          <w:sz w:val="20"/>
          <w:szCs w:val="20"/>
          <w:color w:val="auto"/>
        </w:rPr>
      </w:pPr>
    </w:p>
    <w:p>
      <w:pPr>
        <w:ind w:right="220"/>
        <w:spacing w:after="0" w:line="239" w:lineRule="auto"/>
        <w:rPr>
          <w:sz w:val="20"/>
          <w:szCs w:val="20"/>
          <w:color w:val="auto"/>
        </w:rPr>
      </w:pPr>
      <w:r>
        <w:rPr>
          <w:rFonts w:ascii="Arial" w:cs="Arial" w:eastAsia="Arial" w:hAnsi="Arial"/>
          <w:sz w:val="22"/>
          <w:szCs w:val="22"/>
          <w:color w:val="auto"/>
        </w:rPr>
        <w:t>Allowance for funds used during construction (“AFUDC”) decreased by $2,727 or by 44.3% due to the decrease in the average balance of utility plant construction work in progress, to which AFUDC is applied.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Other income, inclusive of gain on sale of other assets, decreased by $358 or by 39.7% primarily due to lower net pension and post-retirement non-service benefit in 2023 compared to 2022.</w:t>
      </w:r>
    </w:p>
    <w:p>
      <w:pPr>
        <w:spacing w:after="0" w:line="161"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b w:val="1"/>
          <w:bCs w:val="1"/>
          <w:i w:val="1"/>
          <w:iCs w:val="1"/>
          <w:color w:val="auto"/>
        </w:rPr>
        <w:t xml:space="preserve">Income tax benefit </w:t>
      </w:r>
      <w:r>
        <w:rPr>
          <w:rFonts w:ascii="Arial" w:cs="Arial" w:eastAsia="Arial" w:hAnsi="Arial"/>
          <w:sz w:val="19"/>
          <w:szCs w:val="19"/>
          <w:color w:val="auto"/>
        </w:rPr>
        <w:t>- Our effective income tax rate was (0.3)% in the second quarter of 2023 and 9.0% in the second quarter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2022. The decrease in the effective tax rate for the second quarter of the year is primarily attributed to the increase in income tax benefits associated with the tax deduction for qualifying infrastructure in our Regulated Natural Gas segment.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Six months ended June 30, 2023 compared with six months ended June 30, 2022</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Consolidated operating revenues increased by $15,119 or 1.3% for the six months ended June 30, 2023, as compared to the same period in 2022. Revenues from our Regulated Water segment increased by $52,419. Revenues from our Regulated Natural Gas segment and Other business segment decreased by $32,634 and $4,666, respectively. A detailed discussion of the factors contributing to the changes in segment net revenue is included below under the section, Segment Results of Operations. The decrease in our Other business segment revenue is due to lower revenues from our non-regulated natural gas operations primarily as a result of lower average gas prices and lower gas usage in the current period as compared to the prior period.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Consolidated operations and maintenance decreased by $6,060 or 2.2%, primarily due to:</w:t>
      </w:r>
    </w:p>
    <w:p>
      <w:pPr>
        <w:spacing w:after="0" w:line="206" w:lineRule="exact"/>
        <w:rPr>
          <w:sz w:val="20"/>
          <w:szCs w:val="20"/>
          <w:color w:val="auto"/>
        </w:rPr>
      </w:pPr>
    </w:p>
    <w:p>
      <w:pPr>
        <w:ind w:left="340" w:right="320"/>
        <w:spacing w:after="0" w:line="232" w:lineRule="auto"/>
        <w:rPr>
          <w:sz w:val="20"/>
          <w:szCs w:val="20"/>
          <w:color w:val="auto"/>
        </w:rPr>
      </w:pPr>
      <w:r>
        <w:rPr>
          <w:rFonts w:ascii="Arial" w:cs="Arial" w:eastAsia="Arial" w:hAnsi="Arial"/>
          <w:sz w:val="22"/>
          <w:szCs w:val="22"/>
          <w:color w:val="auto"/>
        </w:rPr>
        <w:t>decrease in customer assistance surcharge costs of $5,300 in our Regulated Natural Gas segment, which has an equivalent offsetting amount in revenues;</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22"/>
          <w:szCs w:val="22"/>
          <w:color w:val="auto"/>
        </w:rPr>
        <w:t>decrease in bad debt expense of $1,199 as a result of improvement in the age of receivables;</w:t>
      </w:r>
    </w:p>
    <w:p>
      <w:pPr>
        <w:ind w:left="340" w:right="40"/>
        <w:spacing w:after="0" w:line="222" w:lineRule="auto"/>
        <w:rPr>
          <w:sz w:val="20"/>
          <w:szCs w:val="20"/>
          <w:color w:val="auto"/>
        </w:rPr>
      </w:pPr>
      <w:r>
        <w:rPr>
          <w:rFonts w:ascii="Arial" w:cs="Arial" w:eastAsia="Arial" w:hAnsi="Arial"/>
          <w:sz w:val="22"/>
          <w:szCs w:val="22"/>
          <w:color w:val="auto"/>
        </w:rPr>
        <w:t>decrease in outside services, maintenance expenses, and other operating expenses in our Regulated Water segment of $4,463, primarily due to lower water main break activity and higher capitalization as a result of greater capital spend during the period;</w:t>
      </w:r>
    </w:p>
    <w:p>
      <w:pPr>
        <w:spacing w:after="0" w:line="217" w:lineRule="auto"/>
        <w:rPr>
          <w:sz w:val="20"/>
          <w:szCs w:val="20"/>
          <w:color w:val="auto"/>
        </w:rPr>
      </w:pPr>
      <w:r>
        <w:rPr>
          <w:rFonts w:ascii="Arial" w:cs="Arial" w:eastAsia="Arial" w:hAnsi="Arial"/>
          <w:sz w:val="22"/>
          <w:szCs w:val="22"/>
          <w:color w:val="auto"/>
        </w:rPr>
        <w:t>decrease in insurance expense of $1,407 due to lower claims;</w:t>
      </w:r>
    </w:p>
    <w:p>
      <w:pPr>
        <w:ind w:left="340" w:right="140"/>
        <w:spacing w:after="0" w:line="224" w:lineRule="auto"/>
        <w:rPr>
          <w:sz w:val="20"/>
          <w:szCs w:val="20"/>
          <w:color w:val="auto"/>
        </w:rPr>
      </w:pPr>
      <w:r>
        <w:rPr>
          <w:rFonts w:ascii="Arial" w:cs="Arial" w:eastAsia="Arial" w:hAnsi="Arial"/>
          <w:sz w:val="22"/>
          <w:szCs w:val="22"/>
          <w:color w:val="auto"/>
        </w:rPr>
        <w:t>an asset impairment charge recognized in the first quarter of 2022 of $1,801 to write down a portion of the right of use asset of our Regulated Natural Gas segment’s office space to fair value;</w:t>
      </w:r>
    </w:p>
    <w:p>
      <w:pPr>
        <w:ind w:left="340" w:right="2560"/>
        <w:spacing w:after="0" w:line="252" w:lineRule="auto"/>
        <w:rPr>
          <w:sz w:val="20"/>
          <w:szCs w:val="20"/>
          <w:color w:val="auto"/>
        </w:rPr>
      </w:pPr>
      <w:r>
        <w:rPr>
          <w:rFonts w:ascii="Arial" w:cs="Arial" w:eastAsia="Arial" w:hAnsi="Arial"/>
          <w:sz w:val="19"/>
          <w:szCs w:val="19"/>
          <w:color w:val="auto"/>
        </w:rPr>
        <w:t>decrease in postretirement benefit expense of $4,200 in our Regulated Water segment; offset by, increase in materials and supplies expense in our Regulated Natural Gas segment of $1,576;</w:t>
      </w:r>
    </w:p>
    <w:p>
      <w:pPr>
        <w:ind w:left="340" w:right="500"/>
        <w:spacing w:after="0" w:line="224" w:lineRule="auto"/>
        <w:rPr>
          <w:sz w:val="20"/>
          <w:szCs w:val="20"/>
          <w:color w:val="auto"/>
        </w:rPr>
      </w:pPr>
      <w:r>
        <w:rPr>
          <w:rFonts w:ascii="Arial" w:cs="Arial" w:eastAsia="Arial" w:hAnsi="Arial"/>
          <w:sz w:val="22"/>
          <w:szCs w:val="22"/>
          <w:color w:val="auto"/>
        </w:rPr>
        <w:t>increase in production costs for water and wastewater operations of $7,321, primarily due to higher chemical prices and increased purchased water costs;</w:t>
      </w:r>
    </w:p>
    <w:p>
      <w:pPr>
        <w:ind w:left="340" w:right="540"/>
        <w:spacing w:after="0" w:line="217" w:lineRule="auto"/>
        <w:rPr>
          <w:sz w:val="20"/>
          <w:szCs w:val="20"/>
          <w:color w:val="auto"/>
        </w:rPr>
      </w:pPr>
      <w:r>
        <w:rPr>
          <w:rFonts w:ascii="Arial" w:cs="Arial" w:eastAsia="Arial" w:hAnsi="Arial"/>
          <w:sz w:val="22"/>
          <w:szCs w:val="22"/>
          <w:color w:val="auto"/>
        </w:rPr>
        <w:t>additional operating costs associated with acquired and pending acquisitions of water and wastewater utility systems of $2,594; and,</w:t>
      </w:r>
    </w:p>
    <w:p>
      <w:pPr>
        <w:spacing w:after="0" w:line="1" w:lineRule="exact"/>
        <w:rPr>
          <w:sz w:val="20"/>
          <w:szCs w:val="20"/>
          <w:color w:val="auto"/>
        </w:rPr>
      </w:pPr>
    </w:p>
    <w:p>
      <w:pPr>
        <w:ind w:left="340" w:right="460"/>
        <w:spacing w:after="0" w:line="293" w:lineRule="auto"/>
        <w:rPr>
          <w:sz w:val="20"/>
          <w:szCs w:val="20"/>
          <w:color w:val="auto"/>
        </w:rPr>
      </w:pPr>
      <w:r>
        <w:rPr>
          <w:rFonts w:ascii="Arial" w:cs="Arial" w:eastAsia="Arial" w:hAnsi="Arial"/>
          <w:sz w:val="19"/>
          <w:szCs w:val="19"/>
          <w:color w:val="auto"/>
        </w:rPr>
        <w:t>expenses of $273, associated with remediating an advisory for some of our water utility customers served by our Illinois subsidiary. We expect the expenses associated with remediating the advisory to continue through 2023.</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9" w:name="page40"/>
    <w:bookmarkEnd w:id="39"/>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3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jc w:val="both"/>
        <w:ind w:right="80"/>
        <w:spacing w:after="0" w:line="290" w:lineRule="auto"/>
        <w:rPr>
          <w:sz w:val="20"/>
          <w:szCs w:val="20"/>
          <w:color w:val="auto"/>
        </w:rPr>
      </w:pPr>
      <w:r>
        <w:rPr>
          <w:rFonts w:ascii="Arial" w:cs="Arial" w:eastAsia="Arial" w:hAnsi="Arial"/>
          <w:sz w:val="19"/>
          <w:szCs w:val="19"/>
          <w:color w:val="auto"/>
        </w:rPr>
        <w:t>Purchased gas decreased by $4,607 or 1.5%. Purchased gas represents the cost of gas sold by Peoples for the regulated and non-regulated gas business and has a corresponding offset in revenue. The slight decrease is the result of lower gas usage in first six months of 2023 offset by the higher average cost of gas withdrawn from storage during the first quarter of 2023.</w:t>
      </w:r>
    </w:p>
    <w:p>
      <w:pPr>
        <w:spacing w:after="0" w:line="139"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Depreciation and amortization expense increased by $11,933 or 7.6% principally due to continued capital expenditures to expand and improve our utility facilities and our acquisitions of new utility systems.</w:t>
      </w:r>
    </w:p>
    <w:p>
      <w:pPr>
        <w:spacing w:after="0" w:line="175"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Taxes other than income taxes decreased by $1,501 or 3.4% largely due to the decrease in pumping fees in our Aqua Texas subsidiary.</w:t>
      </w:r>
    </w:p>
    <w:p>
      <w:pPr>
        <w:spacing w:after="0" w:line="175" w:lineRule="exact"/>
        <w:rPr>
          <w:sz w:val="20"/>
          <w:szCs w:val="20"/>
          <w:color w:val="auto"/>
        </w:rPr>
      </w:pPr>
    </w:p>
    <w:p>
      <w:pPr>
        <w:ind w:right="320"/>
        <w:spacing w:after="0" w:line="313" w:lineRule="auto"/>
        <w:rPr>
          <w:sz w:val="20"/>
          <w:szCs w:val="20"/>
          <w:color w:val="auto"/>
        </w:rPr>
      </w:pPr>
      <w:r>
        <w:rPr>
          <w:rFonts w:ascii="Arial" w:cs="Arial" w:eastAsia="Arial" w:hAnsi="Arial"/>
          <w:sz w:val="19"/>
          <w:szCs w:val="19"/>
          <w:color w:val="auto"/>
        </w:rPr>
        <w:t>Interest expense, net of interest income, increased by $32,637 or 30.4% for the period primarily due to the increase in average borrowings and higher interest rates on our revolving lines of credit and our 2022 and 2023 long term borrowings.</w:t>
      </w:r>
    </w:p>
    <w:p>
      <w:pPr>
        <w:spacing w:after="0" w:line="132"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Allowance for funds used during construction (“AFUDC”) decreased by $2,878 or by 24.0% due to the decrease in the average balance of utility plant construction work in progress, to which AFUDC is applied.</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Other income, inclusive of gain on sale of assets, decreased by $1,571 or by 60.4% compared to the same period in the prior year. During the first half of 2023, there were lower credits recognized from postretirement benefits as compared with the same period in the prior year.</w:t>
      </w:r>
    </w:p>
    <w:p>
      <w:pPr>
        <w:spacing w:after="0" w:line="199" w:lineRule="exact"/>
        <w:rPr>
          <w:sz w:val="20"/>
          <w:szCs w:val="20"/>
          <w:color w:val="auto"/>
        </w:rPr>
      </w:pPr>
    </w:p>
    <w:p>
      <w:pPr>
        <w:ind w:right="80"/>
        <w:spacing w:after="0" w:line="231" w:lineRule="auto"/>
        <w:rPr>
          <w:sz w:val="20"/>
          <w:szCs w:val="20"/>
          <w:color w:val="auto"/>
        </w:rPr>
      </w:pPr>
      <w:r>
        <w:rPr>
          <w:rFonts w:ascii="Arial" w:cs="Arial" w:eastAsia="Arial" w:hAnsi="Arial"/>
          <w:sz w:val="22"/>
          <w:szCs w:val="22"/>
          <w:color w:val="auto"/>
        </w:rPr>
        <w:t>Our effective income tax rate was (12.7)% in the first six months of 2023 and (3.4)% in the first six months of 2022. The decrease in the effective tax rate is primarily attributed to an increase in our income tax benefit associated with the tax deduction for qualifying infrastructure in our Regulated Natural Gas segment.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Segment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Regulated Water Segment</w:t>
      </w:r>
    </w:p>
    <w:p>
      <w:pPr>
        <w:spacing w:after="0" w:line="206"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Our Regulated Water segment is comprised of eight operating segments representing its water and wastewater regulated utility companies which are organized by the states where the Company provides water and wastewater services. The Regulated Water segment is aggregated into one reportable segment.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The following tables present selected operating results and statistics for our Regulated Water segment for the periods ended June 30, 2023 and 2022:</w:t>
      </w: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3"/>
              </w:rPr>
              <w:t>Three Months Ended June 30,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color w:val="auto"/>
                <w:w w:val="95"/>
              </w:rPr>
              <w:t>Six Months Ended June 30,</w:t>
            </w:r>
          </w:p>
        </w:tc>
        <w:tc>
          <w:tcPr>
            <w:tcW w:w="0" w:type="dxa"/>
            <w:vAlign w:val="bottom"/>
          </w:tcPr>
          <w:p>
            <w:pPr>
              <w:spacing w:after="0"/>
              <w:rPr>
                <w:sz w:val="1"/>
                <w:szCs w:val="1"/>
                <w:color w:val="auto"/>
              </w:rPr>
            </w:pPr>
          </w:p>
        </w:tc>
      </w:tr>
      <w:tr>
        <w:trPr>
          <w:trHeight w:val="196"/>
        </w:trPr>
        <w:tc>
          <w:tcPr>
            <w:tcW w:w="5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3"/>
        </w:trPr>
        <w:tc>
          <w:tcPr>
            <w:tcW w:w="56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293,672</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269,355</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560,972</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508,553</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Operations and maintenance expense</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vMerge w:val="continue"/>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93,227</w:t>
            </w:r>
          </w:p>
        </w:tc>
        <w:tc>
          <w:tcPr>
            <w:tcW w:w="20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92,815</w:t>
            </w:r>
          </w:p>
        </w:tc>
        <w:tc>
          <w:tcPr>
            <w:tcW w:w="18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176,029</w:t>
            </w:r>
          </w:p>
        </w:tc>
        <w:tc>
          <w:tcPr>
            <w:tcW w:w="220" w:type="dxa"/>
            <w:vAlign w:val="bottom"/>
            <w:vMerge w:val="continue"/>
          </w:tcPr>
          <w:p>
            <w:pPr>
              <w:spacing w:after="0"/>
              <w:rPr>
                <w:sz w:val="14"/>
                <w:szCs w:val="14"/>
                <w:color w:val="auto"/>
              </w:rPr>
            </w:pP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178,903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Segment net income</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90,027</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76,342</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167,429</w:t>
            </w:r>
          </w:p>
        </w:tc>
        <w:tc>
          <w:tcPr>
            <w:tcW w:w="2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136,885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Statistics</w:t>
            </w:r>
          </w:p>
        </w:tc>
        <w:tc>
          <w:tcPr>
            <w:tcW w:w="18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8"/>
                <w:szCs w:val="18"/>
                <w:color w:val="auto"/>
              </w:rPr>
              <w:t>Selected operating results as a percentage of operating revenues:</w:t>
            </w:r>
          </w:p>
        </w:tc>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18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0"/>
              </w:rPr>
              <w:t>31.7%</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34.5%</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31.4%</w:t>
            </w:r>
          </w:p>
        </w:tc>
        <w:tc>
          <w:tcPr>
            <w:tcW w:w="1140" w:type="dxa"/>
            <w:vAlign w:val="bottom"/>
            <w:shd w:val="clear" w:color="auto" w:fill="CCEEFF"/>
          </w:tcPr>
          <w:p>
            <w:pPr>
              <w:jc w:val="center"/>
              <w:ind w:left="190"/>
              <w:spacing w:after="0" w:line="189" w:lineRule="exact"/>
              <w:rPr>
                <w:sz w:val="20"/>
                <w:szCs w:val="20"/>
                <w:color w:val="auto"/>
              </w:rPr>
            </w:pPr>
            <w:r>
              <w:rPr>
                <w:rFonts w:ascii="Arial" w:cs="Arial" w:eastAsia="Arial" w:hAnsi="Arial"/>
                <w:sz w:val="18"/>
                <w:szCs w:val="18"/>
                <w:color w:val="auto"/>
                <w:w w:val="90"/>
              </w:rPr>
              <w:t>35.2%</w:t>
            </w:r>
          </w:p>
        </w:tc>
      </w:tr>
      <w:tr>
        <w:trPr>
          <w:trHeight w:val="203"/>
        </w:trPr>
        <w:tc>
          <w:tcPr>
            <w:tcW w:w="5480" w:type="dxa"/>
            <w:vAlign w:val="bottom"/>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center"/>
              <w:ind w:left="250"/>
              <w:spacing w:after="0" w:line="202" w:lineRule="exact"/>
              <w:rPr>
                <w:sz w:val="20"/>
                <w:szCs w:val="20"/>
                <w:color w:val="auto"/>
              </w:rPr>
            </w:pPr>
            <w:r>
              <w:rPr>
                <w:rFonts w:ascii="Arial" w:cs="Arial" w:eastAsia="Arial" w:hAnsi="Arial"/>
                <w:sz w:val="18"/>
                <w:szCs w:val="18"/>
                <w:color w:val="auto"/>
                <w:w w:val="90"/>
              </w:rPr>
              <w:t>18.1%</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0"/>
              </w:rPr>
              <w:t>18.7%</w:t>
            </w:r>
          </w:p>
        </w:tc>
        <w:tc>
          <w:tcPr>
            <w:tcW w:w="1420" w:type="dxa"/>
            <w:vAlign w:val="bottom"/>
          </w:tcPr>
          <w:p>
            <w:pPr>
              <w:jc w:val="center"/>
              <w:spacing w:after="0" w:line="202" w:lineRule="exact"/>
              <w:rPr>
                <w:sz w:val="20"/>
                <w:szCs w:val="20"/>
                <w:color w:val="auto"/>
              </w:rPr>
            </w:pPr>
            <w:r>
              <w:rPr>
                <w:rFonts w:ascii="Arial" w:cs="Arial" w:eastAsia="Arial" w:hAnsi="Arial"/>
                <w:sz w:val="18"/>
                <w:szCs w:val="18"/>
                <w:color w:val="auto"/>
                <w:w w:val="90"/>
              </w:rPr>
              <w:t>19.0%</w:t>
            </w:r>
          </w:p>
        </w:tc>
        <w:tc>
          <w:tcPr>
            <w:tcW w:w="1140" w:type="dxa"/>
            <w:vAlign w:val="bottom"/>
          </w:tcPr>
          <w:p>
            <w:pPr>
              <w:jc w:val="center"/>
              <w:ind w:left="190"/>
              <w:spacing w:after="0" w:line="202" w:lineRule="exact"/>
              <w:rPr>
                <w:sz w:val="20"/>
                <w:szCs w:val="20"/>
                <w:color w:val="auto"/>
              </w:rPr>
            </w:pPr>
            <w:r>
              <w:rPr>
                <w:rFonts w:ascii="Arial" w:cs="Arial" w:eastAsia="Arial" w:hAnsi="Arial"/>
                <w:sz w:val="18"/>
                <w:szCs w:val="18"/>
                <w:color w:val="auto"/>
                <w:w w:val="90"/>
              </w:rPr>
              <w:t>19.5%</w:t>
            </w: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1800" w:type="dxa"/>
            <w:vAlign w:val="bottom"/>
            <w:shd w:val="clear" w:color="auto" w:fill="CCEEFF"/>
          </w:tcPr>
          <w:p>
            <w:pPr>
              <w:jc w:val="center"/>
              <w:ind w:left="250"/>
              <w:spacing w:after="0" w:line="189" w:lineRule="exact"/>
              <w:rPr>
                <w:sz w:val="20"/>
                <w:szCs w:val="20"/>
                <w:color w:val="auto"/>
              </w:rPr>
            </w:pPr>
            <w:r>
              <w:rPr>
                <w:rFonts w:ascii="Arial" w:cs="Arial" w:eastAsia="Arial" w:hAnsi="Arial"/>
                <w:sz w:val="18"/>
                <w:szCs w:val="18"/>
                <w:color w:val="auto"/>
                <w:w w:val="92"/>
              </w:rPr>
              <w:t>4.8%</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5.8%</w:t>
            </w:r>
          </w:p>
        </w:tc>
        <w:tc>
          <w:tcPr>
            <w:tcW w:w="14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5.3%</w:t>
            </w:r>
          </w:p>
        </w:tc>
        <w:tc>
          <w:tcPr>
            <w:tcW w:w="1140" w:type="dxa"/>
            <w:vAlign w:val="bottom"/>
            <w:shd w:val="clear" w:color="auto" w:fill="CCEEFF"/>
          </w:tcPr>
          <w:p>
            <w:pPr>
              <w:jc w:val="center"/>
              <w:ind w:left="190"/>
              <w:spacing w:after="0" w:line="189" w:lineRule="exact"/>
              <w:rPr>
                <w:sz w:val="20"/>
                <w:szCs w:val="20"/>
                <w:color w:val="auto"/>
              </w:rPr>
            </w:pPr>
            <w:r>
              <w:rPr>
                <w:rFonts w:ascii="Arial" w:cs="Arial" w:eastAsia="Arial" w:hAnsi="Arial"/>
                <w:sz w:val="18"/>
                <w:szCs w:val="18"/>
                <w:color w:val="auto"/>
                <w:w w:val="92"/>
              </w:rPr>
              <w:t>6.2%</w:t>
            </w:r>
          </w:p>
        </w:tc>
      </w:tr>
      <w:tr>
        <w:trPr>
          <w:trHeight w:val="189"/>
        </w:trPr>
        <w:tc>
          <w:tcPr>
            <w:tcW w:w="5480" w:type="dxa"/>
            <w:vAlign w:val="bottom"/>
          </w:tcPr>
          <w:p>
            <w:pPr>
              <w:ind w:left="100"/>
              <w:spacing w:after="0" w:line="189" w:lineRule="exact"/>
              <w:rPr>
                <w:sz w:val="20"/>
                <w:szCs w:val="20"/>
                <w:color w:val="auto"/>
              </w:rPr>
            </w:pPr>
            <w:r>
              <w:rPr>
                <w:rFonts w:ascii="Arial" w:cs="Arial" w:eastAsia="Arial" w:hAnsi="Arial"/>
                <w:sz w:val="18"/>
                <w:szCs w:val="18"/>
                <w:color w:val="auto"/>
              </w:rPr>
              <w:t>Interest expense, net of interest income</w:t>
            </w:r>
          </w:p>
        </w:tc>
        <w:tc>
          <w:tcPr>
            <w:tcW w:w="1800" w:type="dxa"/>
            <w:vAlign w:val="bottom"/>
          </w:tcPr>
          <w:p>
            <w:pPr>
              <w:jc w:val="center"/>
              <w:ind w:left="250"/>
              <w:spacing w:after="0" w:line="189" w:lineRule="exact"/>
              <w:rPr>
                <w:sz w:val="20"/>
                <w:szCs w:val="20"/>
                <w:color w:val="auto"/>
              </w:rPr>
            </w:pPr>
            <w:r>
              <w:rPr>
                <w:rFonts w:ascii="Arial" w:cs="Arial" w:eastAsia="Arial" w:hAnsi="Arial"/>
                <w:sz w:val="18"/>
                <w:szCs w:val="18"/>
                <w:color w:val="auto"/>
                <w:w w:val="90"/>
              </w:rPr>
              <w:t>10.4%</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auto"/>
                <w:w w:val="90"/>
              </w:rPr>
              <w:t>10.2%</w:t>
            </w: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0"/>
              </w:rPr>
              <w:t>10.7%</w:t>
            </w:r>
          </w:p>
        </w:tc>
        <w:tc>
          <w:tcPr>
            <w:tcW w:w="1140" w:type="dxa"/>
            <w:vAlign w:val="bottom"/>
          </w:tcPr>
          <w:p>
            <w:pPr>
              <w:jc w:val="center"/>
              <w:ind w:left="190"/>
              <w:spacing w:after="0" w:line="189" w:lineRule="exact"/>
              <w:rPr>
                <w:sz w:val="20"/>
                <w:szCs w:val="20"/>
                <w:color w:val="auto"/>
              </w:rPr>
            </w:pPr>
            <w:r>
              <w:rPr>
                <w:rFonts w:ascii="Arial" w:cs="Arial" w:eastAsia="Arial" w:hAnsi="Arial"/>
                <w:sz w:val="18"/>
                <w:szCs w:val="18"/>
                <w:color w:val="auto"/>
                <w:w w:val="90"/>
              </w:rPr>
              <w:t>10.8%</w:t>
            </w:r>
          </w:p>
        </w:tc>
      </w:tr>
      <w:tr>
        <w:trPr>
          <w:trHeight w:val="203"/>
        </w:trPr>
        <w:tc>
          <w:tcPr>
            <w:tcW w:w="54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Segment net income</w:t>
            </w:r>
          </w:p>
        </w:tc>
        <w:tc>
          <w:tcPr>
            <w:tcW w:w="1800" w:type="dxa"/>
            <w:vAlign w:val="bottom"/>
            <w:shd w:val="clear" w:color="auto" w:fill="CCEEFF"/>
          </w:tcPr>
          <w:p>
            <w:pPr>
              <w:jc w:val="center"/>
              <w:ind w:left="250"/>
              <w:spacing w:after="0" w:line="202" w:lineRule="exact"/>
              <w:rPr>
                <w:sz w:val="20"/>
                <w:szCs w:val="20"/>
                <w:color w:val="auto"/>
              </w:rPr>
            </w:pPr>
            <w:r>
              <w:rPr>
                <w:rFonts w:ascii="Arial" w:cs="Arial" w:eastAsia="Arial" w:hAnsi="Arial"/>
                <w:sz w:val="18"/>
                <w:szCs w:val="18"/>
                <w:color w:val="auto"/>
                <w:w w:val="90"/>
              </w:rPr>
              <w:t>30.7%</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28.3%</w:t>
            </w: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29.8%</w:t>
            </w:r>
          </w:p>
        </w:tc>
        <w:tc>
          <w:tcPr>
            <w:tcW w:w="114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0"/>
              </w:rPr>
              <w:t>26.9%</w:t>
            </w:r>
          </w:p>
        </w:tc>
      </w:tr>
      <w:tr>
        <w:trPr>
          <w:trHeight w:val="189"/>
        </w:trPr>
        <w:tc>
          <w:tcPr>
            <w:tcW w:w="5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1800" w:type="dxa"/>
            <w:vAlign w:val="bottom"/>
            <w:shd w:val="clear" w:color="auto" w:fill="CCEEFF"/>
          </w:tcPr>
          <w:p>
            <w:pPr>
              <w:jc w:val="center"/>
              <w:ind w:left="250"/>
              <w:spacing w:after="0" w:line="202" w:lineRule="exact"/>
              <w:rPr>
                <w:sz w:val="20"/>
                <w:szCs w:val="20"/>
                <w:color w:val="auto"/>
              </w:rPr>
            </w:pPr>
            <w:r>
              <w:rPr>
                <w:rFonts w:ascii="Arial" w:cs="Arial" w:eastAsia="Arial" w:hAnsi="Arial"/>
                <w:sz w:val="18"/>
                <w:szCs w:val="18"/>
                <w:color w:val="auto"/>
                <w:w w:val="90"/>
              </w:rPr>
              <w:t>15.0%</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15.4%</w:t>
            </w:r>
          </w:p>
        </w:tc>
        <w:tc>
          <w:tcPr>
            <w:tcW w:w="14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14.9%</w:t>
            </w:r>
          </w:p>
        </w:tc>
        <w:tc>
          <w:tcPr>
            <w:tcW w:w="1140" w:type="dxa"/>
            <w:vAlign w:val="bottom"/>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0"/>
              </w:rPr>
              <w:t>13.5%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June 30, 2023 compared with three months ended June 30, 2022</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Revenues from our Regulated Water segment increased by $24,317 or 9.0% for the first quarter of 2023 as compared to the same period in 2022, mainly due to the following: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an increase in water and wastewater rates, including infrastructure rehabilitation surcharges, of $19,699;</w:t>
      </w:r>
    </w:p>
    <w:p>
      <w:pPr>
        <w:spacing w:after="0" w:line="8" w:lineRule="exact"/>
        <w:rPr>
          <w:sz w:val="20"/>
          <w:szCs w:val="20"/>
          <w:color w:val="auto"/>
        </w:rPr>
      </w:pPr>
    </w:p>
    <w:p>
      <w:pPr>
        <w:ind w:left="660" w:right="120"/>
        <w:spacing w:after="0" w:line="217" w:lineRule="auto"/>
        <w:rPr>
          <w:sz w:val="20"/>
          <w:szCs w:val="20"/>
          <w:color w:val="auto"/>
        </w:rPr>
      </w:pPr>
      <w:r>
        <w:rPr>
          <w:rFonts w:ascii="Arial" w:cs="Arial" w:eastAsia="Arial" w:hAnsi="Arial"/>
          <w:sz w:val="22"/>
          <w:szCs w:val="22"/>
          <w:color w:val="auto"/>
        </w:rPr>
        <w:t>additional water and wastewater revenues of $2,956 associated with a larger customer base due to utility acquisitions and organic growth;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1"/>
          <w:szCs w:val="21"/>
          <w:color w:val="auto"/>
        </w:rPr>
        <w:t>increase in volume consumption of $1,866 as a result of warmer weather conditions in the second quarter of 2023.</w:t>
      </w:r>
    </w:p>
    <w:p>
      <w:pPr>
        <w:spacing w:after="0" w:line="213" w:lineRule="exact"/>
        <w:rPr>
          <w:sz w:val="20"/>
          <w:szCs w:val="20"/>
          <w:color w:val="auto"/>
        </w:rPr>
      </w:pPr>
    </w:p>
    <w:p>
      <w:pPr>
        <w:ind w:right="260"/>
        <w:spacing w:after="0" w:line="239" w:lineRule="auto"/>
        <w:rPr>
          <w:sz w:val="20"/>
          <w:szCs w:val="20"/>
          <w:color w:val="auto"/>
        </w:rPr>
      </w:pPr>
      <w:r>
        <w:rPr>
          <w:rFonts w:ascii="Arial" w:cs="Arial" w:eastAsia="Arial" w:hAnsi="Arial"/>
          <w:sz w:val="22"/>
          <w:szCs w:val="22"/>
          <w:color w:val="auto"/>
        </w:rPr>
        <w:t>Operations and maintenance expense for the three months ended June 30, 2023 increased by $412 or 0.4% primarily due to the following:</w:t>
      </w:r>
    </w:p>
    <w:p>
      <w:pPr>
        <w:spacing w:after="0" w:line="185" w:lineRule="exact"/>
        <w:rPr>
          <w:sz w:val="20"/>
          <w:szCs w:val="20"/>
          <w:color w:val="auto"/>
        </w:rPr>
      </w:pPr>
    </w:p>
    <w:p>
      <w:pPr>
        <w:ind w:left="660" w:right="120"/>
        <w:spacing w:after="0" w:line="269" w:lineRule="auto"/>
        <w:rPr>
          <w:sz w:val="20"/>
          <w:szCs w:val="20"/>
          <w:color w:val="auto"/>
        </w:rPr>
      </w:pPr>
      <w:r>
        <w:rPr>
          <w:rFonts w:ascii="Arial" w:cs="Arial" w:eastAsia="Arial" w:hAnsi="Arial"/>
          <w:sz w:val="19"/>
          <w:szCs w:val="19"/>
          <w:color w:val="auto"/>
        </w:rPr>
        <w:t>decrease in outside services, maintenance expenses and other operating expenses of $4,366; primarily due to lower water main break activity and higher capitalization as a result of greater capital spend during the period; offset by,</w:t>
      </w:r>
    </w:p>
    <w:p>
      <w:pPr>
        <w:ind w:left="660" w:right="240"/>
        <w:spacing w:after="0" w:line="217" w:lineRule="auto"/>
        <w:rPr>
          <w:sz w:val="20"/>
          <w:szCs w:val="20"/>
          <w:color w:val="auto"/>
        </w:rPr>
      </w:pPr>
      <w:r>
        <w:rPr>
          <w:rFonts w:ascii="Arial" w:cs="Arial" w:eastAsia="Arial" w:hAnsi="Arial"/>
          <w:sz w:val="22"/>
          <w:szCs w:val="22"/>
          <w:color w:val="auto"/>
        </w:rPr>
        <w:t>increase in production costs for water and wastewater operations of $4,428, primarily due to higher chemical prices and increased purchased water costs;</w:t>
      </w:r>
    </w:p>
    <w:p>
      <w:pPr>
        <w:spacing w:after="0" w:line="1" w:lineRule="exact"/>
        <w:rPr>
          <w:sz w:val="20"/>
          <w:szCs w:val="20"/>
          <w:color w:val="auto"/>
        </w:rPr>
      </w:pPr>
    </w:p>
    <w:p>
      <w:pPr>
        <w:ind w:left="660" w:right="20"/>
        <w:spacing w:after="0" w:line="224"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$964; and,</w:t>
      </w:r>
    </w:p>
    <w:p>
      <w:pPr>
        <w:ind w:left="660" w:right="180"/>
        <w:spacing w:after="0" w:line="293" w:lineRule="auto"/>
        <w:rPr>
          <w:sz w:val="20"/>
          <w:szCs w:val="20"/>
          <w:color w:val="auto"/>
        </w:rPr>
      </w:pPr>
      <w:r>
        <w:rPr>
          <w:rFonts w:ascii="Arial" w:cs="Arial" w:eastAsia="Arial" w:hAnsi="Arial"/>
          <w:sz w:val="19"/>
          <w:szCs w:val="19"/>
          <w:color w:val="auto"/>
        </w:rPr>
        <w:t>expenses of $161, associated with remediating an advisory for some of our water utility customers served by our Illinois subsidiary. We expect the expenses associated with remediating the advisory to continue through 2023.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Depreciation and amortization increased by $2,971 or 5.9% primarily due to continued capital investment to expand and improve our utility facilities and our acquisitions of new utility systems.</w:t>
      </w:r>
    </w:p>
    <w:p>
      <w:pPr>
        <w:spacing w:after="0" w:line="175"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b w:val="1"/>
          <w:bCs w:val="1"/>
          <w:i w:val="1"/>
          <w:iCs w:val="1"/>
          <w:color w:val="auto"/>
        </w:rPr>
        <w:t xml:space="preserve">Other expense, net </w:t>
      </w:r>
      <w:r>
        <w:rPr>
          <w:rFonts w:ascii="Arial" w:cs="Arial" w:eastAsia="Arial" w:hAnsi="Arial"/>
          <w:sz w:val="22"/>
          <w:szCs w:val="22"/>
          <w:color w:val="auto"/>
        </w:rPr>
        <w:t>– Interest expense, net, increased by $2,919 or 10.6% for the quarter primarily due to an increase in average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borrowings and increased borrowing costs.</w:t>
      </w:r>
    </w:p>
    <w:p>
      <w:pPr>
        <w:spacing w:after="0" w:line="198" w:lineRule="exact"/>
        <w:rPr>
          <w:sz w:val="20"/>
          <w:szCs w:val="20"/>
          <w:color w:val="auto"/>
        </w:rPr>
      </w:pPr>
    </w:p>
    <w:p>
      <w:pPr>
        <w:ind w:right="680"/>
        <w:spacing w:after="0" w:line="239" w:lineRule="auto"/>
        <w:rPr>
          <w:sz w:val="20"/>
          <w:szCs w:val="20"/>
          <w:color w:val="auto"/>
        </w:rPr>
      </w:pPr>
      <w:r>
        <w:rPr>
          <w:rFonts w:ascii="Arial" w:cs="Arial" w:eastAsia="Arial" w:hAnsi="Arial"/>
          <w:sz w:val="22"/>
          <w:szCs w:val="22"/>
          <w:color w:val="auto"/>
        </w:rPr>
        <w:t>AFUDC decreased by $2,407 or by 45.0% due to the decrease in the average balance of utility plant construction work in progress, to which AFUDC is applied.</w:t>
      </w:r>
    </w:p>
    <w:p>
      <w:pPr>
        <w:spacing w:after="0" w:line="198"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Other income, inclusive of gain on sale of other assets, decreased by $1,297 or by 75.1% primarily due to lower net pension and post-retirement non-service benefit during the second quarter of 2023 compared to 2022.</w:t>
      </w:r>
    </w:p>
    <w:p>
      <w:pPr>
        <w:spacing w:after="0" w:line="188" w:lineRule="exact"/>
        <w:rPr>
          <w:sz w:val="20"/>
          <w:szCs w:val="20"/>
          <w:color w:val="auto"/>
        </w:rPr>
      </w:pPr>
    </w:p>
    <w:p>
      <w:pPr>
        <w:ind w:right="40"/>
        <w:spacing w:after="0" w:line="231" w:lineRule="auto"/>
        <w:rPr>
          <w:sz w:val="20"/>
          <w:szCs w:val="20"/>
          <w:color w:val="auto"/>
        </w:rPr>
      </w:pPr>
      <w:r>
        <w:rPr>
          <w:rFonts w:ascii="Arial" w:cs="Arial" w:eastAsia="Arial" w:hAnsi="Arial"/>
          <w:sz w:val="22"/>
          <w:szCs w:val="22"/>
          <w:b w:val="1"/>
          <w:bCs w:val="1"/>
          <w:i w:val="1"/>
          <w:iCs w:val="1"/>
          <w:color w:val="auto"/>
        </w:rPr>
        <w:t xml:space="preserve">Provision for income tax </w:t>
      </w:r>
      <w:r>
        <w:rPr>
          <w:rFonts w:ascii="Arial" w:cs="Arial" w:eastAsia="Arial" w:hAnsi="Arial"/>
          <w:sz w:val="22"/>
          <w:szCs w:val="22"/>
          <w:color w:val="auto"/>
        </w:rPr>
        <w:t>– Our effective income tax rate for our Regulated Water Segment was an expense of 15.0% in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second quarter of 2023, compared to an expense of 15.4% in the second quarter of 2022. The decrease in the effective tax rate is primarily the result of changes in the jurisdictional earnings mix.</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Six months ended June 30, 2023 compared with six months ended June 30, 2022</w:t>
      </w:r>
    </w:p>
    <w:p>
      <w:pPr>
        <w:spacing w:after="0" w:line="206"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Revenues increased by $52,419 or 10.3% for the first six months of 2023 as compared to the same period in 2022, mainly due to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an increase in water and wastewater rates, including infrastructure rehabilitation surcharges, of $38,997;</w:t>
      </w:r>
    </w:p>
    <w:p>
      <w:pPr>
        <w:ind w:left="340" w:right="380"/>
        <w:spacing w:after="0" w:line="224" w:lineRule="auto"/>
        <w:rPr>
          <w:sz w:val="20"/>
          <w:szCs w:val="20"/>
          <w:color w:val="auto"/>
        </w:rPr>
      </w:pPr>
      <w:r>
        <w:rPr>
          <w:rFonts w:ascii="Arial" w:cs="Arial" w:eastAsia="Arial" w:hAnsi="Arial"/>
          <w:sz w:val="22"/>
          <w:szCs w:val="22"/>
          <w:color w:val="auto"/>
        </w:rPr>
        <w:t>additional water and wastewater revenues of $7,850 associated with a larger customer base due to utility acquisitions and organic growth;</w:t>
      </w:r>
    </w:p>
    <w:p>
      <w:pPr>
        <w:spacing w:after="0" w:line="217" w:lineRule="auto"/>
        <w:rPr>
          <w:sz w:val="20"/>
          <w:szCs w:val="20"/>
          <w:color w:val="auto"/>
        </w:rPr>
      </w:pPr>
      <w:r>
        <w:rPr>
          <w:rFonts w:ascii="Arial" w:cs="Arial" w:eastAsia="Arial" w:hAnsi="Arial"/>
          <w:sz w:val="22"/>
          <w:szCs w:val="22"/>
          <w:color w:val="auto"/>
        </w:rPr>
        <w:t>increase in volume consumption of $1,622 as a result of warmer weather conditions in 2023; and,</w:t>
      </w:r>
    </w:p>
    <w:p>
      <w:pPr>
        <w:spacing w:after="0" w:line="217" w:lineRule="auto"/>
        <w:rPr>
          <w:sz w:val="20"/>
          <w:szCs w:val="20"/>
          <w:color w:val="auto"/>
        </w:rPr>
      </w:pPr>
      <w:r>
        <w:rPr>
          <w:rFonts w:ascii="Arial" w:cs="Arial" w:eastAsia="Arial" w:hAnsi="Arial"/>
          <w:sz w:val="22"/>
          <w:szCs w:val="22"/>
          <w:color w:val="auto"/>
        </w:rPr>
        <w:t>increase in non-utility revenue of $4,509, primarily due to higher developer fees earned during Q1 of 2023.</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2" w:name="page43"/>
    <w:bookmarkEnd w:id="42"/>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5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39" w:lineRule="auto"/>
        <w:rPr>
          <w:sz w:val="20"/>
          <w:szCs w:val="20"/>
          <w:color w:val="auto"/>
        </w:rPr>
      </w:pPr>
      <w:r>
        <w:rPr>
          <w:rFonts w:ascii="Arial" w:cs="Arial" w:eastAsia="Arial" w:hAnsi="Arial"/>
          <w:sz w:val="22"/>
          <w:szCs w:val="22"/>
          <w:color w:val="auto"/>
        </w:rPr>
        <w:t>Operations and maintenance expense for the six months ended June 30, 2023 decreased by $2,874 or 1.6% primarily due to the following:</w:t>
      </w:r>
    </w:p>
    <w:p>
      <w:pPr>
        <w:spacing w:after="0" w:line="185" w:lineRule="exact"/>
        <w:rPr>
          <w:sz w:val="20"/>
          <w:szCs w:val="20"/>
          <w:color w:val="auto"/>
        </w:rPr>
      </w:pPr>
    </w:p>
    <w:p>
      <w:pPr>
        <w:ind w:left="340" w:right="380"/>
        <w:spacing w:after="0" w:line="243" w:lineRule="auto"/>
        <w:rPr>
          <w:sz w:val="20"/>
          <w:szCs w:val="20"/>
          <w:color w:val="auto"/>
        </w:rPr>
      </w:pPr>
      <w:r>
        <w:rPr>
          <w:rFonts w:ascii="Arial" w:cs="Arial" w:eastAsia="Arial" w:hAnsi="Arial"/>
          <w:sz w:val="21"/>
          <w:szCs w:val="21"/>
          <w:color w:val="auto"/>
        </w:rPr>
        <w:t>lower outside services, maintenance expenses and other operating expenses of $4,463, primarily due to lower water main break activity and higher capitalization as a result of greater capital spend during the period;</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22"/>
          <w:szCs w:val="22"/>
          <w:color w:val="auto"/>
        </w:rPr>
        <w:t>lower insurance expense of $1,131 due to lower claims;</w:t>
      </w:r>
    </w:p>
    <w:p>
      <w:pPr>
        <w:ind w:left="340" w:right="2800"/>
        <w:spacing w:after="0" w:line="224" w:lineRule="auto"/>
        <w:rPr>
          <w:sz w:val="20"/>
          <w:szCs w:val="20"/>
          <w:color w:val="auto"/>
        </w:rPr>
      </w:pPr>
      <w:r>
        <w:rPr>
          <w:rFonts w:ascii="Arial" w:cs="Arial" w:eastAsia="Arial" w:hAnsi="Arial"/>
          <w:sz w:val="22"/>
          <w:szCs w:val="22"/>
          <w:color w:val="auto"/>
        </w:rPr>
        <w:t>decrease in bad debt expenses of $1,245 as a result of improvement in the age of receivables; decrease in postretirement benefit expense of $4,200; offset by,</w:t>
      </w:r>
    </w:p>
    <w:p>
      <w:pPr>
        <w:ind w:left="340" w:right="120"/>
        <w:spacing w:after="0" w:line="217" w:lineRule="auto"/>
        <w:rPr>
          <w:sz w:val="20"/>
          <w:szCs w:val="20"/>
          <w:color w:val="auto"/>
        </w:rPr>
      </w:pPr>
      <w:r>
        <w:rPr>
          <w:rFonts w:ascii="Arial" w:cs="Arial" w:eastAsia="Arial" w:hAnsi="Arial"/>
          <w:sz w:val="22"/>
          <w:szCs w:val="22"/>
          <w:color w:val="auto"/>
        </w:rPr>
        <w:t>additional operating costs resulting from acquired water and wastewater utility systems and higher customer base of $2,594; increase in production costs for water and wastewater operations of $7,321; and,</w:t>
      </w:r>
    </w:p>
    <w:p>
      <w:pPr>
        <w:spacing w:after="0" w:line="1" w:lineRule="exact"/>
        <w:rPr>
          <w:sz w:val="20"/>
          <w:szCs w:val="20"/>
          <w:color w:val="auto"/>
        </w:rPr>
      </w:pPr>
    </w:p>
    <w:p>
      <w:pPr>
        <w:ind w:left="340" w:right="460"/>
        <w:spacing w:after="0" w:line="308" w:lineRule="auto"/>
        <w:rPr>
          <w:sz w:val="20"/>
          <w:szCs w:val="20"/>
          <w:color w:val="auto"/>
        </w:rPr>
      </w:pPr>
      <w:r>
        <w:rPr>
          <w:rFonts w:ascii="Arial" w:cs="Arial" w:eastAsia="Arial" w:hAnsi="Arial"/>
          <w:sz w:val="19"/>
          <w:szCs w:val="19"/>
          <w:color w:val="auto"/>
        </w:rPr>
        <w:t>expenses of $273, associated with remediating an advisory for some of our water utility customers served by our Illinois subsidiary. We expect the expenses associated with remediating the advisory to continue through 2023.</w:t>
      </w:r>
    </w:p>
    <w:p>
      <w:pPr>
        <w:spacing w:after="0" w:line="123" w:lineRule="exact"/>
        <w:rPr>
          <w:sz w:val="20"/>
          <w:szCs w:val="20"/>
          <w:color w:val="auto"/>
        </w:rPr>
      </w:pPr>
    </w:p>
    <w:p>
      <w:pPr>
        <w:ind w:right="140"/>
        <w:spacing w:after="0" w:line="239" w:lineRule="auto"/>
        <w:rPr>
          <w:sz w:val="20"/>
          <w:szCs w:val="20"/>
          <w:color w:val="auto"/>
        </w:rPr>
      </w:pPr>
      <w:r>
        <w:rPr>
          <w:rFonts w:ascii="Arial" w:cs="Arial" w:eastAsia="Arial" w:hAnsi="Arial"/>
          <w:sz w:val="22"/>
          <w:szCs w:val="22"/>
          <w:color w:val="auto"/>
        </w:rPr>
        <w:t>Depreciation and amortization increased by $7,722 or 7.8% primarily due to continued capital investment, offset by a change in the amortization of a regulated liability in 2022.</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Interest expense, net, increased by $5,078 or 9.2% for the quarter primarily due to an increase in average borrowings.</w:t>
      </w:r>
    </w:p>
    <w:p>
      <w:pPr>
        <w:spacing w:after="0" w:line="21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AFUDC decreased by $2,610 or 24.9% due to the decrease in the average balance of utility plant construction work in progress, to which AFUDC is applied.</w:t>
      </w:r>
    </w:p>
    <w:p>
      <w:pPr>
        <w:spacing w:after="0" w:line="175" w:lineRule="exact"/>
        <w:rPr>
          <w:sz w:val="20"/>
          <w:szCs w:val="20"/>
          <w:color w:val="auto"/>
        </w:rPr>
      </w:pPr>
    </w:p>
    <w:p>
      <w:pPr>
        <w:ind w:right="380"/>
        <w:spacing w:after="0" w:line="236" w:lineRule="auto"/>
        <w:rPr>
          <w:sz w:val="20"/>
          <w:szCs w:val="20"/>
          <w:color w:val="auto"/>
        </w:rPr>
      </w:pPr>
      <w:r>
        <w:rPr>
          <w:rFonts w:ascii="Arial" w:cs="Arial" w:eastAsia="Arial" w:hAnsi="Arial"/>
          <w:sz w:val="22"/>
          <w:szCs w:val="22"/>
          <w:color w:val="auto"/>
        </w:rPr>
        <w:t>Our effective income tax rate for our Regulated Water Segment was an expense of 14.9% in the first six months of 2023, compared to an expense of 13.5% in the first six months of 2022. The increase the effective tax rate is primarily the result of changes in the jurisdictional earnings mix.</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Regulated Natural Gas Segment</w:t>
      </w:r>
    </w:p>
    <w:p>
      <w:pPr>
        <w:spacing w:after="0" w:line="220"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Our Regulated Natural Gas segment recognizes revenues by selling gas directly to customers at approved rates or by transporting gas through our pipelines at approved rates to customers that have purchased gas directly from other producers, brokers, or marketers. Natural gas sales to residential, commercial and industrial customers are seasonal, which results in higher demand for natural gas for heating purposes during the colder months.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3" w:name="page44"/>
    <w:bookmarkEnd w:id="43"/>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The following tables present selected operating results and statistics for our Regulated Natural Gas segment, for the periods ended June 30,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color w:val="auto"/>
                <w:w w:val="93"/>
              </w:rPr>
              <w:t>Three Months Ended June 30,</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2"/>
              </w:rPr>
              <w:t>Six Months Ended June 30,</w:t>
            </w:r>
          </w:p>
        </w:tc>
      </w:tr>
      <w:tr>
        <w:trPr>
          <w:trHeight w:val="196"/>
        </w:trPr>
        <w:tc>
          <w:tcPr>
            <w:tcW w:w="57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2022</w:t>
            </w:r>
          </w:p>
        </w:tc>
      </w:tr>
      <w:tr>
        <w:trPr>
          <w:trHeight w:val="223"/>
        </w:trPr>
        <w:tc>
          <w:tcPr>
            <w:tcW w:w="57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revenues</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138,983</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167,729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580,278</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612,912</w:t>
            </w:r>
          </w:p>
        </w:tc>
      </w:tr>
      <w:tr>
        <w:trPr>
          <w:trHeight w:val="223"/>
        </w:trPr>
        <w:tc>
          <w:tcPr>
            <w:tcW w:w="5700" w:type="dxa"/>
            <w:vAlign w:val="bottom"/>
            <w:tcBorders>
              <w:bottom w:val="single" w:sz="8" w:color="CCEEFF"/>
            </w:tcBorders>
          </w:tcPr>
          <w:p>
            <w:pPr>
              <w:spacing w:after="0" w:line="183" w:lineRule="exact"/>
              <w:rPr>
                <w:sz w:val="20"/>
                <w:szCs w:val="20"/>
                <w:color w:val="auto"/>
              </w:rPr>
            </w:pPr>
            <w:r>
              <w:rPr>
                <w:rFonts w:ascii="Arial" w:cs="Arial" w:eastAsia="Arial" w:hAnsi="Arial"/>
                <w:sz w:val="18"/>
                <w:szCs w:val="18"/>
                <w:color w:val="auto"/>
              </w:rPr>
              <w:t>Operations and maintenance expense</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41,114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44,907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98,264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104,359</w:t>
            </w:r>
          </w:p>
        </w:tc>
      </w:tr>
      <w:tr>
        <w:trPr>
          <w:trHeight w:val="210"/>
        </w:trPr>
        <w:tc>
          <w:tcPr>
            <w:tcW w:w="57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Purchased gas</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39,665</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63,392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281,521</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280,698</w:t>
            </w:r>
          </w:p>
        </w:tc>
      </w:tr>
      <w:tr>
        <w:trPr>
          <w:trHeight w:val="169"/>
        </w:trPr>
        <w:tc>
          <w:tcPr>
            <w:tcW w:w="5700" w:type="dxa"/>
            <w:vAlign w:val="bottom"/>
          </w:tcPr>
          <w:p>
            <w:pPr>
              <w:spacing w:after="0" w:line="170" w:lineRule="exact"/>
              <w:rPr>
                <w:sz w:val="20"/>
                <w:szCs w:val="20"/>
                <w:color w:val="auto"/>
              </w:rPr>
            </w:pPr>
            <w:r>
              <w:rPr>
                <w:rFonts w:ascii="Arial" w:cs="Arial" w:eastAsia="Arial" w:hAnsi="Arial"/>
                <w:sz w:val="18"/>
                <w:szCs w:val="18"/>
                <w:color w:val="auto"/>
              </w:rPr>
              <w:t>Segment net income</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13,630</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11,478</w:t>
            </w:r>
          </w:p>
        </w:tc>
        <w:tc>
          <w:tcPr>
            <w:tcW w:w="200" w:type="dxa"/>
            <w:vAlign w:val="bottom"/>
          </w:tcPr>
          <w:p>
            <w:pPr>
              <w:spacing w:after="0"/>
              <w:rPr>
                <w:sz w:val="14"/>
                <w:szCs w:val="14"/>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137,176</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150,964</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Operating Statistics</w:t>
            </w: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Selected operating results as a percentage of operating revenues:</w:t>
            </w:r>
          </w:p>
        </w:tc>
        <w:tc>
          <w:tcPr>
            <w:tcW w:w="19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9"/>
        </w:trPr>
        <w:tc>
          <w:tcPr>
            <w:tcW w:w="5400" w:type="dxa"/>
            <w:vAlign w:val="bottom"/>
          </w:tcPr>
          <w:p>
            <w:pPr>
              <w:ind w:left="100"/>
              <w:spacing w:after="0" w:line="189" w:lineRule="exact"/>
              <w:rPr>
                <w:sz w:val="20"/>
                <w:szCs w:val="20"/>
                <w:color w:val="auto"/>
              </w:rPr>
            </w:pPr>
            <w:r>
              <w:rPr>
                <w:rFonts w:ascii="Arial" w:cs="Arial" w:eastAsia="Arial" w:hAnsi="Arial"/>
                <w:sz w:val="18"/>
                <w:szCs w:val="18"/>
                <w:color w:val="auto"/>
              </w:rPr>
              <w:t>Operations and maintenance</w:t>
            </w:r>
          </w:p>
        </w:tc>
        <w:tc>
          <w:tcPr>
            <w:tcW w:w="1920" w:type="dxa"/>
            <w:vAlign w:val="bottom"/>
          </w:tcPr>
          <w:p>
            <w:pPr>
              <w:jc w:val="center"/>
              <w:ind w:left="210"/>
              <w:spacing w:after="0" w:line="189" w:lineRule="exact"/>
              <w:rPr>
                <w:sz w:val="20"/>
                <w:szCs w:val="20"/>
                <w:color w:val="auto"/>
              </w:rPr>
            </w:pPr>
            <w:r>
              <w:rPr>
                <w:rFonts w:ascii="Arial" w:cs="Arial" w:eastAsia="Arial" w:hAnsi="Arial"/>
                <w:sz w:val="18"/>
                <w:szCs w:val="18"/>
                <w:color w:val="auto"/>
                <w:w w:val="90"/>
              </w:rPr>
              <w:t>29.6%</w:t>
            </w:r>
          </w:p>
        </w:tc>
        <w:tc>
          <w:tcPr>
            <w:tcW w:w="1400" w:type="dxa"/>
            <w:vAlign w:val="bottom"/>
          </w:tcPr>
          <w:p>
            <w:pPr>
              <w:jc w:val="center"/>
              <w:spacing w:after="0" w:line="189" w:lineRule="exact"/>
              <w:rPr>
                <w:sz w:val="20"/>
                <w:szCs w:val="20"/>
                <w:color w:val="auto"/>
              </w:rPr>
            </w:pPr>
            <w:r>
              <w:rPr>
                <w:rFonts w:ascii="Arial" w:cs="Arial" w:eastAsia="Arial" w:hAnsi="Arial"/>
                <w:sz w:val="18"/>
                <w:szCs w:val="18"/>
                <w:color w:val="auto"/>
                <w:w w:val="90"/>
              </w:rPr>
              <w:t>26.8%</w:t>
            </w:r>
          </w:p>
        </w:tc>
        <w:tc>
          <w:tcPr>
            <w:tcW w:w="1380" w:type="dxa"/>
            <w:vAlign w:val="bottom"/>
          </w:tcPr>
          <w:p>
            <w:pPr>
              <w:jc w:val="center"/>
              <w:spacing w:after="0" w:line="189" w:lineRule="exact"/>
              <w:rPr>
                <w:sz w:val="20"/>
                <w:szCs w:val="20"/>
                <w:color w:val="auto"/>
              </w:rPr>
            </w:pPr>
            <w:r>
              <w:rPr>
                <w:rFonts w:ascii="Arial" w:cs="Arial" w:eastAsia="Arial" w:hAnsi="Arial"/>
                <w:sz w:val="18"/>
                <w:szCs w:val="18"/>
                <w:color w:val="auto"/>
                <w:w w:val="90"/>
              </w:rPr>
              <w:t>16.9%</w:t>
            </w:r>
          </w:p>
        </w:tc>
        <w:tc>
          <w:tcPr>
            <w:tcW w:w="1140" w:type="dxa"/>
            <w:vAlign w:val="bottom"/>
          </w:tcPr>
          <w:p>
            <w:pPr>
              <w:jc w:val="center"/>
              <w:ind w:left="150"/>
              <w:spacing w:after="0" w:line="189" w:lineRule="exact"/>
              <w:rPr>
                <w:sz w:val="20"/>
                <w:szCs w:val="20"/>
                <w:color w:val="auto"/>
              </w:rPr>
            </w:pPr>
            <w:r>
              <w:rPr>
                <w:rFonts w:ascii="Arial" w:cs="Arial" w:eastAsia="Arial" w:hAnsi="Arial"/>
                <w:sz w:val="18"/>
                <w:szCs w:val="18"/>
                <w:color w:val="auto"/>
                <w:w w:val="90"/>
              </w:rPr>
              <w:t>17.0%</w:t>
            </w:r>
          </w:p>
        </w:tc>
      </w:tr>
      <w:tr>
        <w:trPr>
          <w:trHeight w:val="189"/>
        </w:trPr>
        <w:tc>
          <w:tcPr>
            <w:tcW w:w="54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Purchased gas</w:t>
            </w:r>
          </w:p>
        </w:tc>
        <w:tc>
          <w:tcPr>
            <w:tcW w:w="1920" w:type="dxa"/>
            <w:vAlign w:val="bottom"/>
            <w:shd w:val="clear" w:color="auto" w:fill="CCEEFF"/>
          </w:tcPr>
          <w:p>
            <w:pPr>
              <w:jc w:val="center"/>
              <w:ind w:left="210"/>
              <w:spacing w:after="0" w:line="189" w:lineRule="exact"/>
              <w:rPr>
                <w:sz w:val="20"/>
                <w:szCs w:val="20"/>
                <w:color w:val="auto"/>
              </w:rPr>
            </w:pPr>
            <w:r>
              <w:rPr>
                <w:rFonts w:ascii="Arial" w:cs="Arial" w:eastAsia="Arial" w:hAnsi="Arial"/>
                <w:sz w:val="18"/>
                <w:szCs w:val="18"/>
                <w:color w:val="auto"/>
                <w:w w:val="90"/>
              </w:rPr>
              <w:t>28.5%</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37.8%</w:t>
            </w: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48.5%</w:t>
            </w:r>
          </w:p>
        </w:tc>
        <w:tc>
          <w:tcPr>
            <w:tcW w:w="1140" w:type="dxa"/>
            <w:vAlign w:val="bottom"/>
            <w:shd w:val="clear" w:color="auto" w:fill="CCEEFF"/>
          </w:tcPr>
          <w:p>
            <w:pPr>
              <w:jc w:val="center"/>
              <w:ind w:left="150"/>
              <w:spacing w:after="0" w:line="189" w:lineRule="exact"/>
              <w:rPr>
                <w:sz w:val="20"/>
                <w:szCs w:val="20"/>
                <w:color w:val="auto"/>
              </w:rPr>
            </w:pPr>
            <w:r>
              <w:rPr>
                <w:rFonts w:ascii="Arial" w:cs="Arial" w:eastAsia="Arial" w:hAnsi="Arial"/>
                <w:sz w:val="18"/>
                <w:szCs w:val="18"/>
                <w:color w:val="auto"/>
                <w:w w:val="90"/>
              </w:rPr>
              <w:t>45.8%</w:t>
            </w:r>
          </w:p>
        </w:tc>
      </w:tr>
      <w:tr>
        <w:trPr>
          <w:trHeight w:val="203"/>
        </w:trPr>
        <w:tc>
          <w:tcPr>
            <w:tcW w:w="5400" w:type="dxa"/>
            <w:vAlign w:val="bottom"/>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192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0"/>
              </w:rPr>
              <w:t>23.2%</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0"/>
              </w:rPr>
              <w:t>17.4%</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0"/>
              </w:rPr>
              <w:t>10.7%</w:t>
            </w:r>
          </w:p>
        </w:tc>
        <w:tc>
          <w:tcPr>
            <w:tcW w:w="11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2"/>
              </w:rPr>
              <w:t>9.6%</w:t>
            </w:r>
          </w:p>
        </w:tc>
      </w:tr>
      <w:tr>
        <w:trPr>
          <w:trHeight w:val="189"/>
        </w:trPr>
        <w:tc>
          <w:tcPr>
            <w:tcW w:w="54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Taxes other than income taxes</w:t>
            </w:r>
          </w:p>
        </w:tc>
        <w:tc>
          <w:tcPr>
            <w:tcW w:w="1920" w:type="dxa"/>
            <w:vAlign w:val="bottom"/>
            <w:shd w:val="clear" w:color="auto" w:fill="CCEEFF"/>
          </w:tcPr>
          <w:p>
            <w:pPr>
              <w:jc w:val="center"/>
              <w:ind w:left="210"/>
              <w:spacing w:after="0" w:line="189" w:lineRule="exact"/>
              <w:rPr>
                <w:sz w:val="20"/>
                <w:szCs w:val="20"/>
                <w:color w:val="auto"/>
              </w:rPr>
            </w:pPr>
            <w:r>
              <w:rPr>
                <w:rFonts w:ascii="Arial" w:cs="Arial" w:eastAsia="Arial" w:hAnsi="Arial"/>
                <w:sz w:val="18"/>
                <w:szCs w:val="18"/>
                <w:color w:val="auto"/>
                <w:w w:val="92"/>
              </w:rPr>
              <w:t>3.9%</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3.3%</w:t>
            </w: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1.9%</w:t>
            </w:r>
          </w:p>
        </w:tc>
        <w:tc>
          <w:tcPr>
            <w:tcW w:w="1140" w:type="dxa"/>
            <w:vAlign w:val="bottom"/>
            <w:shd w:val="clear" w:color="auto" w:fill="CCEEFF"/>
          </w:tcPr>
          <w:p>
            <w:pPr>
              <w:jc w:val="center"/>
              <w:ind w:left="150"/>
              <w:spacing w:after="0" w:line="189" w:lineRule="exact"/>
              <w:rPr>
                <w:sz w:val="20"/>
                <w:szCs w:val="20"/>
                <w:color w:val="auto"/>
              </w:rPr>
            </w:pPr>
            <w:r>
              <w:rPr>
                <w:rFonts w:ascii="Arial" w:cs="Arial" w:eastAsia="Arial" w:hAnsi="Arial"/>
                <w:sz w:val="18"/>
                <w:szCs w:val="18"/>
                <w:color w:val="auto"/>
                <w:w w:val="92"/>
              </w:rPr>
              <w:t>1.9%</w:t>
            </w:r>
          </w:p>
        </w:tc>
      </w:tr>
      <w:tr>
        <w:trPr>
          <w:trHeight w:val="203"/>
        </w:trPr>
        <w:tc>
          <w:tcPr>
            <w:tcW w:w="5400" w:type="dxa"/>
            <w:vAlign w:val="bottom"/>
          </w:tcPr>
          <w:p>
            <w:pPr>
              <w:ind w:left="100"/>
              <w:spacing w:after="0" w:line="202" w:lineRule="exact"/>
              <w:rPr>
                <w:sz w:val="20"/>
                <w:szCs w:val="20"/>
                <w:color w:val="auto"/>
              </w:rPr>
            </w:pPr>
            <w:r>
              <w:rPr>
                <w:rFonts w:ascii="Arial" w:cs="Arial" w:eastAsia="Arial" w:hAnsi="Arial"/>
                <w:sz w:val="18"/>
                <w:szCs w:val="18"/>
                <w:color w:val="auto"/>
              </w:rPr>
              <w:t>Interest expense, net of interest income</w:t>
            </w:r>
          </w:p>
        </w:tc>
        <w:tc>
          <w:tcPr>
            <w:tcW w:w="1920" w:type="dxa"/>
            <w:vAlign w:val="bottom"/>
          </w:tcPr>
          <w:p>
            <w:pPr>
              <w:jc w:val="center"/>
              <w:ind w:left="210"/>
              <w:spacing w:after="0" w:line="202" w:lineRule="exact"/>
              <w:rPr>
                <w:sz w:val="20"/>
                <w:szCs w:val="20"/>
                <w:color w:val="auto"/>
              </w:rPr>
            </w:pPr>
            <w:r>
              <w:rPr>
                <w:rFonts w:ascii="Arial" w:cs="Arial" w:eastAsia="Arial" w:hAnsi="Arial"/>
                <w:sz w:val="18"/>
                <w:szCs w:val="18"/>
                <w:color w:val="auto"/>
                <w:w w:val="90"/>
              </w:rPr>
              <w:t>15.1%</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0"/>
              </w:rPr>
              <w:t>11.4%</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92"/>
              </w:rPr>
              <w:t>8.4%</w:t>
            </w:r>
          </w:p>
        </w:tc>
        <w:tc>
          <w:tcPr>
            <w:tcW w:w="1140" w:type="dxa"/>
            <w:vAlign w:val="bottom"/>
          </w:tcPr>
          <w:p>
            <w:pPr>
              <w:jc w:val="center"/>
              <w:ind w:left="150"/>
              <w:spacing w:after="0" w:line="202" w:lineRule="exact"/>
              <w:rPr>
                <w:sz w:val="20"/>
                <w:szCs w:val="20"/>
                <w:color w:val="auto"/>
              </w:rPr>
            </w:pPr>
            <w:r>
              <w:rPr>
                <w:rFonts w:ascii="Arial" w:cs="Arial" w:eastAsia="Arial" w:hAnsi="Arial"/>
                <w:sz w:val="18"/>
                <w:szCs w:val="18"/>
                <w:color w:val="auto"/>
                <w:w w:val="92"/>
              </w:rPr>
              <w:t>6.5%</w:t>
            </w:r>
          </w:p>
        </w:tc>
      </w:tr>
      <w:tr>
        <w:trPr>
          <w:trHeight w:val="189"/>
        </w:trPr>
        <w:tc>
          <w:tcPr>
            <w:tcW w:w="540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Segment net income</w:t>
            </w:r>
          </w:p>
        </w:tc>
        <w:tc>
          <w:tcPr>
            <w:tcW w:w="1920" w:type="dxa"/>
            <w:vAlign w:val="bottom"/>
            <w:shd w:val="clear" w:color="auto" w:fill="CCEEFF"/>
          </w:tcPr>
          <w:p>
            <w:pPr>
              <w:jc w:val="center"/>
              <w:ind w:left="210"/>
              <w:spacing w:after="0" w:line="189" w:lineRule="exact"/>
              <w:rPr>
                <w:sz w:val="20"/>
                <w:szCs w:val="20"/>
                <w:color w:val="auto"/>
              </w:rPr>
            </w:pPr>
            <w:r>
              <w:rPr>
                <w:rFonts w:ascii="Arial" w:cs="Arial" w:eastAsia="Arial" w:hAnsi="Arial"/>
                <w:sz w:val="18"/>
                <w:szCs w:val="18"/>
                <w:color w:val="auto"/>
                <w:w w:val="92"/>
              </w:rPr>
              <w:t>9.8%</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6.8%</w:t>
            </w: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23.6%</w:t>
            </w:r>
          </w:p>
        </w:tc>
        <w:tc>
          <w:tcPr>
            <w:tcW w:w="1140" w:type="dxa"/>
            <w:vAlign w:val="bottom"/>
            <w:shd w:val="clear" w:color="auto" w:fill="CCEEFF"/>
          </w:tcPr>
          <w:p>
            <w:pPr>
              <w:jc w:val="center"/>
              <w:ind w:left="150"/>
              <w:spacing w:after="0" w:line="189" w:lineRule="exact"/>
              <w:rPr>
                <w:sz w:val="20"/>
                <w:szCs w:val="20"/>
                <w:color w:val="auto"/>
              </w:rPr>
            </w:pPr>
            <w:r>
              <w:rPr>
                <w:rFonts w:ascii="Arial" w:cs="Arial" w:eastAsia="Arial" w:hAnsi="Arial"/>
                <w:sz w:val="18"/>
                <w:szCs w:val="18"/>
                <w:color w:val="auto"/>
                <w:w w:val="90"/>
              </w:rPr>
              <w:t>24.6%</w:t>
            </w:r>
          </w:p>
        </w:tc>
      </w:tr>
      <w:tr>
        <w:trPr>
          <w:trHeight w:val="189"/>
        </w:trPr>
        <w:tc>
          <w:tcPr>
            <w:tcW w:w="54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1920" w:type="dxa"/>
            <w:vAlign w:val="bottom"/>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0"/>
              </w:rPr>
              <w:t>-4213.3%</w:t>
            </w:r>
          </w:p>
        </w:tc>
        <w:tc>
          <w:tcPr>
            <w:tcW w:w="14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-82.0%</w:t>
            </w:r>
          </w:p>
        </w:tc>
        <w:tc>
          <w:tcPr>
            <w:tcW w:w="13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-70.7%</w:t>
            </w:r>
          </w:p>
        </w:tc>
        <w:tc>
          <w:tcPr>
            <w:tcW w:w="1140" w:type="dxa"/>
            <w:vAlign w:val="bottom"/>
            <w:shd w:val="clear" w:color="auto" w:fill="CCEEFF"/>
          </w:tcPr>
          <w:p>
            <w:pPr>
              <w:jc w:val="center"/>
              <w:ind w:left="150"/>
              <w:spacing w:after="0" w:line="202" w:lineRule="exact"/>
              <w:rPr>
                <w:sz w:val="20"/>
                <w:szCs w:val="20"/>
                <w:color w:val="auto"/>
              </w:rPr>
            </w:pPr>
            <w:r>
              <w:rPr>
                <w:rFonts w:ascii="Arial" w:cs="Arial" w:eastAsia="Arial" w:hAnsi="Arial"/>
                <w:sz w:val="18"/>
                <w:szCs w:val="18"/>
                <w:color w:val="auto"/>
                <w:w w:val="94"/>
              </w:rPr>
              <w:t>-26.5%</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Three months ended June 30, 2023 compared with three months ended June 30,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decreased by $28,746 or by 17.1% due to:</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impact of lower gas cost of $23,727 during the quarter as compared to the prior period;</w:t>
      </w:r>
    </w:p>
    <w:p>
      <w:pPr>
        <w:jc w:val="both"/>
        <w:ind w:left="660" w:right="700"/>
        <w:spacing w:after="0" w:line="259" w:lineRule="auto"/>
        <w:rPr>
          <w:sz w:val="20"/>
          <w:szCs w:val="20"/>
          <w:color w:val="auto"/>
        </w:rPr>
      </w:pPr>
      <w:r>
        <w:rPr>
          <w:rFonts w:ascii="Arial" w:cs="Arial" w:eastAsia="Arial" w:hAnsi="Arial"/>
          <w:sz w:val="19"/>
          <w:szCs w:val="19"/>
          <w:color w:val="auto"/>
        </w:rPr>
        <w:t>lower gas usage of $4,663, primarily due to warmer weather conditions in 2023 compared to the prior period; and, decrease in customer assistance surcharge of $2,761, which has an equivalent offsetting amount in operations and</w:t>
      </w:r>
    </w:p>
    <w:p>
      <w:pPr>
        <w:ind w:left="660"/>
        <w:spacing w:after="0"/>
        <w:rPr>
          <w:sz w:val="20"/>
          <w:szCs w:val="20"/>
          <w:color w:val="auto"/>
        </w:rPr>
      </w:pPr>
      <w:r>
        <w:rPr>
          <w:rFonts w:ascii="Arial" w:cs="Arial" w:eastAsia="Arial" w:hAnsi="Arial"/>
          <w:sz w:val="22"/>
          <w:szCs w:val="22"/>
          <w:color w:val="auto"/>
        </w:rPr>
        <w:t>maintenance expense.</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Operations and maintenance expense for the three months ended June 30, 2023 decreased by $3,793 or 8.4% primarily due to the following: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decrease in customer assistance surcharge costs of $2,761, which has an equivalent offsetting amount in revenues; and,</w:t>
      </w:r>
    </w:p>
    <w:p>
      <w:pPr>
        <w:spacing w:after="0" w:line="2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decrease in insurance expense of $1,326 due to lower claims.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Fluctuations in the cost of purchased gas impact operating revenues on a dollar-for-dollar basis, but do not impact gross margin. Purchased gas decreased by $23,727 or 37.4%. The expense decreased primarily due to lower gas usage and lower average cost of gas withdrawn from storage and during the second quarter of 2023 as compared to the same period in the prior year.</w:t>
      </w:r>
    </w:p>
    <w:p>
      <w:pPr>
        <w:spacing w:after="0" w:line="159" w:lineRule="exact"/>
        <w:rPr>
          <w:sz w:val="20"/>
          <w:szCs w:val="20"/>
          <w:color w:val="auto"/>
        </w:rPr>
      </w:pPr>
    </w:p>
    <w:p>
      <w:pPr>
        <w:ind w:right="560"/>
        <w:spacing w:after="0" w:line="239" w:lineRule="auto"/>
        <w:rPr>
          <w:sz w:val="20"/>
          <w:szCs w:val="20"/>
          <w:color w:val="auto"/>
        </w:rPr>
      </w:pPr>
      <w:r>
        <w:rPr>
          <w:rFonts w:ascii="Arial" w:cs="Arial" w:eastAsia="Arial" w:hAnsi="Arial"/>
          <w:sz w:val="22"/>
          <w:szCs w:val="22"/>
          <w:color w:val="auto"/>
        </w:rPr>
        <w:t>Depreciation and amortization increased by $3,057 or 10.5% primarily due to continued capital investment, offset by lower depreciation due to an increase in assets that are fully depreciated as of the current quarter.</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 decreased by $125 or 2.2%.</w:t>
      </w:r>
    </w:p>
    <w:p>
      <w:pPr>
        <w:spacing w:after="0" w:line="206"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b w:val="1"/>
          <w:bCs w:val="1"/>
          <w:i w:val="1"/>
          <w:iCs w:val="1"/>
          <w:color w:val="auto"/>
        </w:rPr>
        <w:t xml:space="preserve">Other expense, net </w:t>
      </w:r>
      <w:r>
        <w:rPr>
          <w:rFonts w:ascii="Arial" w:cs="Arial" w:eastAsia="Arial" w:hAnsi="Arial"/>
          <w:sz w:val="22"/>
          <w:szCs w:val="22"/>
          <w:color w:val="auto"/>
        </w:rPr>
        <w:t>– Interest expense, net, increased by $1,811 or 9.4% for the quarter due to an increase in average borrowings,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an increase in average interest rates.</w:t>
      </w:r>
    </w:p>
    <w:p>
      <w:pPr>
        <w:spacing w:after="0" w:line="175" w:lineRule="exact"/>
        <w:rPr>
          <w:sz w:val="20"/>
          <w:szCs w:val="20"/>
          <w:color w:val="auto"/>
        </w:rPr>
      </w:pPr>
    </w:p>
    <w:p>
      <w:pPr>
        <w:ind w:right="360"/>
        <w:spacing w:after="0" w:line="239" w:lineRule="auto"/>
        <w:rPr>
          <w:sz w:val="20"/>
          <w:szCs w:val="20"/>
          <w:color w:val="auto"/>
        </w:rPr>
      </w:pPr>
      <w:r>
        <w:rPr>
          <w:rFonts w:ascii="Arial" w:cs="Arial" w:eastAsia="Arial" w:hAnsi="Arial"/>
          <w:sz w:val="22"/>
          <w:szCs w:val="22"/>
          <w:color w:val="auto"/>
        </w:rPr>
        <w:t>AFUDC decreased by $320 due to the decrease in the average balance of utility plant construction work in progress, to which AFUDC is applied.</w:t>
      </w:r>
    </w:p>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21"/>
          <w:szCs w:val="21"/>
          <w:b w:val="1"/>
          <w:bCs w:val="1"/>
          <w:i w:val="1"/>
          <w:iCs w:val="1"/>
          <w:color w:val="auto"/>
        </w:rPr>
        <w:t xml:space="preserve">Income tax benefit </w:t>
      </w:r>
      <w:r>
        <w:rPr>
          <w:rFonts w:ascii="Arial" w:cs="Arial" w:eastAsia="Arial" w:hAnsi="Arial"/>
          <w:sz w:val="21"/>
          <w:szCs w:val="21"/>
          <w:color w:val="auto"/>
        </w:rPr>
        <w:t>– Our effective income tax rate decreased significantly in the second quarter of 2023, compared to the second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quarter of 2022. The change in the effective tax rate is primarily attributed to an increase in the income tax benefit associated with the tax deduction for qualifying infrastructure in our Regulated Natural Gas segment.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Six months ended June 30, 2023 compared with six months ended June 30,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 from the Regulated Natural Gas segment decreased by $32,634 or 5.3% due to:</w:t>
      </w:r>
    </w:p>
    <w:p>
      <w:pPr>
        <w:spacing w:after="0" w:line="206" w:lineRule="exact"/>
        <w:rPr>
          <w:sz w:val="20"/>
          <w:szCs w:val="20"/>
          <w:color w:val="auto"/>
        </w:rPr>
      </w:pPr>
    </w:p>
    <w:p>
      <w:pPr>
        <w:ind w:left="340" w:right="1080"/>
        <w:spacing w:after="0" w:line="269" w:lineRule="auto"/>
        <w:rPr>
          <w:sz w:val="20"/>
          <w:szCs w:val="20"/>
          <w:color w:val="auto"/>
        </w:rPr>
      </w:pPr>
      <w:r>
        <w:rPr>
          <w:rFonts w:ascii="Arial" w:cs="Arial" w:eastAsia="Arial" w:hAnsi="Arial"/>
          <w:sz w:val="19"/>
          <w:szCs w:val="19"/>
          <w:color w:val="auto"/>
        </w:rPr>
        <w:t>lower gas usage of $35,151, primarily due to warmer weather conditions in 2023 compared to the prior period; decrease in customer assistance surcharge of $5,300, which has an equivalent offsetting amount in operations and</w:t>
      </w:r>
    </w:p>
    <w:p>
      <w:pPr>
        <w:ind w:left="340"/>
        <w:spacing w:after="0" w:line="217" w:lineRule="auto"/>
        <w:rPr>
          <w:sz w:val="20"/>
          <w:szCs w:val="20"/>
          <w:color w:val="auto"/>
        </w:rPr>
      </w:pPr>
      <w:r>
        <w:rPr>
          <w:rFonts w:ascii="Arial" w:cs="Arial" w:eastAsia="Arial" w:hAnsi="Arial"/>
          <w:sz w:val="22"/>
          <w:szCs w:val="22"/>
          <w:color w:val="auto"/>
        </w:rPr>
        <w:t>maintenance expense; and offset by,</w:t>
      </w:r>
    </w:p>
    <w:p>
      <w:pPr>
        <w:ind w:left="340" w:right="400"/>
        <w:spacing w:after="0" w:line="293" w:lineRule="auto"/>
        <w:rPr>
          <w:sz w:val="20"/>
          <w:szCs w:val="20"/>
          <w:color w:val="auto"/>
        </w:rPr>
      </w:pPr>
      <w:r>
        <w:rPr>
          <w:rFonts w:ascii="Arial" w:cs="Arial" w:eastAsia="Arial" w:hAnsi="Arial"/>
          <w:sz w:val="19"/>
          <w:szCs w:val="19"/>
          <w:color w:val="auto"/>
        </w:rPr>
        <w:t>an increase of $3,499 due to higher rates and other surcharges, largely resulting from the weather normalization charge in Kentucky and favorable merchant function charge rider in Pennsylvania during the first quarter of the year.</w:t>
      </w:r>
    </w:p>
    <w:p>
      <w:pPr>
        <w:spacing w:after="0" w:line="151"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color w:val="auto"/>
        </w:rPr>
        <w:t>The Regulated Natural Gas segment is subject to seasonal fluctuations with the peak usage period occurring in the heating season which generally runs from October to March. A heating degree day (HDD) is each degree that the average of the high and low temperatures for a day is below 65 degrees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19"/>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 thousands of dollars, except per share amounts)</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Fahrenheit in a specific geographic location. Particularly during the heating season, this measure is used to reflect the demand for natural gas needed for heating based on the extent to which the average temperature falls below a reference temperature above which no heating is required (65 degrees Fahrenheit). During the first half of 2023, we experienced actual HDDs of 2,931 days, which was warmer by 16.5% than the actual HDDs of 3,512 days in the first six months of 2022 for Pittsburgh Pennsylvania, which we use as a proxy for our western Pennsylvania service territory. As a result, the operating revenue impact of the lower demand for gas volume was $35,151 and is largely attributed to the warmer weather experienced during the first half in 2023.</w:t>
      </w:r>
    </w:p>
    <w:p>
      <w:pPr>
        <w:spacing w:after="0" w:line="175" w:lineRule="exact"/>
        <w:rPr>
          <w:sz w:val="20"/>
          <w:szCs w:val="20"/>
          <w:color w:val="auto"/>
        </w:rPr>
      </w:pPr>
    </w:p>
    <w:p>
      <w:pPr>
        <w:ind w:right="240"/>
        <w:spacing w:after="0" w:line="239" w:lineRule="auto"/>
        <w:rPr>
          <w:sz w:val="20"/>
          <w:szCs w:val="20"/>
          <w:color w:val="auto"/>
        </w:rPr>
      </w:pPr>
      <w:r>
        <w:rPr>
          <w:rFonts w:ascii="Arial" w:cs="Arial" w:eastAsia="Arial" w:hAnsi="Arial"/>
          <w:sz w:val="22"/>
          <w:szCs w:val="22"/>
          <w:color w:val="auto"/>
        </w:rPr>
        <w:t>Operations and maintenance expense for the six months ended June 30, 2023 decreased by $6,095 or 5.8% primarily due to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decrease in customer assistance surcharge costs of $5,300, which has an equivalent offsetting amount in revenues;</w:t>
      </w:r>
    </w:p>
    <w:p>
      <w:pPr>
        <w:spacing w:after="0" w:line="6" w:lineRule="exact"/>
        <w:rPr>
          <w:sz w:val="20"/>
          <w:szCs w:val="20"/>
          <w:color w:val="auto"/>
        </w:rPr>
      </w:pPr>
    </w:p>
    <w:p>
      <w:pPr>
        <w:ind w:left="340" w:right="200"/>
        <w:spacing w:after="0" w:line="224" w:lineRule="auto"/>
        <w:rPr>
          <w:sz w:val="20"/>
          <w:szCs w:val="20"/>
          <w:color w:val="auto"/>
        </w:rPr>
      </w:pPr>
      <w:r>
        <w:rPr>
          <w:rFonts w:ascii="Arial" w:cs="Arial" w:eastAsia="Arial" w:hAnsi="Arial"/>
          <w:sz w:val="22"/>
          <w:szCs w:val="22"/>
          <w:color w:val="auto"/>
        </w:rPr>
        <w:t>an asset impairment charge recognized in the first quarter of 2022 of $1,801 to write down a portion of the right of use asset of our Regulated Natural Gas segment’s office space to fair value;</w:t>
      </w:r>
    </w:p>
    <w:p>
      <w:pPr>
        <w:ind w:left="340" w:right="4760"/>
        <w:spacing w:after="0" w:line="230" w:lineRule="auto"/>
        <w:rPr>
          <w:sz w:val="20"/>
          <w:szCs w:val="20"/>
          <w:color w:val="auto"/>
        </w:rPr>
      </w:pPr>
      <w:r>
        <w:rPr>
          <w:rFonts w:ascii="Arial" w:cs="Arial" w:eastAsia="Arial" w:hAnsi="Arial"/>
          <w:sz w:val="22"/>
          <w:szCs w:val="22"/>
          <w:color w:val="auto"/>
        </w:rPr>
        <w:t>decrease in insurance expense of $1,878 due to lower claims; offset by, increase in materials and supplies of $1,576.</w:t>
      </w:r>
    </w:p>
    <w:p>
      <w:pPr>
        <w:spacing w:after="0" w:line="186"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Purchased gas increased by $823 or 0.3%. The slight increase is the result of lower gas usage in first six months of 2023 offset by the higher average cost of gas withdrawn from storage during the first quarter of 2023.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Depreciation and amortization increased by $3,481 or 5.9% primarily due to continued capital investment in pipe replacement.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Taxes other than income taxes decreased by $695 or 5.9% mainly due to lower sales and use taxes.</w:t>
      </w:r>
    </w:p>
    <w:p>
      <w:pPr>
        <w:spacing w:after="0" w:line="220"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Interest expense, net, increased by $8,666 or 21.8% due to an increase in average borrowings, and an increase in average interest rates.</w:t>
      </w:r>
    </w:p>
    <w:p>
      <w:pPr>
        <w:spacing w:after="0" w:line="185"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AFUDC decreased by $268 due to the decrease in the average balance of utility plant construction work in progress, to which AFUDC is applied.</w:t>
      </w:r>
    </w:p>
    <w:p>
      <w:pPr>
        <w:spacing w:after="0" w:line="17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Our effective income tax rate was a benefit of 70.7% in the first half of 2023 and a benefit of 26.5% in the first half of 2022. The change in the effective tax rate is primarily attributed to the increase in the income tax benefit associated with the tax deduction for qualifying infrastructure in our Regulated Natural Gas segment.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22"/>
          <w:szCs w:val="22"/>
          <w:u w:val="single" w:color="auto"/>
          <w:color w:val="0563C1"/>
        </w:rPr>
        <w:t>Table of Contents</w:t>
      </w:r>
    </w:p>
    <w:p>
      <w:pPr>
        <w:spacing w:after="0" w:line="220"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ESSENTIAL UTILITIES, INC. AND SUBSIDIARIES</w:t>
      </w:r>
    </w:p>
    <w:p>
      <w:pPr>
        <w:spacing w:after="0" w:line="201"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MANAGEMENT’S DISCUSSION AND ANALYSIS OF</w:t>
      </w:r>
    </w:p>
    <w:p>
      <w:pPr>
        <w:jc w:val="center"/>
        <w:ind w:right="-1100"/>
        <w:spacing w:after="0" w:line="230" w:lineRule="auto"/>
        <w:rPr>
          <w:sz w:val="20"/>
          <w:szCs w:val="20"/>
          <w:color w:val="auto"/>
        </w:rPr>
      </w:pPr>
      <w:r>
        <w:rPr>
          <w:rFonts w:ascii="Arial" w:cs="Arial" w:eastAsia="Arial" w:hAnsi="Arial"/>
          <w:sz w:val="22"/>
          <w:szCs w:val="22"/>
          <w:color w:val="auto"/>
        </w:rPr>
        <w:t>FINANCIAL CONDITION AND RESULTS OF OPERATIONS (continued)</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(In thousands of dollars, except per share amounts)</w:t>
      </w:r>
    </w:p>
    <w:p>
      <w:pPr>
        <w:spacing w:after="0" w:line="200" w:lineRule="exact"/>
        <w:rPr>
          <w:sz w:val="20"/>
          <w:szCs w:val="20"/>
          <w:color w:val="auto"/>
        </w:rPr>
      </w:pPr>
    </w:p>
    <w:p>
      <w:pPr>
        <w:spacing w:after="0" w:line="218" w:lineRule="exact"/>
        <w:rPr>
          <w:sz w:val="20"/>
          <w:szCs w:val="20"/>
          <w:color w:val="auto"/>
        </w:rPr>
      </w:pPr>
    </w:p>
    <w:p>
      <w:pPr>
        <w:ind w:left="3600"/>
        <w:spacing w:after="0"/>
        <w:rPr>
          <w:sz w:val="20"/>
          <w:szCs w:val="20"/>
          <w:color w:val="auto"/>
        </w:rPr>
      </w:pPr>
      <w:r>
        <w:rPr>
          <w:rFonts w:ascii="Arial" w:cs="Arial" w:eastAsia="Arial" w:hAnsi="Arial"/>
          <w:sz w:val="22"/>
          <w:szCs w:val="22"/>
          <w:u w:val="single" w:color="auto"/>
          <w:color w:val="auto"/>
        </w:rPr>
        <w:t>Impact of Recent Accounting Pronouncements</w:t>
      </w:r>
    </w:p>
    <w:p>
      <w:pPr>
        <w:spacing w:after="0" w:line="220" w:lineRule="exact"/>
        <w:rPr>
          <w:sz w:val="20"/>
          <w:szCs w:val="20"/>
          <w:color w:val="auto"/>
        </w:rPr>
      </w:pPr>
    </w:p>
    <w:p>
      <w:pPr>
        <w:ind w:right="39"/>
        <w:spacing w:after="0" w:line="239" w:lineRule="auto"/>
        <w:rPr>
          <w:sz w:val="20"/>
          <w:szCs w:val="20"/>
          <w:color w:val="auto"/>
        </w:rPr>
      </w:pPr>
      <w:r>
        <w:rPr>
          <w:rFonts w:ascii="Arial" w:cs="Arial" w:eastAsia="Arial" w:hAnsi="Arial"/>
          <w:sz w:val="22"/>
          <w:szCs w:val="22"/>
          <w:color w:val="auto"/>
        </w:rPr>
        <w:t xml:space="preserve">We describe the impact of recent accounting pronouncements in Note 16, </w:t>
      </w:r>
      <w:r>
        <w:rPr>
          <w:rFonts w:ascii="Arial" w:cs="Arial" w:eastAsia="Arial" w:hAnsi="Arial"/>
          <w:sz w:val="22"/>
          <w:szCs w:val="22"/>
          <w:i w:val="1"/>
          <w:iCs w:val="1"/>
          <w:color w:val="auto"/>
        </w:rPr>
        <w:t>Recent Accounting Pronouncements</w:t>
      </w:r>
      <w:r>
        <w:rPr>
          <w:rFonts w:ascii="Arial" w:cs="Arial" w:eastAsia="Arial" w:hAnsi="Arial"/>
          <w:sz w:val="22"/>
          <w:szCs w:val="22"/>
          <w:color w:val="auto"/>
        </w:rPr>
        <w:t>, to the consolidated financial statements in this report.</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7" w:name="page48"/>
    <w:bookmarkEnd w:id="47"/>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3 – Quantitative and Qualitative Disclosures About Market Risk</w:t>
      </w:r>
    </w:p>
    <w:p>
      <w:pPr>
        <w:spacing w:after="0" w:line="206"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We are subject to market risks in the normal course of business, including changes in interest rates and equity prices. Refer to Item 7A of the Company’s Annual Report on Form 10-K for the year ended December 31, 2022, filed March 1, 2023, for additional information on market risks.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Item 4 – Controls and Procedures</w:t>
      </w:r>
    </w:p>
    <w:p>
      <w:pPr>
        <w:spacing w:after="0" w:line="220"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Evaluation of Disclosure Controls and Procedures</w:t>
      </w:r>
    </w:p>
    <w:p>
      <w:pPr>
        <w:spacing w:after="0" w:line="206"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Our management, with the participation of our Chief Executive Officer and Chief Financial Officer, evaluated the effectiveness of our disclosure controls and procedures as of the end of the period covered by this report. Based on that evaluation, the Chief Executive Officer and Chief Financial Officer concluded that our disclosure controls and procedures as of the end of the period covered by this report are effective such that the information required to be disclosed by us in reports filed under the Securities Exchange Act of 1934 is (i) recorded, processed, summarized and reported within the time periods specified in the Securities and Exchange Commission’s rules and forms and (ii) accumulated and communicated to our management, including the Chief Executive Officer and Chief Financial Officer, as appropriate to allow timely decisions regarding disclosure.</w:t>
      </w:r>
    </w:p>
    <w:p>
      <w:pPr>
        <w:spacing w:after="0" w:line="1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Changes in Internal Control over Financial Reporting</w:t>
      </w:r>
    </w:p>
    <w:p>
      <w:pPr>
        <w:spacing w:after="0" w:line="206"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No change in our internal control over financial reporting occurred during the quarter ended June 30, 2023 that has materially affected, or is reasonably likely to materially affect, our internal control over financial reporting.</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Part II. Other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 – Legal Proceedings</w:t>
      </w:r>
    </w:p>
    <w:p>
      <w:pPr>
        <w:spacing w:after="0" w:line="220" w:lineRule="exact"/>
        <w:rPr>
          <w:sz w:val="20"/>
          <w:szCs w:val="20"/>
          <w:color w:val="auto"/>
        </w:rPr>
      </w:pPr>
    </w:p>
    <w:p>
      <w:pPr>
        <w:ind w:right="120"/>
        <w:spacing w:after="0" w:line="231" w:lineRule="auto"/>
        <w:rPr>
          <w:sz w:val="20"/>
          <w:szCs w:val="20"/>
          <w:color w:val="auto"/>
        </w:rPr>
      </w:pPr>
      <w:r>
        <w:rPr>
          <w:rFonts w:ascii="Arial" w:cs="Arial" w:eastAsia="Arial" w:hAnsi="Arial"/>
          <w:sz w:val="22"/>
          <w:szCs w:val="22"/>
          <w:color w:val="auto"/>
        </w:rPr>
        <w:t>We are party to various legal proceedings in the ordinary course of business. Although the results of these legal proceedings cannot be predicted with certainty, there are no pending legal proceedings to which we or any of our subsidiaries is a party or to which any of our properties is the subject that we believe are material or are expected to have a material adverse effect on our financial position, results of operations or cash flows.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Item 1A – Risk Factors</w:t>
      </w:r>
    </w:p>
    <w:p>
      <w:pPr>
        <w:spacing w:after="0" w:line="206"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Please review the risks disclosed in our Annual Report on Form 10-K for the year ended December 31, 2022, under “Part 1, Item 1A – Risk Factors” and in our Form 10-Q for the quarter ended March 31, 2023.</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8" w:name="page49"/>
    <w:bookmarkEnd w:id="48"/>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Item 2 – Unregistered Sales of Equity Securities and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summarizes the Company’s purchases of its common stock for the quarter ended June 30,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3920" w:type="dxa"/>
            <w:vAlign w:val="bottom"/>
            <w:gridSpan w:val="5"/>
          </w:tcPr>
          <w:p>
            <w:pPr>
              <w:jc w:val="right"/>
              <w:ind w:right="720"/>
              <w:spacing w:after="0"/>
              <w:rPr>
                <w:sz w:val="20"/>
                <w:szCs w:val="20"/>
                <w:color w:val="auto"/>
              </w:rPr>
            </w:pPr>
            <w:r>
              <w:rPr>
                <w:rFonts w:ascii="Arial" w:cs="Arial" w:eastAsia="Arial" w:hAnsi="Arial"/>
                <w:sz w:val="22"/>
                <w:szCs w:val="22"/>
                <w:color w:val="auto"/>
                <w:w w:val="87"/>
              </w:rPr>
              <w:t>Issuer Purchases of Equity Securities</w:t>
            </w:r>
          </w:p>
        </w:tc>
        <w:tc>
          <w:tcPr>
            <w:tcW w:w="260" w:type="dxa"/>
            <w:vAlign w:val="bottom"/>
          </w:tcPr>
          <w:p>
            <w:pPr>
              <w:spacing w:after="0"/>
              <w:rPr>
                <w:sz w:val="21"/>
                <w:szCs w:val="21"/>
                <w:color w:val="auto"/>
              </w:rPr>
            </w:pPr>
          </w:p>
        </w:tc>
        <w:tc>
          <w:tcPr>
            <w:tcW w:w="1860" w:type="dxa"/>
            <w:vAlign w:val="bottom"/>
            <w:gridSpan w:val="2"/>
            <w:vMerge w:val="restart"/>
          </w:tcPr>
          <w:p>
            <w:pPr>
              <w:jc w:val="right"/>
              <w:ind w:right="280"/>
              <w:spacing w:after="0"/>
              <w:rPr>
                <w:sz w:val="20"/>
                <w:szCs w:val="20"/>
                <w:color w:val="auto"/>
              </w:rPr>
            </w:pPr>
            <w:r>
              <w:rPr>
                <w:rFonts w:ascii="Arial" w:cs="Arial" w:eastAsia="Arial" w:hAnsi="Arial"/>
                <w:sz w:val="22"/>
                <w:szCs w:val="22"/>
                <w:color w:val="auto"/>
              </w:rPr>
              <w:t>Total</w:t>
            </w:r>
          </w:p>
        </w:tc>
        <w:tc>
          <w:tcPr>
            <w:tcW w:w="1800" w:type="dxa"/>
            <w:vAlign w:val="bottom"/>
            <w:vMerge w:val="restart"/>
          </w:tcPr>
          <w:p>
            <w:pPr>
              <w:jc w:val="right"/>
              <w:spacing w:after="0"/>
              <w:rPr>
                <w:sz w:val="20"/>
                <w:szCs w:val="20"/>
                <w:color w:val="auto"/>
              </w:rPr>
            </w:pPr>
            <w:r>
              <w:rPr>
                <w:rFonts w:ascii="Arial" w:cs="Arial" w:eastAsia="Arial" w:hAnsi="Arial"/>
                <w:sz w:val="22"/>
                <w:szCs w:val="22"/>
                <w:color w:val="auto"/>
              </w:rPr>
              <w:t>Maximum</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80"/>
              <w:spacing w:after="0" w:line="229" w:lineRule="exact"/>
              <w:rPr>
                <w:sz w:val="20"/>
                <w:szCs w:val="20"/>
                <w:color w:val="auto"/>
              </w:rPr>
            </w:pPr>
            <w:r>
              <w:rPr>
                <w:rFonts w:ascii="Arial" w:cs="Arial" w:eastAsia="Arial" w:hAnsi="Arial"/>
                <w:sz w:val="22"/>
                <w:szCs w:val="22"/>
                <w:color w:val="auto"/>
              </w:rPr>
              <w:t>Number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80"/>
              <w:spacing w:after="0" w:line="229" w:lineRule="exact"/>
              <w:rPr>
                <w:sz w:val="20"/>
                <w:szCs w:val="20"/>
                <w:color w:val="auto"/>
              </w:rPr>
            </w:pPr>
            <w:r>
              <w:rPr>
                <w:rFonts w:ascii="Arial" w:cs="Arial" w:eastAsia="Arial" w:hAnsi="Arial"/>
                <w:sz w:val="22"/>
                <w:szCs w:val="22"/>
                <w:color w:val="auto"/>
              </w:rPr>
              <w:t>Shares</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Shares</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Purchased</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that May</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80"/>
              <w:spacing w:after="0" w:line="229" w:lineRule="exact"/>
              <w:rPr>
                <w:sz w:val="20"/>
                <w:szCs w:val="20"/>
                <w:color w:val="auto"/>
              </w:rPr>
            </w:pPr>
            <w:r>
              <w:rPr>
                <w:rFonts w:ascii="Arial" w:cs="Arial" w:eastAsia="Arial" w:hAnsi="Arial"/>
                <w:sz w:val="22"/>
                <w:szCs w:val="22"/>
                <w:color w:val="auto"/>
              </w:rPr>
              <w:t>as Part of</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Yet be</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Total</w:t>
            </w: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280"/>
              <w:spacing w:after="0" w:line="229" w:lineRule="exact"/>
              <w:rPr>
                <w:sz w:val="20"/>
                <w:szCs w:val="20"/>
                <w:color w:val="auto"/>
              </w:rPr>
            </w:pPr>
            <w:r>
              <w:rPr>
                <w:rFonts w:ascii="Arial" w:cs="Arial" w:eastAsia="Arial" w:hAnsi="Arial"/>
                <w:sz w:val="22"/>
                <w:szCs w:val="22"/>
                <w:color w:val="auto"/>
              </w:rPr>
              <w:t>Publicly</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Purchased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0" w:type="dxa"/>
            <w:vAlign w:val="bottom"/>
            <w:gridSpan w:val="2"/>
          </w:tcPr>
          <w:p>
            <w:pPr>
              <w:jc w:val="right"/>
              <w:ind w:right="260"/>
              <w:spacing w:after="0" w:line="229" w:lineRule="exact"/>
              <w:rPr>
                <w:sz w:val="20"/>
                <w:szCs w:val="20"/>
                <w:color w:val="auto"/>
              </w:rPr>
            </w:pPr>
            <w:r>
              <w:rPr>
                <w:rFonts w:ascii="Arial" w:cs="Arial" w:eastAsia="Arial" w:hAnsi="Arial"/>
                <w:sz w:val="22"/>
                <w:szCs w:val="22"/>
                <w:color w:val="auto"/>
              </w:rPr>
              <w:t>Number</w:t>
            </w:r>
          </w:p>
        </w:tc>
        <w:tc>
          <w:tcPr>
            <w:tcW w:w="460" w:type="dxa"/>
            <w:vAlign w:val="bottom"/>
          </w:tcPr>
          <w:p>
            <w:pPr>
              <w:spacing w:after="0"/>
              <w:rPr>
                <w:sz w:val="19"/>
                <w:szCs w:val="19"/>
                <w:color w:val="auto"/>
              </w:rPr>
            </w:pPr>
          </w:p>
        </w:tc>
        <w:tc>
          <w:tcPr>
            <w:tcW w:w="1260" w:type="dxa"/>
            <w:vAlign w:val="bottom"/>
            <w:gridSpan w:val="2"/>
          </w:tcPr>
          <w:p>
            <w:pPr>
              <w:jc w:val="right"/>
              <w:ind w:right="20"/>
              <w:spacing w:after="0" w:line="229" w:lineRule="exact"/>
              <w:rPr>
                <w:sz w:val="20"/>
                <w:szCs w:val="20"/>
                <w:color w:val="auto"/>
              </w:rPr>
            </w:pPr>
            <w:r>
              <w:rPr>
                <w:rFonts w:ascii="Arial" w:cs="Arial" w:eastAsia="Arial" w:hAnsi="Arial"/>
                <w:sz w:val="22"/>
                <w:szCs w:val="22"/>
                <w:color w:val="auto"/>
              </w:rPr>
              <w:t>Average</w:t>
            </w:r>
          </w:p>
        </w:tc>
        <w:tc>
          <w:tcPr>
            <w:tcW w:w="260" w:type="dxa"/>
            <w:vAlign w:val="bottom"/>
          </w:tcPr>
          <w:p>
            <w:pPr>
              <w:spacing w:after="0"/>
              <w:rPr>
                <w:sz w:val="19"/>
                <w:szCs w:val="19"/>
                <w:color w:val="auto"/>
              </w:rPr>
            </w:pPr>
          </w:p>
        </w:tc>
        <w:tc>
          <w:tcPr>
            <w:tcW w:w="1860" w:type="dxa"/>
            <w:vAlign w:val="bottom"/>
            <w:gridSpan w:val="2"/>
          </w:tcPr>
          <w:p>
            <w:pPr>
              <w:jc w:val="right"/>
              <w:ind w:right="280"/>
              <w:spacing w:after="0" w:line="229" w:lineRule="exact"/>
              <w:rPr>
                <w:sz w:val="20"/>
                <w:szCs w:val="20"/>
                <w:color w:val="auto"/>
              </w:rPr>
            </w:pPr>
            <w:r>
              <w:rPr>
                <w:rFonts w:ascii="Arial" w:cs="Arial" w:eastAsia="Arial" w:hAnsi="Arial"/>
                <w:sz w:val="22"/>
                <w:szCs w:val="22"/>
                <w:color w:val="auto"/>
              </w:rPr>
              <w:t>Announced</w:t>
            </w: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Under the</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200" w:type="dxa"/>
            <w:vAlign w:val="bottom"/>
            <w:gridSpan w:val="2"/>
          </w:tcPr>
          <w:p>
            <w:pPr>
              <w:jc w:val="right"/>
              <w:ind w:right="260"/>
              <w:spacing w:after="0" w:line="243" w:lineRule="exact"/>
              <w:rPr>
                <w:sz w:val="20"/>
                <w:szCs w:val="20"/>
                <w:color w:val="auto"/>
              </w:rPr>
            </w:pPr>
            <w:r>
              <w:rPr>
                <w:rFonts w:ascii="Arial" w:cs="Arial" w:eastAsia="Arial" w:hAnsi="Arial"/>
                <w:sz w:val="22"/>
                <w:szCs w:val="22"/>
                <w:color w:val="auto"/>
              </w:rPr>
              <w:t>of Shares</w:t>
            </w:r>
          </w:p>
        </w:tc>
        <w:tc>
          <w:tcPr>
            <w:tcW w:w="460" w:type="dxa"/>
            <w:vAlign w:val="bottom"/>
          </w:tcPr>
          <w:p>
            <w:pPr>
              <w:spacing w:after="0"/>
              <w:rPr>
                <w:sz w:val="21"/>
                <w:szCs w:val="21"/>
                <w:color w:val="auto"/>
              </w:rPr>
            </w:pPr>
          </w:p>
        </w:tc>
        <w:tc>
          <w:tcPr>
            <w:tcW w:w="12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Price Paid</w:t>
            </w:r>
          </w:p>
        </w:tc>
        <w:tc>
          <w:tcPr>
            <w:tcW w:w="260" w:type="dxa"/>
            <w:vAlign w:val="bottom"/>
          </w:tcPr>
          <w:p>
            <w:pPr>
              <w:spacing w:after="0"/>
              <w:rPr>
                <w:sz w:val="21"/>
                <w:szCs w:val="21"/>
                <w:color w:val="auto"/>
              </w:rPr>
            </w:pPr>
          </w:p>
        </w:tc>
        <w:tc>
          <w:tcPr>
            <w:tcW w:w="186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Plans or</w:t>
            </w:r>
          </w:p>
        </w:tc>
        <w:tc>
          <w:tcPr>
            <w:tcW w:w="1800" w:type="dxa"/>
            <w:vAlign w:val="bottom"/>
          </w:tcPr>
          <w:p>
            <w:pPr>
              <w:jc w:val="right"/>
              <w:spacing w:after="0" w:line="243" w:lineRule="exact"/>
              <w:rPr>
                <w:sz w:val="20"/>
                <w:szCs w:val="20"/>
                <w:color w:val="auto"/>
              </w:rPr>
            </w:pPr>
            <w:r>
              <w:rPr>
                <w:rFonts w:ascii="Arial" w:cs="Arial" w:eastAsia="Arial" w:hAnsi="Arial"/>
                <w:sz w:val="22"/>
                <w:szCs w:val="22"/>
                <w:color w:val="auto"/>
              </w:rPr>
              <w:t>Plan or</w:t>
            </w:r>
          </w:p>
        </w:tc>
        <w:tc>
          <w:tcPr>
            <w:tcW w:w="0" w:type="dxa"/>
            <w:vAlign w:val="bottom"/>
          </w:tcPr>
          <w:p>
            <w:pPr>
              <w:spacing w:after="0"/>
              <w:rPr>
                <w:sz w:val="1"/>
                <w:szCs w:val="1"/>
                <w:color w:val="auto"/>
              </w:rPr>
            </w:pPr>
          </w:p>
        </w:tc>
      </w:tr>
      <w:tr>
        <w:trPr>
          <w:trHeight w:val="224"/>
        </w:trPr>
        <w:tc>
          <w:tcPr>
            <w:tcW w:w="3400" w:type="dxa"/>
            <w:vAlign w:val="bottom"/>
            <w:gridSpan w:val="2"/>
          </w:tcPr>
          <w:p>
            <w:pPr>
              <w:spacing w:after="0" w:line="224" w:lineRule="exact"/>
              <w:rPr>
                <w:sz w:val="20"/>
                <w:szCs w:val="20"/>
                <w:color w:val="auto"/>
              </w:rPr>
            </w:pPr>
            <w:r>
              <w:rPr>
                <w:rFonts w:ascii="Arial" w:cs="Arial" w:eastAsia="Arial" w:hAnsi="Arial"/>
                <w:sz w:val="22"/>
                <w:szCs w:val="22"/>
                <w:color w:val="auto"/>
              </w:rPr>
              <w:t>Period</w:t>
            </w:r>
          </w:p>
        </w:tc>
        <w:tc>
          <w:tcPr>
            <w:tcW w:w="2200" w:type="dxa"/>
            <w:vAlign w:val="bottom"/>
            <w:gridSpan w:val="2"/>
          </w:tcPr>
          <w:p>
            <w:pPr>
              <w:jc w:val="right"/>
              <w:ind w:right="260"/>
              <w:spacing w:after="0" w:line="224" w:lineRule="exact"/>
              <w:rPr>
                <w:sz w:val="20"/>
                <w:szCs w:val="20"/>
                <w:color w:val="auto"/>
              </w:rPr>
            </w:pPr>
            <w:r>
              <w:rPr>
                <w:rFonts w:ascii="Arial" w:cs="Arial" w:eastAsia="Arial" w:hAnsi="Arial"/>
                <w:sz w:val="22"/>
                <w:szCs w:val="22"/>
                <w:color w:val="auto"/>
              </w:rPr>
              <w:t>Purchased (1)</w:t>
            </w:r>
          </w:p>
        </w:tc>
        <w:tc>
          <w:tcPr>
            <w:tcW w:w="460" w:type="dxa"/>
            <w:vAlign w:val="bottom"/>
          </w:tcPr>
          <w:p>
            <w:pPr>
              <w:spacing w:after="0"/>
              <w:rPr>
                <w:sz w:val="19"/>
                <w:szCs w:val="19"/>
                <w:color w:val="auto"/>
              </w:rPr>
            </w:pPr>
          </w:p>
        </w:tc>
        <w:tc>
          <w:tcPr>
            <w:tcW w:w="1260" w:type="dxa"/>
            <w:vAlign w:val="bottom"/>
            <w:gridSpan w:val="2"/>
          </w:tcPr>
          <w:p>
            <w:pPr>
              <w:jc w:val="right"/>
              <w:ind w:right="20"/>
              <w:spacing w:after="0" w:line="224" w:lineRule="exact"/>
              <w:rPr>
                <w:sz w:val="20"/>
                <w:szCs w:val="20"/>
                <w:color w:val="auto"/>
              </w:rPr>
            </w:pPr>
            <w:r>
              <w:rPr>
                <w:rFonts w:ascii="Arial" w:cs="Arial" w:eastAsia="Arial" w:hAnsi="Arial"/>
                <w:sz w:val="22"/>
                <w:szCs w:val="22"/>
                <w:color w:val="auto"/>
              </w:rPr>
              <w:t>per Share</w:t>
            </w:r>
          </w:p>
        </w:tc>
        <w:tc>
          <w:tcPr>
            <w:tcW w:w="260" w:type="dxa"/>
            <w:vAlign w:val="bottom"/>
          </w:tcPr>
          <w:p>
            <w:pPr>
              <w:spacing w:after="0"/>
              <w:rPr>
                <w:sz w:val="19"/>
                <w:szCs w:val="19"/>
                <w:color w:val="auto"/>
              </w:rPr>
            </w:pPr>
          </w:p>
        </w:tc>
        <w:tc>
          <w:tcPr>
            <w:tcW w:w="1860" w:type="dxa"/>
            <w:vAlign w:val="bottom"/>
            <w:gridSpan w:val="2"/>
          </w:tcPr>
          <w:p>
            <w:pPr>
              <w:jc w:val="right"/>
              <w:ind w:right="280"/>
              <w:spacing w:after="0" w:line="224" w:lineRule="exact"/>
              <w:rPr>
                <w:sz w:val="20"/>
                <w:szCs w:val="20"/>
                <w:color w:val="auto"/>
              </w:rPr>
            </w:pPr>
            <w:r>
              <w:rPr>
                <w:rFonts w:ascii="Arial" w:cs="Arial" w:eastAsia="Arial" w:hAnsi="Arial"/>
                <w:sz w:val="22"/>
                <w:szCs w:val="22"/>
                <w:color w:val="auto"/>
              </w:rPr>
              <w:t>Programs</w:t>
            </w:r>
          </w:p>
        </w:tc>
        <w:tc>
          <w:tcPr>
            <w:tcW w:w="1800" w:type="dxa"/>
            <w:vAlign w:val="bottom"/>
          </w:tcPr>
          <w:p>
            <w:pPr>
              <w:jc w:val="right"/>
              <w:spacing w:after="0" w:line="224" w:lineRule="exact"/>
              <w:rPr>
                <w:sz w:val="20"/>
                <w:szCs w:val="20"/>
                <w:color w:val="auto"/>
              </w:rPr>
            </w:pPr>
            <w:r>
              <w:rPr>
                <w:rFonts w:ascii="Arial" w:cs="Arial" w:eastAsia="Arial" w:hAnsi="Arial"/>
                <w:sz w:val="22"/>
                <w:szCs w:val="22"/>
                <w:color w:val="auto"/>
              </w:rPr>
              <w:t>Programs</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shd w:val="clear" w:color="auto" w:fill="CCEEFF"/>
          </w:tcPr>
          <w:p>
            <w:pPr>
              <w:spacing w:after="0" w:line="210" w:lineRule="exact"/>
              <w:rPr>
                <w:sz w:val="20"/>
                <w:szCs w:val="20"/>
                <w:color w:val="auto"/>
              </w:rPr>
            </w:pPr>
            <w:r>
              <w:rPr>
                <w:rFonts w:ascii="Arial" w:cs="Arial" w:eastAsia="Arial" w:hAnsi="Arial"/>
                <w:sz w:val="22"/>
                <w:szCs w:val="22"/>
                <w:color w:val="auto"/>
              </w:rPr>
              <w:t>April 1-30, 2023</w:t>
            </w:r>
          </w:p>
        </w:tc>
        <w:tc>
          <w:tcPr>
            <w:tcW w:w="1920" w:type="dxa"/>
            <w:vAlign w:val="bottom"/>
            <w:shd w:val="clear" w:color="auto" w:fill="CCEEFF"/>
          </w:tcPr>
          <w:p>
            <w:pPr>
              <w:ind w:left="1600"/>
              <w:spacing w:after="0" w:line="210" w:lineRule="exact"/>
              <w:rPr>
                <w:sz w:val="20"/>
                <w:szCs w:val="20"/>
                <w:color w:val="auto"/>
              </w:rPr>
            </w:pPr>
            <w:r>
              <w:rPr>
                <w:rFonts w:ascii="Arial" w:cs="Arial" w:eastAsia="Arial" w:hAnsi="Arial"/>
                <w:sz w:val="22"/>
                <w:szCs w:val="22"/>
                <w:color w:val="auto"/>
                <w:w w:val="81"/>
              </w:rPr>
              <w:t>194</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3"/>
              <w:spacing w:after="0" w:line="210" w:lineRule="exact"/>
              <w:rPr>
                <w:sz w:val="20"/>
                <w:szCs w:val="20"/>
                <w:color w:val="auto"/>
              </w:rPr>
            </w:pPr>
            <w:r>
              <w:rPr>
                <w:rFonts w:ascii="Arial" w:cs="Arial" w:eastAsia="Arial" w:hAnsi="Arial"/>
                <w:sz w:val="19"/>
                <w:szCs w:val="19"/>
                <w:color w:val="auto"/>
                <w:w w:val="75"/>
              </w:rPr>
              <w:t>$</w:t>
            </w:r>
          </w:p>
        </w:tc>
        <w:tc>
          <w:tcPr>
            <w:tcW w:w="126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22"/>
                <w:szCs w:val="22"/>
                <w:color w:val="auto"/>
              </w:rPr>
              <w:t>44.76</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line="210"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line="229" w:lineRule="exact"/>
              <w:rPr>
                <w:sz w:val="20"/>
                <w:szCs w:val="20"/>
                <w:color w:val="auto"/>
              </w:rPr>
            </w:pPr>
            <w:r>
              <w:rPr>
                <w:rFonts w:ascii="Arial" w:cs="Arial" w:eastAsia="Arial" w:hAnsi="Arial"/>
                <w:sz w:val="22"/>
                <w:szCs w:val="22"/>
                <w:color w:val="auto"/>
              </w:rPr>
              <w:t>May 1-31, 2023</w:t>
            </w:r>
          </w:p>
        </w:tc>
        <w:tc>
          <w:tcPr>
            <w:tcW w:w="2200" w:type="dxa"/>
            <w:vAlign w:val="bottom"/>
            <w:gridSpan w:val="2"/>
          </w:tcPr>
          <w:p>
            <w:pPr>
              <w:ind w:left="1600"/>
              <w:spacing w:after="0" w:line="229" w:lineRule="exact"/>
              <w:rPr>
                <w:sz w:val="20"/>
                <w:szCs w:val="20"/>
                <w:color w:val="auto"/>
              </w:rPr>
            </w:pPr>
            <w:r>
              <w:rPr>
                <w:rFonts w:ascii="Arial" w:cs="Arial" w:eastAsia="Arial" w:hAnsi="Arial"/>
                <w:sz w:val="22"/>
                <w:szCs w:val="22"/>
                <w:color w:val="auto"/>
              </w:rPr>
              <w:t>305</w:t>
            </w:r>
          </w:p>
        </w:tc>
        <w:tc>
          <w:tcPr>
            <w:tcW w:w="460" w:type="dxa"/>
            <w:vAlign w:val="bottom"/>
          </w:tcPr>
          <w:p>
            <w:pPr>
              <w:jc w:val="right"/>
              <w:ind w:right="263"/>
              <w:spacing w:after="0"/>
              <w:rPr>
                <w:sz w:val="20"/>
                <w:szCs w:val="20"/>
                <w:color w:val="auto"/>
              </w:rPr>
            </w:pPr>
            <w:r>
              <w:rPr>
                <w:rFonts w:ascii="Arial" w:cs="Arial" w:eastAsia="Arial" w:hAnsi="Arial"/>
                <w:sz w:val="19"/>
                <w:szCs w:val="19"/>
                <w:color w:val="auto"/>
                <w:w w:val="75"/>
              </w:rPr>
              <w:t>$</w:t>
            </w:r>
          </w:p>
        </w:tc>
        <w:tc>
          <w:tcPr>
            <w:tcW w:w="1260" w:type="dxa"/>
            <w:vAlign w:val="bottom"/>
            <w:gridSpan w:val="2"/>
          </w:tcPr>
          <w:p>
            <w:pPr>
              <w:jc w:val="right"/>
              <w:ind w:right="20"/>
              <w:spacing w:after="0" w:line="229" w:lineRule="exact"/>
              <w:rPr>
                <w:sz w:val="20"/>
                <w:szCs w:val="20"/>
                <w:color w:val="auto"/>
              </w:rPr>
            </w:pPr>
            <w:r>
              <w:rPr>
                <w:rFonts w:ascii="Arial" w:cs="Arial" w:eastAsia="Arial" w:hAnsi="Arial"/>
                <w:sz w:val="22"/>
                <w:szCs w:val="22"/>
                <w:color w:val="auto"/>
              </w:rPr>
              <w:t>42.52</w:t>
            </w:r>
          </w:p>
        </w:tc>
        <w:tc>
          <w:tcPr>
            <w:tcW w:w="1840" w:type="dxa"/>
            <w:vAlign w:val="bottom"/>
            <w:gridSpan w:val="2"/>
          </w:tcPr>
          <w:p>
            <w:pPr>
              <w:jc w:val="right"/>
              <w:spacing w:after="0" w:line="229"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1800" w:type="dxa"/>
            <w:vAlign w:val="bottom"/>
          </w:tcPr>
          <w:p>
            <w:pPr>
              <w:jc w:val="right"/>
              <w:spacing w:after="0" w:line="229"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spacing w:after="0" w:line="243" w:lineRule="exact"/>
              <w:rPr>
                <w:sz w:val="20"/>
                <w:szCs w:val="20"/>
                <w:color w:val="auto"/>
              </w:rPr>
            </w:pPr>
            <w:r>
              <w:rPr>
                <w:rFonts w:ascii="Arial" w:cs="Arial" w:eastAsia="Arial" w:hAnsi="Arial"/>
                <w:sz w:val="22"/>
                <w:szCs w:val="22"/>
                <w:color w:val="auto"/>
              </w:rPr>
              <w:t>June 1-30, 2023</w:t>
            </w:r>
          </w:p>
        </w:tc>
        <w:tc>
          <w:tcPr>
            <w:tcW w:w="2200" w:type="dxa"/>
            <w:vAlign w:val="bottom"/>
            <w:gridSpan w:val="2"/>
            <w:shd w:val="clear" w:color="auto" w:fill="CCEEFF"/>
          </w:tcPr>
          <w:p>
            <w:pPr>
              <w:ind w:left="1600"/>
              <w:spacing w:after="0" w:line="243" w:lineRule="exact"/>
              <w:rPr>
                <w:sz w:val="20"/>
                <w:szCs w:val="20"/>
                <w:color w:val="auto"/>
              </w:rPr>
            </w:pPr>
            <w:r>
              <w:rPr>
                <w:rFonts w:ascii="Arial" w:cs="Arial" w:eastAsia="Arial" w:hAnsi="Arial"/>
                <w:sz w:val="22"/>
                <w:szCs w:val="22"/>
                <w:color w:val="auto"/>
              </w:rPr>
              <w:t>472</w:t>
            </w: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9"/>
                <w:szCs w:val="19"/>
                <w:color w:val="auto"/>
                <w:w w:val="75"/>
              </w:rPr>
              <w:t>$</w:t>
            </w:r>
          </w:p>
        </w:tc>
        <w:tc>
          <w:tcPr>
            <w:tcW w:w="126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41.59</w:t>
            </w:r>
          </w:p>
        </w:tc>
        <w:tc>
          <w:tcPr>
            <w:tcW w:w="184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2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line="223" w:lineRule="exact"/>
              <w:rPr>
                <w:sz w:val="20"/>
                <w:szCs w:val="20"/>
                <w:color w:val="auto"/>
              </w:rPr>
            </w:pPr>
            <w:r>
              <w:rPr>
                <w:rFonts w:ascii="Arial" w:cs="Arial" w:eastAsia="Arial" w:hAnsi="Arial"/>
                <w:sz w:val="22"/>
                <w:szCs w:val="22"/>
                <w:color w:val="auto"/>
              </w:rPr>
              <w:t>Total</w:t>
            </w:r>
          </w:p>
        </w:tc>
        <w:tc>
          <w:tcPr>
            <w:tcW w:w="19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971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bottom w:val="single" w:sz="8" w:color="auto"/>
            </w:tcBorders>
            <w:gridSpan w:val="2"/>
          </w:tcPr>
          <w:p>
            <w:pPr>
              <w:jc w:val="right"/>
              <w:ind w:right="20"/>
              <w:spacing w:after="0" w:line="223" w:lineRule="exact"/>
              <w:rPr>
                <w:sz w:val="20"/>
                <w:szCs w:val="20"/>
                <w:color w:val="auto"/>
              </w:rPr>
            </w:pPr>
            <w:r>
              <w:rPr>
                <w:rFonts w:ascii="Arial" w:cs="Arial" w:eastAsia="Arial" w:hAnsi="Arial"/>
                <w:sz w:val="22"/>
                <w:szCs w:val="22"/>
                <w:color w:val="auto"/>
              </w:rPr>
              <w:t>42.51</w:t>
            </w:r>
          </w:p>
        </w:tc>
        <w:tc>
          <w:tcPr>
            <w:tcW w:w="2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28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These amounts consist of 971 shares we acquired from employees associated with the withholding of shares to pay certain withholding taxes upon the vesting of stock-based compensation. This feature of our equity compensation plan is available to all employees who receive stock-based compensation under the plan. We purchased these shares at their fair market value, as determined by reference to the closing price of our common stock on the day prior to the award vesting.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Item 5 - Other Information</w:t>
      </w:r>
    </w:p>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21"/>
          <w:szCs w:val="21"/>
          <w:color w:val="auto"/>
        </w:rPr>
        <w:t>During the quarter ended June 30, 2023,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Item 6 – Exhibits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9080" w:type="dxa"/>
            <w:vAlign w:val="bottom"/>
            <w:gridSpan w:val="9"/>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10.1*</w:t>
            </w:r>
          </w:p>
        </w:tc>
        <w:tc>
          <w:tcPr>
            <w:tcW w:w="908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563C1"/>
                <w:w w:val="95"/>
              </w:rPr>
              <w:t>Seventh Amendment to Credit Agreement, dated June 29, 2023, between Aqua Pennsylvania and PNC Bank, National</w:t>
            </w:r>
          </w:p>
        </w:tc>
      </w:tr>
      <w:tr>
        <w:trPr>
          <w:trHeight w:val="176"/>
        </w:trPr>
        <w:tc>
          <w:tcPr>
            <w:tcW w:w="2160" w:type="dxa"/>
            <w:vAlign w:val="bottom"/>
            <w:tcBorders>
              <w:top w:val="single" w:sz="8" w:color="CCEEFF"/>
            </w:tcBorders>
            <w:shd w:val="clear" w:color="auto" w:fill="CCEEFF"/>
          </w:tcPr>
          <w:p>
            <w:pPr>
              <w:spacing w:after="0"/>
              <w:rPr>
                <w:sz w:val="15"/>
                <w:szCs w:val="15"/>
                <w:color w:val="auto"/>
              </w:rPr>
            </w:pPr>
          </w:p>
        </w:tc>
        <w:tc>
          <w:tcPr>
            <w:tcW w:w="8540" w:type="dxa"/>
            <w:vAlign w:val="bottom"/>
            <w:tcBorders>
              <w:top w:val="single" w:sz="8" w:color="0563C1"/>
            </w:tcBorders>
            <w:gridSpan w:val="5"/>
            <w:shd w:val="clear" w:color="auto" w:fill="CCEEFF"/>
          </w:tcPr>
          <w:p>
            <w:pPr>
              <w:spacing w:after="0" w:line="169" w:lineRule="exact"/>
              <w:rPr>
                <w:sz w:val="20"/>
                <w:szCs w:val="20"/>
                <w:color w:val="auto"/>
              </w:rPr>
            </w:pPr>
            <w:r>
              <w:rPr>
                <w:rFonts w:ascii="Arial" w:cs="Arial" w:eastAsia="Arial" w:hAnsi="Arial"/>
                <w:sz w:val="18"/>
                <w:szCs w:val="18"/>
                <w:color w:val="0563C1"/>
              </w:rPr>
              <w:t>Association, Citizens Bank, N.A., TD Bank, N.A., and The Huntington National Bank</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r>
      <w:tr>
        <w:trPr>
          <w:trHeight w:val="189"/>
        </w:trPr>
        <w:tc>
          <w:tcPr>
            <w:tcW w:w="2160" w:type="dxa"/>
            <w:vAlign w:val="bottom"/>
            <w:tcBorders>
              <w:top w:val="single" w:sz="8" w:color="CCEEFF"/>
            </w:tcBorders>
          </w:tcPr>
          <w:p>
            <w:pPr>
              <w:spacing w:after="0"/>
              <w:rPr>
                <w:sz w:val="16"/>
                <w:szCs w:val="16"/>
                <w:color w:val="auto"/>
              </w:rPr>
            </w:pPr>
          </w:p>
        </w:tc>
        <w:tc>
          <w:tcPr>
            <w:tcW w:w="4440" w:type="dxa"/>
            <w:vAlign w:val="bottom"/>
            <w:tcBorders>
              <w:top w:val="single" w:sz="8" w:color="0563C1"/>
            </w:tcBorders>
          </w:tcPr>
          <w:p>
            <w:pPr>
              <w:spacing w:after="0"/>
              <w:rPr>
                <w:sz w:val="16"/>
                <w:szCs w:val="16"/>
                <w:color w:val="auto"/>
              </w:rPr>
            </w:pPr>
          </w:p>
        </w:tc>
        <w:tc>
          <w:tcPr>
            <w:tcW w:w="1740" w:type="dxa"/>
            <w:vAlign w:val="bottom"/>
            <w:tcBorders>
              <w:top w:val="single" w:sz="8" w:color="0563C1"/>
            </w:tcBorders>
          </w:tcPr>
          <w:p>
            <w:pPr>
              <w:spacing w:after="0"/>
              <w:rPr>
                <w:sz w:val="16"/>
                <w:szCs w:val="16"/>
                <w:color w:val="auto"/>
              </w:rPr>
            </w:pPr>
          </w:p>
        </w:tc>
        <w:tc>
          <w:tcPr>
            <w:tcW w:w="20" w:type="dxa"/>
            <w:vAlign w:val="bottom"/>
            <w:tcBorders>
              <w:top w:val="single" w:sz="8" w:color="0563C1"/>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3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r>
      <w:tr>
        <w:trPr>
          <w:trHeight w:val="162"/>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10.2*</w:t>
            </w:r>
          </w:p>
        </w:tc>
        <w:tc>
          <w:tcPr>
            <w:tcW w:w="908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563C1"/>
                <w:w w:val="95"/>
              </w:rPr>
              <w:t>Second Amendment to Credit Agreement, dated June 29, 2023, by and between PNG Companies, LLC and PNC Bank</w:t>
            </w:r>
          </w:p>
        </w:tc>
      </w:tr>
      <w:tr>
        <w:trPr>
          <w:trHeight w:val="190"/>
        </w:trPr>
        <w:tc>
          <w:tcPr>
            <w:tcW w:w="2160" w:type="dxa"/>
            <w:vAlign w:val="bottom"/>
            <w:tcBorders>
              <w:top w:val="single" w:sz="8" w:color="CCEEFF"/>
            </w:tcBorders>
            <w:shd w:val="clear" w:color="auto" w:fill="CCEEFF"/>
          </w:tcPr>
          <w:p>
            <w:pPr>
              <w:spacing w:after="0"/>
              <w:rPr>
                <w:sz w:val="16"/>
                <w:szCs w:val="16"/>
                <w:color w:val="auto"/>
              </w:rPr>
            </w:pPr>
          </w:p>
        </w:tc>
        <w:tc>
          <w:tcPr>
            <w:tcW w:w="8580" w:type="dxa"/>
            <w:vAlign w:val="bottom"/>
            <w:tcBorders>
              <w:top w:val="single" w:sz="8" w:color="0563C1"/>
            </w:tcBorders>
            <w:gridSpan w:val="6"/>
            <w:shd w:val="clear" w:color="auto" w:fill="CCEEFF"/>
          </w:tcPr>
          <w:p>
            <w:pPr>
              <w:spacing w:after="0" w:line="169" w:lineRule="exact"/>
              <w:rPr>
                <w:sz w:val="20"/>
                <w:szCs w:val="20"/>
                <w:color w:val="auto"/>
              </w:rPr>
            </w:pPr>
            <w:r>
              <w:rPr>
                <w:rFonts w:ascii="Arial" w:cs="Arial" w:eastAsia="Arial" w:hAnsi="Arial"/>
                <w:sz w:val="18"/>
                <w:szCs w:val="18"/>
                <w:color w:val="0563C1"/>
              </w:rPr>
              <w:t>National Association, TD Bank, N.A. and Citizens Bank N.A.</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r>
      <w:tr>
        <w:trPr>
          <w:trHeight w:val="229"/>
        </w:trPr>
        <w:tc>
          <w:tcPr>
            <w:tcW w:w="2160" w:type="dxa"/>
            <w:vAlign w:val="bottom"/>
            <w:tcBorders>
              <w:top w:val="single" w:sz="8" w:color="CCEEFF"/>
            </w:tcBorders>
          </w:tcPr>
          <w:p>
            <w:pPr>
              <w:spacing w:after="0"/>
              <w:rPr>
                <w:sz w:val="19"/>
                <w:szCs w:val="19"/>
                <w:color w:val="auto"/>
              </w:rPr>
            </w:pPr>
          </w:p>
        </w:tc>
        <w:tc>
          <w:tcPr>
            <w:tcW w:w="4440" w:type="dxa"/>
            <w:vAlign w:val="bottom"/>
            <w:tcBorders>
              <w:top w:val="single" w:sz="8" w:color="0563C1"/>
            </w:tcBorders>
          </w:tcPr>
          <w:p>
            <w:pPr>
              <w:spacing w:after="0"/>
              <w:rPr>
                <w:sz w:val="19"/>
                <w:szCs w:val="19"/>
                <w:color w:val="auto"/>
              </w:rPr>
            </w:pPr>
          </w:p>
        </w:tc>
        <w:tc>
          <w:tcPr>
            <w:tcW w:w="17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31.1*</w:t>
            </w:r>
          </w:p>
        </w:tc>
        <w:tc>
          <w:tcPr>
            <w:tcW w:w="908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563C1"/>
                <w:w w:val="95"/>
              </w:rPr>
              <w:t>Certification of Chief Executive Officer, filed pursuant to Rule 13a-14(a) under the Securities and Exchange Act of 1934</w:t>
            </w:r>
          </w:p>
        </w:tc>
      </w:tr>
      <w:tr>
        <w:trPr>
          <w:trHeight w:val="229"/>
        </w:trPr>
        <w:tc>
          <w:tcPr>
            <w:tcW w:w="2160" w:type="dxa"/>
            <w:vAlign w:val="bottom"/>
            <w:tcBorders>
              <w:top w:val="single" w:sz="8" w:color="CCEEFF"/>
            </w:tcBorders>
          </w:tcPr>
          <w:p>
            <w:pPr>
              <w:spacing w:after="0"/>
              <w:rPr>
                <w:sz w:val="19"/>
                <w:szCs w:val="19"/>
                <w:color w:val="auto"/>
              </w:rPr>
            </w:pPr>
          </w:p>
        </w:tc>
        <w:tc>
          <w:tcPr>
            <w:tcW w:w="4440" w:type="dxa"/>
            <w:vAlign w:val="bottom"/>
            <w:tcBorders>
              <w:top w:val="single" w:sz="8" w:color="0563C1"/>
            </w:tcBorders>
          </w:tcPr>
          <w:p>
            <w:pPr>
              <w:spacing w:after="0"/>
              <w:rPr>
                <w:sz w:val="19"/>
                <w:szCs w:val="19"/>
                <w:color w:val="auto"/>
              </w:rPr>
            </w:pPr>
          </w:p>
        </w:tc>
        <w:tc>
          <w:tcPr>
            <w:tcW w:w="17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31.2*</w:t>
            </w:r>
          </w:p>
        </w:tc>
        <w:tc>
          <w:tcPr>
            <w:tcW w:w="908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563C1"/>
                <w:w w:val="96"/>
              </w:rPr>
              <w:t>Certification of Chief Financial Officer, filed pursuant to Rule 13a-14(a) under the Securities and Exchange Act of 1934</w:t>
            </w:r>
          </w:p>
        </w:tc>
      </w:tr>
      <w:tr>
        <w:trPr>
          <w:trHeight w:val="230"/>
        </w:trPr>
        <w:tc>
          <w:tcPr>
            <w:tcW w:w="2160" w:type="dxa"/>
            <w:vAlign w:val="bottom"/>
            <w:tcBorders>
              <w:top w:val="single" w:sz="8" w:color="CCEEFF"/>
            </w:tcBorders>
          </w:tcPr>
          <w:p>
            <w:pPr>
              <w:spacing w:after="0"/>
              <w:rPr>
                <w:sz w:val="19"/>
                <w:szCs w:val="19"/>
                <w:color w:val="auto"/>
              </w:rPr>
            </w:pPr>
          </w:p>
        </w:tc>
        <w:tc>
          <w:tcPr>
            <w:tcW w:w="4440" w:type="dxa"/>
            <w:vAlign w:val="bottom"/>
            <w:tcBorders>
              <w:top w:val="single" w:sz="8" w:color="0563C1"/>
            </w:tcBorders>
          </w:tcPr>
          <w:p>
            <w:pPr>
              <w:spacing w:after="0"/>
              <w:rPr>
                <w:sz w:val="19"/>
                <w:szCs w:val="19"/>
                <w:color w:val="auto"/>
              </w:rPr>
            </w:pPr>
          </w:p>
        </w:tc>
        <w:tc>
          <w:tcPr>
            <w:tcW w:w="17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320" w:type="dxa"/>
            <w:vAlign w:val="bottom"/>
            <w:tcBorders>
              <w:top w:val="single" w:sz="8" w:color="0563C1"/>
            </w:tcBorders>
          </w:tcPr>
          <w:p>
            <w:pPr>
              <w:spacing w:after="0"/>
              <w:rPr>
                <w:sz w:val="19"/>
                <w:szCs w:val="19"/>
                <w:color w:val="auto"/>
              </w:rPr>
            </w:pPr>
          </w:p>
        </w:tc>
        <w:tc>
          <w:tcPr>
            <w:tcW w:w="40" w:type="dxa"/>
            <w:vAlign w:val="bottom"/>
            <w:tcBorders>
              <w:top w:val="single" w:sz="8" w:color="0563C1"/>
            </w:tcBorders>
          </w:tcPr>
          <w:p>
            <w:pPr>
              <w:spacing w:after="0"/>
              <w:rPr>
                <w:sz w:val="19"/>
                <w:szCs w:val="19"/>
                <w:color w:val="auto"/>
              </w:rPr>
            </w:pPr>
          </w:p>
        </w:tc>
        <w:tc>
          <w:tcPr>
            <w:tcW w:w="60" w:type="dxa"/>
            <w:vAlign w:val="bottom"/>
            <w:tcBorders>
              <w:top w:val="single" w:sz="8" w:color="0563C1"/>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32.1*</w:t>
            </w:r>
          </w:p>
        </w:tc>
        <w:tc>
          <w:tcPr>
            <w:tcW w:w="908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563C1"/>
              </w:rPr>
              <w:t>Certification of Chief Executive Officer, furnished pursuant to 18 U.S.C. Section 1350</w:t>
            </w:r>
          </w:p>
        </w:tc>
      </w:tr>
      <w:tr>
        <w:trPr>
          <w:trHeight w:val="230"/>
        </w:trPr>
        <w:tc>
          <w:tcPr>
            <w:tcW w:w="2160" w:type="dxa"/>
            <w:vAlign w:val="bottom"/>
            <w:tcBorders>
              <w:top w:val="single" w:sz="8" w:color="CCEEFF"/>
            </w:tcBorders>
          </w:tcPr>
          <w:p>
            <w:pPr>
              <w:spacing w:after="0"/>
              <w:rPr>
                <w:sz w:val="19"/>
                <w:szCs w:val="19"/>
                <w:color w:val="auto"/>
              </w:rPr>
            </w:pPr>
          </w:p>
        </w:tc>
        <w:tc>
          <w:tcPr>
            <w:tcW w:w="4440" w:type="dxa"/>
            <w:vAlign w:val="bottom"/>
            <w:tcBorders>
              <w:top w:val="single" w:sz="8" w:color="0563C1"/>
            </w:tcBorders>
          </w:tcPr>
          <w:p>
            <w:pPr>
              <w:spacing w:after="0"/>
              <w:rPr>
                <w:sz w:val="19"/>
                <w:szCs w:val="19"/>
                <w:color w:val="auto"/>
              </w:rPr>
            </w:pPr>
          </w:p>
        </w:tc>
        <w:tc>
          <w:tcPr>
            <w:tcW w:w="174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0" w:type="dxa"/>
            <w:vAlign w:val="bottom"/>
            <w:tcBorders>
              <w:top w:val="single" w:sz="8" w:color="0563C1"/>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r>
      <w:tr>
        <w:trPr>
          <w:trHeight w:val="169"/>
        </w:trPr>
        <w:tc>
          <w:tcPr>
            <w:tcW w:w="21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32.2*</w:t>
            </w:r>
          </w:p>
        </w:tc>
        <w:tc>
          <w:tcPr>
            <w:tcW w:w="908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563C1"/>
              </w:rPr>
              <w:t>Certification of Chief Financial Officer, furnished pursuant to 18 U.S.C. Section 1350</w:t>
            </w:r>
          </w:p>
        </w:tc>
      </w:tr>
      <w:tr>
        <w:trPr>
          <w:trHeight w:val="229"/>
        </w:trPr>
        <w:tc>
          <w:tcPr>
            <w:tcW w:w="2160" w:type="dxa"/>
            <w:vAlign w:val="bottom"/>
            <w:tcBorders>
              <w:top w:val="single" w:sz="8" w:color="CCEEFF"/>
            </w:tcBorders>
          </w:tcPr>
          <w:p>
            <w:pPr>
              <w:spacing w:after="0"/>
              <w:rPr>
                <w:sz w:val="19"/>
                <w:szCs w:val="19"/>
                <w:color w:val="auto"/>
              </w:rPr>
            </w:pPr>
          </w:p>
        </w:tc>
        <w:tc>
          <w:tcPr>
            <w:tcW w:w="4440" w:type="dxa"/>
            <w:vAlign w:val="bottom"/>
            <w:tcBorders>
              <w:top w:val="single" w:sz="8" w:color="0563C1"/>
            </w:tcBorders>
          </w:tcPr>
          <w:p>
            <w:pPr>
              <w:spacing w:after="0"/>
              <w:rPr>
                <w:sz w:val="19"/>
                <w:szCs w:val="19"/>
                <w:color w:val="auto"/>
              </w:rPr>
            </w:pPr>
          </w:p>
        </w:tc>
        <w:tc>
          <w:tcPr>
            <w:tcW w:w="1740" w:type="dxa"/>
            <w:vAlign w:val="bottom"/>
            <w:tcBorders>
              <w:top w:val="single" w:sz="8" w:color="0563C1"/>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r>
      <w:tr>
        <w:trPr>
          <w:trHeight w:val="161"/>
        </w:trPr>
        <w:tc>
          <w:tcPr>
            <w:tcW w:w="2160" w:type="dxa"/>
            <w:vAlign w:val="bottom"/>
            <w:shd w:val="clear" w:color="auto" w:fill="CCEEFF"/>
          </w:tcPr>
          <w:p>
            <w:pPr>
              <w:ind w:left="20"/>
              <w:spacing w:after="0" w:line="161" w:lineRule="exact"/>
              <w:rPr>
                <w:sz w:val="20"/>
                <w:szCs w:val="20"/>
                <w:color w:val="auto"/>
              </w:rPr>
            </w:pPr>
            <w:r>
              <w:rPr>
                <w:rFonts w:ascii="Arial" w:cs="Arial" w:eastAsia="Arial" w:hAnsi="Arial"/>
                <w:sz w:val="18"/>
                <w:szCs w:val="18"/>
                <w:color w:val="auto"/>
              </w:rPr>
              <w:t>101.INS</w:t>
            </w:r>
          </w:p>
        </w:tc>
        <w:tc>
          <w:tcPr>
            <w:tcW w:w="9080" w:type="dxa"/>
            <w:vAlign w:val="bottom"/>
            <w:gridSpan w:val="9"/>
            <w:shd w:val="clear" w:color="auto" w:fill="CCEEFF"/>
          </w:tcPr>
          <w:p>
            <w:pPr>
              <w:spacing w:after="0" w:line="161" w:lineRule="exact"/>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w:t>
            </w:r>
          </w:p>
        </w:tc>
      </w:tr>
      <w:tr>
        <w:trPr>
          <w:trHeight w:val="217"/>
        </w:trPr>
        <w:tc>
          <w:tcPr>
            <w:tcW w:w="2160" w:type="dxa"/>
            <w:vAlign w:val="bottom"/>
            <w:shd w:val="clear" w:color="auto" w:fill="CCEEFF"/>
          </w:tcPr>
          <w:p>
            <w:pPr>
              <w:spacing w:after="0"/>
              <w:rPr>
                <w:sz w:val="18"/>
                <w:szCs w:val="18"/>
                <w:color w:val="auto"/>
              </w:rPr>
            </w:pPr>
          </w:p>
        </w:tc>
        <w:tc>
          <w:tcPr>
            <w:tcW w:w="90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189"/>
        </w:trPr>
        <w:tc>
          <w:tcPr>
            <w:tcW w:w="2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101.SCH</w:t>
            </w:r>
          </w:p>
        </w:tc>
        <w:tc>
          <w:tcPr>
            <w:tcW w:w="9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Schema Document</w:t>
            </w:r>
          </w:p>
        </w:tc>
      </w:tr>
      <w:tr>
        <w:trPr>
          <w:trHeight w:val="203"/>
        </w:trPr>
        <w:tc>
          <w:tcPr>
            <w:tcW w:w="216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101.CAL</w:t>
            </w:r>
          </w:p>
        </w:tc>
        <w:tc>
          <w:tcPr>
            <w:tcW w:w="9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r>
      <w:tr>
        <w:trPr>
          <w:trHeight w:val="189"/>
        </w:trPr>
        <w:tc>
          <w:tcPr>
            <w:tcW w:w="2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101.DEF</w:t>
            </w:r>
          </w:p>
        </w:tc>
        <w:tc>
          <w:tcPr>
            <w:tcW w:w="9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r>
      <w:tr>
        <w:trPr>
          <w:trHeight w:val="189"/>
        </w:trPr>
        <w:tc>
          <w:tcPr>
            <w:tcW w:w="2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101.LAB</w:t>
            </w:r>
          </w:p>
        </w:tc>
        <w:tc>
          <w:tcPr>
            <w:tcW w:w="9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r>
      <w:tr>
        <w:trPr>
          <w:trHeight w:val="189"/>
        </w:trPr>
        <w:tc>
          <w:tcPr>
            <w:tcW w:w="21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101.PRES</w:t>
            </w:r>
          </w:p>
        </w:tc>
        <w:tc>
          <w:tcPr>
            <w:tcW w:w="908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r>
      <w:tr>
        <w:trPr>
          <w:trHeight w:val="380"/>
        </w:trPr>
        <w:tc>
          <w:tcPr>
            <w:tcW w:w="2160" w:type="dxa"/>
            <w:vAlign w:val="bottom"/>
          </w:tcPr>
          <w:p>
            <w:pPr>
              <w:ind w:left="20"/>
              <w:spacing w:after="0"/>
              <w:rPr>
                <w:sz w:val="20"/>
                <w:szCs w:val="20"/>
                <w:color w:val="auto"/>
              </w:rPr>
            </w:pPr>
            <w:r>
              <w:rPr>
                <w:rFonts w:ascii="Arial" w:cs="Arial" w:eastAsia="Arial" w:hAnsi="Arial"/>
                <w:sz w:val="18"/>
                <w:szCs w:val="18"/>
                <w:color w:val="auto"/>
              </w:rPr>
              <w:t>104</w:t>
            </w:r>
          </w:p>
        </w:tc>
        <w:tc>
          <w:tcPr>
            <w:tcW w:w="9080" w:type="dxa"/>
            <w:vAlign w:val="bottom"/>
            <w:gridSpan w:val="9"/>
          </w:tcPr>
          <w:p>
            <w:pPr>
              <w:spacing w:after="0"/>
              <w:rPr>
                <w:sz w:val="20"/>
                <w:szCs w:val="20"/>
                <w:color w:val="auto"/>
              </w:rPr>
            </w:pPr>
            <w:r>
              <w:rPr>
                <w:rFonts w:ascii="Arial" w:cs="Arial" w:eastAsia="Arial" w:hAnsi="Arial"/>
                <w:sz w:val="18"/>
                <w:szCs w:val="18"/>
                <w:color w:val="auto"/>
                <w:w w:val="91"/>
              </w:rPr>
              <w:t>The cover page from the Company’s Quarterly Report on Form 10-Q for the quarter ended June 30, 2023, formatted in Inline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8"/>
          <w:szCs w:val="18"/>
          <w:color w:val="auto"/>
        </w:rPr>
        <w:t>XBRL (included in Exhibit 101)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u w:val="single" w:color="auto"/>
          <w:color w:val="0563C1"/>
        </w:rPr>
        <w:t>Table of Contents</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SIGNATURES</w:t>
      </w:r>
    </w:p>
    <w:p>
      <w:pPr>
        <w:spacing w:after="0" w:line="85" w:lineRule="exact"/>
        <w:rPr>
          <w:sz w:val="20"/>
          <w:szCs w:val="20"/>
          <w:color w:val="auto"/>
        </w:rPr>
      </w:pPr>
    </w:p>
    <w:p>
      <w:pPr>
        <w:spacing w:after="0" w:line="21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executed on its behalf by the undersigned thereunto duly authorized.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August 8, 2023</w:t>
      </w:r>
    </w:p>
    <w:p>
      <w:pPr>
        <w:spacing w:after="0" w:line="193"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Essential Utilities,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-635</wp:posOffset>
            </wp:positionV>
            <wp:extent cx="31292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ind w:left="63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-635</wp:posOffset>
            </wp:positionV>
            <wp:extent cx="31292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ind w:left="6320"/>
        <w:spacing w:after="0" w:line="225" w:lineRule="auto"/>
        <w:rPr>
          <w:sz w:val="20"/>
          <w:szCs w:val="20"/>
          <w:color w:val="auto"/>
        </w:rPr>
      </w:pPr>
      <w:r>
        <w:rPr>
          <w:rFonts w:ascii="Arial" w:cs="Arial" w:eastAsia="Arial" w:hAnsi="Arial"/>
          <w:sz w:val="22"/>
          <w:szCs w:val="22"/>
          <w:color w:val="auto"/>
        </w:rPr>
        <w:t>Christopher H. Franklin</w:t>
      </w:r>
    </w:p>
    <w:p>
      <w:pPr>
        <w:ind w:left="6320"/>
        <w:spacing w:after="0" w:line="230" w:lineRule="auto"/>
        <w:rPr>
          <w:sz w:val="20"/>
          <w:szCs w:val="20"/>
          <w:color w:val="auto"/>
        </w:rPr>
      </w:pPr>
      <w:r>
        <w:rPr>
          <w:rFonts w:ascii="Arial" w:cs="Arial" w:eastAsia="Arial" w:hAnsi="Arial"/>
          <w:sz w:val="22"/>
          <w:szCs w:val="22"/>
          <w:color w:val="auto"/>
        </w:rPr>
        <w:t>Chairman, President and</w:t>
      </w:r>
    </w:p>
    <w:p>
      <w:pPr>
        <w:spacing w:after="0" w:line="1"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93"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/s/ 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6985</wp:posOffset>
            </wp:positionV>
            <wp:extent cx="3129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ind w:left="6320"/>
        <w:spacing w:after="0" w:line="238" w:lineRule="auto"/>
        <w:rPr>
          <w:sz w:val="20"/>
          <w:szCs w:val="20"/>
          <w:color w:val="auto"/>
        </w:rPr>
      </w:pPr>
      <w:r>
        <w:rPr>
          <w:rFonts w:ascii="Arial" w:cs="Arial" w:eastAsia="Arial" w:hAnsi="Arial"/>
          <w:sz w:val="22"/>
          <w:szCs w:val="22"/>
          <w:color w:val="auto"/>
        </w:rPr>
        <w:t>Daniel J. Schuller</w:t>
      </w:r>
    </w:p>
    <w:p>
      <w:pPr>
        <w:ind w:left="6320"/>
        <w:spacing w:after="0" w:line="217"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Chief Financial Officer</w:t>
      </w: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100"/>
          </w:cols>
          <w:pgMar w:left="320" w:top="118" w:right="479" w:bottom="1440" w:gutter="0" w:footer="0" w:header="0"/>
        </w:sectPr>
      </w:pPr>
    </w:p>
    <w:bookmarkStart w:id="51" w:name="page52"/>
    <w:bookmarkEnd w:id="51"/>
    <w:p>
      <w:pPr>
        <w:jc w:val="right"/>
        <w:ind w:right="20"/>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EXECUTION VERSION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THIRD AMENDMENT TO CREDIT AGREEMENT</w:t>
      </w:r>
    </w:p>
    <w:p>
      <w:pPr>
        <w:spacing w:after="0" w:line="188" w:lineRule="exact"/>
        <w:rPr>
          <w:sz w:val="20"/>
          <w:szCs w:val="20"/>
          <w:color w:val="auto"/>
        </w:rPr>
      </w:pPr>
    </w:p>
    <w:p>
      <w:pPr>
        <w:jc w:val="both"/>
        <w:ind w:right="20" w:firstLine="1296"/>
        <w:spacing w:after="0" w:line="248" w:lineRule="auto"/>
        <w:rPr>
          <w:sz w:val="20"/>
          <w:szCs w:val="20"/>
          <w:color w:val="auto"/>
        </w:rPr>
      </w:pPr>
      <w:r>
        <w:rPr>
          <w:rFonts w:ascii="Arial" w:cs="Arial" w:eastAsia="Arial" w:hAnsi="Arial"/>
          <w:sz w:val="21"/>
          <w:szCs w:val="21"/>
          <w:color w:val="auto"/>
        </w:rPr>
        <w:t>THIS THIRD AMENDMENT TO CREDIT AGREEMENT (this “Agreement”) is made as of this 29th day of June, 2023 (the “Third Amendment Effective Date”), by and among (i) PNG COMPANIES LLC, a Delaware limited liability company (“Borrower”), (ii) the several banks and other financial institutions or entities parties on the date hereof to the Existing Credit Agreement (as defined below) (each a “Lender” and, collectively, the “Lenders”), and (iii) PNC BANK, NATIONAL ASSOCIATION in its capacity as administrative agent for the Lenders (in such capacity, the “Administrative Agent”).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right="20" w:firstLine="644"/>
        <w:spacing w:after="0" w:line="275" w:lineRule="auto"/>
        <w:tabs>
          <w:tab w:leader="none" w:pos="137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Borrower, the Administrative Agent and the Lenders are parties to a Credit Agreement, dated as of November 25, 2020 (as heretofore amended, supplemented, modified, or restated, including by the First Amendment to Credit Agreement, dated as of November 5, 2021, and the Second Amendment to Credit Agreement, dated as of June 30, 2022, the “Existing Credit Agreement”; the Existing Credit Agreement, as amended by this Agreement and as may be further amended, supplemented, modified or restated from time to time, the “Amended Credit Agreement”), pursuant to which the Lenders have made available to the Borrower a revolving credit facility in an aggregate amount of $300,000,000 (the “Facility”). The loans under the Facility are evidenced by the Borrower’s Notes to the Lenders in the aggregate principal amount of $300,000,000.</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right="20" w:firstLine="644"/>
        <w:spacing w:after="0"/>
        <w:tabs>
          <w:tab w:leader="none" w:pos="1364"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Borrower, the Administrative Agent and the Lenders desire to (i) extend the Revolving Commitment Termination Date; and (ii) modify certain other provisions of the Existing Credit Agreement, all on the terms and subject to the conditions herein set forth.</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the parties hereto, intending to be legally bound hereby, agree as follows:</w:t>
      </w: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620" w:right="20" w:hanging="328"/>
        <w:spacing w:after="0" w:line="250" w:lineRule="auto"/>
        <w:tabs>
          <w:tab w:leader="none" w:pos="1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Amended Credit Agreement.</w:t>
      </w:r>
    </w:p>
    <w:p>
      <w:pPr>
        <w:spacing w:after="0" w:line="174" w:lineRule="exact"/>
        <w:rPr>
          <w:rFonts w:ascii="Arial" w:cs="Arial" w:eastAsia="Arial" w:hAnsi="Arial"/>
          <w:sz w:val="22"/>
          <w:szCs w:val="22"/>
          <w:color w:val="auto"/>
        </w:rPr>
      </w:pPr>
    </w:p>
    <w:p>
      <w:pPr>
        <w:ind w:left="1620" w:right="20" w:hanging="328"/>
        <w:spacing w:after="0" w:line="250" w:lineRule="auto"/>
        <w:tabs>
          <w:tab w:leader="none" w:pos="1652"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Amendments to Existing Credit Agreement</w:t>
      </w:r>
      <w:r>
        <w:rPr>
          <w:rFonts w:ascii="Arial" w:cs="Arial" w:eastAsia="Arial" w:hAnsi="Arial"/>
          <w:sz w:val="22"/>
          <w:szCs w:val="22"/>
          <w:color w:val="auto"/>
        </w:rPr>
        <w:t>. Effective on the Third Amendment Effective Date, the Existing Credit Agreement shall be amended as follows:</w:t>
      </w:r>
    </w:p>
    <w:p>
      <w:pPr>
        <w:spacing w:after="0" w:line="175" w:lineRule="exact"/>
        <w:rPr>
          <w:sz w:val="20"/>
          <w:szCs w:val="20"/>
          <w:color w:val="auto"/>
        </w:rPr>
      </w:pPr>
    </w:p>
    <w:p>
      <w:pPr>
        <w:ind w:left="2320" w:right="20" w:hanging="380"/>
        <w:spacing w:after="0" w:line="250" w:lineRule="auto"/>
        <w:tabs>
          <w:tab w:leader="none" w:pos="2355"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following definitions in Section 1.1 shall be amended and restated to read in full as follows: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00" w:type="dxa"/>
            <w:vAlign w:val="bottom"/>
          </w:tcPr>
          <w:p>
            <w:pPr>
              <w:spacing w:after="0"/>
              <w:rPr>
                <w:sz w:val="21"/>
                <w:szCs w:val="21"/>
                <w:color w:val="auto"/>
              </w:rPr>
            </w:pPr>
          </w:p>
        </w:tc>
        <w:tc>
          <w:tcPr>
            <w:tcW w:w="7360" w:type="dxa"/>
            <w:vAlign w:val="bottom"/>
            <w:gridSpan w:val="5"/>
          </w:tcPr>
          <w:p>
            <w:pPr>
              <w:spacing w:after="0"/>
              <w:rPr>
                <w:sz w:val="20"/>
                <w:szCs w:val="20"/>
                <w:color w:val="auto"/>
              </w:rPr>
            </w:pPr>
            <w:r>
              <w:rPr>
                <w:rFonts w:ascii="Arial" w:cs="Arial" w:eastAsia="Arial" w:hAnsi="Arial"/>
                <w:sz w:val="22"/>
                <w:szCs w:val="22"/>
                <w:color w:val="auto"/>
                <w:w w:val="96"/>
              </w:rPr>
              <w:t>“Applicable Margin”: the rate per annum equal to the rates set forth in the table</w:t>
            </w:r>
          </w:p>
        </w:tc>
      </w:tr>
      <w:tr>
        <w:trPr>
          <w:trHeight w:val="20"/>
        </w:trPr>
        <w:tc>
          <w:tcPr>
            <w:tcW w:w="26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74"/>
        </w:trPr>
        <w:tc>
          <w:tcPr>
            <w:tcW w:w="2600" w:type="dxa"/>
            <w:vAlign w:val="bottom"/>
          </w:tcPr>
          <w:p>
            <w:pPr>
              <w:spacing w:after="0"/>
              <w:rPr>
                <w:sz w:val="23"/>
                <w:szCs w:val="23"/>
                <w:color w:val="auto"/>
              </w:rPr>
            </w:pPr>
          </w:p>
        </w:tc>
        <w:tc>
          <w:tcPr>
            <w:tcW w:w="7360" w:type="dxa"/>
            <w:vAlign w:val="bottom"/>
            <w:gridSpan w:val="5"/>
          </w:tcPr>
          <w:p>
            <w:pPr>
              <w:spacing w:after="0"/>
              <w:rPr>
                <w:sz w:val="20"/>
                <w:szCs w:val="20"/>
                <w:color w:val="auto"/>
              </w:rPr>
            </w:pPr>
            <w:r>
              <w:rPr>
                <w:rFonts w:ascii="Arial" w:cs="Arial" w:eastAsia="Arial" w:hAnsi="Arial"/>
                <w:sz w:val="22"/>
                <w:szCs w:val="22"/>
                <w:color w:val="auto"/>
              </w:rPr>
              <w:t>below:</w:t>
            </w:r>
          </w:p>
        </w:tc>
      </w:tr>
      <w:tr>
        <w:trPr>
          <w:trHeight w:val="219"/>
        </w:trPr>
        <w:tc>
          <w:tcPr>
            <w:tcW w:w="2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215"/>
        </w:trPr>
        <w:tc>
          <w:tcPr>
            <w:tcW w:w="260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Applicable Margin</w:t>
            </w: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43"/>
        </w:trPr>
        <w:tc>
          <w:tcPr>
            <w:tcW w:w="26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7"/>
              </w:rPr>
              <w:t>for BSBY</w:t>
            </w:r>
          </w:p>
        </w:tc>
        <w:tc>
          <w:tcPr>
            <w:tcW w:w="140" w:type="dxa"/>
            <w:vAlign w:val="bottom"/>
          </w:tcPr>
          <w:p>
            <w:pPr>
              <w:spacing w:after="0"/>
              <w:rPr>
                <w:sz w:val="21"/>
                <w:szCs w:val="21"/>
                <w:color w:val="auto"/>
              </w:rPr>
            </w:pPr>
          </w:p>
        </w:tc>
        <w:tc>
          <w:tcPr>
            <w:tcW w:w="2440" w:type="dxa"/>
            <w:vAlign w:val="bottom"/>
            <w:tcBorders>
              <w:right w:val="single" w:sz="8" w:color="auto"/>
            </w:tcBorders>
            <w:gridSpan w:val="2"/>
          </w:tcPr>
          <w:p>
            <w:pPr>
              <w:jc w:val="center"/>
              <w:ind w:right="160"/>
              <w:spacing w:after="0" w:line="243" w:lineRule="exact"/>
              <w:rPr>
                <w:sz w:val="20"/>
                <w:szCs w:val="20"/>
                <w:color w:val="auto"/>
              </w:rPr>
            </w:pPr>
            <w:r>
              <w:rPr>
                <w:rFonts w:ascii="Arial" w:cs="Arial" w:eastAsia="Arial" w:hAnsi="Arial"/>
                <w:sz w:val="22"/>
                <w:szCs w:val="22"/>
                <w:color w:val="auto"/>
                <w:w w:val="93"/>
              </w:rPr>
              <w:t>Applicable Margin</w:t>
            </w:r>
          </w:p>
        </w:tc>
        <w:tc>
          <w:tcPr>
            <w:tcW w:w="1220" w:type="dxa"/>
            <w:vAlign w:val="bottom"/>
          </w:tcPr>
          <w:p>
            <w:pPr>
              <w:spacing w:after="0"/>
              <w:rPr>
                <w:sz w:val="21"/>
                <w:szCs w:val="21"/>
                <w:color w:val="auto"/>
              </w:rPr>
            </w:pPr>
          </w:p>
        </w:tc>
        <w:tc>
          <w:tcPr>
            <w:tcW w:w="3560" w:type="dxa"/>
            <w:vAlign w:val="bottom"/>
          </w:tcPr>
          <w:p>
            <w:pPr>
              <w:spacing w:after="0"/>
              <w:rPr>
                <w:sz w:val="21"/>
                <w:szCs w:val="21"/>
                <w:color w:val="auto"/>
              </w:rPr>
            </w:pPr>
          </w:p>
        </w:tc>
      </w:tr>
      <w:tr>
        <w:trPr>
          <w:trHeight w:val="264"/>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Rate Loans</w:t>
            </w:r>
          </w:p>
        </w:tc>
        <w:tc>
          <w:tcPr>
            <w:tcW w:w="140" w:type="dxa"/>
            <w:vAlign w:val="bottom"/>
            <w:tcBorders>
              <w:bottom w:val="single" w:sz="8" w:color="auto"/>
            </w:tcBorders>
          </w:tcPr>
          <w:p>
            <w:pPr>
              <w:spacing w:after="0"/>
              <w:rPr>
                <w:sz w:val="22"/>
                <w:szCs w:val="22"/>
                <w:color w:val="auto"/>
              </w:rPr>
            </w:pPr>
          </w:p>
        </w:tc>
        <w:tc>
          <w:tcPr>
            <w:tcW w:w="2440" w:type="dxa"/>
            <w:vAlign w:val="bottom"/>
            <w:tcBorders>
              <w:bottom w:val="single" w:sz="8" w:color="auto"/>
              <w:right w:val="single" w:sz="8" w:color="auto"/>
            </w:tcBorders>
            <w:gridSpan w:val="2"/>
          </w:tcPr>
          <w:p>
            <w:pPr>
              <w:jc w:val="center"/>
              <w:ind w:right="160"/>
              <w:spacing w:after="0"/>
              <w:rPr>
                <w:sz w:val="20"/>
                <w:szCs w:val="20"/>
                <w:color w:val="auto"/>
              </w:rPr>
            </w:pPr>
            <w:r>
              <w:rPr>
                <w:rFonts w:ascii="Arial" w:cs="Arial" w:eastAsia="Arial" w:hAnsi="Arial"/>
                <w:sz w:val="22"/>
                <w:szCs w:val="22"/>
                <w:color w:val="auto"/>
                <w:w w:val="92"/>
              </w:rPr>
              <w:t>for ABR Loans</w:t>
            </w:r>
          </w:p>
        </w:tc>
        <w:tc>
          <w:tcPr>
            <w:tcW w:w="1220" w:type="dxa"/>
            <w:vAlign w:val="bottom"/>
          </w:tcPr>
          <w:p>
            <w:pPr>
              <w:spacing w:after="0"/>
              <w:rPr>
                <w:sz w:val="22"/>
                <w:szCs w:val="22"/>
                <w:color w:val="auto"/>
              </w:rPr>
            </w:pPr>
          </w:p>
        </w:tc>
        <w:tc>
          <w:tcPr>
            <w:tcW w:w="3560" w:type="dxa"/>
            <w:vAlign w:val="bottom"/>
          </w:tcPr>
          <w:p>
            <w:pPr>
              <w:spacing w:after="0"/>
              <w:rPr>
                <w:sz w:val="22"/>
                <w:szCs w:val="22"/>
                <w:color w:val="auto"/>
              </w:rPr>
            </w:pPr>
          </w:p>
        </w:tc>
      </w:tr>
      <w:tr>
        <w:trPr>
          <w:trHeight w:val="236"/>
        </w:trPr>
        <w:tc>
          <w:tcPr>
            <w:tcW w:w="26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0.90%</w:t>
            </w:r>
          </w:p>
        </w:tc>
        <w:tc>
          <w:tcPr>
            <w:tcW w:w="1760" w:type="dxa"/>
            <w:vAlign w:val="bottom"/>
            <w:tcBorders>
              <w:bottom w:val="single" w:sz="8" w:color="auto"/>
            </w:tcBorders>
            <w:gridSpan w:val="2"/>
          </w:tcPr>
          <w:p>
            <w:pPr>
              <w:jc w:val="center"/>
              <w:ind w:left="692"/>
              <w:spacing w:after="0" w:line="237" w:lineRule="exact"/>
              <w:rPr>
                <w:sz w:val="20"/>
                <w:szCs w:val="20"/>
                <w:color w:val="auto"/>
              </w:rPr>
            </w:pPr>
            <w:r>
              <w:rPr>
                <w:rFonts w:ascii="Arial" w:cs="Arial" w:eastAsia="Arial" w:hAnsi="Arial"/>
                <w:sz w:val="22"/>
                <w:szCs w:val="22"/>
                <w:color w:val="auto"/>
                <w:w w:val="89"/>
              </w:rPr>
              <w:t>0.00%</w:t>
            </w:r>
          </w:p>
        </w:tc>
        <w:tc>
          <w:tcPr>
            <w:tcW w:w="820" w:type="dxa"/>
            <w:vAlign w:val="bottom"/>
            <w:tcBorders>
              <w:bottom w:val="single" w:sz="8" w:color="auto"/>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439"/>
        </w:trPr>
        <w:tc>
          <w:tcPr>
            <w:tcW w:w="2600" w:type="dxa"/>
            <w:vAlign w:val="bottom"/>
          </w:tcPr>
          <w:p>
            <w:pPr>
              <w:spacing w:after="0"/>
              <w:rPr>
                <w:sz w:val="24"/>
                <w:szCs w:val="24"/>
                <w:color w:val="auto"/>
              </w:rPr>
            </w:pPr>
          </w:p>
        </w:tc>
        <w:tc>
          <w:tcPr>
            <w:tcW w:w="7360" w:type="dxa"/>
            <w:vAlign w:val="bottom"/>
            <w:gridSpan w:val="5"/>
          </w:tcPr>
          <w:p>
            <w:pPr>
              <w:ind w:left="40"/>
              <w:spacing w:after="0"/>
              <w:rPr>
                <w:sz w:val="20"/>
                <w:szCs w:val="20"/>
                <w:color w:val="auto"/>
              </w:rPr>
            </w:pPr>
            <w:r>
              <w:rPr>
                <w:rFonts w:ascii="Arial" w:cs="Arial" w:eastAsia="Arial" w:hAnsi="Arial"/>
                <w:sz w:val="22"/>
                <w:szCs w:val="22"/>
                <w:color w:val="auto"/>
              </w:rPr>
              <w:t>“Revolving Commitment Termination Date”: June 27, 2024.</w:t>
            </w:r>
          </w:p>
        </w:tc>
      </w:tr>
      <w:tr>
        <w:trPr>
          <w:trHeight w:val="236"/>
        </w:trPr>
        <w:tc>
          <w:tcPr>
            <w:tcW w:w="260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1620" w:type="dxa"/>
            <w:vAlign w:val="bottom"/>
            <w:tcBorders>
              <w:top w:val="single" w:sz="8" w:color="auto"/>
              <w:bottom w:val="single" w:sz="8" w:color="9A9A9A"/>
            </w:tcBorders>
          </w:tcPr>
          <w:p>
            <w:pPr>
              <w:spacing w:after="0"/>
              <w:rPr>
                <w:sz w:val="20"/>
                <w:szCs w:val="20"/>
                <w:color w:val="auto"/>
              </w:rPr>
            </w:pPr>
          </w:p>
        </w:tc>
        <w:tc>
          <w:tcPr>
            <w:tcW w:w="820" w:type="dxa"/>
            <w:vAlign w:val="bottom"/>
            <w:tcBorders>
              <w:top w:val="single" w:sz="8" w:color="auto"/>
              <w:bottom w:val="single" w:sz="8" w:color="9A9A9A"/>
            </w:tcBorders>
          </w:tcPr>
          <w:p>
            <w:pPr>
              <w:spacing w:after="0"/>
              <w:rPr>
                <w:sz w:val="20"/>
                <w:szCs w:val="20"/>
                <w:color w:val="auto"/>
              </w:rPr>
            </w:pPr>
          </w:p>
        </w:tc>
        <w:tc>
          <w:tcPr>
            <w:tcW w:w="1220" w:type="dxa"/>
            <w:vAlign w:val="bottom"/>
            <w:tcBorders>
              <w:top w:val="single" w:sz="8" w:color="auto"/>
              <w:bottom w:val="single" w:sz="8" w:color="9A9A9A"/>
            </w:tcBorders>
          </w:tcPr>
          <w:p>
            <w:pPr>
              <w:spacing w:after="0"/>
              <w:rPr>
                <w:sz w:val="20"/>
                <w:szCs w:val="20"/>
                <w:color w:val="auto"/>
              </w:rPr>
            </w:pPr>
          </w:p>
        </w:tc>
        <w:tc>
          <w:tcPr>
            <w:tcW w:w="3560" w:type="dxa"/>
            <w:vAlign w:val="bottom"/>
            <w:tcBorders>
              <w:bottom w:val="single" w:sz="8" w:color="9A9A9A"/>
            </w:tcBorders>
          </w:tcPr>
          <w:p>
            <w:pPr>
              <w:spacing w:after="0"/>
              <w:rPr>
                <w:sz w:val="20"/>
                <w:szCs w:val="20"/>
                <w:color w:val="auto"/>
              </w:rPr>
            </w:pPr>
          </w:p>
        </w:tc>
      </w:tr>
      <w:tr>
        <w:trPr>
          <w:trHeight w:val="20"/>
        </w:trPr>
        <w:tc>
          <w:tcPr>
            <w:tcW w:w="26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3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580" w:right="959" w:bottom="1440" w:gutter="0" w:footer="0" w:header="0"/>
        </w:sectPr>
      </w:pPr>
    </w:p>
    <w:bookmarkStart w:id="52" w:name="page53"/>
    <w:bookmarkEnd w:id="52"/>
    <w:p>
      <w:pPr>
        <w:jc w:val="both"/>
        <w:ind w:left="1160" w:hanging="328"/>
        <w:spacing w:after="0" w:line="245" w:lineRule="auto"/>
        <w:tabs>
          <w:tab w:leader="none" w:pos="1192"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Borrower’s Ratification</w:t>
      </w:r>
      <w:r>
        <w:rPr>
          <w:rFonts w:ascii="Arial" w:cs="Arial" w:eastAsia="Arial" w:hAnsi="Arial"/>
          <w:sz w:val="21"/>
          <w:szCs w:val="21"/>
          <w:color w:val="auto"/>
        </w:rPr>
        <w:t>. The Borrower agrees that it has no defenses, set-offs, counterclaim or challenge against the Lenders or the Administrative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84" w:lineRule="exact"/>
        <w:rPr>
          <w:rFonts w:ascii="Arial" w:cs="Arial" w:eastAsia="Arial" w:hAnsi="Arial"/>
          <w:sz w:val="21"/>
          <w:szCs w:val="21"/>
          <w:color w:val="auto"/>
        </w:rPr>
      </w:pPr>
    </w:p>
    <w:p>
      <w:pPr>
        <w:ind w:left="1160" w:hanging="328"/>
        <w:spacing w:after="0" w:line="250" w:lineRule="auto"/>
        <w:tabs>
          <w:tab w:leader="none" w:pos="119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Administrative Agent and the Lenders that:</w:t>
      </w:r>
    </w:p>
    <w:p>
      <w:pPr>
        <w:spacing w:after="0" w:line="174" w:lineRule="exact"/>
        <w:rPr>
          <w:rFonts w:ascii="Arial" w:cs="Arial" w:eastAsia="Arial" w:hAnsi="Arial"/>
          <w:sz w:val="22"/>
          <w:szCs w:val="22"/>
          <w:color w:val="auto"/>
        </w:rPr>
      </w:pPr>
    </w:p>
    <w:p>
      <w:pPr>
        <w:jc w:val="both"/>
        <w:ind w:left="1860" w:hanging="380"/>
        <w:spacing w:after="0" w:line="273" w:lineRule="auto"/>
        <w:tabs>
          <w:tab w:leader="none" w:pos="1895" w:val="left"/>
        </w:tabs>
        <w:numPr>
          <w:ilvl w:val="1"/>
          <w:numId w:val="22"/>
        </w:numPr>
        <w:rPr>
          <w:rFonts w:ascii="Arial" w:cs="Arial" w:eastAsia="Arial" w:hAnsi="Arial"/>
          <w:sz w:val="19"/>
          <w:szCs w:val="19"/>
          <w:color w:val="auto"/>
        </w:rPr>
      </w:pPr>
      <w:r>
        <w:rPr>
          <w:rFonts w:ascii="Arial" w:cs="Arial" w:eastAsia="Arial" w:hAnsi="Arial"/>
          <w:sz w:val="19"/>
          <w:szCs w:val="19"/>
          <w:color w:val="auto"/>
        </w:rPr>
        <w:t>Immediately before giving effect to this Agreement, the representations and warranties of the Borrower set forth in the Existing Credit Agreement, and immediately after giving effect to this Agreement, the representations and warranties of the Borrower set forth in the Amended Credit Agreement and the other Loan Documents, are in each case true and correct in all material respects (it being understood that the materiality qualifier shall not be applicable with respect to any clause of any representation or warranty which itself contains a materiality qualification) as of the Third Amendment Effective Date (except representations and warranties which relate solely to an earlier date or time, which representations and warranties shall be true and correct in all material respects (or all respects, as applicable) on and as of the specific dates or times referred to therein);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860" w:hanging="380"/>
        <w:spacing w:after="0" w:line="238" w:lineRule="auto"/>
        <w:tabs>
          <w:tab w:leader="none" w:pos="1907" w:val="left"/>
        </w:tabs>
        <w:numPr>
          <w:ilvl w:val="1"/>
          <w:numId w:val="22"/>
        </w:numPr>
        <w:rPr>
          <w:rFonts w:ascii="Arial" w:cs="Arial" w:eastAsia="Arial" w:hAnsi="Arial"/>
          <w:sz w:val="22"/>
          <w:szCs w:val="22"/>
          <w:color w:val="auto"/>
        </w:rPr>
      </w:pPr>
      <w:r>
        <w:rPr>
          <w:rFonts w:ascii="Arial" w:cs="Arial" w:eastAsia="Arial" w:hAnsi="Arial"/>
          <w:sz w:val="22"/>
          <w:szCs w:val="22"/>
          <w:color w:val="auto"/>
        </w:rPr>
        <w:t>Immediately before giving effect to this Agreement, there exists no Default or Event of Default under the Existing Credit Agreement, and immediately after giving effect to this Agreement there exists no Default or Event of Default under the Amended Credit Agreement;</w:t>
      </w:r>
    </w:p>
    <w:p>
      <w:pPr>
        <w:spacing w:after="0" w:line="184" w:lineRule="exact"/>
        <w:rPr>
          <w:rFonts w:ascii="Arial" w:cs="Arial" w:eastAsia="Arial" w:hAnsi="Arial"/>
          <w:sz w:val="22"/>
          <w:szCs w:val="22"/>
          <w:color w:val="auto"/>
        </w:rPr>
      </w:pPr>
    </w:p>
    <w:p>
      <w:pPr>
        <w:jc w:val="both"/>
        <w:ind w:left="1860" w:hanging="380"/>
        <w:spacing w:after="0" w:line="257" w:lineRule="auto"/>
        <w:tabs>
          <w:tab w:leader="none" w:pos="1895"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This Agreement (including the Amended Credit Agreement) has been duly authorized, executed and delivered and constitutes the legal, valid and binding obligation of the Borrower, enforceable in accordance with its terms; and</w:t>
      </w:r>
    </w:p>
    <w:p>
      <w:pPr>
        <w:spacing w:after="0" w:line="169" w:lineRule="exact"/>
        <w:rPr>
          <w:rFonts w:ascii="Arial" w:cs="Arial" w:eastAsia="Arial" w:hAnsi="Arial"/>
          <w:sz w:val="21"/>
          <w:szCs w:val="21"/>
          <w:color w:val="auto"/>
        </w:rPr>
      </w:pPr>
    </w:p>
    <w:p>
      <w:pPr>
        <w:jc w:val="both"/>
        <w:ind w:left="1860" w:hanging="380"/>
        <w:spacing w:after="0" w:line="249" w:lineRule="auto"/>
        <w:tabs>
          <w:tab w:leader="none" w:pos="1907" w:val="left"/>
        </w:tabs>
        <w:numPr>
          <w:ilvl w:val="1"/>
          <w:numId w:val="22"/>
        </w:numPr>
        <w:rPr>
          <w:rFonts w:ascii="Arial" w:cs="Arial" w:eastAsia="Arial" w:hAnsi="Arial"/>
          <w:sz w:val="21"/>
          <w:szCs w:val="21"/>
          <w:color w:val="auto"/>
        </w:rPr>
      </w:pPr>
      <w:r>
        <w:rPr>
          <w:rFonts w:ascii="Arial" w:cs="Arial" w:eastAsia="Arial" w:hAnsi="Arial"/>
          <w:sz w:val="21"/>
          <w:szCs w:val="21"/>
          <w:color w:val="auto"/>
        </w:rPr>
        <w:t>No consent, approval or authorization of, filing, registration or recording with, notice to or other act by or in respect of, any Governmental Authority or any other Person is required in connection with the execution, delivery or performance by the Borrower of this Agreement or the Amended Credit Agreement (except for those which have been obtained on or prior to the date hereof).</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21"/>
          <w:szCs w:val="21"/>
          <w:color w:val="auto"/>
        </w:rPr>
        <w:t>All of the above representations and warranties shall survive the making of this Agreement.</w:t>
      </w:r>
    </w:p>
    <w:p>
      <w:pPr>
        <w:spacing w:after="0" w:line="218" w:lineRule="exact"/>
        <w:rPr>
          <w:sz w:val="20"/>
          <w:szCs w:val="20"/>
          <w:color w:val="auto"/>
        </w:rPr>
      </w:pPr>
    </w:p>
    <w:p>
      <w:pPr>
        <w:jc w:val="both"/>
        <w:ind w:left="1160" w:hanging="328"/>
        <w:spacing w:after="0" w:line="257" w:lineRule="auto"/>
        <w:tabs>
          <w:tab w:leader="none" w:pos="1192"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Conditions Precedent</w:t>
      </w:r>
      <w:r>
        <w:rPr>
          <w:rFonts w:ascii="Arial" w:cs="Arial" w:eastAsia="Arial" w:hAnsi="Arial"/>
          <w:sz w:val="21"/>
          <w:szCs w:val="21"/>
          <w:color w:val="auto"/>
        </w:rPr>
        <w:t>. The effectiveness of the amendments set forth herein is subject to the fulfillment, to the satisfaction of the Administrative Agent and its counsel, of the following conditions precedent on or before the Third Amendment Effective Date:</w:t>
      </w:r>
    </w:p>
    <w:p>
      <w:pPr>
        <w:spacing w:after="0" w:line="169" w:lineRule="exact"/>
        <w:rPr>
          <w:rFonts w:ascii="Arial" w:cs="Arial" w:eastAsia="Arial" w:hAnsi="Arial"/>
          <w:sz w:val="21"/>
          <w:szCs w:val="21"/>
          <w:color w:val="auto"/>
        </w:rPr>
      </w:pPr>
    </w:p>
    <w:p>
      <w:pPr>
        <w:jc w:val="both"/>
        <w:ind w:left="1860" w:hanging="380"/>
        <w:spacing w:after="0" w:line="238" w:lineRule="auto"/>
        <w:tabs>
          <w:tab w:leader="none" w:pos="1895"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Administrative Agent shall have received the following, all of which shall be in form and substance satisfactory to the Administrative Agent and shall be duly completed and executed by the Borrower, the Administrative Agent and the Lenders, as applicable:</w:t>
      </w:r>
    </w:p>
    <w:p>
      <w:pPr>
        <w:spacing w:after="0" w:line="184" w:lineRule="exact"/>
        <w:rPr>
          <w:rFonts w:ascii="Arial" w:cs="Arial" w:eastAsia="Arial" w:hAnsi="Arial"/>
          <w:sz w:val="22"/>
          <w:szCs w:val="22"/>
          <w:color w:val="auto"/>
        </w:rPr>
      </w:pPr>
    </w:p>
    <w:p>
      <w:pPr>
        <w:ind w:left="3620" w:hanging="714"/>
        <w:spacing w:after="0"/>
        <w:tabs>
          <w:tab w:leader="none" w:pos="3620" w:val="left"/>
        </w:tabs>
        <w:numPr>
          <w:ilvl w:val="2"/>
          <w:numId w:val="23"/>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131445</wp:posOffset>
            </wp:positionV>
            <wp:extent cx="635190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53" w:name="page54"/>
    <w:bookmarkEnd w:id="53"/>
    <w:p>
      <w:pPr>
        <w:jc w:val="both"/>
        <w:ind w:left="2720" w:firstLine="646"/>
        <w:spacing w:after="0" w:line="236" w:lineRule="auto"/>
        <w:tabs>
          <w:tab w:leader="none" w:pos="4021"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Copies, certified by an officer of the Borrower as of a recent date, of resolutions of the board of directors of the Borrower in effect on the date hereof authorizing the execution, delivery and performance of this Agreement and the transactions contemplated hereby and the performance of the Amended Credit Agreement;</w:t>
      </w:r>
    </w:p>
    <w:p>
      <w:pPr>
        <w:spacing w:after="0" w:line="187" w:lineRule="exact"/>
        <w:rPr>
          <w:rFonts w:ascii="Arial" w:cs="Arial" w:eastAsia="Arial" w:hAnsi="Arial"/>
          <w:sz w:val="22"/>
          <w:szCs w:val="22"/>
          <w:color w:val="auto"/>
        </w:rPr>
      </w:pPr>
    </w:p>
    <w:p>
      <w:pPr>
        <w:jc w:val="both"/>
        <w:ind w:left="2720" w:firstLine="646"/>
        <w:spacing w:after="0" w:line="235" w:lineRule="auto"/>
        <w:tabs>
          <w:tab w:leader="none" w:pos="40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Copies, certified by an officer of the Borrower as of a recent date, of the certificate of formation and limited liability company agreement of the Borrower as in effect on the Third Amendment Effective Date, or a certificate stating that there have been no changes to any such documents since the most recent date true and correct copies thereof were delivered to the Administrative Agent;</w:t>
      </w:r>
    </w:p>
    <w:p>
      <w:pPr>
        <w:spacing w:after="0" w:line="187" w:lineRule="exact"/>
        <w:rPr>
          <w:rFonts w:ascii="Arial" w:cs="Arial" w:eastAsia="Arial" w:hAnsi="Arial"/>
          <w:sz w:val="22"/>
          <w:szCs w:val="22"/>
          <w:color w:val="auto"/>
        </w:rPr>
      </w:pPr>
    </w:p>
    <w:p>
      <w:pPr>
        <w:ind w:left="2720" w:firstLine="646"/>
        <w:spacing w:after="0" w:line="250" w:lineRule="auto"/>
        <w:tabs>
          <w:tab w:leader="none" w:pos="4069" w:val="left"/>
        </w:tabs>
        <w:numPr>
          <w:ilvl w:val="0"/>
          <w:numId w:val="24"/>
        </w:numPr>
        <w:rPr>
          <w:rFonts w:ascii="Arial" w:cs="Arial" w:eastAsia="Arial" w:hAnsi="Arial"/>
          <w:sz w:val="22"/>
          <w:szCs w:val="22"/>
          <w:color w:val="auto"/>
        </w:rPr>
      </w:pPr>
      <w:r>
        <w:rPr>
          <w:rFonts w:ascii="Arial" w:cs="Arial" w:eastAsia="Arial" w:hAnsi="Arial"/>
          <w:sz w:val="22"/>
          <w:szCs w:val="22"/>
          <w:color w:val="auto"/>
        </w:rPr>
        <w:t>A good standing certificate for the Borrower in the State of its formation dated as of a recent date;</w:t>
      </w:r>
    </w:p>
    <w:p>
      <w:pPr>
        <w:spacing w:after="0" w:line="174" w:lineRule="exact"/>
        <w:rPr>
          <w:rFonts w:ascii="Arial" w:cs="Arial" w:eastAsia="Arial" w:hAnsi="Arial"/>
          <w:sz w:val="22"/>
          <w:szCs w:val="22"/>
          <w:color w:val="auto"/>
        </w:rPr>
      </w:pPr>
    </w:p>
    <w:p>
      <w:pPr>
        <w:jc w:val="both"/>
        <w:ind w:left="2720" w:firstLine="646"/>
        <w:spacing w:after="0"/>
        <w:tabs>
          <w:tab w:leader="none" w:pos="4073" w:val="left"/>
        </w:tabs>
        <w:numPr>
          <w:ilvl w:val="0"/>
          <w:numId w:val="24"/>
        </w:numPr>
        <w:rPr>
          <w:rFonts w:ascii="Arial" w:cs="Arial" w:eastAsia="Arial" w:hAnsi="Arial"/>
          <w:sz w:val="22"/>
          <w:szCs w:val="22"/>
          <w:color w:val="auto"/>
        </w:rPr>
      </w:pPr>
      <w:r>
        <w:rPr>
          <w:rFonts w:ascii="Arial" w:cs="Arial" w:eastAsia="Arial" w:hAnsi="Arial"/>
          <w:sz w:val="22"/>
          <w:szCs w:val="22"/>
          <w:color w:val="auto"/>
        </w:rPr>
        <w:t>State-level Uniform Commercial Code lien searches with respect to the Borrower in its jurisdiction of organization and with results reasonably acceptable to the Administrative Agent;</w:t>
      </w:r>
    </w:p>
    <w:p>
      <w:pPr>
        <w:spacing w:after="0" w:line="186" w:lineRule="exact"/>
        <w:rPr>
          <w:rFonts w:ascii="Arial" w:cs="Arial" w:eastAsia="Arial" w:hAnsi="Arial"/>
          <w:sz w:val="22"/>
          <w:szCs w:val="22"/>
          <w:color w:val="auto"/>
        </w:rPr>
      </w:pPr>
    </w:p>
    <w:p>
      <w:pPr>
        <w:jc w:val="both"/>
        <w:ind w:left="2720" w:firstLine="646"/>
        <w:spacing w:after="0" w:line="248" w:lineRule="auto"/>
        <w:tabs>
          <w:tab w:leader="none" w:pos="4069" w:val="left"/>
        </w:tabs>
        <w:numPr>
          <w:ilvl w:val="0"/>
          <w:numId w:val="24"/>
        </w:numPr>
        <w:rPr>
          <w:rFonts w:ascii="Arial" w:cs="Arial" w:eastAsia="Arial" w:hAnsi="Arial"/>
          <w:sz w:val="21"/>
          <w:szCs w:val="21"/>
          <w:color w:val="auto"/>
        </w:rPr>
      </w:pPr>
      <w:r>
        <w:rPr>
          <w:rFonts w:ascii="Arial" w:cs="Arial" w:eastAsia="Arial" w:hAnsi="Arial"/>
          <w:sz w:val="21"/>
          <w:szCs w:val="21"/>
          <w:color w:val="auto"/>
        </w:rPr>
        <w:t>If the Borrower qualifies as a legal entity customer under the Beneficial Ownership Regulations, an executed Certificate of Beneficial Ownership for the Borrower and, in any case, such other documentation and other information requested by the Administrative Agent and the Lenders in connection with applicable “know your customer” and anti-money laundering rules and regulations, including the USA Patriot Act; and</w:t>
      </w:r>
    </w:p>
    <w:p>
      <w:pPr>
        <w:spacing w:after="0" w:line="176" w:lineRule="exact"/>
        <w:rPr>
          <w:rFonts w:ascii="Arial" w:cs="Arial" w:eastAsia="Arial" w:hAnsi="Arial"/>
          <w:sz w:val="21"/>
          <w:szCs w:val="21"/>
          <w:color w:val="auto"/>
        </w:rPr>
      </w:pPr>
    </w:p>
    <w:p>
      <w:pPr>
        <w:jc w:val="both"/>
        <w:ind w:left="2720" w:firstLine="646"/>
        <w:spacing w:after="0"/>
        <w:tabs>
          <w:tab w:leader="none" w:pos="4064" w:val="left"/>
        </w:tabs>
        <w:numPr>
          <w:ilvl w:val="0"/>
          <w:numId w:val="24"/>
        </w:numPr>
        <w:rPr>
          <w:rFonts w:ascii="Arial" w:cs="Arial" w:eastAsia="Arial" w:hAnsi="Arial"/>
          <w:sz w:val="22"/>
          <w:szCs w:val="22"/>
          <w:color w:val="auto"/>
        </w:rPr>
      </w:pPr>
      <w:r>
        <w:rPr>
          <w:rFonts w:ascii="Arial" w:cs="Arial" w:eastAsia="Arial" w:hAnsi="Arial"/>
          <w:sz w:val="22"/>
          <w:szCs w:val="22"/>
          <w:color w:val="auto"/>
        </w:rPr>
        <w:t>Such additional documents, certificates and information as the Administrative Agent or the Lenders may require pursuant to the terms hereof or otherwise reasonably request.</w:t>
      </w:r>
    </w:p>
    <w:p>
      <w:pPr>
        <w:spacing w:after="0" w:line="186" w:lineRule="exact"/>
        <w:rPr>
          <w:sz w:val="20"/>
          <w:szCs w:val="20"/>
          <w:color w:val="auto"/>
        </w:rPr>
      </w:pPr>
    </w:p>
    <w:p>
      <w:pPr>
        <w:ind w:left="1940"/>
        <w:spacing w:after="0"/>
        <w:tabs>
          <w:tab w:leader="none" w:pos="23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The Administrative Agent shall have received such fees as shall have been agreed.</w:t>
      </w:r>
    </w:p>
    <w:p>
      <w:pPr>
        <w:spacing w:after="0" w:line="206" w:lineRule="exact"/>
        <w:rPr>
          <w:sz w:val="20"/>
          <w:szCs w:val="20"/>
          <w:color w:val="auto"/>
        </w:rPr>
      </w:pPr>
    </w:p>
    <w:p>
      <w:pPr>
        <w:ind w:firstLine="1296"/>
        <w:spacing w:after="0" w:line="328" w:lineRule="auto"/>
        <w:rPr>
          <w:sz w:val="20"/>
          <w:szCs w:val="20"/>
          <w:color w:val="auto"/>
        </w:rPr>
      </w:pPr>
      <w:r>
        <w:rPr>
          <w:rFonts w:ascii="Arial" w:cs="Arial" w:eastAsia="Arial" w:hAnsi="Arial"/>
          <w:sz w:val="19"/>
          <w:szCs w:val="19"/>
          <w:color w:val="auto"/>
        </w:rPr>
        <w:t>The Administrative Agent shall have received, to the extent invoiced, reimbursement of all fees and expenses of counsel to the Administrative Agent required to be paid or reimbursed by the Borrower hereunder.</w:t>
      </w:r>
    </w:p>
    <w:p>
      <w:pPr>
        <w:spacing w:after="0" w:line="105" w:lineRule="exact"/>
        <w:rPr>
          <w:sz w:val="20"/>
          <w:szCs w:val="20"/>
          <w:color w:val="auto"/>
        </w:rPr>
      </w:pPr>
    </w:p>
    <w:p>
      <w:pPr>
        <w:jc w:val="both"/>
        <w:ind w:left="2320" w:hanging="380"/>
        <w:spacing w:after="0" w:line="328" w:lineRule="auto"/>
        <w:tabs>
          <w:tab w:leader="none" w:pos="2355" w:val="left"/>
        </w:tabs>
        <w:numPr>
          <w:ilvl w:val="1"/>
          <w:numId w:val="25"/>
        </w:numPr>
        <w:rPr>
          <w:rFonts w:ascii="Arial" w:cs="Arial" w:eastAsia="Arial" w:hAnsi="Arial"/>
          <w:sz w:val="19"/>
          <w:szCs w:val="19"/>
          <w:color w:val="auto"/>
        </w:rPr>
      </w:pPr>
      <w:r>
        <w:rPr>
          <w:rFonts w:ascii="Arial" w:cs="Arial" w:eastAsia="Arial" w:hAnsi="Arial"/>
          <w:sz w:val="19"/>
          <w:szCs w:val="19"/>
          <w:color w:val="auto"/>
        </w:rPr>
        <w:t>All of the foregoing fees shall be in all respects, fully earned, due and payable on the Third Amendment Effective Date and non-refundable and non-creditable thereafter.</w:t>
      </w:r>
    </w:p>
    <w:p>
      <w:pPr>
        <w:spacing w:after="0" w:line="104" w:lineRule="exact"/>
        <w:rPr>
          <w:rFonts w:ascii="Arial" w:cs="Arial" w:eastAsia="Arial" w:hAnsi="Arial"/>
          <w:sz w:val="19"/>
          <w:szCs w:val="19"/>
          <w:color w:val="auto"/>
        </w:rPr>
      </w:pPr>
    </w:p>
    <w:p>
      <w:pPr>
        <w:jc w:val="both"/>
        <w:ind w:left="1620" w:hanging="328"/>
        <w:spacing w:after="0" w:line="275" w:lineRule="auto"/>
        <w:tabs>
          <w:tab w:leader="none" w:pos="1652"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xml:space="preserve"> This Agreement constitutes the sole agreement of the parties hereto with respect to the transactions contemplated hereby and shall supersede all oral negotiations and the terms of prior writings with respect thereto. From and after the Third Amendment Effective Date, all references in the Amended Credit Agreement and each of the other Loan Documents to the Credit Agreement or the other Loan Documents modified hereby shall be deemed to be references to the Amended Credit Agreement and such other Loan Documents as modified hereby. This Agreement shall constitute a Loan Document for all purposes under the Amended Credit Agreement and each of the other Loan Documents.</w:t>
      </w:r>
    </w:p>
    <w:p>
      <w:pPr>
        <w:spacing w:after="0" w:line="157" w:lineRule="exact"/>
        <w:rPr>
          <w:rFonts w:ascii="Arial" w:cs="Arial" w:eastAsia="Arial" w:hAnsi="Arial"/>
          <w:sz w:val="19"/>
          <w:szCs w:val="19"/>
          <w:color w:val="auto"/>
        </w:rPr>
      </w:pPr>
    </w:p>
    <w:p>
      <w:pPr>
        <w:jc w:val="both"/>
        <w:ind w:left="1620" w:hanging="328"/>
        <w:spacing w:after="0" w:line="236" w:lineRule="auto"/>
        <w:tabs>
          <w:tab w:leader="none" w:pos="1652"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120015</wp:posOffset>
            </wp:positionV>
            <wp:extent cx="635190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54" w:name="page55"/>
    <w:bookmarkEnd w:id="54"/>
    <w:p>
      <w:pPr>
        <w:ind w:left="1180" w:hanging="348"/>
        <w:spacing w:after="0"/>
        <w:tabs>
          <w:tab w:leader="none" w:pos="118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06" w:lineRule="exact"/>
        <w:rPr>
          <w:rFonts w:ascii="Arial" w:cs="Arial" w:eastAsia="Arial" w:hAnsi="Arial"/>
          <w:sz w:val="22"/>
          <w:szCs w:val="22"/>
          <w:color w:val="auto"/>
        </w:rPr>
      </w:pPr>
    </w:p>
    <w:p>
      <w:pPr>
        <w:jc w:val="both"/>
        <w:ind w:left="1860" w:hanging="380"/>
        <w:spacing w:after="0" w:line="238" w:lineRule="auto"/>
        <w:tabs>
          <w:tab w:leader="none" w:pos="1895"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Borrower agrees to pay all of the Administrative Agent’s reasonable out-of-pocket fees and expenses incurred in connection with this Agreement and the transactions contemplated hereby, including, without limitation, the reasonable fees and expenses of counsel to the Administrative Agent.</w:t>
      </w:r>
    </w:p>
    <w:p>
      <w:pPr>
        <w:spacing w:after="0" w:line="184" w:lineRule="exact"/>
        <w:rPr>
          <w:rFonts w:ascii="Arial" w:cs="Arial" w:eastAsia="Arial" w:hAnsi="Arial"/>
          <w:sz w:val="22"/>
          <w:szCs w:val="22"/>
          <w:color w:val="auto"/>
        </w:rPr>
      </w:pPr>
    </w:p>
    <w:p>
      <w:pPr>
        <w:jc w:val="both"/>
        <w:ind w:left="1860" w:hanging="380"/>
        <w:spacing w:after="0" w:line="234" w:lineRule="auto"/>
        <w:tabs>
          <w:tab w:leader="none" w:pos="1907" w:val="left"/>
        </w:tabs>
        <w:numPr>
          <w:ilvl w:val="1"/>
          <w:numId w:val="27"/>
        </w:numPr>
        <w:rPr>
          <w:rFonts w:ascii="Arial" w:cs="Arial" w:eastAsia="Arial" w:hAnsi="Arial"/>
          <w:sz w:val="22"/>
          <w:szCs w:val="22"/>
          <w:color w:val="auto"/>
        </w:rPr>
      </w:pPr>
      <w:r>
        <w:rPr>
          <w:rFonts w:ascii="Arial" w:cs="Arial" w:eastAsia="Arial" w:hAnsi="Arial"/>
          <w:sz w:val="22"/>
          <w:szCs w:val="22"/>
          <w:color w:val="auto"/>
        </w:rPr>
        <w:t>All terms, conditions, provisions and covenants in the Loan Documents and all other documents delivered to the Administrative Agent and the Lenders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90" w:lineRule="exact"/>
        <w:rPr>
          <w:rFonts w:ascii="Arial" w:cs="Arial" w:eastAsia="Arial" w:hAnsi="Arial"/>
          <w:sz w:val="22"/>
          <w:szCs w:val="22"/>
          <w:color w:val="auto"/>
        </w:rPr>
      </w:pPr>
    </w:p>
    <w:p>
      <w:pPr>
        <w:jc w:val="both"/>
        <w:ind w:left="1860" w:hanging="380"/>
        <w:spacing w:after="0" w:line="238" w:lineRule="auto"/>
        <w:tabs>
          <w:tab w:leader="none" w:pos="1895"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execution, delivery and effectiveness of this Agreement shall neither operate as a waiver of any right, power or remedy of the Administrative Agent or the Lenders under any of the Loan Documents nor constitute a waiver of any Default or Event of Default thereunder.</w:t>
      </w:r>
    </w:p>
    <w:p>
      <w:pPr>
        <w:spacing w:after="0" w:line="184" w:lineRule="exact"/>
        <w:rPr>
          <w:rFonts w:ascii="Arial" w:cs="Arial" w:eastAsia="Arial" w:hAnsi="Arial"/>
          <w:sz w:val="22"/>
          <w:szCs w:val="22"/>
          <w:color w:val="auto"/>
        </w:rPr>
      </w:pPr>
    </w:p>
    <w:p>
      <w:pPr>
        <w:jc w:val="both"/>
        <w:ind w:left="1860" w:hanging="380"/>
        <w:spacing w:after="0" w:line="248" w:lineRule="auto"/>
        <w:tabs>
          <w:tab w:leader="none" w:pos="1907" w:val="left"/>
        </w:tabs>
        <w:numPr>
          <w:ilvl w:val="1"/>
          <w:numId w:val="27"/>
        </w:numPr>
        <w:rPr>
          <w:rFonts w:ascii="Arial" w:cs="Arial" w:eastAsia="Arial" w:hAnsi="Arial"/>
          <w:sz w:val="21"/>
          <w:szCs w:val="21"/>
          <w:color w:val="auto"/>
        </w:rPr>
      </w:pPr>
      <w:r>
        <w:rPr>
          <w:rFonts w:ascii="Arial" w:cs="Arial" w:eastAsia="Arial" w:hAnsi="Arial"/>
          <w:sz w:val="21"/>
          <w:szCs w:val="21"/>
          <w:color w:val="auto"/>
        </w:rPr>
        <w:t>In consideration of the Administrative Agent’s and the Lenders’ agreement to amend the existing revolving credit facility on the terms hereof, the Borrower hereby waives and releases the Administrative Agent and the Lenders and their respective officers, attorneys, agents and employees from any liability, suit, damage, claim, loss or expense of any kind or failure whatsoever and howsoever arising that it ever had up until, or has as of, the date of this Agreement.</w:t>
      </w:r>
    </w:p>
    <w:p>
      <w:pPr>
        <w:spacing w:after="0" w:line="176" w:lineRule="exact"/>
        <w:rPr>
          <w:rFonts w:ascii="Arial" w:cs="Arial" w:eastAsia="Arial" w:hAnsi="Arial"/>
          <w:sz w:val="21"/>
          <w:szCs w:val="21"/>
          <w:color w:val="auto"/>
        </w:rPr>
      </w:pPr>
    </w:p>
    <w:p>
      <w:pPr>
        <w:jc w:val="both"/>
        <w:ind w:left="1860" w:hanging="380"/>
        <w:spacing w:after="0"/>
        <w:tabs>
          <w:tab w:leader="none" w:pos="1895"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This Agreement constitutes the entire agreement of the parties with respect to the subject matter hereof and supersedes all prior and contemporaneous understandings and agreements.</w:t>
      </w:r>
    </w:p>
    <w:p>
      <w:pPr>
        <w:spacing w:after="0" w:line="186" w:lineRule="exact"/>
        <w:rPr>
          <w:rFonts w:ascii="Arial" w:cs="Arial" w:eastAsia="Arial" w:hAnsi="Arial"/>
          <w:sz w:val="22"/>
          <w:szCs w:val="22"/>
          <w:color w:val="auto"/>
        </w:rPr>
      </w:pPr>
    </w:p>
    <w:p>
      <w:pPr>
        <w:ind w:left="1860" w:hanging="380"/>
        <w:spacing w:after="0" w:line="250" w:lineRule="auto"/>
        <w:tabs>
          <w:tab w:leader="none" w:pos="1871"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State of New York.</w:t>
      </w:r>
    </w:p>
    <w:p>
      <w:pPr>
        <w:spacing w:after="0" w:line="174" w:lineRule="exact"/>
        <w:rPr>
          <w:rFonts w:ascii="Arial" w:cs="Arial" w:eastAsia="Arial" w:hAnsi="Arial"/>
          <w:sz w:val="22"/>
          <w:szCs w:val="22"/>
          <w:color w:val="auto"/>
        </w:rPr>
      </w:pPr>
    </w:p>
    <w:p>
      <w:pPr>
        <w:ind w:left="1860" w:hanging="380"/>
        <w:spacing w:after="0" w:line="250" w:lineRule="auto"/>
        <w:tabs>
          <w:tab w:leader="none" w:pos="1907"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w:t>
      </w:r>
    </w:p>
    <w:p>
      <w:pPr>
        <w:spacing w:after="0" w:line="174" w:lineRule="exact"/>
        <w:rPr>
          <w:rFonts w:ascii="Arial" w:cs="Arial" w:eastAsia="Arial" w:hAnsi="Arial"/>
          <w:sz w:val="22"/>
          <w:szCs w:val="22"/>
          <w:color w:val="auto"/>
        </w:rPr>
      </w:pPr>
    </w:p>
    <w:p>
      <w:pPr>
        <w:jc w:val="both"/>
        <w:ind w:left="1860" w:hanging="380"/>
        <w:spacing w:after="0"/>
        <w:tabs>
          <w:tab w:leader="none" w:pos="1907"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60" w:hanging="380"/>
        <w:spacing w:after="0" w:line="282" w:lineRule="auto"/>
        <w:tabs>
          <w:tab w:leader="none" w:pos="1859" w:val="left"/>
        </w:tabs>
        <w:numPr>
          <w:ilvl w:val="1"/>
          <w:numId w:val="27"/>
        </w:numPr>
        <w:rPr>
          <w:rFonts w:ascii="Arial" w:cs="Arial" w:eastAsia="Arial" w:hAnsi="Arial"/>
          <w:sz w:val="19"/>
          <w:szCs w:val="19"/>
          <w:color w:val="auto"/>
        </w:rPr>
      </w:pPr>
      <w:r>
        <w:rPr>
          <w:rFonts w:ascii="Arial" w:cs="Arial" w:eastAsia="Arial" w:hAnsi="Arial"/>
          <w:sz w:val="19"/>
          <w:szCs w:val="19"/>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147" w:lineRule="exact"/>
        <w:rPr>
          <w:rFonts w:ascii="Arial" w:cs="Arial" w:eastAsia="Arial" w:hAnsi="Arial"/>
          <w:sz w:val="19"/>
          <w:szCs w:val="19"/>
          <w:color w:val="auto"/>
        </w:rPr>
      </w:pPr>
    </w:p>
    <w:p>
      <w:pPr>
        <w:jc w:val="both"/>
        <w:ind w:left="1860" w:hanging="380"/>
        <w:spacing w:after="0"/>
        <w:tabs>
          <w:tab w:leader="none" w:pos="1859" w:val="left"/>
        </w:tabs>
        <w:numPr>
          <w:ilvl w:val="1"/>
          <w:numId w:val="27"/>
        </w:numPr>
        <w:rPr>
          <w:rFonts w:ascii="Arial" w:cs="Arial" w:eastAsia="Arial" w:hAnsi="Arial"/>
          <w:sz w:val="22"/>
          <w:szCs w:val="22"/>
          <w:color w:val="auto"/>
        </w:rPr>
      </w:pPr>
      <w:r>
        <w:rPr>
          <w:rFonts w:ascii="Arial" w:cs="Arial" w:eastAsia="Arial" w:hAnsi="Arial"/>
          <w:sz w:val="22"/>
          <w:szCs w:val="22"/>
          <w:color w:val="auto"/>
        </w:rPr>
        <w:t>No modification hereof or any agreement referred to herein shall be binding or enforceable unless in writing and signed on behalf of the party against whom enforcement is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119380</wp:posOffset>
            </wp:positionV>
            <wp:extent cx="635190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55" w:name="page56"/>
    <w:bookmarkEnd w:id="55"/>
    <w:p>
      <w:pPr>
        <w:ind w:right="20" w:firstLine="1296"/>
        <w:spacing w:after="0" w:line="274" w:lineRule="auto"/>
        <w:rPr>
          <w:sz w:val="20"/>
          <w:szCs w:val="20"/>
          <w:color w:val="auto"/>
        </w:rPr>
      </w:pPr>
      <w:r>
        <w:rPr>
          <w:rFonts w:ascii="Arial" w:cs="Arial" w:eastAsia="Arial" w:hAnsi="Arial"/>
          <w:sz w:val="21"/>
          <w:szCs w:val="21"/>
          <w:color w:val="auto"/>
        </w:rPr>
        <w:t>IN WITNESS WHEREOF, the Borrower, the Administrative Agent and the Lenders have caused this Agreement to be executed by their duly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694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PNG COMPANIES LLC</w:t>
            </w:r>
          </w:p>
        </w:tc>
        <w:tc>
          <w:tcPr>
            <w:tcW w:w="0" w:type="dxa"/>
            <w:vAlign w:val="bottom"/>
          </w:tcPr>
          <w:p>
            <w:pPr>
              <w:spacing w:after="0"/>
              <w:rPr>
                <w:sz w:val="1"/>
                <w:szCs w:val="1"/>
                <w:color w:val="auto"/>
              </w:rPr>
            </w:pPr>
          </w:p>
        </w:tc>
      </w:tr>
      <w:tr>
        <w:trPr>
          <w:trHeight w:val="272"/>
        </w:trPr>
        <w:tc>
          <w:tcPr>
            <w:tcW w:w="694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By: /s/ Brian Dingerdissen</w:t>
            </w:r>
          </w:p>
        </w:tc>
        <w:tc>
          <w:tcPr>
            <w:tcW w:w="0" w:type="dxa"/>
            <w:vAlign w:val="bottom"/>
          </w:tcPr>
          <w:p>
            <w:pPr>
              <w:spacing w:after="0"/>
              <w:rPr>
                <w:sz w:val="1"/>
                <w:szCs w:val="1"/>
                <w:color w:val="auto"/>
              </w:rPr>
            </w:pPr>
          </w:p>
        </w:tc>
      </w:tr>
      <w:tr>
        <w:trPr>
          <w:trHeight w:val="27"/>
        </w:trPr>
        <w:tc>
          <w:tcPr>
            <w:tcW w:w="6940" w:type="dxa"/>
            <w:vAlign w:val="bottom"/>
            <w:vMerge w:val="restart"/>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6940" w:type="dxa"/>
            <w:vAlign w:val="bottom"/>
            <w:vMerge w:val="continue"/>
          </w:tcPr>
          <w:p>
            <w:pPr>
              <w:spacing w:after="0"/>
              <w:rPr>
                <w:sz w:val="20"/>
                <w:szCs w:val="20"/>
                <w:color w:val="auto"/>
              </w:rPr>
            </w:pPr>
          </w:p>
        </w:tc>
        <w:tc>
          <w:tcPr>
            <w:tcW w:w="2760" w:type="dxa"/>
            <w:vAlign w:val="bottom"/>
          </w:tcPr>
          <w:p>
            <w:pPr>
              <w:spacing w:after="0" w:line="234" w:lineRule="exact"/>
              <w:rPr>
                <w:sz w:val="20"/>
                <w:szCs w:val="20"/>
                <w:color w:val="auto"/>
              </w:rPr>
            </w:pPr>
            <w:r>
              <w:rPr>
                <w:rFonts w:ascii="Arial" w:cs="Arial" w:eastAsia="Arial" w:hAnsi="Arial"/>
                <w:sz w:val="22"/>
                <w:szCs w:val="22"/>
                <w:color w:val="auto"/>
              </w:rPr>
              <w:t>Name: Brian Dingerdissen</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Title: Vice President</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Investor Relatons and</w:t>
            </w:r>
          </w:p>
        </w:tc>
        <w:tc>
          <w:tcPr>
            <w:tcW w:w="0" w:type="dxa"/>
            <w:vAlign w:val="bottom"/>
          </w:tcPr>
          <w:p>
            <w:pPr>
              <w:spacing w:after="0"/>
              <w:rPr>
                <w:sz w:val="1"/>
                <w:szCs w:val="1"/>
                <w:color w:val="auto"/>
              </w:rPr>
            </w:pPr>
          </w:p>
        </w:tc>
      </w:tr>
      <w:tr>
        <w:trPr>
          <w:trHeight w:val="272"/>
        </w:trPr>
        <w:tc>
          <w:tcPr>
            <w:tcW w:w="694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6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PNC BANK, NATIONAL</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ASSOCIATION,</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as Administratve Agent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706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By: /s/ Domenic D’Ginto</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060" w:type="dxa"/>
            <w:vAlign w:val="bottom"/>
            <w:vMerge w:val="restart"/>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060" w:type="dxa"/>
            <w:vAlign w:val="bottom"/>
            <w:vMerge w:val="continue"/>
          </w:tcPr>
          <w:p>
            <w:pPr>
              <w:spacing w:after="0"/>
              <w:rPr>
                <w:sz w:val="20"/>
                <w:szCs w:val="20"/>
                <w:color w:val="auto"/>
              </w:rPr>
            </w:pPr>
          </w:p>
        </w:tc>
        <w:tc>
          <w:tcPr>
            <w:tcW w:w="2760" w:type="dxa"/>
            <w:vAlign w:val="bottom"/>
          </w:tcPr>
          <w:p>
            <w:pPr>
              <w:spacing w:after="0" w:line="234" w:lineRule="exact"/>
              <w:rPr>
                <w:sz w:val="20"/>
                <w:szCs w:val="20"/>
                <w:color w:val="auto"/>
              </w:rPr>
            </w:pPr>
            <w:r>
              <w:rPr>
                <w:rFonts w:ascii="Arial" w:cs="Arial" w:eastAsia="Arial" w:hAnsi="Arial"/>
                <w:sz w:val="22"/>
                <w:szCs w:val="22"/>
                <w:color w:val="auto"/>
              </w:rPr>
              <w:t>Name: Domenic D’Ginto</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706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Title: Managing Director</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70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334" w:right="959" w:bottom="1440" w:gutter="0" w:footer="0" w:header="0"/>
        </w:sectPr>
      </w:pPr>
    </w:p>
    <w:bookmarkStart w:id="56" w:name="page57"/>
    <w:bookmarkEnd w:id="56"/>
    <w:tbl>
      <w:tblPr>
        <w:tblLayout w:type="fixed"/>
        <w:tblInd w:w="120" w:type="dxa"/>
        <w:tblCellMar>
          <w:top w:w="0" w:type="dxa"/>
          <w:left w:w="0" w:type="dxa"/>
          <w:bottom w:w="0" w:type="dxa"/>
          <w:right w:w="0" w:type="dxa"/>
        </w:tblCellMar>
      </w:tblPr>
      <w:tr>
        <w:trPr>
          <w:trHeight w:val="253"/>
        </w:trPr>
        <w:tc>
          <w:tcPr>
            <w:tcW w:w="694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LENDERS:</w:t>
            </w:r>
          </w:p>
        </w:tc>
      </w:tr>
      <w:tr>
        <w:trPr>
          <w:trHeight w:val="243"/>
        </w:trPr>
        <w:tc>
          <w:tcPr>
            <w:tcW w:w="694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Arial" w:cs="Arial" w:eastAsia="Arial" w:hAnsi="Arial"/>
                <w:sz w:val="22"/>
                <w:szCs w:val="22"/>
                <w:color w:val="auto"/>
              </w:rPr>
              <w:t>PNC BANK, NATIONAL</w:t>
            </w:r>
          </w:p>
        </w:tc>
      </w:tr>
      <w:tr>
        <w:trPr>
          <w:trHeight w:val="243"/>
        </w:trPr>
        <w:tc>
          <w:tcPr>
            <w:tcW w:w="694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Arial" w:cs="Arial" w:eastAsia="Arial" w:hAnsi="Arial"/>
                <w:sz w:val="22"/>
                <w:szCs w:val="22"/>
                <w:color w:val="auto"/>
              </w:rPr>
              <w:t>ASSOCIATION,</w:t>
            </w:r>
          </w:p>
        </w:tc>
      </w:tr>
      <w:tr>
        <w:trPr>
          <w:trHeight w:val="243"/>
        </w:trPr>
        <w:tc>
          <w:tcPr>
            <w:tcW w:w="694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Arial" w:cs="Arial" w:eastAsia="Arial" w:hAnsi="Arial"/>
                <w:sz w:val="22"/>
                <w:szCs w:val="22"/>
                <w:color w:val="auto"/>
                <w:w w:val="90"/>
              </w:rPr>
              <w:t>as Swing Line Lender and as a</w:t>
            </w:r>
          </w:p>
        </w:tc>
      </w:tr>
      <w:tr>
        <w:trPr>
          <w:trHeight w:val="243"/>
        </w:trPr>
        <w:tc>
          <w:tcPr>
            <w:tcW w:w="6940" w:type="dxa"/>
            <w:vAlign w:val="bottom"/>
          </w:tcPr>
          <w:p>
            <w:pPr>
              <w:spacing w:after="0"/>
              <w:rPr>
                <w:sz w:val="21"/>
                <w:szCs w:val="21"/>
                <w:color w:val="auto"/>
              </w:rPr>
            </w:pPr>
          </w:p>
        </w:tc>
        <w:tc>
          <w:tcPr>
            <w:tcW w:w="2760" w:type="dxa"/>
            <w:vAlign w:val="bottom"/>
          </w:tcPr>
          <w:p>
            <w:pPr>
              <w:spacing w:after="0" w:line="243" w:lineRule="exact"/>
              <w:rPr>
                <w:sz w:val="20"/>
                <w:szCs w:val="20"/>
                <w:color w:val="auto"/>
              </w:rPr>
            </w:pPr>
            <w:r>
              <w:rPr>
                <w:rFonts w:ascii="Arial" w:cs="Arial" w:eastAsia="Arial" w:hAnsi="Arial"/>
                <w:sz w:val="22"/>
                <w:szCs w:val="22"/>
                <w:color w:val="auto"/>
              </w:rPr>
              <w:t>Lender</w:t>
            </w:r>
          </w:p>
        </w:tc>
      </w:tr>
      <w:tr>
        <w:trPr>
          <w:trHeight w:val="264"/>
        </w:trPr>
        <w:tc>
          <w:tcPr>
            <w:tcW w:w="6940" w:type="dxa"/>
            <w:vAlign w:val="bottom"/>
          </w:tcPr>
          <w:p>
            <w:pPr>
              <w:spacing w:after="0"/>
              <w:rPr>
                <w:sz w:val="22"/>
                <w:szCs w:val="22"/>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 /s/ Domenic D’Ginto</w:t>
            </w:r>
          </w:p>
        </w:tc>
      </w:tr>
      <w:tr>
        <w:trPr>
          <w:trHeight w:val="215"/>
        </w:trPr>
        <w:tc>
          <w:tcPr>
            <w:tcW w:w="6940" w:type="dxa"/>
            <w:vAlign w:val="bottom"/>
          </w:tcPr>
          <w:p>
            <w:pPr>
              <w:spacing w:after="0"/>
              <w:rPr>
                <w:sz w:val="18"/>
                <w:szCs w:val="18"/>
                <w:color w:val="auto"/>
              </w:rPr>
            </w:pPr>
          </w:p>
        </w:tc>
        <w:tc>
          <w:tcPr>
            <w:tcW w:w="2760" w:type="dxa"/>
            <w:vAlign w:val="bottom"/>
          </w:tcPr>
          <w:p>
            <w:pPr>
              <w:spacing w:after="0" w:line="216" w:lineRule="exact"/>
              <w:rPr>
                <w:sz w:val="20"/>
                <w:szCs w:val="20"/>
                <w:color w:val="auto"/>
              </w:rPr>
            </w:pPr>
            <w:r>
              <w:rPr>
                <w:rFonts w:ascii="Arial" w:cs="Arial" w:eastAsia="Arial" w:hAnsi="Arial"/>
                <w:sz w:val="22"/>
                <w:szCs w:val="22"/>
                <w:color w:val="auto"/>
              </w:rPr>
              <w:t>Name:Domenic D’Ginto</w:t>
            </w:r>
          </w:p>
        </w:tc>
      </w:tr>
      <w:tr>
        <w:trPr>
          <w:trHeight w:val="274"/>
        </w:trPr>
        <w:tc>
          <w:tcPr>
            <w:tcW w:w="6940" w:type="dxa"/>
            <w:vAlign w:val="bottom"/>
          </w:tcPr>
          <w:p>
            <w:pPr>
              <w:spacing w:after="0"/>
              <w:rPr>
                <w:sz w:val="23"/>
                <w:szCs w:val="23"/>
                <w:color w:val="auto"/>
              </w:rPr>
            </w:pPr>
          </w:p>
        </w:tc>
        <w:tc>
          <w:tcPr>
            <w:tcW w:w="2760" w:type="dxa"/>
            <w:vAlign w:val="bottom"/>
          </w:tcPr>
          <w:p>
            <w:pPr>
              <w:spacing w:after="0"/>
              <w:rPr>
                <w:sz w:val="20"/>
                <w:szCs w:val="20"/>
                <w:color w:val="auto"/>
              </w:rPr>
            </w:pPr>
            <w:r>
              <w:rPr>
                <w:rFonts w:ascii="Arial" w:cs="Arial" w:eastAsia="Arial" w:hAnsi="Arial"/>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70"/>
        </w:trPr>
        <w:tc>
          <w:tcPr>
            <w:tcW w:w="3500" w:type="dxa"/>
            <w:vAlign w:val="bottom"/>
          </w:tcPr>
          <w:p>
            <w:pPr>
              <w:spacing w:after="0"/>
              <w:rPr>
                <w:sz w:val="23"/>
                <w:szCs w:val="23"/>
                <w:color w:val="auto"/>
              </w:rPr>
            </w:pPr>
          </w:p>
        </w:tc>
        <w:tc>
          <w:tcPr>
            <w:tcW w:w="6060" w:type="dxa"/>
            <w:vAlign w:val="bottom"/>
            <w:gridSpan w:val="3"/>
          </w:tcPr>
          <w:p>
            <w:pPr>
              <w:ind w:left="3440"/>
              <w:spacing w:after="0"/>
              <w:rPr>
                <w:sz w:val="20"/>
                <w:szCs w:val="20"/>
                <w:color w:val="auto"/>
              </w:rPr>
            </w:pPr>
            <w:r>
              <w:rPr>
                <w:rFonts w:ascii="Arial" w:cs="Arial" w:eastAsia="Arial" w:hAnsi="Arial"/>
                <w:sz w:val="22"/>
                <w:szCs w:val="22"/>
                <w:color w:val="auto"/>
              </w:rPr>
              <w:t>TD BANK, N.A.</w:t>
            </w:r>
          </w:p>
        </w:tc>
      </w:tr>
      <w:tr>
        <w:trPr>
          <w:trHeight w:val="232"/>
        </w:trPr>
        <w:tc>
          <w:tcPr>
            <w:tcW w:w="3500" w:type="dxa"/>
            <w:vAlign w:val="bottom"/>
          </w:tcPr>
          <w:p>
            <w:pPr>
              <w:spacing w:after="0"/>
              <w:rPr>
                <w:sz w:val="20"/>
                <w:szCs w:val="20"/>
                <w:color w:val="auto"/>
              </w:rPr>
            </w:pPr>
          </w:p>
        </w:tc>
        <w:tc>
          <w:tcPr>
            <w:tcW w:w="6060" w:type="dxa"/>
            <w:vAlign w:val="bottom"/>
            <w:gridSpan w:val="3"/>
          </w:tcPr>
          <w:p>
            <w:pPr>
              <w:ind w:left="3440"/>
              <w:spacing w:after="0" w:line="231" w:lineRule="exact"/>
              <w:rPr>
                <w:sz w:val="20"/>
                <w:szCs w:val="20"/>
                <w:color w:val="auto"/>
              </w:rPr>
            </w:pPr>
            <w:r>
              <w:rPr>
                <w:rFonts w:ascii="Arial" w:cs="Arial" w:eastAsia="Arial" w:hAnsi="Arial"/>
                <w:sz w:val="22"/>
                <w:szCs w:val="22"/>
                <w:color w:val="auto"/>
                <w:w w:val="89"/>
              </w:rPr>
              <w:t>By: /s/ Jennifer L. Suspensk  i</w:t>
            </w:r>
          </w:p>
        </w:tc>
      </w:tr>
      <w:tr>
        <w:trPr>
          <w:trHeight w:val="20"/>
        </w:trPr>
        <w:tc>
          <w:tcPr>
            <w:tcW w:w="35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8"/>
        </w:trPr>
        <w:tc>
          <w:tcPr>
            <w:tcW w:w="3500" w:type="dxa"/>
            <w:vAlign w:val="bottom"/>
          </w:tcPr>
          <w:p>
            <w:pPr>
              <w:spacing w:after="0"/>
              <w:rPr>
                <w:sz w:val="24"/>
                <w:szCs w:val="24"/>
                <w:color w:val="auto"/>
              </w:rPr>
            </w:pPr>
          </w:p>
        </w:tc>
        <w:tc>
          <w:tcPr>
            <w:tcW w:w="6060" w:type="dxa"/>
            <w:vAlign w:val="bottom"/>
            <w:gridSpan w:val="3"/>
          </w:tcPr>
          <w:p>
            <w:pPr>
              <w:ind w:left="3440"/>
              <w:spacing w:after="0"/>
              <w:rPr>
                <w:sz w:val="20"/>
                <w:szCs w:val="20"/>
                <w:color w:val="auto"/>
              </w:rPr>
            </w:pPr>
            <w:r>
              <w:rPr>
                <w:rFonts w:ascii="Arial" w:cs="Arial" w:eastAsia="Arial" w:hAnsi="Arial"/>
                <w:sz w:val="22"/>
                <w:szCs w:val="22"/>
                <w:color w:val="auto"/>
                <w:w w:val="94"/>
              </w:rPr>
              <w:t>Name:Jennifer L. Suspenski</w:t>
            </w:r>
          </w:p>
        </w:tc>
      </w:tr>
      <w:tr>
        <w:trPr>
          <w:trHeight w:val="272"/>
        </w:trPr>
        <w:tc>
          <w:tcPr>
            <w:tcW w:w="3500" w:type="dxa"/>
            <w:vAlign w:val="bottom"/>
          </w:tcPr>
          <w:p>
            <w:pPr>
              <w:spacing w:after="0"/>
              <w:rPr>
                <w:sz w:val="23"/>
                <w:szCs w:val="23"/>
                <w:color w:val="auto"/>
              </w:rPr>
            </w:pPr>
          </w:p>
        </w:tc>
        <w:tc>
          <w:tcPr>
            <w:tcW w:w="6060" w:type="dxa"/>
            <w:vAlign w:val="bottom"/>
            <w:gridSpan w:val="3"/>
          </w:tcPr>
          <w:p>
            <w:pPr>
              <w:ind w:left="3440"/>
              <w:spacing w:after="0"/>
              <w:rPr>
                <w:sz w:val="20"/>
                <w:szCs w:val="20"/>
                <w:color w:val="auto"/>
              </w:rPr>
            </w:pPr>
            <w:r>
              <w:rPr>
                <w:rFonts w:ascii="Arial" w:cs="Arial" w:eastAsia="Arial" w:hAnsi="Arial"/>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Pr>
          <w:p>
            <w:pPr>
              <w:spacing w:after="0"/>
              <w:rPr>
                <w:sz w:val="21"/>
                <w:szCs w:val="21"/>
                <w:color w:val="auto"/>
              </w:rPr>
            </w:pPr>
          </w:p>
        </w:tc>
        <w:tc>
          <w:tcPr>
            <w:tcW w:w="2820" w:type="dxa"/>
            <w:vAlign w:val="bottom"/>
          </w:tcPr>
          <w:p>
            <w:pPr>
              <w:spacing w:after="0"/>
              <w:rPr>
                <w:sz w:val="20"/>
                <w:szCs w:val="20"/>
                <w:color w:val="auto"/>
              </w:rPr>
            </w:pPr>
            <w:r>
              <w:rPr>
                <w:rFonts w:ascii="Arial" w:cs="Arial" w:eastAsia="Arial" w:hAnsi="Arial"/>
                <w:sz w:val="22"/>
                <w:szCs w:val="22"/>
                <w:color w:val="auto"/>
              </w:rPr>
              <w:t>CITIZENS BANK, N.A.</w:t>
            </w:r>
          </w:p>
        </w:tc>
        <w:tc>
          <w:tcPr>
            <w:tcW w:w="140" w:type="dxa"/>
            <w:vAlign w:val="bottom"/>
          </w:tcPr>
          <w:p>
            <w:pPr>
              <w:spacing w:after="0"/>
              <w:rPr>
                <w:sz w:val="21"/>
                <w:szCs w:val="21"/>
                <w:color w:val="auto"/>
              </w:rPr>
            </w:pPr>
          </w:p>
        </w:tc>
      </w:tr>
      <w:tr>
        <w:trPr>
          <w:trHeight w:val="264"/>
        </w:trPr>
        <w:tc>
          <w:tcPr>
            <w:tcW w:w="7000" w:type="dxa"/>
            <w:vAlign w:val="bottom"/>
          </w:tcPr>
          <w:p>
            <w:pPr>
              <w:spacing w:after="0"/>
              <w:rPr>
                <w:sz w:val="22"/>
                <w:szCs w:val="22"/>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By: /s/ Carl S. Tabacjar, Jr</w:t>
            </w:r>
          </w:p>
        </w:tc>
        <w:tc>
          <w:tcPr>
            <w:tcW w:w="140" w:type="dxa"/>
            <w:vAlign w:val="bottom"/>
          </w:tcPr>
          <w:p>
            <w:pPr>
              <w:spacing w:after="0"/>
              <w:rPr>
                <w:sz w:val="22"/>
                <w:szCs w:val="22"/>
                <w:color w:val="auto"/>
              </w:rPr>
            </w:pPr>
          </w:p>
        </w:tc>
      </w:tr>
      <w:tr>
        <w:trPr>
          <w:trHeight w:val="215"/>
        </w:trPr>
        <w:tc>
          <w:tcPr>
            <w:tcW w:w="7000" w:type="dxa"/>
            <w:vAlign w:val="bottom"/>
          </w:tcPr>
          <w:p>
            <w:pPr>
              <w:spacing w:after="0"/>
              <w:rPr>
                <w:sz w:val="18"/>
                <w:szCs w:val="18"/>
                <w:color w:val="auto"/>
              </w:rPr>
            </w:pPr>
          </w:p>
        </w:tc>
        <w:tc>
          <w:tcPr>
            <w:tcW w:w="2820" w:type="dxa"/>
            <w:vAlign w:val="bottom"/>
          </w:tcPr>
          <w:p>
            <w:pPr>
              <w:spacing w:after="0" w:line="216" w:lineRule="exact"/>
              <w:rPr>
                <w:sz w:val="20"/>
                <w:szCs w:val="20"/>
                <w:color w:val="auto"/>
              </w:rPr>
            </w:pPr>
            <w:r>
              <w:rPr>
                <w:rFonts w:ascii="Arial" w:cs="Arial" w:eastAsia="Arial" w:hAnsi="Arial"/>
                <w:sz w:val="22"/>
                <w:szCs w:val="22"/>
                <w:color w:val="auto"/>
              </w:rPr>
              <w:t>Name:Carl S. Tabacjar, Jr</w:t>
            </w:r>
          </w:p>
        </w:tc>
        <w:tc>
          <w:tcPr>
            <w:tcW w:w="140" w:type="dxa"/>
            <w:vAlign w:val="bottom"/>
          </w:tcPr>
          <w:p>
            <w:pPr>
              <w:spacing w:after="0"/>
              <w:rPr>
                <w:sz w:val="18"/>
                <w:szCs w:val="18"/>
                <w:color w:val="auto"/>
              </w:rPr>
            </w:pPr>
          </w:p>
        </w:tc>
      </w:tr>
      <w:tr>
        <w:trPr>
          <w:trHeight w:val="274"/>
        </w:trPr>
        <w:tc>
          <w:tcPr>
            <w:tcW w:w="7000" w:type="dxa"/>
            <w:vAlign w:val="bottom"/>
          </w:tcPr>
          <w:p>
            <w:pPr>
              <w:spacing w:after="0"/>
              <w:rPr>
                <w:sz w:val="23"/>
                <w:szCs w:val="23"/>
                <w:color w:val="auto"/>
              </w:rPr>
            </w:pPr>
          </w:p>
        </w:tc>
        <w:tc>
          <w:tcPr>
            <w:tcW w:w="2820" w:type="dxa"/>
            <w:vAlign w:val="bottom"/>
          </w:tcPr>
          <w:p>
            <w:pPr>
              <w:spacing w:after="0"/>
              <w:rPr>
                <w:sz w:val="20"/>
                <w:szCs w:val="20"/>
                <w:color w:val="auto"/>
              </w:rPr>
            </w:pPr>
            <w:r>
              <w:rPr>
                <w:rFonts w:ascii="Arial" w:cs="Arial" w:eastAsia="Arial" w:hAnsi="Arial"/>
                <w:sz w:val="22"/>
                <w:szCs w:val="22"/>
                <w:color w:val="auto"/>
              </w:rPr>
              <w:t>Title: Senior Vice President</w:t>
            </w:r>
          </w:p>
        </w:tc>
        <w:tc>
          <w:tcPr>
            <w:tcW w:w="140" w:type="dxa"/>
            <w:vAlign w:val="bottom"/>
          </w:tcPr>
          <w:p>
            <w:pPr>
              <w:spacing w:after="0"/>
              <w:rPr>
                <w:sz w:val="23"/>
                <w:szCs w:val="23"/>
                <w:color w:val="auto"/>
              </w:rPr>
            </w:pPr>
          </w:p>
        </w:tc>
      </w:tr>
      <w:tr>
        <w:trPr>
          <w:trHeight w:val="692"/>
        </w:trPr>
        <w:tc>
          <w:tcPr>
            <w:tcW w:w="70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r>
        <w:trPr>
          <w:trHeight w:val="20"/>
        </w:trPr>
        <w:tc>
          <w:tcPr>
            <w:tcW w:w="700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6302375</wp:posOffset>
            </wp:positionH>
            <wp:positionV relativeFrom="paragraph">
              <wp:posOffset>-37465</wp:posOffset>
            </wp:positionV>
            <wp:extent cx="3365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-37465</wp:posOffset>
            </wp:positionV>
            <wp:extent cx="33655"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50800"/>
                    </a:xfrm>
                    <a:prstGeom prst="rect">
                      <a:avLst/>
                    </a:prstGeom>
                    <a:noFill/>
                  </pic:spPr>
                </pic:pic>
              </a:graphicData>
            </a:graphic>
          </wp:anchor>
        </w:drawing>
      </w:r>
    </w:p>
    <w:p>
      <w:pPr>
        <w:sectPr>
          <w:pgSz w:w="11900" w:h="16838" w:orient="portrait"/>
          <w:cols w:equalWidth="0" w:num="1">
            <w:col w:w="9960"/>
          </w:cols>
          <w:pgMar w:left="980" w:top="581" w:right="9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SEVENTH AMENDMENT TO CREDIT AGREEMENT</w:t>
      </w:r>
    </w:p>
    <w:p>
      <w:pPr>
        <w:spacing w:after="0" w:line="21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THIS SEVENTH AMENDMENT TO CREDIT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this 29th day of June, 2023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among AQUA PENNSYLVANIA, INC., a Pennsylvania corporation (“</w:t>
      </w:r>
      <w:r>
        <w:rPr>
          <w:rFonts w:ascii="Arial" w:cs="Arial" w:eastAsia="Arial" w:hAnsi="Arial"/>
          <w:sz w:val="22"/>
          <w:szCs w:val="22"/>
          <w:u w:val="single" w:color="auto"/>
          <w:color w:val="auto"/>
        </w:rPr>
        <w:t>Borrower</w:t>
      </w:r>
      <w:r>
        <w:rPr>
          <w:rFonts w:ascii="Arial" w:cs="Arial" w:eastAsia="Arial" w:hAnsi="Arial"/>
          <w:sz w:val="22"/>
          <w:szCs w:val="22"/>
          <w:color w:val="auto"/>
        </w:rPr>
        <w:t>”), the several banks and financial institutions which are parties to this Agreement (each a “</w:t>
      </w:r>
      <w:r>
        <w:rPr>
          <w:rFonts w:ascii="Arial" w:cs="Arial" w:eastAsia="Arial" w:hAnsi="Arial"/>
          <w:sz w:val="22"/>
          <w:szCs w:val="22"/>
          <w:u w:val="single" w:color="auto"/>
          <w:color w:val="auto"/>
        </w:rPr>
        <w:t>Bank</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Banks</w:t>
      </w:r>
      <w:r>
        <w:rPr>
          <w:rFonts w:ascii="Arial" w:cs="Arial" w:eastAsia="Arial" w:hAnsi="Arial"/>
          <w:sz w:val="22"/>
          <w:szCs w:val="22"/>
          <w:color w:val="auto"/>
        </w:rPr>
        <w:t>”) and PNC BANK, NATIONAL ASSOCIATION in its capacity as agent for the Banks (in such capacity, the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BACKGROUND</w:t>
      </w:r>
    </w:p>
    <w:p>
      <w:pPr>
        <w:spacing w:after="0" w:line="206" w:lineRule="exact"/>
        <w:rPr>
          <w:sz w:val="20"/>
          <w:szCs w:val="20"/>
          <w:color w:val="auto"/>
        </w:rPr>
      </w:pPr>
    </w:p>
    <w:p>
      <w:pPr>
        <w:jc w:val="both"/>
        <w:ind w:firstLine="644"/>
        <w:spacing w:after="0" w:line="249" w:lineRule="auto"/>
        <w:tabs>
          <w:tab w:leader="none" w:pos="1376"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Borrower, the Agent and the Banks are parties to an Amended and Restated Credit Agreement, dated as of November 17, 2016 (as heretofore amended, supplemented, modified, or restated, the “</w:t>
      </w:r>
      <w:r>
        <w:rPr>
          <w:rFonts w:ascii="Arial" w:cs="Arial" w:eastAsia="Arial" w:hAnsi="Arial"/>
          <w:sz w:val="21"/>
          <w:szCs w:val="21"/>
          <w:u w:val="single" w:color="auto"/>
          <w:color w:val="auto"/>
        </w:rPr>
        <w:t>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pursuant to which the Banks have made available to the Borrower a revolving credit facility in an aggregate amount of $100,000,000 (the “</w:t>
      </w:r>
      <w:r>
        <w:rPr>
          <w:rFonts w:ascii="Arial" w:cs="Arial" w:eastAsia="Arial" w:hAnsi="Arial"/>
          <w:sz w:val="21"/>
          <w:szCs w:val="21"/>
          <w:u w:val="single" w:color="auto"/>
          <w:color w:val="auto"/>
        </w:rPr>
        <w:t>Facility</w:t>
      </w:r>
      <w:r>
        <w:rPr>
          <w:rFonts w:ascii="Arial" w:cs="Arial" w:eastAsia="Arial" w:hAnsi="Arial"/>
          <w:sz w:val="21"/>
          <w:szCs w:val="21"/>
          <w:color w:val="auto"/>
        </w:rPr>
        <w:t>”). The loans under the Facility are evidenced by the Borrower’s Notes to the Banks in the aggregate principal amount of $100,000,000.</w:t>
      </w:r>
    </w:p>
    <w:p>
      <w:pPr>
        <w:spacing w:after="0" w:line="178" w:lineRule="exact"/>
        <w:rPr>
          <w:rFonts w:ascii="Arial" w:cs="Arial" w:eastAsia="Arial" w:hAnsi="Arial"/>
          <w:sz w:val="21"/>
          <w:szCs w:val="21"/>
          <w:color w:val="auto"/>
        </w:rPr>
      </w:pPr>
    </w:p>
    <w:p>
      <w:pPr>
        <w:jc w:val="both"/>
        <w:ind w:firstLine="644"/>
        <w:spacing w:after="0"/>
        <w:tabs>
          <w:tab w:leader="none" w:pos="1364"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Borrower, the Agent and the Banks desire to extend the Termination Date of the Facility and modify certain other provisions of the Credit Agreement, all on the terms and subject to the conditions herein set forth.</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the parties hereto, intending to be legally bound hereby, agree as follows: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06" w:lineRule="exact"/>
        <w:rPr>
          <w:sz w:val="20"/>
          <w:szCs w:val="20"/>
          <w:color w:val="auto"/>
        </w:rPr>
      </w:pPr>
    </w:p>
    <w:p>
      <w:pPr>
        <w:ind w:left="1620" w:hanging="328"/>
        <w:spacing w:after="0" w:line="250" w:lineRule="auto"/>
        <w:tabs>
          <w:tab w:leader="none" w:pos="16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Terms</w:t>
      </w:r>
      <w:r>
        <w:rPr>
          <w:rFonts w:ascii="Arial" w:cs="Arial" w:eastAsia="Arial" w:hAnsi="Arial"/>
          <w:sz w:val="22"/>
          <w:szCs w:val="22"/>
          <w:color w:val="auto"/>
        </w:rPr>
        <w:t>. Capitalized terms used herein and not otherwise defined herein shall have the meanings given to such terms in the Credit Agreement.</w:t>
      </w:r>
    </w:p>
    <w:p>
      <w:pPr>
        <w:spacing w:after="0" w:line="174" w:lineRule="exact"/>
        <w:rPr>
          <w:rFonts w:ascii="Arial" w:cs="Arial" w:eastAsia="Arial" w:hAnsi="Arial"/>
          <w:sz w:val="22"/>
          <w:szCs w:val="22"/>
          <w:color w:val="auto"/>
        </w:rPr>
      </w:pPr>
    </w:p>
    <w:p>
      <w:pPr>
        <w:ind w:left="1620" w:hanging="328"/>
        <w:spacing w:after="0" w:line="250" w:lineRule="auto"/>
        <w:tabs>
          <w:tab w:leader="none" w:pos="165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 Effective on the Effective Date, the Credit Agreement is hereby amended as follows:</w:t>
      </w:r>
    </w:p>
    <w:p>
      <w:pPr>
        <w:spacing w:after="0" w:line="175" w:lineRule="exact"/>
        <w:rPr>
          <w:sz w:val="20"/>
          <w:szCs w:val="20"/>
          <w:color w:val="auto"/>
        </w:rPr>
      </w:pPr>
    </w:p>
    <w:p>
      <w:pPr>
        <w:ind w:left="2320" w:hanging="380"/>
        <w:spacing w:after="0" w:line="250" w:lineRule="auto"/>
        <w:tabs>
          <w:tab w:leader="none" w:pos="2355"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following definition in Section 1.1 shall be amended and restated to read in full as follows:</w:t>
      </w:r>
    </w:p>
    <w:p>
      <w:pPr>
        <w:spacing w:after="0" w:line="175" w:lineRule="exact"/>
        <w:rPr>
          <w:sz w:val="20"/>
          <w:szCs w:val="20"/>
          <w:color w:val="auto"/>
        </w:rPr>
      </w:pPr>
    </w:p>
    <w:p>
      <w:pPr>
        <w:jc w:val="both"/>
        <w:ind w:left="2580" w:right="660"/>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the earlier of (a) June 27, 2024 or any later date to which the Termination Date shall have been extended pursuant to subsection 2.8(d) hereof and (b) the date the Commitments are terminated as provided herein.</w:t>
      </w:r>
    </w:p>
    <w:p>
      <w:pPr>
        <w:spacing w:after="0" w:line="185" w:lineRule="exact"/>
        <w:rPr>
          <w:sz w:val="20"/>
          <w:szCs w:val="20"/>
          <w:color w:val="auto"/>
        </w:rPr>
      </w:pPr>
    </w:p>
    <w:p>
      <w:pPr>
        <w:ind w:left="2320" w:hanging="380"/>
        <w:spacing w:after="0" w:line="250" w:lineRule="auto"/>
        <w:tabs>
          <w:tab w:leader="none" w:pos="2367" w:val="left"/>
        </w:tabs>
        <w:numPr>
          <w:ilvl w:val="1"/>
          <w:numId w:val="31"/>
        </w:numPr>
        <w:rPr>
          <w:rFonts w:ascii="Arial" w:cs="Arial" w:eastAsia="Arial" w:hAnsi="Arial"/>
          <w:sz w:val="22"/>
          <w:szCs w:val="22"/>
          <w:color w:val="auto"/>
        </w:rPr>
      </w:pPr>
      <w:r>
        <w:rPr>
          <w:rFonts w:ascii="Arial" w:cs="Arial" w:eastAsia="Arial" w:hAnsi="Arial"/>
          <w:sz w:val="22"/>
          <w:szCs w:val="22"/>
          <w:color w:val="auto"/>
        </w:rPr>
        <w:t>Section 2.6(b) of the Credit Agreement is amended and restated to read in full as follows:</w:t>
      </w:r>
    </w:p>
    <w:p>
      <w:pPr>
        <w:spacing w:after="0" w:line="174" w:lineRule="exact"/>
        <w:rPr>
          <w:rFonts w:ascii="Arial" w:cs="Arial" w:eastAsia="Arial" w:hAnsi="Arial"/>
          <w:sz w:val="22"/>
          <w:szCs w:val="22"/>
          <w:color w:val="auto"/>
        </w:rPr>
      </w:pPr>
    </w:p>
    <w:p>
      <w:pPr>
        <w:jc w:val="both"/>
        <w:ind w:left="2580" w:right="660" w:firstLine="8"/>
        <w:spacing w:after="0" w:line="287" w:lineRule="auto"/>
        <w:tabs>
          <w:tab w:leader="none" w:pos="2889" w:val="left"/>
        </w:tabs>
        <w:numPr>
          <w:ilvl w:val="2"/>
          <w:numId w:val="31"/>
        </w:numPr>
        <w:rPr>
          <w:rFonts w:ascii="Arial" w:cs="Arial" w:eastAsia="Arial" w:hAnsi="Arial"/>
          <w:sz w:val="19"/>
          <w:szCs w:val="19"/>
          <w:color w:val="auto"/>
        </w:rPr>
      </w:pPr>
      <w:r>
        <w:rPr>
          <w:rFonts w:ascii="Arial" w:cs="Arial" w:eastAsia="Arial" w:hAnsi="Arial"/>
          <w:sz w:val="19"/>
          <w:szCs w:val="19"/>
          <w:color w:val="auto"/>
        </w:rPr>
        <w:t>Subject to the provisions of Section 2.7, each BSBY Rate Loan shall bear interest (computed on the basis of the actual number of days elapsed over a year of 360 days) at a rate per annum equal to the BSBY Rate for the Interest Period in effect for such Loan plus seventy (70) basis points (0.70%).</w:t>
      </w:r>
    </w:p>
    <w:p>
      <w:pPr>
        <w:spacing w:after="0" w:line="142" w:lineRule="exact"/>
        <w:rPr>
          <w:rFonts w:ascii="Arial" w:cs="Arial" w:eastAsia="Arial" w:hAnsi="Arial"/>
          <w:sz w:val="19"/>
          <w:szCs w:val="19"/>
          <w:color w:val="auto"/>
        </w:rPr>
      </w:pPr>
    </w:p>
    <w:p>
      <w:pPr>
        <w:ind w:left="1620" w:hanging="328"/>
        <w:spacing w:after="0" w:line="328" w:lineRule="auto"/>
        <w:tabs>
          <w:tab w:leader="none" w:pos="1652"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Loan Documents</w:t>
      </w:r>
      <w:r>
        <w:rPr>
          <w:rFonts w:ascii="Arial" w:cs="Arial" w:eastAsia="Arial" w:hAnsi="Arial"/>
          <w:sz w:val="19"/>
          <w:szCs w:val="19"/>
          <w:color w:val="auto"/>
        </w:rPr>
        <w:t>. Except where the context clearly requires otherwise, all references to the Credit Agreement in any of the Loan Documents or any other document delivered to the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67310</wp:posOffset>
            </wp:positionV>
            <wp:extent cx="635190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58" w:name="page59"/>
    <w:bookmarkEnd w:id="58"/>
    <w:p>
      <w:pPr>
        <w:ind w:left="1160"/>
        <w:spacing w:after="0" w:line="251" w:lineRule="auto"/>
        <w:rPr>
          <w:sz w:val="20"/>
          <w:szCs w:val="20"/>
          <w:color w:val="auto"/>
        </w:rPr>
      </w:pPr>
      <w:r>
        <w:rPr>
          <w:rFonts w:ascii="Arial" w:cs="Arial" w:eastAsia="Arial" w:hAnsi="Arial"/>
          <w:sz w:val="22"/>
          <w:szCs w:val="22"/>
          <w:color w:val="auto"/>
        </w:rPr>
        <w:t>or the Agent in connection therewith shall be to the Credit Agreement as amended by this Agreement.</w:t>
      </w:r>
    </w:p>
    <w:p>
      <w:pPr>
        <w:spacing w:after="0" w:line="173" w:lineRule="exact"/>
        <w:rPr>
          <w:sz w:val="20"/>
          <w:szCs w:val="20"/>
          <w:color w:val="auto"/>
        </w:rPr>
      </w:pPr>
    </w:p>
    <w:p>
      <w:pPr>
        <w:jc w:val="both"/>
        <w:ind w:left="1160" w:hanging="328"/>
        <w:spacing w:after="0" w:line="275" w:lineRule="auto"/>
        <w:tabs>
          <w:tab w:leader="none" w:pos="119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Borrower’s Ratification</w:t>
      </w:r>
      <w:r>
        <w:rPr>
          <w:rFonts w:ascii="Arial" w:cs="Arial" w:eastAsia="Arial" w:hAnsi="Arial"/>
          <w:sz w:val="19"/>
          <w:szCs w:val="19"/>
          <w:color w:val="auto"/>
        </w:rPr>
        <w:t>. The Borrower agrees that it has no defenses, set-offs, counterclaims or challenges against the Banks or the Agent or their respective officers, directors, employees, agents or attorneys, with respect to the Loan Documents, all of which are in full force and effect, and that all of the terms and conditions of the Loan Documents not inconsistent herewith shall remain in full force and effect unless and until modified or amended in writing in accordance with their terms. The Borrower hereby ratifies and confirms its obligations under the Loan Documents as amended hereby and agrees that the execution and delivery of this Agreement does not in any way diminish or invalidate any of its obligations thereunder.</w:t>
      </w:r>
    </w:p>
    <w:p>
      <w:pPr>
        <w:spacing w:after="0" w:line="157" w:lineRule="exact"/>
        <w:rPr>
          <w:rFonts w:ascii="Arial" w:cs="Arial" w:eastAsia="Arial" w:hAnsi="Arial"/>
          <w:sz w:val="19"/>
          <w:szCs w:val="19"/>
          <w:color w:val="auto"/>
        </w:rPr>
      </w:pPr>
    </w:p>
    <w:p>
      <w:pPr>
        <w:ind w:left="1160" w:hanging="328"/>
        <w:spacing w:after="0" w:line="250" w:lineRule="auto"/>
        <w:tabs>
          <w:tab w:leader="none" w:pos="1192"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Borrower hereby represents and warrants to the Agent and the Banks that:</w:t>
      </w:r>
    </w:p>
    <w:p>
      <w:pPr>
        <w:spacing w:after="0" w:line="174" w:lineRule="exact"/>
        <w:rPr>
          <w:rFonts w:ascii="Arial" w:cs="Arial" w:eastAsia="Arial" w:hAnsi="Arial"/>
          <w:sz w:val="22"/>
          <w:szCs w:val="22"/>
          <w:color w:val="auto"/>
        </w:rPr>
      </w:pPr>
    </w:p>
    <w:p>
      <w:pPr>
        <w:jc w:val="both"/>
        <w:ind w:left="1860" w:hanging="380"/>
        <w:spacing w:after="0" w:line="236" w:lineRule="auto"/>
        <w:tabs>
          <w:tab w:leader="none" w:pos="1895"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representations and warranties made in the Credit Agreement are true and correct in all material respects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87" w:lineRule="exact"/>
        <w:rPr>
          <w:rFonts w:ascii="Arial" w:cs="Arial" w:eastAsia="Arial" w:hAnsi="Arial"/>
          <w:sz w:val="22"/>
          <w:szCs w:val="22"/>
          <w:color w:val="auto"/>
        </w:rPr>
      </w:pPr>
    </w:p>
    <w:p>
      <w:pPr>
        <w:ind w:left="1860" w:hanging="380"/>
        <w:spacing w:after="0" w:line="250" w:lineRule="auto"/>
        <w:tabs>
          <w:tab w:leader="none" w:pos="1907" w:val="left"/>
        </w:tabs>
        <w:numPr>
          <w:ilvl w:val="1"/>
          <w:numId w:val="33"/>
        </w:numPr>
        <w:rPr>
          <w:rFonts w:ascii="Arial" w:cs="Arial" w:eastAsia="Arial" w:hAnsi="Arial"/>
          <w:sz w:val="22"/>
          <w:szCs w:val="22"/>
          <w:color w:val="auto"/>
        </w:rPr>
      </w:pPr>
      <w:r>
        <w:rPr>
          <w:rFonts w:ascii="Arial" w:cs="Arial" w:eastAsia="Arial" w:hAnsi="Arial"/>
          <w:sz w:val="22"/>
          <w:szCs w:val="22"/>
          <w:color w:val="auto"/>
        </w:rPr>
        <w:t>No Default or Event of Default under the Credit Agreement exists on the date hereof; and</w:t>
      </w:r>
    </w:p>
    <w:p>
      <w:pPr>
        <w:spacing w:after="0" w:line="174" w:lineRule="exact"/>
        <w:rPr>
          <w:rFonts w:ascii="Arial" w:cs="Arial" w:eastAsia="Arial" w:hAnsi="Arial"/>
          <w:sz w:val="22"/>
          <w:szCs w:val="22"/>
          <w:color w:val="auto"/>
        </w:rPr>
      </w:pPr>
    </w:p>
    <w:p>
      <w:pPr>
        <w:jc w:val="both"/>
        <w:ind w:left="1860" w:hanging="380"/>
        <w:spacing w:after="0"/>
        <w:tabs>
          <w:tab w:leader="none" w:pos="1895"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so as to constitute the legal, valid and binding obligation of the Borrower, enforceable in accordance with its terms; and</w:t>
      </w:r>
    </w:p>
    <w:p>
      <w:pPr>
        <w:spacing w:after="0" w:line="186" w:lineRule="exact"/>
        <w:rPr>
          <w:rFonts w:ascii="Arial" w:cs="Arial" w:eastAsia="Arial" w:hAnsi="Arial"/>
          <w:sz w:val="22"/>
          <w:szCs w:val="22"/>
          <w:color w:val="auto"/>
        </w:rPr>
      </w:pPr>
    </w:p>
    <w:p>
      <w:pPr>
        <w:jc w:val="both"/>
        <w:ind w:left="1860" w:hanging="380"/>
        <w:spacing w:after="0" w:line="236" w:lineRule="auto"/>
        <w:tabs>
          <w:tab w:leader="none" w:pos="1907" w:val="left"/>
        </w:tabs>
        <w:numPr>
          <w:ilvl w:val="1"/>
          <w:numId w:val="33"/>
        </w:numPr>
        <w:rPr>
          <w:rFonts w:ascii="Arial" w:cs="Arial" w:eastAsia="Arial" w:hAnsi="Arial"/>
          <w:sz w:val="22"/>
          <w:szCs w:val="22"/>
          <w:color w:val="auto"/>
        </w:rPr>
      </w:pPr>
      <w:r>
        <w:rPr>
          <w:rFonts w:ascii="Arial" w:cs="Arial" w:eastAsia="Arial" w:hAnsi="Arial"/>
          <w:sz w:val="22"/>
          <w:szCs w:val="22"/>
          <w:color w:val="auto"/>
        </w:rPr>
        <w:t>No consent, approval or authorization of, filing, registration or recording with, notice to or other act by or in respect of, any Governmental Authority or any other Person is required in connection with the execution, delivery or performance by the Borrower of this Agreement (except for those which have been obtained on or prior to the date hereof).</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21"/>
          <w:szCs w:val="21"/>
          <w:color w:val="auto"/>
        </w:rPr>
        <w:t>All of the above representations and warranties shall survive the making of this Agreement.</w:t>
      </w:r>
    </w:p>
    <w:p>
      <w:pPr>
        <w:spacing w:after="0" w:line="218" w:lineRule="exact"/>
        <w:rPr>
          <w:sz w:val="20"/>
          <w:szCs w:val="20"/>
          <w:color w:val="auto"/>
        </w:rPr>
      </w:pPr>
    </w:p>
    <w:p>
      <w:pPr>
        <w:jc w:val="both"/>
        <w:ind w:left="1160" w:hanging="328"/>
        <w:spacing w:after="0"/>
        <w:tabs>
          <w:tab w:leader="none" w:pos="1192"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Conditions Precedent</w:t>
      </w:r>
      <w:r>
        <w:rPr>
          <w:rFonts w:ascii="Arial" w:cs="Arial" w:eastAsia="Arial" w:hAnsi="Arial"/>
          <w:sz w:val="22"/>
          <w:szCs w:val="22"/>
          <w:color w:val="auto"/>
        </w:rPr>
        <w:t>. The effectiveness of the amendments set forth herein is subject to the fulfillment, to the satisfaction of the Agent and its counsel, of the following conditions precedent on or before the Effective Date:</w:t>
      </w:r>
    </w:p>
    <w:p>
      <w:pPr>
        <w:spacing w:after="0" w:line="186" w:lineRule="exact"/>
        <w:rPr>
          <w:rFonts w:ascii="Arial" w:cs="Arial" w:eastAsia="Arial" w:hAnsi="Arial"/>
          <w:sz w:val="22"/>
          <w:szCs w:val="22"/>
          <w:color w:val="auto"/>
        </w:rPr>
      </w:pPr>
    </w:p>
    <w:p>
      <w:pPr>
        <w:jc w:val="both"/>
        <w:ind w:left="1860" w:hanging="380"/>
        <w:spacing w:after="0"/>
        <w:tabs>
          <w:tab w:leader="none" w:pos="1895"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Agent shall have received the following, all of which shall be in form and substance satisfactory to the Agent and shall be duly completed and executed by the Borrower, the Agent and the Banks, as applicable:</w:t>
      </w:r>
    </w:p>
    <w:p>
      <w:pPr>
        <w:spacing w:after="0" w:line="186" w:lineRule="exact"/>
        <w:rPr>
          <w:rFonts w:ascii="Arial" w:cs="Arial" w:eastAsia="Arial" w:hAnsi="Arial"/>
          <w:sz w:val="22"/>
          <w:szCs w:val="22"/>
          <w:color w:val="auto"/>
        </w:rPr>
      </w:pPr>
    </w:p>
    <w:p>
      <w:pPr>
        <w:ind w:left="2780" w:hanging="652"/>
        <w:spacing w:after="0"/>
        <w:tabs>
          <w:tab w:leader="none" w:pos="2780" w:val="left"/>
        </w:tabs>
        <w:numPr>
          <w:ilvl w:val="2"/>
          <w:numId w:val="34"/>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jc w:val="both"/>
        <w:ind w:left="2780" w:hanging="652"/>
        <w:spacing w:after="0" w:line="236" w:lineRule="auto"/>
        <w:tabs>
          <w:tab w:leader="none" w:pos="2785" w:val="left"/>
        </w:tabs>
        <w:numPr>
          <w:ilvl w:val="2"/>
          <w:numId w:val="34"/>
        </w:numPr>
        <w:rPr>
          <w:rFonts w:ascii="Arial" w:cs="Arial" w:eastAsia="Arial" w:hAnsi="Arial"/>
          <w:sz w:val="22"/>
          <w:szCs w:val="22"/>
          <w:color w:val="auto"/>
        </w:rPr>
      </w:pPr>
      <w:r>
        <w:rPr>
          <w:rFonts w:ascii="Arial" w:cs="Arial" w:eastAsia="Arial" w:hAnsi="Arial"/>
          <w:sz w:val="22"/>
          <w:szCs w:val="22"/>
          <w:color w:val="auto"/>
        </w:rPr>
        <w:t>Copies, certified by the Secretary or an Assistant Secretary of the Borrower as of a recent date, of resolutions of the board of directors of the Borrower in effect on the date hereof authorizing the execution, delivery and performance of this Agreement and the other documents and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120015</wp:posOffset>
            </wp:positionV>
            <wp:extent cx="635190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59" w:name="page60"/>
    <w:bookmarkEnd w:id="59"/>
    <w:p>
      <w:pPr>
        <w:jc w:val="both"/>
        <w:ind w:left="3240" w:hanging="652"/>
        <w:spacing w:after="0" w:line="236" w:lineRule="auto"/>
        <w:tabs>
          <w:tab w:leader="none" w:pos="3240"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Copies, certified by its corporate secretary as of a recent date, of the articles of incorporation, certificate of formation, and by-laws of the Borrower as in effect, or a certificate stating that there have been no changes to any such documents since the most recent date, true and correct copies thereof were delivered to the Agent;</w:t>
      </w:r>
    </w:p>
    <w:p>
      <w:pPr>
        <w:spacing w:after="0" w:line="187" w:lineRule="exact"/>
        <w:rPr>
          <w:rFonts w:ascii="Arial" w:cs="Arial" w:eastAsia="Arial" w:hAnsi="Arial"/>
          <w:sz w:val="22"/>
          <w:szCs w:val="22"/>
          <w:color w:val="auto"/>
        </w:rPr>
      </w:pPr>
    </w:p>
    <w:p>
      <w:pPr>
        <w:jc w:val="both"/>
        <w:ind w:left="3240" w:hanging="652"/>
        <w:spacing w:after="0" w:line="248" w:lineRule="auto"/>
        <w:tabs>
          <w:tab w:leader="none" w:pos="3293" w:val="left"/>
        </w:tabs>
        <w:numPr>
          <w:ilvl w:val="1"/>
          <w:numId w:val="35"/>
        </w:numPr>
        <w:rPr>
          <w:rFonts w:ascii="Arial" w:cs="Arial" w:eastAsia="Arial" w:hAnsi="Arial"/>
          <w:sz w:val="21"/>
          <w:szCs w:val="21"/>
          <w:color w:val="auto"/>
        </w:rPr>
      </w:pPr>
      <w:r>
        <w:rPr>
          <w:rFonts w:ascii="Arial" w:cs="Arial" w:eastAsia="Arial" w:hAnsi="Arial"/>
          <w:sz w:val="21"/>
          <w:szCs w:val="21"/>
          <w:color w:val="auto"/>
        </w:rPr>
        <w:t>If the Borrower qualifies as a legal entity customer under the Beneficial Ownership Regulations, an executed Certificate of Beneficial Ownership for the Borrower and such other documentation and other information requested by the Agent and the Banks in connection with applicable “know your customer” and anti-money laundering rules and regulations, including the USA Patriot Act;</w:t>
      </w:r>
    </w:p>
    <w:p>
      <w:pPr>
        <w:spacing w:after="0" w:line="176" w:lineRule="exact"/>
        <w:rPr>
          <w:rFonts w:ascii="Arial" w:cs="Arial" w:eastAsia="Arial" w:hAnsi="Arial"/>
          <w:sz w:val="21"/>
          <w:szCs w:val="21"/>
          <w:color w:val="auto"/>
        </w:rPr>
      </w:pPr>
    </w:p>
    <w:p>
      <w:pPr>
        <w:ind w:left="3240" w:hanging="652"/>
        <w:spacing w:after="0" w:line="250" w:lineRule="auto"/>
        <w:tabs>
          <w:tab w:leader="none" w:pos="3297" w:val="left"/>
        </w:tabs>
        <w:numPr>
          <w:ilvl w:val="1"/>
          <w:numId w:val="35"/>
        </w:numPr>
        <w:rPr>
          <w:rFonts w:ascii="Arial" w:cs="Arial" w:eastAsia="Arial" w:hAnsi="Arial"/>
          <w:sz w:val="22"/>
          <w:szCs w:val="22"/>
          <w:color w:val="auto"/>
        </w:rPr>
      </w:pPr>
      <w:r>
        <w:rPr>
          <w:rFonts w:ascii="Arial" w:cs="Arial" w:eastAsia="Arial" w:hAnsi="Arial"/>
          <w:sz w:val="22"/>
          <w:szCs w:val="22"/>
          <w:color w:val="auto"/>
        </w:rPr>
        <w:t>A good standing certificate for the Borrower in the State of its formation dated as of a recent date; and</w:t>
      </w:r>
    </w:p>
    <w:p>
      <w:pPr>
        <w:spacing w:after="0" w:line="174" w:lineRule="exact"/>
        <w:rPr>
          <w:rFonts w:ascii="Arial" w:cs="Arial" w:eastAsia="Arial" w:hAnsi="Arial"/>
          <w:sz w:val="22"/>
          <w:szCs w:val="22"/>
          <w:color w:val="auto"/>
        </w:rPr>
      </w:pPr>
    </w:p>
    <w:p>
      <w:pPr>
        <w:jc w:val="both"/>
        <w:ind w:left="3240" w:hanging="652"/>
        <w:spacing w:after="0"/>
        <w:tabs>
          <w:tab w:leader="none" w:pos="3293" w:val="left"/>
        </w:tabs>
        <w:numPr>
          <w:ilvl w:val="1"/>
          <w:numId w:val="35"/>
        </w:numPr>
        <w:rPr>
          <w:rFonts w:ascii="Arial" w:cs="Arial" w:eastAsia="Arial" w:hAnsi="Arial"/>
          <w:sz w:val="22"/>
          <w:szCs w:val="22"/>
          <w:color w:val="auto"/>
        </w:rPr>
      </w:pPr>
      <w:r>
        <w:rPr>
          <w:rFonts w:ascii="Arial" w:cs="Arial" w:eastAsia="Arial" w:hAnsi="Arial"/>
          <w:sz w:val="22"/>
          <w:szCs w:val="22"/>
          <w:color w:val="auto"/>
        </w:rPr>
        <w:t>Such additional documents, certificates and information as the Agent or the Banks may require pursuant to the terms hereof or otherwise reasonably request.</w:t>
      </w:r>
    </w:p>
    <w:p>
      <w:pPr>
        <w:spacing w:after="0" w:line="186" w:lineRule="exact"/>
        <w:rPr>
          <w:rFonts w:ascii="Arial" w:cs="Arial" w:eastAsia="Arial" w:hAnsi="Arial"/>
          <w:sz w:val="22"/>
          <w:szCs w:val="22"/>
          <w:color w:val="auto"/>
        </w:rPr>
      </w:pPr>
    </w:p>
    <w:p>
      <w:pPr>
        <w:jc w:val="both"/>
        <w:ind w:left="2320" w:hanging="380"/>
        <w:spacing w:after="0" w:line="282" w:lineRule="auto"/>
        <w:tabs>
          <w:tab w:leader="none" w:pos="2367" w:val="left"/>
        </w:tabs>
        <w:numPr>
          <w:ilvl w:val="0"/>
          <w:numId w:val="36"/>
        </w:numPr>
        <w:rPr>
          <w:rFonts w:ascii="Arial" w:cs="Arial" w:eastAsia="Arial" w:hAnsi="Arial"/>
          <w:sz w:val="19"/>
          <w:szCs w:val="19"/>
          <w:color w:val="auto"/>
        </w:rPr>
      </w:pPr>
      <w:r>
        <w:rPr>
          <w:rFonts w:ascii="Arial" w:cs="Arial" w:eastAsia="Arial" w:hAnsi="Arial"/>
          <w:sz w:val="19"/>
          <w:szCs w:val="19"/>
          <w:color w:val="auto"/>
        </w:rPr>
        <w:t>After giving effect to this Agreement, the representations and warranties set forth in the Credit Agreement shall be true and correct in all material respects on and as of the date hereof; provided, however, that for purposes of the representations in Section 3.1 thereof, the annual and quarterly financial information referred to in such Section shall be deemed to be the most recent such information furnished to each Bank.</w:t>
      </w:r>
    </w:p>
    <w:p>
      <w:pPr>
        <w:spacing w:after="0" w:line="147" w:lineRule="exact"/>
        <w:rPr>
          <w:rFonts w:ascii="Arial" w:cs="Arial" w:eastAsia="Arial" w:hAnsi="Arial"/>
          <w:sz w:val="19"/>
          <w:szCs w:val="19"/>
          <w:color w:val="auto"/>
        </w:rPr>
      </w:pPr>
    </w:p>
    <w:p>
      <w:pPr>
        <w:ind w:left="2320" w:hanging="380"/>
        <w:spacing w:after="0" w:line="250" w:lineRule="auto"/>
        <w:tabs>
          <w:tab w:leader="none" w:pos="2355"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as of the date hereof.</w:t>
      </w:r>
    </w:p>
    <w:p>
      <w:pPr>
        <w:spacing w:after="0" w:line="174" w:lineRule="exact"/>
        <w:rPr>
          <w:rFonts w:ascii="Arial" w:cs="Arial" w:eastAsia="Arial" w:hAnsi="Arial"/>
          <w:sz w:val="22"/>
          <w:szCs w:val="22"/>
          <w:color w:val="auto"/>
        </w:rPr>
      </w:pPr>
    </w:p>
    <w:p>
      <w:pPr>
        <w:ind w:left="2380" w:hanging="440"/>
        <w:spacing w:after="0"/>
        <w:tabs>
          <w:tab w:leader="none" w:pos="23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Agent shall have received such fees as shall have been agreed.</w:t>
      </w:r>
    </w:p>
    <w:p>
      <w:pPr>
        <w:spacing w:after="0" w:line="206" w:lineRule="exact"/>
        <w:rPr>
          <w:rFonts w:ascii="Arial" w:cs="Arial" w:eastAsia="Arial" w:hAnsi="Arial"/>
          <w:sz w:val="22"/>
          <w:szCs w:val="22"/>
          <w:color w:val="auto"/>
        </w:rPr>
      </w:pPr>
    </w:p>
    <w:p>
      <w:pPr>
        <w:jc w:val="both"/>
        <w:ind w:left="2320" w:hanging="380"/>
        <w:spacing w:after="0"/>
        <w:tabs>
          <w:tab w:leader="none" w:pos="2355"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Agent shall have received, to the extent invoiced, reimbursement of all fees and expenses of counsel to the Agent required to be paid or reimbursed by the Borrower hereunder.</w:t>
      </w:r>
    </w:p>
    <w:p>
      <w:pPr>
        <w:spacing w:after="0" w:line="18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All of the foregoing fees shall be in all respects, fully earned, due and payable on the Effective Date and non-refundable and non- creditable thereafter.</w:t>
      </w:r>
    </w:p>
    <w:p>
      <w:pPr>
        <w:spacing w:after="0" w:line="175" w:lineRule="exact"/>
        <w:rPr>
          <w:sz w:val="20"/>
          <w:szCs w:val="20"/>
          <w:color w:val="auto"/>
        </w:rPr>
      </w:pPr>
    </w:p>
    <w:p>
      <w:pPr>
        <w:jc w:val="both"/>
        <w:ind w:left="1620" w:hanging="328"/>
        <w:spacing w:after="0" w:line="234" w:lineRule="auto"/>
        <w:tabs>
          <w:tab w:leader="none" w:pos="165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xml:space="preserve"> This Agreement constitutes the sole agreement of the parties hereto with respect to the transactions contemplated hereby and shall supersede all oral negotiations and the terms of prior writings with respect thereto. From and after the Effective Date, all references in the Credit Agreement and each of the other Loan Documents to the Credit Agreement shall be deemed to be references to the Credit Agreement as modified hereby. This Agreement shall constitute a Loan Document for all purposes under the Credit Agreement and each of the other Loan Documents.</w:t>
      </w:r>
    </w:p>
    <w:p>
      <w:pPr>
        <w:spacing w:after="0" w:line="190" w:lineRule="exact"/>
        <w:rPr>
          <w:rFonts w:ascii="Arial" w:cs="Arial" w:eastAsia="Arial" w:hAnsi="Arial"/>
          <w:sz w:val="22"/>
          <w:szCs w:val="22"/>
          <w:color w:val="auto"/>
        </w:rPr>
      </w:pPr>
    </w:p>
    <w:p>
      <w:pPr>
        <w:jc w:val="both"/>
        <w:ind w:left="1620" w:hanging="328"/>
        <w:spacing w:after="0" w:line="236" w:lineRule="auto"/>
        <w:tabs>
          <w:tab w:leader="none" w:pos="1652"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120015</wp:posOffset>
            </wp:positionV>
            <wp:extent cx="635190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60" w:name="page61"/>
    <w:bookmarkEnd w:id="60"/>
    <w:p>
      <w:pPr>
        <w:ind w:left="1180" w:hanging="348"/>
        <w:spacing w:after="0"/>
        <w:tabs>
          <w:tab w:leader="none" w:pos="118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860" w:hanging="380"/>
        <w:spacing w:after="0" w:line="238" w:lineRule="auto"/>
        <w:tabs>
          <w:tab w:leader="none" w:pos="1895"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Borrower agrees to pay all of the Agent’s reasonable out-of-pocket fees and expenses incurred in connection with this Agreement and the transactions contemplated hereby, including, without limitation, the reasonable fees and expenses of counsel to the Agent.</w:t>
      </w:r>
    </w:p>
    <w:p>
      <w:pPr>
        <w:spacing w:after="0" w:line="184" w:lineRule="exact"/>
        <w:rPr>
          <w:rFonts w:ascii="Arial" w:cs="Arial" w:eastAsia="Arial" w:hAnsi="Arial"/>
          <w:sz w:val="22"/>
          <w:szCs w:val="22"/>
          <w:color w:val="auto"/>
        </w:rPr>
      </w:pPr>
    </w:p>
    <w:p>
      <w:pPr>
        <w:jc w:val="both"/>
        <w:ind w:left="1860" w:hanging="380"/>
        <w:spacing w:after="0" w:line="234" w:lineRule="auto"/>
        <w:tabs>
          <w:tab w:leader="none" w:pos="1907" w:val="left"/>
        </w:tabs>
        <w:numPr>
          <w:ilvl w:val="1"/>
          <w:numId w:val="38"/>
        </w:numPr>
        <w:rPr>
          <w:rFonts w:ascii="Arial" w:cs="Arial" w:eastAsia="Arial" w:hAnsi="Arial"/>
          <w:sz w:val="22"/>
          <w:szCs w:val="22"/>
          <w:color w:val="auto"/>
        </w:rPr>
      </w:pPr>
      <w:r>
        <w:rPr>
          <w:rFonts w:ascii="Arial" w:cs="Arial" w:eastAsia="Arial" w:hAnsi="Arial"/>
          <w:sz w:val="22"/>
          <w:szCs w:val="22"/>
          <w:color w:val="auto"/>
        </w:rPr>
        <w:t>All terms, conditions, provisions and covenants in the Loan Documents and all other documents delivered to the Agent and the Banks in connection therewith shall remain unaltered and in full force and effect except as expressly modified or amended hereby. To the extent that any term or provision of this Agreement is or may be deemed expressly inconsistent with any term or provision in any Loan Document or any other document executed in connection therewith, the terms and provisions hereof shall control.</w:t>
      </w:r>
    </w:p>
    <w:p>
      <w:pPr>
        <w:spacing w:after="0" w:line="190" w:lineRule="exact"/>
        <w:rPr>
          <w:rFonts w:ascii="Arial" w:cs="Arial" w:eastAsia="Arial" w:hAnsi="Arial"/>
          <w:sz w:val="22"/>
          <w:szCs w:val="22"/>
          <w:color w:val="auto"/>
        </w:rPr>
      </w:pPr>
    </w:p>
    <w:p>
      <w:pPr>
        <w:jc w:val="both"/>
        <w:ind w:left="1860" w:hanging="380"/>
        <w:spacing w:after="0" w:line="297" w:lineRule="auto"/>
        <w:tabs>
          <w:tab w:leader="none" w:pos="1895"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execution, delivery and effectiveness of this Agreement shall neither operate as a waiver of any right, power or remedy of the Agent or the Banks under any of the Loan Documents nor constitute a waiver of any Default or Event of Default thereunder.</w:t>
      </w:r>
    </w:p>
    <w:p>
      <w:pPr>
        <w:spacing w:after="0" w:line="133" w:lineRule="exact"/>
        <w:rPr>
          <w:rFonts w:ascii="Arial" w:cs="Arial" w:eastAsia="Arial" w:hAnsi="Arial"/>
          <w:sz w:val="19"/>
          <w:szCs w:val="19"/>
          <w:color w:val="auto"/>
        </w:rPr>
      </w:pPr>
    </w:p>
    <w:p>
      <w:pPr>
        <w:jc w:val="both"/>
        <w:ind w:left="1860" w:hanging="380"/>
        <w:spacing w:after="0" w:line="282" w:lineRule="auto"/>
        <w:tabs>
          <w:tab w:leader="none" w:pos="1907" w:val="left"/>
        </w:tabs>
        <w:numPr>
          <w:ilvl w:val="1"/>
          <w:numId w:val="38"/>
        </w:numPr>
        <w:rPr>
          <w:rFonts w:ascii="Arial" w:cs="Arial" w:eastAsia="Arial" w:hAnsi="Arial"/>
          <w:sz w:val="19"/>
          <w:szCs w:val="19"/>
          <w:color w:val="auto"/>
        </w:rPr>
      </w:pPr>
      <w:r>
        <w:rPr>
          <w:rFonts w:ascii="Arial" w:cs="Arial" w:eastAsia="Arial" w:hAnsi="Arial"/>
          <w:sz w:val="19"/>
          <w:szCs w:val="19"/>
          <w:color w:val="auto"/>
        </w:rPr>
        <w:t>In consideration of the Agent’s and the Banks’ agreement to amend the existing revolving credit facility, the Borrower hereby waives and releases the Agent and the Banks and their respective officers, attorneys, agents and employees from any liability, suit, damage, claim, loss or expense of any kind or failure whatsoever and howsoever arising that it ever had up until, or has as of, the date of this Agreement.</w:t>
      </w:r>
    </w:p>
    <w:p>
      <w:pPr>
        <w:spacing w:after="0" w:line="147" w:lineRule="exact"/>
        <w:rPr>
          <w:rFonts w:ascii="Arial" w:cs="Arial" w:eastAsia="Arial" w:hAnsi="Arial"/>
          <w:sz w:val="19"/>
          <w:szCs w:val="19"/>
          <w:color w:val="auto"/>
        </w:rPr>
      </w:pPr>
    </w:p>
    <w:p>
      <w:pPr>
        <w:ind w:left="1860" w:hanging="380"/>
        <w:spacing w:after="0" w:line="250" w:lineRule="auto"/>
        <w:tabs>
          <w:tab w:leader="none" w:pos="1895"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according to the laws of the Commonwealth of Pennsylvania.</w:t>
      </w:r>
    </w:p>
    <w:p>
      <w:pPr>
        <w:spacing w:after="0" w:line="174" w:lineRule="exact"/>
        <w:rPr>
          <w:rFonts w:ascii="Arial" w:cs="Arial" w:eastAsia="Arial" w:hAnsi="Arial"/>
          <w:sz w:val="22"/>
          <w:szCs w:val="22"/>
          <w:color w:val="auto"/>
        </w:rPr>
      </w:pPr>
    </w:p>
    <w:p>
      <w:pPr>
        <w:ind w:left="1860" w:hanging="380"/>
        <w:spacing w:after="0" w:line="250" w:lineRule="auto"/>
        <w:tabs>
          <w:tab w:leader="none" w:pos="1871"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binding upon, the parties hereto and their respective successors and assigns.</w:t>
      </w:r>
    </w:p>
    <w:p>
      <w:pPr>
        <w:spacing w:after="0" w:line="174" w:lineRule="exact"/>
        <w:rPr>
          <w:rFonts w:ascii="Arial" w:cs="Arial" w:eastAsia="Arial" w:hAnsi="Arial"/>
          <w:sz w:val="22"/>
          <w:szCs w:val="22"/>
          <w:color w:val="auto"/>
        </w:rPr>
      </w:pPr>
    </w:p>
    <w:p>
      <w:pPr>
        <w:jc w:val="both"/>
        <w:ind w:left="1860" w:hanging="380"/>
        <w:spacing w:after="0"/>
        <w:tabs>
          <w:tab w:leader="none" w:pos="1907"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headings used in this Agreement are for convenience of reference only, do not form a part of this Agreement and shall not affect in any way the meaning or interpretation of this Agreement.</w:t>
      </w:r>
    </w:p>
    <w:p>
      <w:pPr>
        <w:spacing w:after="0" w:line="186" w:lineRule="exact"/>
        <w:rPr>
          <w:rFonts w:ascii="Arial" w:cs="Arial" w:eastAsia="Arial" w:hAnsi="Arial"/>
          <w:sz w:val="22"/>
          <w:szCs w:val="22"/>
          <w:color w:val="auto"/>
        </w:rPr>
      </w:pPr>
    </w:p>
    <w:p>
      <w:pPr>
        <w:jc w:val="both"/>
        <w:ind w:left="1860" w:hanging="380"/>
        <w:spacing w:after="0" w:line="282" w:lineRule="auto"/>
        <w:tabs>
          <w:tab w:leader="none" w:pos="1907"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This Agreement may be executed in one or more counterparts, each of which counterparts when executed and delivered shall be deemed to be an original, and all of which shall constitute one and the same instrument. Delivery of an executed counterpart of a signature page to this Agreement by facsimile or other electronic transmission will be effective as delivery of a manually executed counterpart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94615</wp:posOffset>
            </wp:positionV>
            <wp:extent cx="635190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480"/>
          </w:cols>
          <w:pgMar w:left="1440" w:top="118" w:right="979" w:bottom="1440" w:gutter="0" w:footer="0" w:header="0"/>
        </w:sectPr>
      </w:pPr>
    </w:p>
    <w:bookmarkStart w:id="61" w:name="page62"/>
    <w:bookmarkEnd w:id="61"/>
    <w:p>
      <w:pPr>
        <w:ind w:firstLine="1296"/>
        <w:spacing w:after="0" w:line="250" w:lineRule="auto"/>
        <w:rPr>
          <w:sz w:val="20"/>
          <w:szCs w:val="20"/>
          <w:color w:val="auto"/>
        </w:rPr>
      </w:pPr>
      <w:r>
        <w:rPr>
          <w:rFonts w:ascii="Arial" w:cs="Arial" w:eastAsia="Arial" w:hAnsi="Arial"/>
          <w:sz w:val="22"/>
          <w:szCs w:val="22"/>
          <w:color w:val="auto"/>
        </w:rPr>
        <w:t>IN WITNESS WHEREOF, the Borrower, the Agent and the Banks have caused this Agreement to be executed by their duly authorized officers as of the date first above written.</w:t>
      </w:r>
    </w:p>
    <w:p>
      <w:pPr>
        <w:spacing w:after="0" w:line="200" w:lineRule="exact"/>
        <w:rPr>
          <w:sz w:val="20"/>
          <w:szCs w:val="20"/>
          <w:color w:val="auto"/>
        </w:rPr>
      </w:pPr>
    </w:p>
    <w:p>
      <w:pPr>
        <w:spacing w:after="0" w:line="218"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AQUA PENNSYLVANIA, INC.</w:t>
      </w:r>
    </w:p>
    <w:p>
      <w:pPr>
        <w:spacing w:after="0" w:line="200" w:lineRule="exact"/>
        <w:rPr>
          <w:sz w:val="20"/>
          <w:szCs w:val="20"/>
          <w:color w:val="auto"/>
        </w:rPr>
      </w:pPr>
    </w:p>
    <w:p>
      <w:pPr>
        <w:spacing w:after="0" w:line="276"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By: /s/ Brian Dingerdissen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6985</wp:posOffset>
            </wp:positionV>
            <wp:extent cx="3703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2"/>
          <w:szCs w:val="22"/>
          <w:color w:val="auto"/>
        </w:rPr>
        <w:t>Name: Brian Dingerdissen</w:t>
      </w:r>
    </w:p>
    <w:p>
      <w:pPr>
        <w:ind w:left="4100"/>
        <w:spacing w:after="0" w:line="230" w:lineRule="auto"/>
        <w:rPr>
          <w:sz w:val="20"/>
          <w:szCs w:val="20"/>
          <w:color w:val="auto"/>
        </w:rPr>
      </w:pPr>
      <w:r>
        <w:rPr>
          <w:rFonts w:ascii="Arial" w:cs="Arial" w:eastAsia="Arial" w:hAnsi="Arial"/>
          <w:sz w:val="22"/>
          <w:szCs w:val="22"/>
          <w:color w:val="auto"/>
        </w:rPr>
        <w:t>Title: Vice President Investor Relations and</w:t>
      </w:r>
    </w:p>
    <w:p>
      <w:pPr>
        <w:spacing w:after="0" w:line="1"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274320</wp:posOffset>
            </wp:positionV>
            <wp:extent cx="635190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0"/>
          </w:cols>
          <w:pgMar w:left="980" w:top="334" w:right="979" w:bottom="1440" w:gutter="0" w:footer="0" w:header="0"/>
        </w:sectPr>
      </w:pPr>
    </w:p>
    <w:bookmarkStart w:id="62" w:name="page63"/>
    <w:bookmarkEnd w:id="62"/>
    <w:p>
      <w:pPr>
        <w:ind w:left="3640"/>
        <w:spacing w:after="0"/>
        <w:rPr>
          <w:sz w:val="20"/>
          <w:szCs w:val="20"/>
          <w:color w:val="auto"/>
        </w:rPr>
      </w:pPr>
      <w:r>
        <w:rPr>
          <w:rFonts w:ascii="Arial" w:cs="Arial" w:eastAsia="Arial" w:hAnsi="Arial"/>
          <w:sz w:val="21"/>
          <w:szCs w:val="21"/>
          <w:color w:val="auto"/>
        </w:rPr>
        <w:t>PNC BANK, NATIONAL ASSOCIATION,</w:t>
      </w:r>
    </w:p>
    <w:p>
      <w:pPr>
        <w:spacing w:after="0" w:line="20"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as Agent and as a Bank</w:t>
      </w:r>
    </w:p>
    <w:p>
      <w:pPr>
        <w:spacing w:after="0" w:line="200" w:lineRule="exact"/>
        <w:rPr>
          <w:sz w:val="20"/>
          <w:szCs w:val="20"/>
          <w:color w:val="auto"/>
        </w:rPr>
      </w:pPr>
    </w:p>
    <w:p>
      <w:pPr>
        <w:spacing w:after="0" w:line="258"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By: /s/ Domenic D’Ginto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-17780</wp:posOffset>
            </wp:positionV>
            <wp:extent cx="22555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55520" cy="8255"/>
                    </a:xfrm>
                    <a:prstGeom prst="rect">
                      <a:avLst/>
                    </a:prstGeom>
                    <a:noFill/>
                  </pic:spPr>
                </pic:pic>
              </a:graphicData>
            </a:graphic>
          </wp:anchor>
        </w:drawing>
      </w:r>
    </w:p>
    <w:p>
      <w:pPr>
        <w:ind w:left="3640"/>
        <w:spacing w:after="0" w:line="238" w:lineRule="auto"/>
        <w:rPr>
          <w:sz w:val="20"/>
          <w:szCs w:val="20"/>
          <w:color w:val="auto"/>
        </w:rPr>
      </w:pPr>
      <w:r>
        <w:rPr>
          <w:rFonts w:ascii="Arial" w:cs="Arial" w:eastAsia="Arial" w:hAnsi="Arial"/>
          <w:sz w:val="22"/>
          <w:szCs w:val="22"/>
          <w:color w:val="auto"/>
        </w:rPr>
        <w:t>Name: Domenic D’Ginto</w:t>
      </w:r>
    </w:p>
    <w:p>
      <w:pPr>
        <w:ind w:left="364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274320</wp:posOffset>
            </wp:positionV>
            <wp:extent cx="635190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63" w:name="page64"/>
    <w:bookmarkEnd w:id="63"/>
    <w:p>
      <w:pPr>
        <w:ind w:left="3640"/>
        <w:spacing w:after="0"/>
        <w:rPr>
          <w:sz w:val="20"/>
          <w:szCs w:val="20"/>
          <w:color w:val="auto"/>
        </w:rPr>
      </w:pPr>
      <w:r>
        <w:rPr>
          <w:rFonts w:ascii="Arial" w:cs="Arial" w:eastAsia="Arial" w:hAnsi="Arial"/>
          <w:sz w:val="19"/>
          <w:szCs w:val="19"/>
          <w:color w:val="auto"/>
        </w:rPr>
        <w:t>CITIZENS BANK, N.A., as a Bank</w:t>
      </w:r>
    </w:p>
    <w:p>
      <w:pPr>
        <w:spacing w:after="0" w:line="200" w:lineRule="exact"/>
        <w:rPr>
          <w:sz w:val="20"/>
          <w:szCs w:val="20"/>
          <w:color w:val="auto"/>
        </w:rPr>
      </w:pPr>
    </w:p>
    <w:p>
      <w:pPr>
        <w:spacing w:after="0" w:line="311"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By: /s/ Carl S. Tabacjar,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-17780</wp:posOffset>
            </wp:positionV>
            <wp:extent cx="23672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67280" cy="8255"/>
                    </a:xfrm>
                    <a:prstGeom prst="rect">
                      <a:avLst/>
                    </a:prstGeom>
                    <a:noFill/>
                  </pic:spPr>
                </pic:pic>
              </a:graphicData>
            </a:graphic>
          </wp:anchor>
        </w:drawing>
      </w:r>
    </w:p>
    <w:p>
      <w:pPr>
        <w:ind w:left="3640"/>
        <w:spacing w:after="0" w:line="238" w:lineRule="auto"/>
        <w:rPr>
          <w:sz w:val="20"/>
          <w:szCs w:val="20"/>
          <w:color w:val="auto"/>
        </w:rPr>
      </w:pPr>
      <w:r>
        <w:rPr>
          <w:rFonts w:ascii="Arial" w:cs="Arial" w:eastAsia="Arial" w:hAnsi="Arial"/>
          <w:sz w:val="22"/>
          <w:szCs w:val="22"/>
          <w:color w:val="auto"/>
        </w:rPr>
        <w:t>Name: Carl S. Tabacjar, Jr.</w:t>
      </w:r>
    </w:p>
    <w:p>
      <w:pPr>
        <w:ind w:left="364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274320</wp:posOffset>
            </wp:positionV>
            <wp:extent cx="6351905" cy="50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51905" cy="5080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64" w:name="page65"/>
    <w:bookmarkEnd w:id="64"/>
    <w:p>
      <w:pPr>
        <w:ind w:left="3640"/>
        <w:spacing w:after="0"/>
        <w:rPr>
          <w:sz w:val="20"/>
          <w:szCs w:val="20"/>
          <w:color w:val="auto"/>
        </w:rPr>
      </w:pPr>
      <w:r>
        <w:rPr>
          <w:rFonts w:ascii="Arial" w:cs="Arial" w:eastAsia="Arial" w:hAnsi="Arial"/>
          <w:sz w:val="21"/>
          <w:szCs w:val="21"/>
          <w:color w:val="auto"/>
        </w:rPr>
        <w:t>TD BANK, N.A., as a Bank</w:t>
      </w:r>
    </w:p>
    <w:p>
      <w:pPr>
        <w:spacing w:after="0" w:line="200" w:lineRule="exact"/>
        <w:rPr>
          <w:sz w:val="20"/>
          <w:szCs w:val="20"/>
          <w:color w:val="auto"/>
        </w:rPr>
      </w:pPr>
    </w:p>
    <w:p>
      <w:pPr>
        <w:spacing w:after="0" w:line="288"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By: /s/ Jennifer L. Suspenski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29210</wp:posOffset>
            </wp:positionV>
            <wp:extent cx="3703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6" w:lineRule="exact"/>
        <w:rPr>
          <w:sz w:val="20"/>
          <w:szCs w:val="20"/>
          <w:color w:val="auto"/>
        </w:rPr>
      </w:pPr>
    </w:p>
    <w:p>
      <w:pPr>
        <w:ind w:left="3640"/>
        <w:spacing w:after="0"/>
        <w:rPr>
          <w:sz w:val="20"/>
          <w:szCs w:val="20"/>
          <w:color w:val="auto"/>
        </w:rPr>
      </w:pPr>
      <w:r>
        <w:rPr>
          <w:rFonts w:ascii="Arial" w:cs="Arial" w:eastAsia="Arial" w:hAnsi="Arial"/>
          <w:sz w:val="19"/>
          <w:szCs w:val="19"/>
          <w:color w:val="auto"/>
        </w:rPr>
        <w:t>Name: Jennifer L. Suspenski</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296545</wp:posOffset>
            </wp:positionV>
            <wp:extent cx="635190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65" w:name="page66"/>
    <w:bookmarkEnd w:id="65"/>
    <w:p>
      <w:pPr>
        <w:ind w:left="3640"/>
        <w:spacing w:after="0"/>
        <w:rPr>
          <w:sz w:val="20"/>
          <w:szCs w:val="20"/>
          <w:color w:val="auto"/>
        </w:rPr>
      </w:pPr>
      <w:r>
        <w:rPr>
          <w:rFonts w:ascii="Arial" w:cs="Arial" w:eastAsia="Arial" w:hAnsi="Arial"/>
          <w:sz w:val="21"/>
          <w:szCs w:val="21"/>
          <w:color w:val="auto"/>
        </w:rPr>
        <w:t>THE HUNTINGTON NATIONAL BANK,</w:t>
      </w:r>
    </w:p>
    <w:p>
      <w:pPr>
        <w:spacing w:after="0" w:line="20"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as a Bank</w:t>
      </w:r>
    </w:p>
    <w:p>
      <w:pPr>
        <w:spacing w:after="0" w:line="200" w:lineRule="exact"/>
        <w:rPr>
          <w:sz w:val="20"/>
          <w:szCs w:val="20"/>
          <w:color w:val="auto"/>
        </w:rPr>
      </w:pPr>
    </w:p>
    <w:p>
      <w:pPr>
        <w:spacing w:after="0" w:line="258"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By: /s/ Christopher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-17780</wp:posOffset>
            </wp:positionV>
            <wp:extent cx="23660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ind w:left="3640"/>
        <w:spacing w:after="0" w:line="238" w:lineRule="auto"/>
        <w:rPr>
          <w:sz w:val="20"/>
          <w:szCs w:val="20"/>
          <w:color w:val="auto"/>
        </w:rPr>
      </w:pPr>
      <w:r>
        <w:rPr>
          <w:rFonts w:ascii="Arial" w:cs="Arial" w:eastAsia="Arial" w:hAnsi="Arial"/>
          <w:sz w:val="22"/>
          <w:szCs w:val="22"/>
          <w:color w:val="auto"/>
        </w:rPr>
        <w:t>Name: Christopher Olsen</w:t>
      </w:r>
    </w:p>
    <w:p>
      <w:pPr>
        <w:ind w:left="364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274320</wp:posOffset>
            </wp:positionV>
            <wp:extent cx="635190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66" w:name="page67"/>
    <w:bookmarkEnd w:id="66"/>
    <w:p>
      <w:pPr>
        <w:ind w:left="8904"/>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607060</wp:posOffset>
            </wp:positionH>
            <wp:positionV relativeFrom="page">
              <wp:posOffset>6419850</wp:posOffset>
            </wp:positionV>
            <wp:extent cx="635190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51905" cy="50800"/>
                    </a:xfrm>
                    <a:prstGeom prst="rect">
                      <a:avLst/>
                    </a:prstGeom>
                    <a:noFill/>
                  </pic:spPr>
                </pic:pic>
              </a:graphicData>
            </a:graphic>
          </wp:anchor>
        </w:drawing>
        <w:t>Exhibit 31.1</w:t>
      </w:r>
    </w:p>
    <w:p>
      <w:pPr>
        <w:spacing w:after="0" w:line="160" w:lineRule="exact"/>
        <w:rPr>
          <w:sz w:val="20"/>
          <w:szCs w:val="20"/>
          <w:color w:val="auto"/>
        </w:rPr>
      </w:pPr>
    </w:p>
    <w:p>
      <w:pPr>
        <w:ind w:left="124"/>
        <w:spacing w:after="0"/>
        <w:rPr>
          <w:sz w:val="20"/>
          <w:szCs w:val="20"/>
          <w:color w:val="auto"/>
        </w:rPr>
      </w:pPr>
      <w:r>
        <w:rPr>
          <w:rFonts w:ascii="Arial" w:cs="Arial" w:eastAsia="Arial" w:hAnsi="Arial"/>
          <w:sz w:val="19"/>
          <w:szCs w:val="19"/>
          <w:color w:val="auto"/>
        </w:rPr>
        <w:t>CERTIFICATION OF CHIEF EXECUTIVE OFFICER, PURSUANT TO RULE 13A-14(A) UNDER THE SECURITIES</w:t>
      </w:r>
    </w:p>
    <w:p>
      <w:pPr>
        <w:jc w:val="center"/>
        <w:ind w:right="36"/>
        <w:spacing w:after="0"/>
        <w:rPr>
          <w:sz w:val="20"/>
          <w:szCs w:val="20"/>
          <w:color w:val="auto"/>
        </w:rPr>
      </w:pPr>
      <w:r>
        <w:rPr>
          <w:rFonts w:ascii="Arial" w:cs="Arial" w:eastAsia="Arial" w:hAnsi="Arial"/>
          <w:sz w:val="20"/>
          <w:szCs w:val="20"/>
          <w:color w:val="auto"/>
        </w:rPr>
        <w:t>AND EXCHANGE ACT OF 1934</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20"/>
          <w:szCs w:val="20"/>
          <w:color w:val="auto"/>
        </w:rPr>
        <w:t>I, Christopher H. Franklin, certify that:</w:t>
      </w:r>
    </w:p>
    <w:p>
      <w:pPr>
        <w:spacing w:after="0" w:line="150" w:lineRule="exact"/>
        <w:rPr>
          <w:sz w:val="20"/>
          <w:szCs w:val="20"/>
          <w:color w:val="auto"/>
        </w:rPr>
      </w:pPr>
    </w:p>
    <w:p>
      <w:pPr>
        <w:ind w:left="324" w:hanging="324"/>
        <w:spacing w:after="0"/>
        <w:tabs>
          <w:tab w:leader="none" w:pos="3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20" w:hanging="324"/>
        <w:spacing w:after="0" w:line="206" w:lineRule="auto"/>
        <w:tabs>
          <w:tab w:leader="none" w:pos="3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24" w:right="180" w:hanging="324"/>
        <w:spacing w:after="0" w:line="206" w:lineRule="auto"/>
        <w:tabs>
          <w:tab w:leader="none" w:pos="3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20"/>
          <w:szCs w:val="20"/>
          <w:color w:val="auto"/>
        </w:rPr>
      </w:pPr>
    </w:p>
    <w:p>
      <w:pPr>
        <w:ind w:left="324" w:right="100" w:hanging="324"/>
        <w:spacing w:after="0" w:line="217" w:lineRule="auto"/>
        <w:tabs>
          <w:tab w:leader="none" w:pos="32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hanging="320"/>
        <w:spacing w:after="0" w:line="207" w:lineRule="auto"/>
        <w:tabs>
          <w:tab w:leader="none" w:pos="6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20"/>
          <w:szCs w:val="20"/>
          <w:color w:val="auto"/>
        </w:rPr>
      </w:pPr>
    </w:p>
    <w:p>
      <w:pPr>
        <w:ind w:left="644" w:right="60" w:hanging="320"/>
        <w:spacing w:after="0" w:line="204" w:lineRule="auto"/>
        <w:tabs>
          <w:tab w:leader="none" w:pos="6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644" w:right="100" w:hanging="320"/>
        <w:spacing w:after="0" w:line="206" w:lineRule="auto"/>
        <w:tabs>
          <w:tab w:leader="none" w:pos="6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644" w:right="240" w:hanging="320"/>
        <w:spacing w:after="0" w:line="207" w:lineRule="auto"/>
        <w:tabs>
          <w:tab w:leader="none" w:pos="6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20"/>
          <w:szCs w:val="20"/>
          <w:color w:val="auto"/>
        </w:rPr>
      </w:pPr>
    </w:p>
    <w:p>
      <w:pPr>
        <w:ind w:left="324" w:right="40" w:hanging="324"/>
        <w:spacing w:after="0" w:line="206" w:lineRule="auto"/>
        <w:tabs>
          <w:tab w:leader="none" w:pos="3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644" w:right="300" w:hanging="320"/>
        <w:spacing w:after="0" w:line="206" w:lineRule="auto"/>
        <w:tabs>
          <w:tab w:leader="none" w:pos="6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20"/>
          <w:szCs w:val="20"/>
          <w:color w:val="auto"/>
        </w:rPr>
      </w:pPr>
    </w:p>
    <w:p>
      <w:pPr>
        <w:ind w:left="644" w:right="80" w:hanging="320"/>
        <w:spacing w:after="0" w:line="227" w:lineRule="auto"/>
        <w:tabs>
          <w:tab w:leader="none" w:pos="644" w:val="left"/>
        </w:tabs>
        <w:numPr>
          <w:ilvl w:val="1"/>
          <w:numId w:val="3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92" w:lineRule="auto"/>
        <w:rPr>
          <w:sz w:val="20"/>
          <w:szCs w:val="20"/>
          <w:color w:val="auto"/>
        </w:rPr>
      </w:pPr>
      <w:r>
        <w:rPr>
          <w:rFonts w:ascii="Arial" w:cs="Arial" w:eastAsia="Arial" w:hAnsi="Arial"/>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3077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4"/>
        <w:spacing w:after="0" w:line="193" w:lineRule="auto"/>
        <w:rPr>
          <w:sz w:val="20"/>
          <w:szCs w:val="20"/>
          <w:color w:val="auto"/>
        </w:rPr>
      </w:pPr>
      <w:r>
        <w:rPr>
          <w:rFonts w:ascii="Arial" w:cs="Arial" w:eastAsia="Arial" w:hAnsi="Arial"/>
          <w:sz w:val="19"/>
          <w:szCs w:val="19"/>
          <w:color w:val="auto"/>
        </w:rPr>
        <w:t>President and Chief Executive Officer</w:t>
      </w:r>
    </w:p>
    <w:p>
      <w:pPr>
        <w:ind w:left="124"/>
        <w:spacing w:after="0" w:line="188" w:lineRule="auto"/>
        <w:rPr>
          <w:sz w:val="20"/>
          <w:szCs w:val="20"/>
          <w:color w:val="auto"/>
        </w:rPr>
      </w:pPr>
      <w:r>
        <w:rPr>
          <w:rFonts w:ascii="Arial" w:cs="Arial" w:eastAsia="Arial" w:hAnsi="Arial"/>
          <w:sz w:val="18"/>
          <w:szCs w:val="18"/>
          <w:color w:val="auto"/>
        </w:rPr>
        <w:t>August 8, 2023</w:t>
      </w:r>
    </w:p>
    <w:p>
      <w:pPr>
        <w:sectPr>
          <w:pgSz w:w="11900" w:h="16838" w:orient="portrait"/>
          <w:cols w:equalWidth="0" w:num="1">
            <w:col w:w="9924"/>
          </w:cols>
          <w:pgMar w:left="976" w:top="82" w:right="99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color w:val="auto"/>
        </w:rPr>
        <w:t>Exhibit 31.2</w:t>
      </w:r>
    </w:p>
    <w:p>
      <w:pPr>
        <w:spacing w:after="0" w:line="163" w:lineRule="exact"/>
        <w:rPr>
          <w:sz w:val="20"/>
          <w:szCs w:val="20"/>
          <w:color w:val="auto"/>
        </w:rPr>
      </w:pPr>
    </w:p>
    <w:p>
      <w:pPr>
        <w:ind w:left="144"/>
        <w:spacing w:after="0"/>
        <w:rPr>
          <w:sz w:val="20"/>
          <w:szCs w:val="20"/>
          <w:color w:val="auto"/>
        </w:rPr>
      </w:pPr>
      <w:r>
        <w:rPr>
          <w:rFonts w:ascii="Arial" w:cs="Arial" w:eastAsia="Arial" w:hAnsi="Arial"/>
          <w:sz w:val="19"/>
          <w:szCs w:val="19"/>
          <w:color w:val="auto"/>
        </w:rPr>
        <w:t>CERTIFICATION OF CHIEF FINANCIAL OFFICER, PURSUANT TO RULE 13A-14(A) UNDER THE SECURITIES</w:t>
      </w:r>
    </w:p>
    <w:p>
      <w:pPr>
        <w:jc w:val="center"/>
        <w:ind w:right="96"/>
        <w:spacing w:after="0"/>
        <w:rPr>
          <w:sz w:val="20"/>
          <w:szCs w:val="20"/>
          <w:color w:val="auto"/>
        </w:rPr>
      </w:pPr>
      <w:r>
        <w:rPr>
          <w:rFonts w:ascii="Arial" w:cs="Arial" w:eastAsia="Arial" w:hAnsi="Arial"/>
          <w:sz w:val="20"/>
          <w:szCs w:val="20"/>
          <w:color w:val="auto"/>
        </w:rPr>
        <w:t>AND EXCHANGE ACT OF 1934</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20"/>
          <w:szCs w:val="20"/>
          <w:color w:val="auto"/>
        </w:rPr>
        <w:t>I, Daniel J. Schuller, certify that:</w:t>
      </w:r>
    </w:p>
    <w:p>
      <w:pPr>
        <w:spacing w:after="0" w:line="150" w:lineRule="exact"/>
        <w:rPr>
          <w:sz w:val="20"/>
          <w:szCs w:val="20"/>
          <w:color w:val="auto"/>
        </w:rPr>
      </w:pPr>
    </w:p>
    <w:p>
      <w:pPr>
        <w:ind w:left="324" w:hanging="324"/>
        <w:spacing w:after="0"/>
        <w:tabs>
          <w:tab w:leader="none" w:pos="324" w:val="left"/>
        </w:tabs>
        <w:numPr>
          <w:ilvl w:val="0"/>
          <w:numId w:val="4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Essential Utilities, Inc.;</w:t>
      </w:r>
    </w:p>
    <w:p>
      <w:pPr>
        <w:jc w:val="both"/>
        <w:ind w:left="324" w:right="240" w:hanging="324"/>
        <w:spacing w:after="0" w:line="206" w:lineRule="auto"/>
        <w:tabs>
          <w:tab w:leader="none" w:pos="324"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20"/>
          <w:szCs w:val="20"/>
          <w:color w:val="auto"/>
        </w:rPr>
      </w:pPr>
    </w:p>
    <w:p>
      <w:pPr>
        <w:ind w:left="324" w:right="200" w:hanging="324"/>
        <w:spacing w:after="0" w:line="206" w:lineRule="auto"/>
        <w:tabs>
          <w:tab w:leader="none" w:pos="324" w:val="left"/>
        </w:tabs>
        <w:numPr>
          <w:ilvl w:val="0"/>
          <w:numId w:val="4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20"/>
          <w:szCs w:val="20"/>
          <w:color w:val="auto"/>
        </w:rPr>
      </w:pPr>
    </w:p>
    <w:p>
      <w:pPr>
        <w:ind w:left="324" w:right="120" w:hanging="324"/>
        <w:spacing w:after="0" w:line="217" w:lineRule="auto"/>
        <w:tabs>
          <w:tab w:leader="none" w:pos="324"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9"/>
          <w:szCs w:val="19"/>
          <w:color w:val="auto"/>
        </w:rPr>
      </w:pPr>
    </w:p>
    <w:p>
      <w:pPr>
        <w:ind w:left="644" w:right="20" w:hanging="320"/>
        <w:spacing w:after="0" w:line="207" w:lineRule="auto"/>
        <w:tabs>
          <w:tab w:leader="none" w:pos="644" w:val="left"/>
        </w:tabs>
        <w:numPr>
          <w:ilvl w:val="1"/>
          <w:numId w:val="4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20"/>
          <w:szCs w:val="20"/>
          <w:color w:val="auto"/>
        </w:rPr>
      </w:pPr>
    </w:p>
    <w:p>
      <w:pPr>
        <w:ind w:left="644" w:right="80" w:hanging="320"/>
        <w:spacing w:after="0" w:line="204" w:lineRule="auto"/>
        <w:tabs>
          <w:tab w:leader="none" w:pos="644" w:val="left"/>
        </w:tabs>
        <w:numPr>
          <w:ilvl w:val="1"/>
          <w:numId w:val="40"/>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20"/>
          <w:szCs w:val="20"/>
          <w:color w:val="auto"/>
        </w:rPr>
      </w:pPr>
    </w:p>
    <w:p>
      <w:pPr>
        <w:ind w:left="644" w:right="120" w:hanging="320"/>
        <w:spacing w:after="0" w:line="206" w:lineRule="auto"/>
        <w:tabs>
          <w:tab w:leader="none" w:pos="644" w:val="left"/>
        </w:tabs>
        <w:numPr>
          <w:ilvl w:val="1"/>
          <w:numId w:val="4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20"/>
          <w:szCs w:val="20"/>
          <w:color w:val="auto"/>
        </w:rPr>
      </w:pPr>
    </w:p>
    <w:p>
      <w:pPr>
        <w:ind w:left="644" w:right="260" w:hanging="320"/>
        <w:spacing w:after="0" w:line="207" w:lineRule="auto"/>
        <w:tabs>
          <w:tab w:leader="none" w:pos="644" w:val="left"/>
        </w:tabs>
        <w:numPr>
          <w:ilvl w:val="1"/>
          <w:numId w:val="4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20"/>
          <w:szCs w:val="20"/>
          <w:color w:val="auto"/>
        </w:rPr>
      </w:pPr>
    </w:p>
    <w:p>
      <w:pPr>
        <w:ind w:left="324" w:right="60" w:hanging="324"/>
        <w:spacing w:after="0" w:line="206" w:lineRule="auto"/>
        <w:tabs>
          <w:tab w:leader="none" w:pos="324"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20"/>
          <w:szCs w:val="20"/>
          <w:color w:val="auto"/>
        </w:rPr>
      </w:pPr>
    </w:p>
    <w:p>
      <w:pPr>
        <w:ind w:left="644" w:right="320" w:hanging="320"/>
        <w:spacing w:after="0" w:line="206" w:lineRule="auto"/>
        <w:tabs>
          <w:tab w:leader="none" w:pos="644" w:val="left"/>
        </w:tabs>
        <w:numPr>
          <w:ilvl w:val="1"/>
          <w:numId w:val="4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20"/>
          <w:szCs w:val="20"/>
          <w:color w:val="auto"/>
        </w:rPr>
      </w:pPr>
    </w:p>
    <w:p>
      <w:pPr>
        <w:ind w:left="644" w:right="100" w:hanging="320"/>
        <w:spacing w:after="0" w:line="227" w:lineRule="auto"/>
        <w:tabs>
          <w:tab w:leader="none" w:pos="644"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92" w:lineRule="auto"/>
        <w:rPr>
          <w:sz w:val="20"/>
          <w:szCs w:val="20"/>
          <w:color w:val="auto"/>
        </w:rPr>
      </w:pPr>
      <w:r>
        <w:rPr>
          <w:rFonts w:ascii="Arial" w:cs="Arial" w:eastAsia="Arial" w:hAnsi="Arial"/>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308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ind w:left="124"/>
        <w:spacing w:after="0"/>
        <w:rPr>
          <w:sz w:val="20"/>
          <w:szCs w:val="20"/>
          <w:color w:val="auto"/>
        </w:rPr>
      </w:pPr>
      <w:r>
        <w:rPr>
          <w:rFonts w:ascii="Arial" w:cs="Arial" w:eastAsia="Arial" w:hAnsi="Arial"/>
          <w:sz w:val="22"/>
          <w:szCs w:val="22"/>
          <w:color w:val="auto"/>
        </w:rPr>
        <w:t>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944"/>
          </w:cols>
          <w:pgMar w:left="976" w:top="108" w:right="97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Exhibit 32.1</w:t>
      </w:r>
    </w:p>
    <w:p>
      <w:pPr>
        <w:spacing w:after="0" w:line="376"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CERTIFICATION OF CHIEF EXECUTIVE OFFICER PURSUANT TO</w:t>
      </w:r>
    </w:p>
    <w:p>
      <w:pPr>
        <w:jc w:val="center"/>
        <w:ind w:right="-3"/>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93" w:lineRule="exact"/>
        <w:rPr>
          <w:sz w:val="20"/>
          <w:szCs w:val="20"/>
          <w:color w:val="auto"/>
        </w:rPr>
      </w:pPr>
    </w:p>
    <w:p>
      <w:pPr>
        <w:jc w:val="both"/>
        <w:ind w:left="4" w:right="100"/>
        <w:spacing w:after="0" w:line="194" w:lineRule="auto"/>
        <w:rPr>
          <w:sz w:val="20"/>
          <w:szCs w:val="20"/>
          <w:color w:val="auto"/>
        </w:rPr>
      </w:pPr>
      <w:r>
        <w:rPr>
          <w:rFonts w:ascii="Arial" w:cs="Arial" w:eastAsia="Arial" w:hAnsi="Arial"/>
          <w:sz w:val="19"/>
          <w:szCs w:val="19"/>
          <w:color w:val="auto"/>
        </w:rPr>
        <w:t>In connection with the Quarterly Report on Form 10-Q for the period ended June 30, 2023 of Essential Utilities, Inc. (the “Company”) as filed with the Securities and Exchange Commission on the date hereof (the “Report”), I, Christopher H. Franklin, President and Chief Executive Officer of the Company, certify, pursuant to 18 U.S.C.</w:t>
      </w:r>
    </w:p>
    <w:p>
      <w:pPr>
        <w:spacing w:after="0" w:line="1" w:lineRule="exact"/>
        <w:rPr>
          <w:sz w:val="20"/>
          <w:szCs w:val="20"/>
          <w:color w:val="auto"/>
        </w:rPr>
      </w:pPr>
    </w:p>
    <w:p>
      <w:pPr>
        <w:ind w:left="4"/>
        <w:spacing w:after="0"/>
        <w:rPr>
          <w:sz w:val="20"/>
          <w:szCs w:val="20"/>
          <w:color w:val="auto"/>
        </w:rPr>
      </w:pPr>
      <w:r>
        <w:rPr>
          <w:rFonts w:ascii="Arial" w:cs="Arial" w:eastAsia="Arial" w:hAnsi="Arial"/>
          <w:sz w:val="19"/>
          <w:szCs w:val="19"/>
          <w:color w:val="auto"/>
        </w:rPr>
        <w:t>Section 1350, as adopted pursuant to Section 906 of the Sarbanes-Oxley Act of 2002, that, to my knowledge:</w:t>
      </w:r>
    </w:p>
    <w:p>
      <w:pPr>
        <w:spacing w:after="0" w:line="290" w:lineRule="exact"/>
        <w:rPr>
          <w:sz w:val="20"/>
          <w:szCs w:val="20"/>
          <w:color w:val="auto"/>
        </w:rPr>
      </w:pPr>
    </w:p>
    <w:p>
      <w:pPr>
        <w:ind w:left="324" w:right="240" w:hanging="324"/>
        <w:spacing w:after="0" w:line="213" w:lineRule="auto"/>
        <w:tabs>
          <w:tab w:leader="none" w:pos="32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63" w:lineRule="exact"/>
        <w:rPr>
          <w:rFonts w:ascii="Arial" w:cs="Arial" w:eastAsia="Arial" w:hAnsi="Arial"/>
          <w:sz w:val="22"/>
          <w:szCs w:val="22"/>
          <w:color w:val="auto"/>
        </w:rPr>
      </w:pPr>
    </w:p>
    <w:p>
      <w:pPr>
        <w:ind w:left="324" w:right="320" w:hanging="324"/>
        <w:spacing w:after="0" w:line="213" w:lineRule="auto"/>
        <w:tabs>
          <w:tab w:leader="none" w:pos="32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Christopher H. Franklin</w:t>
      </w:r>
    </w:p>
    <w:p>
      <w:pPr>
        <w:ind w:left="124"/>
        <w:spacing w:after="0" w:line="192" w:lineRule="auto"/>
        <w:rPr>
          <w:sz w:val="20"/>
          <w:szCs w:val="20"/>
          <w:color w:val="auto"/>
        </w:rPr>
      </w:pPr>
      <w:r>
        <w:rPr>
          <w:rFonts w:ascii="Arial" w:cs="Arial" w:eastAsia="Arial" w:hAnsi="Arial"/>
          <w:sz w:val="19"/>
          <w:szCs w:val="19"/>
          <w:color w:val="auto"/>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2957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ind w:left="124"/>
        <w:spacing w:after="0" w:line="193" w:lineRule="auto"/>
        <w:rPr>
          <w:sz w:val="20"/>
          <w:szCs w:val="20"/>
          <w:color w:val="auto"/>
        </w:rPr>
      </w:pPr>
      <w:r>
        <w:rPr>
          <w:rFonts w:ascii="Arial" w:cs="Arial" w:eastAsia="Arial" w:hAnsi="Arial"/>
          <w:sz w:val="19"/>
          <w:szCs w:val="19"/>
          <w:color w:val="auto"/>
        </w:rPr>
        <w:t>President and Chief Executive Officer</w:t>
      </w:r>
    </w:p>
    <w:p>
      <w:pPr>
        <w:spacing w:after="0" w:line="1" w:lineRule="exact"/>
        <w:rPr>
          <w:sz w:val="20"/>
          <w:szCs w:val="20"/>
          <w:color w:val="auto"/>
        </w:rPr>
      </w:pPr>
    </w:p>
    <w:p>
      <w:pPr>
        <w:ind w:left="124"/>
        <w:spacing w:after="0"/>
        <w:rPr>
          <w:sz w:val="20"/>
          <w:szCs w:val="20"/>
          <w:color w:val="auto"/>
        </w:rPr>
      </w:pPr>
      <w:r>
        <w:rPr>
          <w:rFonts w:ascii="Arial" w:cs="Arial" w:eastAsia="Arial" w:hAnsi="Arial"/>
          <w:sz w:val="22"/>
          <w:szCs w:val="22"/>
          <w:color w:val="auto"/>
        </w:rPr>
        <w:t>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6351905"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p>
      <w:pPr>
        <w:sectPr>
          <w:pgSz w:w="11900" w:h="16838" w:orient="portrait"/>
          <w:cols w:equalWidth="0" w:num="1">
            <w:col w:w="9884"/>
          </w:cols>
          <w:pgMar w:left="976" w:top="78" w:right="1039" w:bottom="1440" w:gutter="0" w:footer="0" w:header="0"/>
        </w:sectPr>
      </w:pPr>
    </w:p>
    <w:bookmarkStart w:id="69" w:name="page70"/>
    <w:bookmarkEnd w:id="69"/>
    <w:p>
      <w:pPr>
        <w:ind w:left="8824"/>
        <w:spacing w:after="0"/>
        <w:rPr>
          <w:sz w:val="20"/>
          <w:szCs w:val="20"/>
          <w:color w:val="auto"/>
        </w:rPr>
      </w:pPr>
      <w:r>
        <w:rPr>
          <w:rFonts w:ascii="Arial" w:cs="Arial" w:eastAsia="Arial" w:hAnsi="Arial"/>
          <w:sz w:val="21"/>
          <w:szCs w:val="21"/>
          <w:color w:val="auto"/>
        </w:rPr>
        <w:t>Exhibit 32.2</w:t>
      </w:r>
    </w:p>
    <w:p>
      <w:pPr>
        <w:spacing w:after="0" w:line="388" w:lineRule="exact"/>
        <w:rPr>
          <w:sz w:val="20"/>
          <w:szCs w:val="20"/>
          <w:color w:val="auto"/>
        </w:rPr>
      </w:pPr>
    </w:p>
    <w:p>
      <w:pPr>
        <w:jc w:val="center"/>
        <w:ind w:right="56"/>
        <w:spacing w:after="0"/>
        <w:rPr>
          <w:sz w:val="20"/>
          <w:szCs w:val="20"/>
          <w:color w:val="auto"/>
        </w:rPr>
      </w:pPr>
      <w:r>
        <w:rPr>
          <w:rFonts w:ascii="Arial" w:cs="Arial" w:eastAsia="Arial" w:hAnsi="Arial"/>
          <w:sz w:val="22"/>
          <w:szCs w:val="22"/>
          <w:color w:val="auto"/>
        </w:rPr>
        <w:t>CERTIFICATION OF CHIEF FINANCIAL OFFICER PURSUANT TO</w:t>
      </w:r>
    </w:p>
    <w:p>
      <w:pPr>
        <w:jc w:val="center"/>
        <w:ind w:right="56"/>
        <w:spacing w:after="0"/>
        <w:rPr>
          <w:sz w:val="20"/>
          <w:szCs w:val="20"/>
          <w:color w:val="auto"/>
        </w:rPr>
      </w:pPr>
      <w:r>
        <w:rPr>
          <w:rFonts w:ascii="Arial" w:cs="Arial" w:eastAsia="Arial" w:hAnsi="Arial"/>
          <w:sz w:val="22"/>
          <w:szCs w:val="22"/>
          <w:color w:val="auto"/>
        </w:rPr>
        <w:t>18 U.S.C. SECTION 1350</w:t>
      </w:r>
    </w:p>
    <w:p>
      <w:pPr>
        <w:spacing w:after="0" w:line="200" w:lineRule="exact"/>
        <w:rPr>
          <w:sz w:val="20"/>
          <w:szCs w:val="20"/>
          <w:color w:val="auto"/>
        </w:rPr>
      </w:pPr>
    </w:p>
    <w:p>
      <w:pPr>
        <w:spacing w:after="0" w:line="393" w:lineRule="exact"/>
        <w:rPr>
          <w:sz w:val="20"/>
          <w:szCs w:val="20"/>
          <w:color w:val="auto"/>
        </w:rPr>
      </w:pPr>
    </w:p>
    <w:p>
      <w:pPr>
        <w:ind w:left="4"/>
        <w:spacing w:after="0" w:line="216" w:lineRule="auto"/>
        <w:rPr>
          <w:sz w:val="20"/>
          <w:szCs w:val="20"/>
          <w:color w:val="auto"/>
        </w:rPr>
      </w:pPr>
      <w:r>
        <w:rPr>
          <w:rFonts w:ascii="Arial" w:cs="Arial" w:eastAsia="Arial" w:hAnsi="Arial"/>
          <w:sz w:val="19"/>
          <w:szCs w:val="19"/>
          <w:color w:val="auto"/>
        </w:rPr>
        <w:t>In connection with the Quarterly Report on Form 10-Q for the period ended June 30, 2023 of Essential Utilities, Inc. (the “Company”) as filed with the Securities and Exchange Commission on the date hereof (the “Report”), I, Daniel J. Schuller, Chief Financial Officer of the Company, certify, pursuant to 18 U.S.C. Section 1350, as adopted pursuant to Section 906 of the Sarbanes-Oxley Act of 2002, that, to my knowledge:</w:t>
      </w:r>
    </w:p>
    <w:p>
      <w:pPr>
        <w:spacing w:after="0" w:line="253" w:lineRule="exact"/>
        <w:rPr>
          <w:sz w:val="20"/>
          <w:szCs w:val="20"/>
          <w:color w:val="auto"/>
        </w:rPr>
      </w:pPr>
    </w:p>
    <w:p>
      <w:pPr>
        <w:ind w:left="324" w:right="300" w:hanging="324"/>
        <w:spacing w:after="0" w:line="213" w:lineRule="auto"/>
        <w:tabs>
          <w:tab w:leader="none" w:pos="32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(15 U.S.C. Section 78m or Section 78o(d)); and</w:t>
      </w:r>
    </w:p>
    <w:p>
      <w:pPr>
        <w:spacing w:after="0" w:line="63" w:lineRule="exact"/>
        <w:rPr>
          <w:rFonts w:ascii="Arial" w:cs="Arial" w:eastAsia="Arial" w:hAnsi="Arial"/>
          <w:sz w:val="22"/>
          <w:szCs w:val="22"/>
          <w:color w:val="auto"/>
        </w:rPr>
      </w:pPr>
    </w:p>
    <w:p>
      <w:pPr>
        <w:ind w:left="324" w:right="380" w:hanging="324"/>
        <w:spacing w:after="0" w:line="213" w:lineRule="auto"/>
        <w:tabs>
          <w:tab w:leader="none" w:pos="32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8" w:lineRule="exact"/>
        <w:rPr>
          <w:sz w:val="20"/>
          <w:szCs w:val="20"/>
          <w:color w:val="auto"/>
        </w:rPr>
      </w:pPr>
    </w:p>
    <w:p>
      <w:pPr>
        <w:ind w:left="124"/>
        <w:spacing w:after="0"/>
        <w:rPr>
          <w:sz w:val="20"/>
          <w:szCs w:val="20"/>
          <w:color w:val="auto"/>
        </w:rPr>
      </w:pPr>
      <w:r>
        <w:rPr>
          <w:rFonts w:ascii="Arial" w:cs="Arial" w:eastAsia="Arial" w:hAnsi="Arial"/>
          <w:sz w:val="22"/>
          <w:szCs w:val="22"/>
          <w:color w:val="auto"/>
        </w:rPr>
        <w:t>/s/ Daniel J. Schuller</w:t>
      </w:r>
    </w:p>
    <w:p>
      <w:pPr>
        <w:ind w:left="124"/>
        <w:spacing w:after="0" w:line="192" w:lineRule="auto"/>
        <w:rPr>
          <w:sz w:val="20"/>
          <w:szCs w:val="20"/>
          <w:color w:val="auto"/>
        </w:rPr>
      </w:pPr>
      <w:r>
        <w:rPr>
          <w:rFonts w:ascii="Arial" w:cs="Arial" w:eastAsia="Arial" w:hAnsi="Arial"/>
          <w:sz w:val="22"/>
          <w:szCs w:val="22"/>
          <w:color w:val="auto"/>
        </w:rPr>
        <w:t>Daniel J. Schuller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34118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ind w:left="124"/>
        <w:spacing w:after="0" w:line="205" w:lineRule="auto"/>
        <w:rPr>
          <w:sz w:val="20"/>
          <w:szCs w:val="20"/>
          <w:color w:val="auto"/>
        </w:rPr>
      </w:pPr>
      <w:r>
        <w:rPr>
          <w:rFonts w:ascii="Arial" w:cs="Arial" w:eastAsia="Arial" w:hAnsi="Arial"/>
          <w:sz w:val="22"/>
          <w:szCs w:val="22"/>
          <w:color w:val="auto"/>
        </w:rPr>
        <w:t>Executive Vice President and Chief Financial Officer</w:t>
      </w:r>
    </w:p>
    <w:p>
      <w:pPr>
        <w:ind w:left="124"/>
        <w:spacing w:after="0"/>
        <w:rPr>
          <w:sz w:val="20"/>
          <w:szCs w:val="20"/>
          <w:color w:val="auto"/>
        </w:rPr>
      </w:pPr>
      <w:r>
        <w:rPr>
          <w:rFonts w:ascii="Arial" w:cs="Arial" w:eastAsia="Arial" w:hAnsi="Arial"/>
          <w:sz w:val="22"/>
          <w:szCs w:val="22"/>
          <w:color w:val="auto"/>
        </w:rPr>
        <w:t>August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248920</wp:posOffset>
            </wp:positionV>
            <wp:extent cx="635190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51905" cy="51435"/>
                    </a:xfrm>
                    <a:prstGeom prst="rect">
                      <a:avLst/>
                    </a:prstGeom>
                    <a:noFill/>
                  </pic:spPr>
                </pic:pic>
              </a:graphicData>
            </a:graphic>
          </wp:anchor>
        </w:drawing>
      </w:r>
    </w:p>
    <w:sectPr>
      <w:pgSz w:w="11900" w:h="16838" w:orient="portrait"/>
      <w:cols w:equalWidth="0" w:num="1">
        <w:col w:w="9944"/>
      </w:cols>
      <w:pgMar w:left="976" w:top="78"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
      <w:numFmt w:val="bullet"/>
      <w:start w:val="1"/>
    </w:lvl>
  </w:abstractNum>
  <w:abstractNum w:abstractNumId="2">
    <w:nsid w:val="2443A858"/>
    <w:multiLevelType w:val="hybridMultilevel"/>
    <w:lvl w:ilvl="0">
      <w:lvlJc w:val="left"/>
      <w:lvlText w:val=" "/>
      <w:numFmt w:val="bullet"/>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 "/>
      <w:numFmt w:val="bullet"/>
      <w:start w:val="1"/>
    </w:lvl>
  </w:abstractNum>
  <w:abstractNum w:abstractNumId="5">
    <w:nsid w:val="75A2A8D4"/>
    <w:multiLevelType w:val="hybridMultilevel"/>
    <w:lvl w:ilvl="0">
      <w:lvlJc w:val="left"/>
      <w:lvlText w:val=" "/>
      <w:numFmt w:val="bullet"/>
      <w:start w:val="1"/>
    </w:lvl>
  </w:abstractNum>
  <w:abstractNum w:abstractNumId="6">
    <w:nsid w:val="8EDBDAB"/>
    <w:multiLevelType w:val="hybridMultilevel"/>
    <w:lvl w:ilvl="0">
      <w:lvlJc w:val="left"/>
      <w:lvlText w:val=" "/>
      <w:numFmt w:val="bullet"/>
      <w:start w:val="1"/>
    </w:lvl>
  </w:abstractNum>
  <w:abstractNum w:abstractNumId="7">
    <w:nsid w:val="79838CB2"/>
    <w:multiLevelType w:val="hybridMultilevel"/>
    <w:lvl w:ilvl="0">
      <w:lvlJc w:val="left"/>
      <w:lvlText w:val=" "/>
      <w:numFmt w:val="bullet"/>
      <w:start w:val="1"/>
    </w:lvl>
  </w:abstractNum>
  <w:abstractNum w:abstractNumId="8">
    <w:nsid w:val="4353D0CD"/>
    <w:multiLevelType w:val="hybridMultilevel"/>
    <w:lvl w:ilvl="0">
      <w:lvlJc w:val="left"/>
      <w:lvlText w:val=" "/>
      <w:numFmt w:val="bullet"/>
      <w:start w:val="1"/>
    </w:lvl>
  </w:abstractNum>
  <w:abstractNum w:abstractNumId="9">
    <w:nsid w:val="B03E0C6"/>
    <w:multiLevelType w:val="hybridMultilevel"/>
    <w:lvl w:ilvl="0">
      <w:lvlJc w:val="left"/>
      <w:lvlText w:val=" "/>
      <w:numFmt w:val="bullet"/>
      <w:start w:val="1"/>
    </w:lvl>
  </w:abstractNum>
  <w:abstractNum w:abstractNumId="10">
    <w:nsid w:val="189A769B"/>
    <w:multiLevelType w:val="hybridMultilevel"/>
    <w:lvl w:ilvl="0">
      <w:lvlJc w:val="left"/>
      <w:lvlText w:val=" "/>
      <w:numFmt w:val="bullet"/>
      <w:start w:val="1"/>
    </w:lvl>
  </w:abstractNum>
  <w:abstractNum w:abstractNumId="11">
    <w:nsid w:val="54E49EB4"/>
    <w:multiLevelType w:val="hybridMultilevel"/>
    <w:lvl w:ilvl="0">
      <w:lvlJc w:val="left"/>
      <w:lvlText w:val=" "/>
      <w:numFmt w:val="bullet"/>
      <w:start w:val="1"/>
    </w:lvl>
  </w:abstractNum>
  <w:abstractNum w:abstractNumId="12">
    <w:nsid w:val="71F32454"/>
    <w:multiLevelType w:val="hybridMultilevel"/>
    <w:lvl w:ilvl="0">
      <w:lvlJc w:val="left"/>
      <w:lvlText w:val=" "/>
      <w:numFmt w:val="bullet"/>
      <w:start w:val="1"/>
    </w:lvl>
  </w:abstractNum>
  <w:abstractNum w:abstractNumId="13">
    <w:nsid w:val="2CA88611"/>
    <w:multiLevelType w:val="hybridMultilevel"/>
    <w:lvl w:ilvl="0">
      <w:lvlJc w:val="left"/>
      <w:lvlText w:val=" "/>
      <w:numFmt w:val="bullet"/>
      <w:start w:val="1"/>
    </w:lvl>
  </w:abstractNum>
  <w:abstractNum w:abstractNumId="14">
    <w:nsid w:val="836C40E"/>
    <w:multiLevelType w:val="hybridMultilevel"/>
    <w:lvl w:ilvl="0">
      <w:lvlJc w:val="left"/>
      <w:lvlText w:val=" "/>
      <w:numFmt w:val="bullet"/>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upperLetter"/>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decimal"/>
      <w:start w:val="3"/>
    </w:lvl>
    <w:lvl w:ilvl="1">
      <w:lvlJc w:val="left"/>
      <w:lvlText w:val="(%2)"/>
      <w:numFmt w:val="lowerLetter"/>
      <w:start w:val="1"/>
    </w:lvl>
  </w:abstractNum>
  <w:abstractNum w:abstractNumId="22">
    <w:nsid w:val="22221A70"/>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3">
    <w:nsid w:val="4516DDE9"/>
    <w:multiLevelType w:val="hybridMultilevel"/>
    <w:lvl w:ilvl="0">
      <w:lvlJc w:val="left"/>
      <w:lvlText w:val="(%1)"/>
      <w:numFmt w:val="lowerRoman"/>
      <w:start w:val="2"/>
    </w:lvl>
  </w:abstractNum>
  <w:abstractNum w:abstractNumId="24">
    <w:nsid w:val="3006C83E"/>
    <w:multiLevelType w:val="hybridMultilevel"/>
    <w:lvl w:ilvl="0">
      <w:lvlJc w:val="left"/>
      <w:lvlText w:val="%1"/>
      <w:numFmt w:val="decimal"/>
      <w:start w:val="1"/>
    </w:lvl>
    <w:lvl w:ilvl="1">
      <w:lvlJc w:val="left"/>
      <w:lvlText w:val="(%2)"/>
      <w:numFmt w:val="lowerLetter"/>
      <w:start w:val="3"/>
    </w:lvl>
  </w:abstractNum>
  <w:abstractNum w:abstractNumId="25">
    <w:nsid w:val="614FD4A1"/>
    <w:multiLevelType w:val="hybridMultilevel"/>
    <w:lvl w:ilvl="0">
      <w:lvlJc w:val="left"/>
      <w:lvlText w:val="%1."/>
      <w:numFmt w:val="decimal"/>
      <w:start w:val="6"/>
    </w:lvl>
    <w:lvl w:ilvl="1">
      <w:lvlJc w:val="left"/>
      <w:lvlText w:val="%2"/>
      <w:numFmt w:val="lowerLetter"/>
      <w:start w:val="1"/>
    </w:lvl>
  </w:abstractNum>
  <w:abstractNum w:abstractNumId="26">
    <w:nsid w:val="419AC241"/>
    <w:multiLevelType w:val="hybridMultilevel"/>
    <w:lvl w:ilvl="0">
      <w:lvlJc w:val="left"/>
      <w:lvlText w:val="%1."/>
      <w:numFmt w:val="decimal"/>
      <w:start w:val="8"/>
    </w:lvl>
    <w:lvl w:ilvl="1">
      <w:lvlJc w:val="left"/>
      <w:lvlText w:val="(%2)"/>
      <w:numFmt w:val="lowerLetter"/>
      <w:start w:val="1"/>
    </w:lvl>
  </w:abstractNum>
  <w:abstractNum w:abstractNumId="27">
    <w:nsid w:val="5577F8E1"/>
    <w:multiLevelType w:val="hybridMultilevel"/>
    <w:lvl w:ilvl="0">
      <w:lvlJc w:val="left"/>
      <w:lvlText w:val="%1."/>
      <w:numFmt w:val="upperLetter"/>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lowerLetter"/>
      <w:start w:val="1"/>
    </w:lvl>
  </w:abstractNum>
  <w:abstractNum w:abstractNumId="30">
    <w:nsid w:val="3804823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2"/>
    </w:lvl>
  </w:abstractNum>
  <w:abstractNum w:abstractNumId="31">
    <w:nsid w:val="77465F0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2">
    <w:nsid w:val="7724C67E"/>
    <w:multiLevelType w:val="hybridMultilevel"/>
    <w:lvl w:ilvl="0">
      <w:lvlJc w:val="left"/>
      <w:lvlText w:val="%1."/>
      <w:numFmt w:val="decimal"/>
      <w:start w:val="4"/>
    </w:lvl>
    <w:lvl w:ilvl="1">
      <w:lvlJc w:val="left"/>
      <w:lvlText w:val="(%2)"/>
      <w:numFmt w:val="lowerLetter"/>
      <w:start w:val="1"/>
    </w:lvl>
  </w:abstractNum>
  <w:abstractNum w:abstractNumId="33">
    <w:nsid w:val="5C482A9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
    <w:nsid w:val="2463B9EA"/>
    <w:multiLevelType w:val="hybridMultilevel"/>
    <w:lvl w:ilvl="0">
      <w:lvlJc w:val="left"/>
      <w:lvlText w:val="%1"/>
      <w:numFmt w:val="lowerLetter"/>
      <w:start w:val="1"/>
    </w:lvl>
    <w:lvl w:ilvl="1">
      <w:lvlJc w:val="left"/>
      <w:lvlText w:val="(%2)"/>
      <w:numFmt w:val="lowerRoman"/>
      <w:start w:val="3"/>
    </w:lvl>
  </w:abstractNum>
  <w:abstractNum w:abstractNumId="35">
    <w:nsid w:val="5E884ADC"/>
    <w:multiLevelType w:val="hybridMultilevel"/>
    <w:lvl w:ilvl="0">
      <w:lvlJc w:val="left"/>
      <w:lvlText w:val="(%1)"/>
      <w:numFmt w:val="lowerLetter"/>
      <w:start w:val="2"/>
    </w:lvl>
    <w:lvl w:ilvl="1">
      <w:lvlJc w:val="left"/>
      <w:lvlText w:val="%2"/>
      <w:numFmt w:val="lowerRoman"/>
      <w:start w:val="1"/>
    </w:lvl>
  </w:abstractNum>
  <w:abstractNum w:abstractNumId="36">
    <w:nsid w:val="51EAD36B"/>
    <w:multiLevelType w:val="hybridMultilevel"/>
    <w:lvl w:ilvl="0">
      <w:lvlJc w:val="left"/>
      <w:lvlText w:val="%1."/>
      <w:numFmt w:val="decimal"/>
      <w:start w:val="7"/>
    </w:lvl>
  </w:abstractNum>
  <w:abstractNum w:abstractNumId="37">
    <w:nsid w:val="2D517796"/>
    <w:multiLevelType w:val="hybridMultilevel"/>
    <w:lvl w:ilvl="0">
      <w:lvlJc w:val="left"/>
      <w:lvlText w:val="%1."/>
      <w:numFmt w:val="decimal"/>
      <w:start w:val="9"/>
    </w:lvl>
    <w:lvl w:ilvl="1">
      <w:lvlJc w:val="left"/>
      <w:lvlText w:val="(%2)"/>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2023-08-08T14:56:20Z</dcterms:created>
  <dcterms:modified xsi:type="dcterms:W3CDTF">2023-08-08T14:56:20Z</dcterms:modified>
</cp:coreProperties>
</file>