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3" w:lineRule="auto"/>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980" w:right="2160" w:hanging="3980"/>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June 30, 2019</w:t>
      </w:r>
    </w:p>
    <w:p>
      <w:pPr>
        <w:spacing w:after="0" w:line="71" w:lineRule="exact"/>
        <w:rPr>
          <w:sz w:val="24"/>
          <w:szCs w:val="24"/>
          <w:color w:val="auto"/>
        </w:rPr>
      </w:pPr>
    </w:p>
    <w:p>
      <w:pPr>
        <w:ind w:left="3060" w:right="2100" w:hanging="3052"/>
        <w:spacing w:after="0" w:line="273" w:lineRule="auto"/>
        <w:tabs>
          <w:tab w:leader="none" w:pos="155"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9"/>
          <w:szCs w:val="19"/>
          <w:color w:val="auto"/>
        </w:rPr>
        <w:t>Commission File Number 1-6659</w:t>
      </w:r>
    </w:p>
    <w:p>
      <w:pPr>
        <w:spacing w:after="0" w:line="167" w:lineRule="exact"/>
        <w:rPr>
          <w:sz w:val="24"/>
          <w:szCs w:val="24"/>
          <w:color w:val="auto"/>
        </w:rPr>
      </w:pPr>
    </w:p>
    <w:p>
      <w:pPr>
        <w:ind w:left="4680"/>
        <w:spacing w:after="0"/>
        <w:rPr>
          <w:sz w:val="20"/>
          <w:szCs w:val="20"/>
          <w:color w:val="auto"/>
        </w:rPr>
      </w:pPr>
      <w:r>
        <w:rPr>
          <w:rFonts w:ascii="Arial" w:cs="Arial" w:eastAsia="Arial" w:hAnsi="Arial"/>
          <w:sz w:val="19"/>
          <w:szCs w:val="19"/>
          <w:b w:val="1"/>
          <w:bCs w:val="1"/>
          <w:u w:val="single" w:color="auto"/>
          <w:color w:val="auto"/>
        </w:rPr>
        <w:t>AQUA AMERICA,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78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4000" w:type="dxa"/>
            <w:vAlign w:val="bottom"/>
            <w:gridSpan w:val="3"/>
          </w:tcPr>
          <w:p>
            <w:pPr>
              <w:jc w:val="center"/>
              <w:ind w:right="3000"/>
              <w:spacing w:after="0"/>
              <w:rPr>
                <w:sz w:val="20"/>
                <w:szCs w:val="20"/>
                <w:color w:val="auto"/>
              </w:rPr>
            </w:pPr>
            <w:r>
              <w:rPr>
                <w:rFonts w:ascii="Arial" w:cs="Arial" w:eastAsia="Arial" w:hAnsi="Arial"/>
                <w:sz w:val="19"/>
                <w:szCs w:val="19"/>
                <w:color w:val="auto"/>
                <w:w w:val="88"/>
              </w:rPr>
              <w:t>Pennsylvania</w:t>
            </w:r>
          </w:p>
        </w:tc>
        <w:tc>
          <w:tcPr>
            <w:tcW w:w="2680" w:type="dxa"/>
            <w:vAlign w:val="bottom"/>
            <w:gridSpan w:val="4"/>
          </w:tcPr>
          <w:p>
            <w:pPr>
              <w:jc w:val="right"/>
              <w:ind w:right="2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520" w:type="dxa"/>
            <w:vAlign w:val="bottom"/>
            <w:gridSpan w:val="4"/>
          </w:tcPr>
          <w:p>
            <w:pPr>
              <w:jc w:val="center"/>
              <w:ind w:right="148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900" w:type="dxa"/>
            <w:vAlign w:val="bottom"/>
            <w:gridSpan w:val="5"/>
          </w:tcPr>
          <w:p>
            <w:pPr>
              <w:jc w:val="center"/>
              <w:ind w:left="1405"/>
              <w:spacing w:after="0" w:line="187" w:lineRule="exact"/>
              <w:rPr>
                <w:sz w:val="20"/>
                <w:szCs w:val="20"/>
                <w:color w:val="auto"/>
              </w:rPr>
            </w:pPr>
            <w:r>
              <w:rPr>
                <w:rFonts w:ascii="Arial" w:cs="Arial" w:eastAsia="Arial" w:hAnsi="Arial"/>
                <w:sz w:val="19"/>
                <w:szCs w:val="19"/>
                <w:color w:val="auto"/>
                <w:w w:val="91"/>
              </w:rPr>
              <w:t>(I.R.S. Employer</w:t>
            </w:r>
          </w:p>
        </w:tc>
      </w:tr>
      <w:tr>
        <w:trPr>
          <w:trHeight w:val="240"/>
        </w:trPr>
        <w:tc>
          <w:tcPr>
            <w:tcW w:w="5520" w:type="dxa"/>
            <w:vAlign w:val="bottom"/>
            <w:gridSpan w:val="4"/>
          </w:tcPr>
          <w:p>
            <w:pPr>
              <w:jc w:val="center"/>
              <w:ind w:right="1480"/>
              <w:spacing w:after="0"/>
              <w:rPr>
                <w:sz w:val="20"/>
                <w:szCs w:val="20"/>
                <w:color w:val="auto"/>
              </w:rPr>
            </w:pPr>
            <w:r>
              <w:rPr>
                <w:rFonts w:ascii="Arial" w:cs="Arial" w:eastAsia="Arial" w:hAnsi="Arial"/>
                <w:sz w:val="19"/>
                <w:szCs w:val="19"/>
                <w:color w:val="auto"/>
                <w:w w:val="92"/>
              </w:rPr>
              <w:t>incorporation or organization)</w:t>
            </w:r>
          </w:p>
        </w:tc>
        <w:tc>
          <w:tcPr>
            <w:tcW w:w="2900" w:type="dxa"/>
            <w:vAlign w:val="bottom"/>
            <w:gridSpan w:val="5"/>
          </w:tcPr>
          <w:p>
            <w:pPr>
              <w:jc w:val="center"/>
              <w:ind w:left="1405"/>
              <w:spacing w:after="0"/>
              <w:rPr>
                <w:sz w:val="20"/>
                <w:szCs w:val="20"/>
                <w:color w:val="auto"/>
              </w:rPr>
            </w:pPr>
            <w:r>
              <w:rPr>
                <w:rFonts w:ascii="Arial" w:cs="Arial" w:eastAsia="Arial" w:hAnsi="Arial"/>
                <w:sz w:val="19"/>
                <w:szCs w:val="19"/>
                <w:color w:val="auto"/>
                <w:w w:val="94"/>
              </w:rPr>
              <w:t>Identification No.)</w:t>
            </w:r>
          </w:p>
        </w:tc>
      </w:tr>
      <w:tr>
        <w:trPr>
          <w:trHeight w:val="363"/>
        </w:trPr>
        <w:tc>
          <w:tcPr>
            <w:tcW w:w="5520" w:type="dxa"/>
            <w:vAlign w:val="bottom"/>
            <w:gridSpan w:val="4"/>
          </w:tcPr>
          <w:p>
            <w:pPr>
              <w:jc w:val="center"/>
              <w:ind w:right="1500"/>
              <w:spacing w:after="0"/>
              <w:rPr>
                <w:sz w:val="20"/>
                <w:szCs w:val="20"/>
                <w:color w:val="auto"/>
              </w:rPr>
            </w:pPr>
            <w:r>
              <w:rPr>
                <w:rFonts w:ascii="Arial" w:cs="Arial" w:eastAsia="Arial" w:hAnsi="Arial"/>
                <w:sz w:val="19"/>
                <w:szCs w:val="19"/>
                <w:color w:val="auto"/>
                <w:w w:val="90"/>
              </w:rPr>
              <w:t>762 W. Lancaster Avenue, Bryn Mawr, Pennsylvania</w:t>
            </w:r>
          </w:p>
        </w:tc>
        <w:tc>
          <w:tcPr>
            <w:tcW w:w="290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34"/>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w w:val="92"/>
              </w:rPr>
              <w:t>(Address of principal executive offices)</w:t>
            </w:r>
          </w:p>
        </w:tc>
        <w:tc>
          <w:tcPr>
            <w:tcW w:w="1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9"/>
                <w:szCs w:val="19"/>
                <w:color w:val="auto"/>
                <w:w w:val="93"/>
              </w:rPr>
              <w:t>(Zip Code)</w:t>
            </w:r>
          </w:p>
        </w:tc>
        <w:tc>
          <w:tcPr>
            <w:tcW w:w="220" w:type="dxa"/>
            <w:vAlign w:val="bottom"/>
          </w:tcPr>
          <w:p>
            <w:pPr>
              <w:spacing w:after="0"/>
              <w:rPr>
                <w:sz w:val="20"/>
                <w:szCs w:val="20"/>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rPr>
          <w:sz w:val="20"/>
          <w:szCs w:val="20"/>
          <w:color w:val="auto"/>
        </w:rPr>
      </w:pPr>
      <w:r>
        <w:rPr>
          <w:rFonts w:ascii="Arial" w:cs="Arial" w:eastAsia="Arial" w:hAnsi="Arial"/>
          <w:sz w:val="19"/>
          <w:szCs w:val="19"/>
          <w:color w:val="auto"/>
        </w:rPr>
        <w:t>(Registrant’s telephone number, including area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87" w:lineRule="exact"/>
        <w:rPr>
          <w:sz w:val="24"/>
          <w:szCs w:val="24"/>
          <w:color w:val="auto"/>
        </w:rPr>
      </w:pPr>
    </w:p>
    <w:p>
      <w:pPr>
        <w:ind w:right="12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6"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6" w:lineRule="exact"/>
        <w:rPr>
          <w:sz w:val="24"/>
          <w:szCs w:val="24"/>
          <w:color w:val="auto"/>
        </w:rPr>
      </w:pPr>
    </w:p>
    <w:p>
      <w:pPr>
        <w:jc w:val="both"/>
        <w:ind w:right="8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18" w:right="239" w:bottom="0" w:gutter="0" w:footer="0" w:header="0"/>
        </w:sectPr>
      </w:pPr>
    </w:p>
    <w:p>
      <w:pPr>
        <w:spacing w:after="0" w:line="160"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860" w:space="720"/>
            <w:col w:w="3840"/>
          </w:cols>
          <w:pgMar w:left="240" w:top="218" w:right="239" w:bottom="0" w:gutter="0" w:footer="0" w:header="0"/>
          <w:type w:val="continuous"/>
        </w:sectPr>
      </w:pPr>
    </w:p>
    <w:p>
      <w:pPr>
        <w:ind w:right="14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9"/>
                <w:szCs w:val="19"/>
                <w:color w:val="auto"/>
              </w:rPr>
            </w:pPr>
          </w:p>
        </w:tc>
        <w:tc>
          <w:tcPr>
            <w:tcW w:w="8000" w:type="dxa"/>
            <w:vAlign w:val="bottom"/>
            <w:gridSpan w:val="5"/>
          </w:tcPr>
          <w:p>
            <w:pPr>
              <w:ind w:left="12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420" w:type="dxa"/>
            <w:vAlign w:val="bottom"/>
          </w:tcPr>
          <w:p>
            <w:pPr>
              <w:jc w:val="center"/>
              <w:ind w:left="725"/>
              <w:spacing w:after="0"/>
              <w:rPr>
                <w:sz w:val="20"/>
                <w:szCs w:val="20"/>
                <w:color w:val="auto"/>
              </w:rPr>
            </w:pPr>
            <w:r>
              <w:rPr>
                <w:rFonts w:ascii="Arial" w:cs="Arial" w:eastAsia="Arial" w:hAnsi="Arial"/>
                <w:sz w:val="19"/>
                <w:szCs w:val="19"/>
                <w:color w:val="auto"/>
                <w:w w:val="89"/>
              </w:rPr>
              <w:t>Title of each class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9"/>
                <w:szCs w:val="19"/>
                <w:color w:val="auto"/>
                <w:w w:val="91"/>
              </w:rPr>
              <w:t>Trading Symbol(s)</w:t>
            </w:r>
          </w:p>
        </w:tc>
        <w:tc>
          <w:tcPr>
            <w:tcW w:w="4600" w:type="dxa"/>
            <w:vAlign w:val="bottom"/>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174"/>
        </w:trPr>
        <w:tc>
          <w:tcPr>
            <w:tcW w:w="3420" w:type="dxa"/>
            <w:vAlign w:val="bottom"/>
            <w:tcBorders>
              <w:top w:val="single" w:sz="8" w:color="auto"/>
            </w:tcBorders>
          </w:tcPr>
          <w:p>
            <w:pPr>
              <w:jc w:val="center"/>
              <w:ind w:left="705"/>
              <w:spacing w:after="0" w:line="173" w:lineRule="exact"/>
              <w:rPr>
                <w:sz w:val="20"/>
                <w:szCs w:val="20"/>
                <w:color w:val="auto"/>
              </w:rPr>
            </w:pPr>
            <w:r>
              <w:rPr>
                <w:rFonts w:ascii="Arial" w:cs="Arial" w:eastAsia="Arial" w:hAnsi="Arial"/>
                <w:sz w:val="19"/>
                <w:szCs w:val="19"/>
                <w:color w:val="auto"/>
                <w:w w:val="90"/>
              </w:rPr>
              <w:t>Common stock, $0.50 par value</w:t>
            </w: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6"/>
              </w:rPr>
              <w:t>WTR</w:t>
            </w:r>
          </w:p>
        </w:tc>
        <w:tc>
          <w:tcPr>
            <w:tcW w:w="240" w:type="dxa"/>
            <w:vAlign w:val="bottom"/>
          </w:tcPr>
          <w:p>
            <w:pPr>
              <w:spacing w:after="0"/>
              <w:rPr>
                <w:sz w:val="15"/>
                <w:szCs w:val="15"/>
                <w:color w:val="auto"/>
              </w:rPr>
            </w:pPr>
          </w:p>
        </w:tc>
        <w:tc>
          <w:tcPr>
            <w:tcW w:w="46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0"/>
              </w:rPr>
              <w:t>New York Stock Exchange</w:t>
            </w:r>
          </w:p>
        </w:tc>
      </w:tr>
      <w:tr>
        <w:trPr>
          <w:trHeight w:val="240"/>
        </w:trPr>
        <w:tc>
          <w:tcPr>
            <w:tcW w:w="3420" w:type="dxa"/>
            <w:vAlign w:val="bottom"/>
          </w:tcPr>
          <w:p>
            <w:pPr>
              <w:jc w:val="center"/>
              <w:ind w:left="725"/>
              <w:spacing w:after="0"/>
              <w:rPr>
                <w:sz w:val="20"/>
                <w:szCs w:val="20"/>
                <w:color w:val="auto"/>
              </w:rPr>
            </w:pPr>
            <w:r>
              <w:rPr>
                <w:rFonts w:ascii="Arial" w:cs="Arial" w:eastAsia="Arial" w:hAnsi="Arial"/>
                <w:sz w:val="19"/>
                <w:szCs w:val="19"/>
                <w:color w:val="auto"/>
                <w:w w:val="92"/>
              </w:rPr>
              <w:t>6.00% Tangible Equity Units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9"/>
                <w:szCs w:val="19"/>
                <w:color w:val="auto"/>
                <w:w w:val="98"/>
              </w:rPr>
              <w:t>WTRU</w:t>
            </w:r>
          </w:p>
        </w:tc>
        <w:tc>
          <w:tcPr>
            <w:tcW w:w="4600" w:type="dxa"/>
            <w:vAlign w:val="bottom"/>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165"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July 24, 2019: 215,776,908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rFonts w:ascii="Arial" w:cs="Arial" w:eastAsia="Arial" w:hAnsi="Arial"/>
          <w:sz w:val="22"/>
          <w:szCs w:val="22"/>
          <w:color w:val="0563C1"/>
        </w:rPr>
      </w:pPr>
      <w:hyperlink w:anchor="page1">
        <w:r>
          <w:rPr>
            <w:rFonts w:ascii="Arial" w:cs="Arial" w:eastAsia="Arial" w:hAnsi="Arial"/>
            <w:sz w:val="22"/>
            <w:szCs w:val="22"/>
            <w:color w:val="0563C1"/>
          </w:rPr>
          <w:t>Table of Contents</w:t>
        </w:r>
      </w:hyperlink>
    </w:p>
    <w:tbl>
      <w:tblPr>
        <w:tblLayout w:type="fixed"/>
        <w:tblInd w:w="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880" w:type="dxa"/>
            <w:vAlign w:val="bottom"/>
            <w:tcBorders>
              <w:top w:val="single" w:sz="8" w:color="0563C1"/>
            </w:tcBorders>
          </w:tcPr>
          <w:p>
            <w:pPr>
              <w:spacing w:after="0"/>
              <w:rPr>
                <w:sz w:val="24"/>
                <w:szCs w:val="24"/>
                <w:color w:val="auto"/>
              </w:rPr>
            </w:pPr>
          </w:p>
        </w:tc>
        <w:tc>
          <w:tcPr>
            <w:tcW w:w="1060" w:type="dxa"/>
            <w:vAlign w:val="bottom"/>
          </w:tcPr>
          <w:p>
            <w:pPr>
              <w:spacing w:after="0"/>
              <w:rPr>
                <w:sz w:val="24"/>
                <w:szCs w:val="24"/>
                <w:color w:val="auto"/>
              </w:rPr>
            </w:pPr>
          </w:p>
        </w:tc>
        <w:tc>
          <w:tcPr>
            <w:tcW w:w="6820" w:type="dxa"/>
            <w:vAlign w:val="bottom"/>
            <w:gridSpan w:val="4"/>
          </w:tcPr>
          <w:p>
            <w:pPr>
              <w:jc w:val="center"/>
              <w:ind w:right="600"/>
              <w:spacing w:after="0"/>
              <w:rPr>
                <w:sz w:val="20"/>
                <w:szCs w:val="20"/>
                <w:color w:val="auto"/>
              </w:rPr>
            </w:pPr>
            <w:r>
              <w:rPr>
                <w:rFonts w:ascii="Arial" w:cs="Arial" w:eastAsia="Arial" w:hAnsi="Arial"/>
                <w:sz w:val="22"/>
                <w:szCs w:val="22"/>
                <w:color w:val="auto"/>
                <w:w w:val="97"/>
              </w:rPr>
              <w:t>AQUA AMERICA, INC. AND SUBSIDIARIES</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0" w:type="dxa"/>
            <w:vAlign w:val="bottom"/>
            <w:gridSpan w:val="3"/>
          </w:tcPr>
          <w:p>
            <w:pPr>
              <w:jc w:val="center"/>
              <w:ind w:right="2420"/>
              <w:spacing w:after="0"/>
              <w:rPr>
                <w:sz w:val="20"/>
                <w:szCs w:val="20"/>
                <w:color w:val="auto"/>
              </w:rPr>
            </w:pPr>
            <w:r>
              <w:rPr>
                <w:rFonts w:ascii="Arial" w:cs="Arial" w:eastAsia="Arial" w:hAnsi="Arial"/>
                <w:sz w:val="22"/>
                <w:szCs w:val="22"/>
                <w:color w:val="auto"/>
                <w:w w:val="93"/>
              </w:rPr>
              <w:t>TABLE OF CONTENTS</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gridSpan w:val="3"/>
          </w:tcPr>
          <w:p>
            <w:pPr>
              <w:jc w:val="right"/>
              <w:ind w:right="20"/>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20" w:type="dxa"/>
            <w:vAlign w:val="bottom"/>
            <w:gridSpan w:val="4"/>
            <w:shd w:val="clear" w:color="auto" w:fill="CCEEFF"/>
          </w:tcPr>
          <w:p>
            <w:pPr>
              <w:jc w:val="center"/>
              <w:ind w:right="600"/>
              <w:spacing w:after="0" w:line="203" w:lineRule="exact"/>
              <w:rPr>
                <w:rFonts w:ascii="Arial" w:cs="Arial" w:eastAsia="Arial" w:hAnsi="Arial"/>
                <w:sz w:val="22"/>
                <w:szCs w:val="22"/>
                <w:color w:val="0563C1"/>
                <w:w w:val="91"/>
              </w:rPr>
            </w:pPr>
            <w:hyperlink w:anchor="page2">
              <w:r>
                <w:rPr>
                  <w:rFonts w:ascii="Arial" w:cs="Arial" w:eastAsia="Arial" w:hAnsi="Arial"/>
                  <w:sz w:val="22"/>
                  <w:szCs w:val="22"/>
                  <w:color w:val="0563C1"/>
                  <w:w w:val="91"/>
                </w:rPr>
                <w:t>Part I – Financial Information</w:t>
              </w:r>
            </w:hyperlink>
          </w:p>
        </w:tc>
        <w:tc>
          <w:tcPr>
            <w:tcW w:w="15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2580" w:type="dxa"/>
            <w:vAlign w:val="bottom"/>
            <w:tcBorders>
              <w:top w:val="single" w:sz="8" w:color="0563C1"/>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gridSpan w:val="7"/>
            <w:shd w:val="clear" w:color="auto" w:fill="CCEEFF"/>
          </w:tcPr>
          <w:p>
            <w:pPr>
              <w:spacing w:after="0" w:line="203" w:lineRule="exact"/>
              <w:rPr>
                <w:rFonts w:ascii="Arial" w:cs="Arial" w:eastAsia="Arial" w:hAnsi="Arial"/>
                <w:sz w:val="22"/>
                <w:szCs w:val="22"/>
                <w:color w:val="0563C1"/>
              </w:rPr>
            </w:pPr>
            <w:hyperlink w:anchor="page2">
              <w:r>
                <w:rPr>
                  <w:rFonts w:ascii="Arial" w:cs="Arial" w:eastAsia="Arial" w:hAnsi="Arial"/>
                  <w:sz w:val="22"/>
                  <w:szCs w:val="22"/>
                  <w:color w:val="0563C1"/>
                </w:rPr>
                <w:t>Item 1. Financial Statements:</w:t>
              </w:r>
            </w:hyperlink>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880" w:type="dxa"/>
            <w:vAlign w:val="bottom"/>
            <w:tcBorders>
              <w:top w:val="single" w:sz="8" w:color="0563C1"/>
            </w:tcBorders>
          </w:tcPr>
          <w:p>
            <w:pPr>
              <w:spacing w:after="0"/>
              <w:rPr>
                <w:sz w:val="19"/>
                <w:szCs w:val="19"/>
                <w:color w:val="auto"/>
              </w:rPr>
            </w:pPr>
          </w:p>
        </w:tc>
        <w:tc>
          <w:tcPr>
            <w:tcW w:w="1060" w:type="dxa"/>
            <w:vAlign w:val="bottom"/>
            <w:tcBorders>
              <w:top w:val="single" w:sz="8" w:color="0563C1"/>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25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gridSpan w:val="7"/>
            <w:shd w:val="clear" w:color="auto" w:fill="CCEEFF"/>
          </w:tcPr>
          <w:p>
            <w:pPr>
              <w:ind w:left="640"/>
              <w:spacing w:after="0" w:line="203" w:lineRule="exact"/>
              <w:rPr>
                <w:rFonts w:ascii="Arial" w:cs="Arial" w:eastAsia="Arial" w:hAnsi="Arial"/>
                <w:sz w:val="22"/>
                <w:szCs w:val="22"/>
                <w:color w:val="0563C1"/>
              </w:rPr>
            </w:pPr>
            <w:hyperlink w:anchor="page2">
              <w:r>
                <w:rPr>
                  <w:rFonts w:ascii="Arial" w:cs="Arial" w:eastAsia="Arial" w:hAnsi="Arial"/>
                  <w:sz w:val="22"/>
                  <w:szCs w:val="22"/>
                  <w:color w:val="0563C1"/>
                </w:rPr>
                <w:t>Consolidated Balance Sheets (unaudited) – June 30, 2019 and December 31, 2018</w:t>
              </w:r>
            </w:hyperlink>
          </w:p>
        </w:tc>
        <w:tc>
          <w:tcPr>
            <w:tcW w:w="20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1820" w:type="dxa"/>
            <w:vAlign w:val="bottom"/>
            <w:shd w:val="clear" w:color="auto" w:fill="0563C1"/>
          </w:tcPr>
          <w:p>
            <w:pPr>
              <w:spacing w:after="0"/>
              <w:rPr>
                <w:sz w:val="2"/>
                <w:szCs w:val="2"/>
                <w:color w:val="auto"/>
              </w:rPr>
            </w:pPr>
          </w:p>
        </w:tc>
        <w:tc>
          <w:tcPr>
            <w:tcW w:w="258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18"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800" w:type="dxa"/>
            <w:vAlign w:val="bottom"/>
            <w:gridSpan w:val="27"/>
            <w:shd w:val="clear" w:color="auto" w:fill="CCEEFF"/>
          </w:tcPr>
          <w:p>
            <w:pPr>
              <w:ind w:left="20"/>
              <w:spacing w:after="0"/>
              <w:rPr>
                <w:rFonts w:ascii="Arial" w:cs="Arial" w:eastAsia="Arial" w:hAnsi="Arial"/>
                <w:sz w:val="22"/>
                <w:szCs w:val="22"/>
                <w:color w:val="0563C1"/>
                <w:w w:val="96"/>
              </w:rPr>
            </w:pPr>
            <w:hyperlink w:anchor="page3">
              <w:r>
                <w:rPr>
                  <w:rFonts w:ascii="Arial" w:cs="Arial" w:eastAsia="Arial" w:hAnsi="Arial"/>
                  <w:sz w:val="22"/>
                  <w:szCs w:val="22"/>
                  <w:color w:val="0563C1"/>
                  <w:w w:val="96"/>
                </w:rPr>
                <w:t>Consolidated Statements of Operations and Comprehensive Income (unaudited) –</w:t>
              </w:r>
            </w:hyperlink>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800" w:type="dxa"/>
            <w:vAlign w:val="bottom"/>
            <w:tcBorders>
              <w:top w:val="single" w:sz="8" w:color="0563C1"/>
            </w:tcBorders>
            <w:gridSpan w:val="24"/>
            <w:shd w:val="clear" w:color="auto" w:fill="CCEEFF"/>
          </w:tcPr>
          <w:p>
            <w:pPr>
              <w:ind w:left="60"/>
              <w:spacing w:after="0" w:line="209" w:lineRule="exact"/>
              <w:rPr>
                <w:rFonts w:ascii="Arial" w:cs="Arial" w:eastAsia="Arial" w:hAnsi="Arial"/>
                <w:sz w:val="22"/>
                <w:szCs w:val="22"/>
                <w:color w:val="0563C1"/>
              </w:rPr>
            </w:pPr>
            <w:hyperlink w:anchor="page3">
              <w:r>
                <w:rPr>
                  <w:rFonts w:ascii="Arial" w:cs="Arial" w:eastAsia="Arial" w:hAnsi="Arial"/>
                  <w:sz w:val="22"/>
                  <w:szCs w:val="22"/>
                  <w:color w:val="0563C1"/>
                </w:rPr>
                <w:t>Three Months Ended June 30, 2019 and 2018</w:t>
              </w:r>
            </w:hyperlink>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0" w:type="dxa"/>
            <w:vAlign w:val="bottom"/>
            <w:gridSpan w:val="27"/>
            <w:shd w:val="clear" w:color="auto" w:fill="CCEEFF"/>
          </w:tcPr>
          <w:p>
            <w:pPr>
              <w:ind w:left="20"/>
              <w:spacing w:after="0" w:line="203" w:lineRule="exact"/>
              <w:rPr>
                <w:rFonts w:ascii="Arial" w:cs="Arial" w:eastAsia="Arial" w:hAnsi="Arial"/>
                <w:sz w:val="22"/>
                <w:szCs w:val="22"/>
                <w:color w:val="0563C1"/>
                <w:w w:val="96"/>
              </w:rPr>
            </w:pPr>
            <w:hyperlink w:anchor="page4">
              <w:r>
                <w:rPr>
                  <w:rFonts w:ascii="Arial" w:cs="Arial" w:eastAsia="Arial" w:hAnsi="Arial"/>
                  <w:sz w:val="22"/>
                  <w:szCs w:val="22"/>
                  <w:color w:val="0563C1"/>
                  <w:w w:val="96"/>
                </w:rPr>
                <w:t>Consolidated Statements of Operations and Comprehensive Income (unaudited) –</w:t>
              </w:r>
            </w:hyperlink>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3"/>
            <w:shd w:val="clear" w:color="auto" w:fill="CCEEFF"/>
          </w:tcPr>
          <w:p>
            <w:pPr>
              <w:ind w:left="60"/>
              <w:spacing w:after="0" w:line="209" w:lineRule="exact"/>
              <w:rPr>
                <w:rFonts w:ascii="Arial" w:cs="Arial" w:eastAsia="Arial" w:hAnsi="Arial"/>
                <w:sz w:val="22"/>
                <w:szCs w:val="22"/>
                <w:color w:val="0563C1"/>
              </w:rPr>
            </w:pPr>
            <w:hyperlink w:anchor="page4">
              <w:r>
                <w:rPr>
                  <w:rFonts w:ascii="Arial" w:cs="Arial" w:eastAsia="Arial" w:hAnsi="Arial"/>
                  <w:sz w:val="22"/>
                  <w:szCs w:val="22"/>
                  <w:color w:val="0563C1"/>
                </w:rPr>
                <w:t>Six Months Ended June 30, 2019 and 2018</w:t>
              </w:r>
            </w:hyperlink>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0" w:type="dxa"/>
            <w:vAlign w:val="bottom"/>
            <w:gridSpan w:val="27"/>
            <w:shd w:val="clear" w:color="auto" w:fill="CCEEFF"/>
          </w:tcPr>
          <w:p>
            <w:pPr>
              <w:ind w:left="20"/>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Capitalization (unaudited) –</w:t>
              </w:r>
            </w:hyperlink>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tcBorders>
            <w:gridSpan w:val="20"/>
            <w:shd w:val="clear" w:color="auto" w:fill="CCEEFF"/>
          </w:tcPr>
          <w:p>
            <w:pPr>
              <w:ind w:left="60"/>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June 30, 2019 and December 31, 2018</w:t>
              </w:r>
            </w:hyperlink>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0" w:type="dxa"/>
            <w:vAlign w:val="bottom"/>
            <w:gridSpan w:val="27"/>
            <w:shd w:val="clear" w:color="auto" w:fill="CCEEFF"/>
          </w:tcPr>
          <w:p>
            <w:pPr>
              <w:ind w:left="20"/>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Equity (unaudited) –</w:t>
              </w:r>
            </w:hyperlink>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3960" w:type="dxa"/>
            <w:vAlign w:val="bottom"/>
            <w:tcBorders>
              <w:top w:val="single" w:sz="8" w:color="0563C1"/>
            </w:tcBorders>
            <w:gridSpan w:val="15"/>
            <w:shd w:val="clear" w:color="auto" w:fill="CCEEFF"/>
          </w:tcPr>
          <w:p>
            <w:pPr>
              <w:ind w:left="60"/>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Six Months Ended June 30, 2019</w:t>
              </w:r>
            </w:hyperlink>
          </w:p>
        </w:tc>
        <w:tc>
          <w:tcPr>
            <w:tcW w:w="3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0" w:type="dxa"/>
            <w:vAlign w:val="bottom"/>
            <w:gridSpan w:val="27"/>
            <w:shd w:val="clear" w:color="auto" w:fill="CCEEFF"/>
          </w:tcPr>
          <w:p>
            <w:pPr>
              <w:ind w:left="20"/>
              <w:spacing w:after="0" w:line="203" w:lineRule="exact"/>
              <w:rPr>
                <w:rFonts w:ascii="Arial" w:cs="Arial" w:eastAsia="Arial" w:hAnsi="Arial"/>
                <w:sz w:val="22"/>
                <w:szCs w:val="22"/>
                <w:color w:val="0563C1"/>
              </w:rPr>
            </w:pPr>
            <w:hyperlink w:anchor="page6">
              <w:r>
                <w:rPr>
                  <w:rFonts w:ascii="Arial" w:cs="Arial" w:eastAsia="Arial" w:hAnsi="Arial"/>
                  <w:sz w:val="22"/>
                  <w:szCs w:val="22"/>
                  <w:color w:val="0563C1"/>
                </w:rPr>
                <w:t>Consolidated Statements of Equity (unaudited) –</w:t>
              </w:r>
            </w:hyperlink>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900" w:type="dxa"/>
            <w:vAlign w:val="bottom"/>
            <w:tcBorders>
              <w:top w:val="single" w:sz="8" w:color="0563C1"/>
            </w:tcBorders>
            <w:gridSpan w:val="14"/>
            <w:shd w:val="clear" w:color="auto" w:fill="CCEEFF"/>
          </w:tcPr>
          <w:p>
            <w:pPr>
              <w:ind w:left="60"/>
              <w:spacing w:after="0" w:line="209" w:lineRule="exact"/>
              <w:rPr>
                <w:rFonts w:ascii="Arial" w:cs="Arial" w:eastAsia="Arial" w:hAnsi="Arial"/>
                <w:sz w:val="22"/>
                <w:szCs w:val="22"/>
                <w:color w:val="0563C1"/>
              </w:rPr>
            </w:pPr>
            <w:hyperlink w:anchor="page6">
              <w:r>
                <w:rPr>
                  <w:rFonts w:ascii="Arial" w:cs="Arial" w:eastAsia="Arial" w:hAnsi="Arial"/>
                  <w:sz w:val="22"/>
                  <w:szCs w:val="22"/>
                  <w:color w:val="0563C1"/>
                </w:rPr>
                <w:t>Six Months Ended June 30, 2018</w:t>
              </w:r>
            </w:hyperlink>
          </w:p>
        </w:tc>
        <w:tc>
          <w:tcPr>
            <w:tcW w:w="3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0" w:type="dxa"/>
            <w:vAlign w:val="bottom"/>
            <w:gridSpan w:val="27"/>
            <w:shd w:val="clear" w:color="auto" w:fill="CCEEFF"/>
          </w:tcPr>
          <w:p>
            <w:pPr>
              <w:ind w:left="20"/>
              <w:spacing w:after="0" w:line="203" w:lineRule="exact"/>
              <w:rPr>
                <w:rFonts w:ascii="Arial" w:cs="Arial" w:eastAsia="Arial" w:hAnsi="Arial"/>
                <w:sz w:val="22"/>
                <w:szCs w:val="22"/>
                <w:color w:val="0563C1"/>
              </w:rPr>
            </w:pPr>
            <w:hyperlink w:anchor="page6">
              <w:r>
                <w:rPr>
                  <w:rFonts w:ascii="Arial" w:cs="Arial" w:eastAsia="Arial" w:hAnsi="Arial"/>
                  <w:sz w:val="22"/>
                  <w:szCs w:val="22"/>
                  <w:color w:val="0563C1"/>
                </w:rPr>
                <w:t>Consolidated Statements of Cash Flow (unaudited) –</w:t>
              </w:r>
            </w:hyperlink>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4300" w:type="dxa"/>
            <w:vAlign w:val="bottom"/>
            <w:tcBorders>
              <w:top w:val="single" w:sz="8" w:color="0563C1"/>
            </w:tcBorders>
            <w:gridSpan w:val="17"/>
            <w:shd w:val="clear" w:color="auto" w:fill="CCEEFF"/>
          </w:tcPr>
          <w:p>
            <w:pPr>
              <w:ind w:left="60"/>
              <w:spacing w:after="0" w:line="209" w:lineRule="exact"/>
              <w:rPr>
                <w:rFonts w:ascii="Arial" w:cs="Arial" w:eastAsia="Arial" w:hAnsi="Arial"/>
                <w:sz w:val="22"/>
                <w:szCs w:val="22"/>
                <w:color w:val="0563C1"/>
              </w:rPr>
            </w:pPr>
            <w:hyperlink w:anchor="page6">
              <w:r>
                <w:rPr>
                  <w:rFonts w:ascii="Arial" w:cs="Arial" w:eastAsia="Arial" w:hAnsi="Arial"/>
                  <w:sz w:val="22"/>
                  <w:szCs w:val="22"/>
                  <w:color w:val="0563C1"/>
                </w:rPr>
                <w:t>Six Months Ended June 30, 2019 and 2018</w:t>
              </w:r>
            </w:hyperlink>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0" w:type="dxa"/>
            <w:vAlign w:val="bottom"/>
            <w:gridSpan w:val="27"/>
            <w:shd w:val="clear" w:color="auto" w:fill="CCEEFF"/>
          </w:tcPr>
          <w:p>
            <w:pPr>
              <w:ind w:left="20"/>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Notes to Consolidated Financial Statements (unaudited)</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CCEEFF"/>
            </w:tcBorders>
            <w:gridSpan w:val="2"/>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20" w:type="dxa"/>
            <w:vAlign w:val="bottom"/>
            <w:gridSpan w:val="28"/>
            <w:shd w:val="clear" w:color="auto" w:fill="CCEEFF"/>
          </w:tcPr>
          <w:p>
            <w:pPr>
              <w:spacing w:after="0" w:line="203" w:lineRule="exact"/>
              <w:rPr>
                <w:rFonts w:ascii="Arial" w:cs="Arial" w:eastAsia="Arial" w:hAnsi="Arial"/>
                <w:sz w:val="22"/>
                <w:szCs w:val="22"/>
                <w:color w:val="0563C1"/>
              </w:rPr>
            </w:pPr>
            <w:hyperlink w:anchor="page24">
              <w:r>
                <w:rPr>
                  <w:rFonts w:ascii="Arial" w:cs="Arial" w:eastAsia="Arial" w:hAnsi="Arial"/>
                  <w:sz w:val="22"/>
                  <w:szCs w:val="22"/>
                  <w:color w:val="0563C1"/>
                </w:rPr>
                <w:t>Item 2. Management’s Discussion and Analysis of Financial</w:t>
              </w:r>
            </w:hyperlink>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Borders>
              <w:top w:val="single" w:sz="8" w:color="0563C1"/>
            </w:tcBorders>
            <w:shd w:val="clear" w:color="auto" w:fill="CCEEFF"/>
          </w:tcPr>
          <w:p>
            <w:pPr>
              <w:spacing w:after="0"/>
              <w:rPr>
                <w:sz w:val="18"/>
                <w:szCs w:val="18"/>
                <w:color w:val="auto"/>
              </w:rPr>
            </w:pPr>
          </w:p>
        </w:tc>
        <w:tc>
          <w:tcPr>
            <w:tcW w:w="4640" w:type="dxa"/>
            <w:vAlign w:val="bottom"/>
            <w:tcBorders>
              <w:top w:val="single" w:sz="8" w:color="0563C1"/>
            </w:tcBorders>
            <w:gridSpan w:val="20"/>
            <w:shd w:val="clear" w:color="auto" w:fill="CCEEFF"/>
          </w:tcPr>
          <w:p>
            <w:pPr>
              <w:ind w:left="20"/>
              <w:spacing w:after="0" w:line="209" w:lineRule="exact"/>
              <w:rPr>
                <w:rFonts w:ascii="Arial" w:cs="Arial" w:eastAsia="Arial" w:hAnsi="Arial"/>
                <w:sz w:val="22"/>
                <w:szCs w:val="22"/>
                <w:color w:val="0563C1"/>
              </w:rPr>
            </w:pPr>
            <w:hyperlink w:anchor="page24">
              <w:r>
                <w:rPr>
                  <w:rFonts w:ascii="Arial" w:cs="Arial" w:eastAsia="Arial" w:hAnsi="Arial"/>
                  <w:sz w:val="22"/>
                  <w:szCs w:val="22"/>
                  <w:color w:val="0563C1"/>
                </w:rPr>
                <w:t>Condition and Results of Operations</w:t>
              </w:r>
            </w:hyperlink>
          </w:p>
        </w:tc>
        <w:tc>
          <w:tcPr>
            <w:tcW w:w="66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line="203" w:lineRule="exact"/>
              <w:rPr>
                <w:rFonts w:ascii="Arial" w:cs="Arial" w:eastAsia="Arial" w:hAnsi="Arial"/>
                <w:sz w:val="22"/>
                <w:szCs w:val="22"/>
                <w:color w:val="0563C1"/>
                <w:w w:val="89"/>
              </w:rPr>
            </w:pPr>
            <w:hyperlink w:anchor="page29">
              <w:r>
                <w:rPr>
                  <w:rFonts w:ascii="Arial" w:cs="Arial" w:eastAsia="Arial" w:hAnsi="Arial"/>
                  <w:sz w:val="22"/>
                  <w:szCs w:val="22"/>
                  <w:color w:val="0563C1"/>
                  <w:w w:val="89"/>
                </w:rPr>
                <w:t>Item 3.</w:t>
              </w:r>
            </w:hyperlink>
          </w:p>
        </w:tc>
        <w:tc>
          <w:tcPr>
            <w:tcW w:w="20" w:type="dxa"/>
            <w:vAlign w:val="bottom"/>
            <w:shd w:val="clear" w:color="auto" w:fill="CCEEFF"/>
          </w:tcPr>
          <w:p>
            <w:pPr>
              <w:spacing w:after="0"/>
              <w:rPr>
                <w:sz w:val="18"/>
                <w:szCs w:val="18"/>
                <w:color w:val="auto"/>
              </w:rPr>
            </w:pPr>
          </w:p>
        </w:tc>
        <w:tc>
          <w:tcPr>
            <w:tcW w:w="7780" w:type="dxa"/>
            <w:vAlign w:val="bottom"/>
            <w:gridSpan w:val="26"/>
            <w:shd w:val="clear" w:color="auto" w:fill="CCEEFF"/>
          </w:tcPr>
          <w:p>
            <w:pPr>
              <w:ind w:left="60"/>
              <w:spacing w:after="0" w:line="203" w:lineRule="exact"/>
              <w:rPr>
                <w:rFonts w:ascii="Arial" w:cs="Arial" w:eastAsia="Arial" w:hAnsi="Arial"/>
                <w:sz w:val="22"/>
                <w:szCs w:val="22"/>
                <w:color w:val="0563C1"/>
              </w:rPr>
            </w:pPr>
            <w:hyperlink w:anchor="page29">
              <w:r>
                <w:rPr>
                  <w:rFonts w:ascii="Arial" w:cs="Arial" w:eastAsia="Arial" w:hAnsi="Arial"/>
                  <w:sz w:val="22"/>
                  <w:szCs w:val="22"/>
                  <w:color w:val="0563C1"/>
                </w:rPr>
                <w:t>Quantitative and Qualitative Disclosures About Market Risk</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line="203" w:lineRule="exact"/>
              <w:rPr>
                <w:rFonts w:ascii="Arial" w:cs="Arial" w:eastAsia="Arial" w:hAnsi="Arial"/>
                <w:sz w:val="22"/>
                <w:szCs w:val="22"/>
                <w:color w:val="0563C1"/>
                <w:w w:val="89"/>
              </w:rPr>
            </w:pPr>
            <w:hyperlink w:anchor="page29">
              <w:r>
                <w:rPr>
                  <w:rFonts w:ascii="Arial" w:cs="Arial" w:eastAsia="Arial" w:hAnsi="Arial"/>
                  <w:sz w:val="22"/>
                  <w:szCs w:val="22"/>
                  <w:color w:val="0563C1"/>
                  <w:w w:val="89"/>
                </w:rPr>
                <w:t>Item 4.</w:t>
              </w:r>
            </w:hyperlink>
          </w:p>
        </w:tc>
        <w:tc>
          <w:tcPr>
            <w:tcW w:w="20" w:type="dxa"/>
            <w:vAlign w:val="bottom"/>
            <w:shd w:val="clear" w:color="auto" w:fill="CCEEFF"/>
          </w:tcPr>
          <w:p>
            <w:pPr>
              <w:spacing w:after="0"/>
              <w:rPr>
                <w:sz w:val="18"/>
                <w:szCs w:val="18"/>
                <w:color w:val="auto"/>
              </w:rPr>
            </w:pPr>
          </w:p>
        </w:tc>
        <w:tc>
          <w:tcPr>
            <w:tcW w:w="7780" w:type="dxa"/>
            <w:vAlign w:val="bottom"/>
            <w:gridSpan w:val="26"/>
            <w:shd w:val="clear" w:color="auto" w:fill="CCEEFF"/>
          </w:tcPr>
          <w:p>
            <w:pPr>
              <w:ind w:left="60"/>
              <w:spacing w:after="0" w:line="203" w:lineRule="exact"/>
              <w:rPr>
                <w:rFonts w:ascii="Arial" w:cs="Arial" w:eastAsia="Arial" w:hAnsi="Arial"/>
                <w:sz w:val="22"/>
                <w:szCs w:val="22"/>
                <w:color w:val="0563C1"/>
              </w:rPr>
            </w:pPr>
            <w:hyperlink w:anchor="page29">
              <w:r>
                <w:rPr>
                  <w:rFonts w:ascii="Arial" w:cs="Arial" w:eastAsia="Arial" w:hAnsi="Arial"/>
                  <w:sz w:val="22"/>
                  <w:szCs w:val="22"/>
                  <w:color w:val="0563C1"/>
                </w:rPr>
                <w:t>Controls and Procedures</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40" w:type="dxa"/>
            <w:vAlign w:val="bottom"/>
            <w:gridSpan w:val="14"/>
            <w:shd w:val="clear" w:color="auto" w:fill="CCEEFF"/>
          </w:tcPr>
          <w:p>
            <w:pPr>
              <w:jc w:val="center"/>
              <w:ind w:right="1320"/>
              <w:spacing w:after="0" w:line="203" w:lineRule="exact"/>
              <w:rPr>
                <w:rFonts w:ascii="Arial" w:cs="Arial" w:eastAsia="Arial" w:hAnsi="Arial"/>
                <w:sz w:val="22"/>
                <w:szCs w:val="22"/>
                <w:color w:val="0563C1"/>
                <w:w w:val="91"/>
              </w:rPr>
            </w:pPr>
            <w:hyperlink w:anchor="page30">
              <w:r>
                <w:rPr>
                  <w:rFonts w:ascii="Arial" w:cs="Arial" w:eastAsia="Arial" w:hAnsi="Arial"/>
                  <w:sz w:val="22"/>
                  <w:szCs w:val="22"/>
                  <w:color w:val="0563C1"/>
                  <w:w w:val="91"/>
                </w:rPr>
                <w:t>Part II – Other Information</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92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line="203" w:lineRule="exact"/>
              <w:rPr>
                <w:rFonts w:ascii="Arial" w:cs="Arial" w:eastAsia="Arial" w:hAnsi="Arial"/>
                <w:sz w:val="22"/>
                <w:szCs w:val="22"/>
                <w:color w:val="0563C1"/>
                <w:w w:val="89"/>
              </w:rPr>
            </w:pPr>
            <w:hyperlink w:anchor="page30">
              <w:r>
                <w:rPr>
                  <w:rFonts w:ascii="Arial" w:cs="Arial" w:eastAsia="Arial" w:hAnsi="Arial"/>
                  <w:sz w:val="22"/>
                  <w:szCs w:val="22"/>
                  <w:color w:val="0563C1"/>
                  <w:w w:val="89"/>
                </w:rPr>
                <w:t>Item 1.</w:t>
              </w:r>
            </w:hyperlink>
          </w:p>
        </w:tc>
        <w:tc>
          <w:tcPr>
            <w:tcW w:w="20" w:type="dxa"/>
            <w:vAlign w:val="bottom"/>
            <w:shd w:val="clear" w:color="auto" w:fill="CCEEFF"/>
          </w:tcPr>
          <w:p>
            <w:pPr>
              <w:spacing w:after="0"/>
              <w:rPr>
                <w:sz w:val="18"/>
                <w:szCs w:val="18"/>
                <w:color w:val="auto"/>
              </w:rPr>
            </w:pPr>
          </w:p>
        </w:tc>
        <w:tc>
          <w:tcPr>
            <w:tcW w:w="7780" w:type="dxa"/>
            <w:vAlign w:val="bottom"/>
            <w:gridSpan w:val="26"/>
            <w:shd w:val="clear" w:color="auto" w:fill="CCEEFF"/>
          </w:tcPr>
          <w:p>
            <w:pPr>
              <w:ind w:left="60"/>
              <w:spacing w:after="0" w:line="203" w:lineRule="exact"/>
              <w:rPr>
                <w:rFonts w:ascii="Arial" w:cs="Arial" w:eastAsia="Arial" w:hAnsi="Arial"/>
                <w:sz w:val="22"/>
                <w:szCs w:val="22"/>
                <w:color w:val="0563C1"/>
              </w:rPr>
            </w:pPr>
            <w:hyperlink w:anchor="page30">
              <w:r>
                <w:rPr>
                  <w:rFonts w:ascii="Arial" w:cs="Arial" w:eastAsia="Arial" w:hAnsi="Arial"/>
                  <w:sz w:val="22"/>
                  <w:szCs w:val="22"/>
                  <w:color w:val="0563C1"/>
                </w:rPr>
                <w:t>Legal Proceedings</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0563C1"/>
            </w:tcBorders>
            <w:gridSpan w:val="2"/>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28"/>
            <w:shd w:val="clear" w:color="auto" w:fill="CCEEFF"/>
          </w:tcPr>
          <w:p>
            <w:pPr>
              <w:spacing w:after="0" w:line="203" w:lineRule="exact"/>
              <w:rPr>
                <w:rFonts w:ascii="Arial" w:cs="Arial" w:eastAsia="Arial" w:hAnsi="Arial"/>
                <w:sz w:val="22"/>
                <w:szCs w:val="22"/>
                <w:color w:val="0563C1"/>
              </w:rPr>
            </w:pPr>
            <w:hyperlink w:anchor="page30">
              <w:r>
                <w:rPr>
                  <w:rFonts w:ascii="Arial" w:cs="Arial" w:eastAsia="Arial" w:hAnsi="Arial"/>
                  <w:sz w:val="22"/>
                  <w:szCs w:val="22"/>
                  <w:color w:val="0563C1"/>
                </w:rPr>
                <w:t>Item 1A. Risk Factors</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line="203" w:lineRule="exact"/>
              <w:rPr>
                <w:rFonts w:ascii="Arial" w:cs="Arial" w:eastAsia="Arial" w:hAnsi="Arial"/>
                <w:sz w:val="22"/>
                <w:szCs w:val="22"/>
                <w:color w:val="0563C1"/>
                <w:w w:val="89"/>
              </w:rPr>
            </w:pPr>
            <w:hyperlink w:anchor="page32">
              <w:r>
                <w:rPr>
                  <w:rFonts w:ascii="Arial" w:cs="Arial" w:eastAsia="Arial" w:hAnsi="Arial"/>
                  <w:sz w:val="22"/>
                  <w:szCs w:val="22"/>
                  <w:color w:val="0563C1"/>
                  <w:w w:val="89"/>
                </w:rPr>
                <w:t>Item 2.</w:t>
              </w:r>
            </w:hyperlink>
          </w:p>
        </w:tc>
        <w:tc>
          <w:tcPr>
            <w:tcW w:w="20" w:type="dxa"/>
            <w:vAlign w:val="bottom"/>
            <w:shd w:val="clear" w:color="auto" w:fill="CCEEFF"/>
          </w:tcPr>
          <w:p>
            <w:pPr>
              <w:spacing w:after="0"/>
              <w:rPr>
                <w:sz w:val="18"/>
                <w:szCs w:val="18"/>
                <w:color w:val="auto"/>
              </w:rPr>
            </w:pPr>
          </w:p>
        </w:tc>
        <w:tc>
          <w:tcPr>
            <w:tcW w:w="7780" w:type="dxa"/>
            <w:vAlign w:val="bottom"/>
            <w:gridSpan w:val="26"/>
            <w:shd w:val="clear" w:color="auto" w:fill="CCEEFF"/>
          </w:tcPr>
          <w:p>
            <w:pPr>
              <w:ind w:left="60"/>
              <w:spacing w:after="0" w:line="203" w:lineRule="exact"/>
              <w:rPr>
                <w:rFonts w:ascii="Arial" w:cs="Arial" w:eastAsia="Arial" w:hAnsi="Arial"/>
                <w:sz w:val="22"/>
                <w:szCs w:val="22"/>
                <w:color w:val="0563C1"/>
              </w:rPr>
            </w:pPr>
            <w:hyperlink w:anchor="page32">
              <w:r>
                <w:rPr>
                  <w:rFonts w:ascii="Arial" w:cs="Arial" w:eastAsia="Arial" w:hAnsi="Arial"/>
                  <w:sz w:val="22"/>
                  <w:szCs w:val="22"/>
                  <w:color w:val="0563C1"/>
                </w:rPr>
                <w:t>Unregistered Sales of Equity Securities and Use of Proceeds</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line="203" w:lineRule="exact"/>
              <w:rPr>
                <w:rFonts w:ascii="Arial" w:cs="Arial" w:eastAsia="Arial" w:hAnsi="Arial"/>
                <w:sz w:val="22"/>
                <w:szCs w:val="22"/>
                <w:color w:val="0563C1"/>
                <w:w w:val="89"/>
              </w:rPr>
            </w:pPr>
            <w:hyperlink w:anchor="page33">
              <w:r>
                <w:rPr>
                  <w:rFonts w:ascii="Arial" w:cs="Arial" w:eastAsia="Arial" w:hAnsi="Arial"/>
                  <w:sz w:val="22"/>
                  <w:szCs w:val="22"/>
                  <w:color w:val="0563C1"/>
                  <w:w w:val="89"/>
                </w:rPr>
                <w:t>Item 6.</w:t>
              </w:r>
            </w:hyperlink>
          </w:p>
        </w:tc>
        <w:tc>
          <w:tcPr>
            <w:tcW w:w="20" w:type="dxa"/>
            <w:vAlign w:val="bottom"/>
            <w:shd w:val="clear" w:color="auto" w:fill="CCEEFF"/>
          </w:tcPr>
          <w:p>
            <w:pPr>
              <w:spacing w:after="0"/>
              <w:rPr>
                <w:sz w:val="18"/>
                <w:szCs w:val="18"/>
                <w:color w:val="auto"/>
              </w:rPr>
            </w:pPr>
          </w:p>
        </w:tc>
        <w:tc>
          <w:tcPr>
            <w:tcW w:w="7780" w:type="dxa"/>
            <w:vAlign w:val="bottom"/>
            <w:gridSpan w:val="26"/>
            <w:shd w:val="clear" w:color="auto" w:fill="CCEEFF"/>
          </w:tcPr>
          <w:p>
            <w:pPr>
              <w:ind w:left="60"/>
              <w:spacing w:after="0" w:line="203" w:lineRule="exact"/>
              <w:rPr>
                <w:rFonts w:ascii="Arial" w:cs="Arial" w:eastAsia="Arial" w:hAnsi="Arial"/>
                <w:sz w:val="22"/>
                <w:szCs w:val="22"/>
                <w:color w:val="0563C1"/>
              </w:rPr>
            </w:pPr>
            <w:hyperlink w:anchor="page33">
              <w:r>
                <w:rPr>
                  <w:rFonts w:ascii="Arial" w:cs="Arial" w:eastAsia="Arial" w:hAnsi="Arial"/>
                  <w:sz w:val="22"/>
                  <w:szCs w:val="22"/>
                  <w:color w:val="0563C1"/>
                </w:rPr>
                <w:t>Exhibits</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0563C1"/>
            </w:tcBorders>
            <w:gridSpan w:val="2"/>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28"/>
            <w:shd w:val="clear" w:color="auto" w:fill="CCEEFF"/>
          </w:tcPr>
          <w:p>
            <w:pPr>
              <w:spacing w:after="0" w:line="203" w:lineRule="exact"/>
              <w:rPr>
                <w:rFonts w:ascii="Arial" w:cs="Arial" w:eastAsia="Arial" w:hAnsi="Arial"/>
                <w:sz w:val="22"/>
                <w:szCs w:val="22"/>
                <w:color w:val="0563C1"/>
              </w:rPr>
            </w:pPr>
            <w:hyperlink w:anchor="page34">
              <w:r>
                <w:rPr>
                  <w:rFonts w:ascii="Arial" w:cs="Arial" w:eastAsia="Arial" w:hAnsi="Arial"/>
                  <w:sz w:val="22"/>
                  <w:szCs w:val="22"/>
                  <w:color w:val="0563C1"/>
                </w:rPr>
                <w:t>Signatures</w:t>
              </w:r>
            </w:hyperlink>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20" w:type="dxa"/>
            <w:vAlign w:val="bottom"/>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gridSpan w:val="2"/>
          </w:tcPr>
          <w:p>
            <w:pPr>
              <w:spacing w:after="0"/>
              <w:rPr>
                <w:sz w:val="24"/>
                <w:szCs w:val="24"/>
                <w:color w:val="auto"/>
              </w:rPr>
            </w:pPr>
          </w:p>
        </w:tc>
        <w:tc>
          <w:tcPr>
            <w:tcW w:w="5020" w:type="dxa"/>
            <w:vAlign w:val="bottom"/>
            <w:tcBorders>
              <w:top w:val="single" w:sz="8" w:color="CCEEFF"/>
            </w:tcBorders>
            <w:gridSpan w:val="21"/>
          </w:tcPr>
          <w:p>
            <w:pPr>
              <w:jc w:val="center"/>
              <w:ind w:left="4452"/>
              <w:spacing w:after="0"/>
              <w:rPr>
                <w:sz w:val="20"/>
                <w:szCs w:val="20"/>
                <w:color w:val="auto"/>
              </w:rPr>
            </w:pPr>
            <w:r>
              <w:rPr>
                <w:rFonts w:ascii="Arial" w:cs="Arial" w:eastAsia="Arial" w:hAnsi="Arial"/>
                <w:sz w:val="22"/>
                <w:szCs w:val="22"/>
                <w:color w:val="auto"/>
                <w:w w:val="81"/>
              </w:rPr>
              <w:t>1</w:t>
            </w: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0" w:type="dxa"/>
            <w:vAlign w:val="bottom"/>
            <w:tcBorders>
              <w:bottom w:val="single" w:sz="8" w:color="9A9A9A"/>
            </w:tcBorders>
            <w:gridSpan w:val="2"/>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440" w:type="dxa"/>
            <w:vAlign w:val="bottom"/>
            <w:gridSpan w:val="29"/>
          </w:tcPr>
          <w:p>
            <w:pPr>
              <w:spacing w:after="0"/>
              <w:rPr>
                <w:rFonts w:ascii="Arial" w:cs="Arial" w:eastAsia="Arial" w:hAnsi="Arial"/>
                <w:sz w:val="22"/>
                <w:szCs w:val="22"/>
                <w:color w:val="0563C1"/>
              </w:rPr>
            </w:pPr>
            <w:hyperlink w:anchor="page1">
              <w:r>
                <w:rPr>
                  <w:rFonts w:ascii="Arial" w:cs="Arial" w:eastAsia="Arial" w:hAnsi="Arial"/>
                  <w:sz w:val="22"/>
                  <w:szCs w:val="22"/>
                  <w:color w:val="0563C1"/>
                </w:rPr>
                <w:t>Table of Contents</w:t>
              </w:r>
            </w:hyperlink>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2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26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400" w:type="dxa"/>
            <w:vAlign w:val="bottom"/>
            <w:tcBorders>
              <w:top w:val="single" w:sz="8" w:color="0563C1"/>
            </w:tcBorders>
          </w:tcPr>
          <w:p>
            <w:pPr>
              <w:spacing w:after="0"/>
              <w:rPr>
                <w:sz w:val="22"/>
                <w:szCs w:val="22"/>
                <w:color w:val="auto"/>
              </w:rPr>
            </w:pPr>
          </w:p>
        </w:tc>
        <w:tc>
          <w:tcPr>
            <w:tcW w:w="100" w:type="dxa"/>
            <w:vAlign w:val="bottom"/>
            <w:tcBorders>
              <w:top w:val="single" w:sz="8" w:color="0563C1"/>
            </w:tcBorders>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580" w:type="dxa"/>
            <w:vAlign w:val="bottom"/>
            <w:gridSpan w:val="18"/>
          </w:tcPr>
          <w:p>
            <w:pPr>
              <w:ind w:left="700"/>
              <w:spacing w:after="0"/>
              <w:rPr>
                <w:sz w:val="20"/>
                <w:szCs w:val="20"/>
                <w:color w:val="auto"/>
              </w:rPr>
            </w:pPr>
            <w:r>
              <w:rPr>
                <w:rFonts w:ascii="Arial" w:cs="Arial" w:eastAsia="Arial" w:hAnsi="Arial"/>
                <w:sz w:val="22"/>
                <w:szCs w:val="22"/>
                <w:color w:val="auto"/>
              </w:rPr>
              <w:t>AQUA AMERICA, INC. AND SUBSIDIARIES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20" w:type="dxa"/>
            <w:vAlign w:val="bottom"/>
            <w:gridSpan w:val="17"/>
          </w:tcPr>
          <w:p>
            <w:pPr>
              <w:jc w:val="center"/>
              <w:ind w:right="900"/>
              <w:spacing w:after="0"/>
              <w:rPr>
                <w:sz w:val="20"/>
                <w:szCs w:val="20"/>
                <w:color w:val="auto"/>
              </w:rPr>
            </w:pPr>
            <w:r>
              <w:rPr>
                <w:rFonts w:ascii="Arial" w:cs="Arial" w:eastAsia="Arial" w:hAnsi="Arial"/>
                <w:sz w:val="22"/>
                <w:szCs w:val="22"/>
                <w:color w:val="auto"/>
                <w:w w:val="94"/>
              </w:rPr>
              <w:t>CONSOLIDATED BALANCE SHEETS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80" w:type="dxa"/>
            <w:vAlign w:val="bottom"/>
            <w:gridSpan w:val="18"/>
          </w:tcPr>
          <w:p>
            <w:pPr>
              <w:jc w:val="center"/>
              <w:spacing w:after="0" w:line="162" w:lineRule="exact"/>
              <w:rPr>
                <w:sz w:val="20"/>
                <w:szCs w:val="20"/>
                <w:color w:val="auto"/>
              </w:rPr>
            </w:pPr>
            <w:r>
              <w:rPr>
                <w:rFonts w:ascii="Arial" w:cs="Arial" w:eastAsia="Arial" w:hAnsi="Arial"/>
                <w:sz w:val="18"/>
                <w:szCs w:val="18"/>
                <w:color w:val="auto"/>
              </w:rPr>
              <w:t>(In thousands of dollars, except per share amounts)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gridSpan w:val="9"/>
          </w:tcPr>
          <w:p>
            <w:pPr>
              <w:jc w:val="center"/>
              <w:ind w:right="1940"/>
              <w:spacing w:after="0"/>
              <w:rPr>
                <w:sz w:val="20"/>
                <w:szCs w:val="20"/>
                <w:color w:val="auto"/>
              </w:rPr>
            </w:pPr>
            <w:r>
              <w:rPr>
                <w:rFonts w:ascii="Arial" w:cs="Arial" w:eastAsia="Arial" w:hAnsi="Arial"/>
                <w:sz w:val="22"/>
                <w:szCs w:val="22"/>
                <w:color w:val="auto"/>
                <w:w w:val="99"/>
              </w:rPr>
              <w:t>(UNAUDITED)</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20" w:type="dxa"/>
            <w:vAlign w:val="bottom"/>
            <w:gridSpan w:val="17"/>
            <w:vMerge w:val="restart"/>
          </w:tcPr>
          <w:p>
            <w:pPr>
              <w:jc w:val="center"/>
              <w:ind w:right="4040"/>
              <w:spacing w:after="0"/>
              <w:rPr>
                <w:sz w:val="20"/>
                <w:szCs w:val="20"/>
                <w:color w:val="auto"/>
              </w:rPr>
            </w:pPr>
            <w:r>
              <w:rPr>
                <w:rFonts w:ascii="Arial" w:cs="Arial" w:eastAsia="Arial" w:hAnsi="Arial"/>
                <w:sz w:val="16"/>
                <w:szCs w:val="16"/>
                <w:color w:val="auto"/>
                <w:w w:val="87"/>
              </w:rPr>
              <w:t>Assets</w:t>
            </w:r>
          </w:p>
        </w:tc>
        <w:tc>
          <w:tcPr>
            <w:tcW w:w="26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6"/>
                <w:szCs w:val="16"/>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gridSpan w:val="17"/>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7"/>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gridSpan w:val="28"/>
            <w:shd w:val="clear" w:color="auto" w:fill="CCEEFF"/>
          </w:tcPr>
          <w:p>
            <w:pPr>
              <w:spacing w:after="0" w:line="155" w:lineRule="exact"/>
              <w:rPr>
                <w:sz w:val="20"/>
                <w:szCs w:val="20"/>
                <w:color w:val="auto"/>
              </w:rPr>
            </w:pPr>
            <w:r>
              <w:rPr>
                <w:rFonts w:ascii="Arial" w:cs="Arial" w:eastAsia="Arial" w:hAnsi="Arial"/>
                <w:sz w:val="16"/>
                <w:szCs w:val="16"/>
                <w:color w:val="auto"/>
              </w:rPr>
              <w:t>Property, plant and equipment, at cost</w:t>
            </w:r>
          </w:p>
        </w:tc>
        <w:tc>
          <w:tcPr>
            <w:tcW w:w="260" w:type="dxa"/>
            <w:vAlign w:val="bottom"/>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7,881,313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7,648,469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Borders>
              <w:bottom w:val="single" w:sz="8" w:color="CCEEFF"/>
            </w:tcBorders>
            <w:gridSpan w:val="28"/>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1,766,465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1,718,143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gridSpan w:val="28"/>
            <w:shd w:val="clear" w:color="auto" w:fill="CCEEFF"/>
          </w:tcPr>
          <w:p>
            <w:pPr>
              <w:spacing w:after="0" w:line="155" w:lineRule="exact"/>
              <w:rPr>
                <w:sz w:val="20"/>
                <w:szCs w:val="20"/>
                <w:color w:val="auto"/>
              </w:rPr>
            </w:pPr>
            <w:r>
              <w:rPr>
                <w:rFonts w:ascii="Arial" w:cs="Arial" w:eastAsia="Arial" w:hAnsi="Arial"/>
                <w:sz w:val="16"/>
                <w:szCs w:val="16"/>
                <w:color w:val="auto"/>
              </w:rPr>
              <w:t>Net property, plant and equipment</w:t>
            </w: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6,114,848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5,930,326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20" w:type="dxa"/>
            <w:vAlign w:val="bottom"/>
            <w:gridSpan w:val="28"/>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tcPr>
          <w:p>
            <w:pPr>
              <w:ind w:left="100"/>
              <w:spacing w:after="0" w:line="162" w:lineRule="exact"/>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1,974,076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6"/>
                <w:szCs w:val="16"/>
                <w:color w:val="auto"/>
              </w:rPr>
              <w:t>3,627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shd w:val="clear" w:color="auto" w:fill="CCEEFF"/>
          </w:tcPr>
          <w:p>
            <w:pPr>
              <w:ind w:left="100"/>
              <w:spacing w:after="0" w:line="162" w:lineRule="exact"/>
              <w:rPr>
                <w:sz w:val="20"/>
                <w:szCs w:val="20"/>
                <w:color w:val="auto"/>
              </w:rPr>
            </w:pPr>
            <w:r>
              <w:rPr>
                <w:rFonts w:ascii="Arial" w:cs="Arial" w:eastAsia="Arial" w:hAnsi="Arial"/>
                <w:sz w:val="16"/>
                <w:szCs w:val="16"/>
                <w:color w:val="auto"/>
              </w:rPr>
              <w:t>Accounts receivable and unbilled revenues, net</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110,741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101,225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tcPr>
          <w:p>
            <w:pPr>
              <w:ind w:left="100"/>
              <w:spacing w:after="0" w:line="162" w:lineRule="exact"/>
              <w:rPr>
                <w:sz w:val="20"/>
                <w:szCs w:val="20"/>
                <w:color w:val="auto"/>
              </w:rPr>
            </w:pPr>
            <w:r>
              <w:rPr>
                <w:rFonts w:ascii="Arial" w:cs="Arial" w:eastAsia="Arial" w:hAnsi="Arial"/>
                <w:sz w:val="16"/>
                <w:szCs w:val="16"/>
                <w:color w:val="auto"/>
              </w:rPr>
              <w:t>Inventory, materials and supplies</w:t>
            </w: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16,294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6"/>
                <w:szCs w:val="16"/>
                <w:color w:val="auto"/>
              </w:rPr>
              <w:t>15,844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shd w:val="clear" w:color="auto" w:fill="CCEEFF"/>
          </w:tcPr>
          <w:p>
            <w:pPr>
              <w:ind w:left="100"/>
              <w:spacing w:after="0" w:line="162" w:lineRule="exact"/>
              <w:rPr>
                <w:sz w:val="20"/>
                <w:szCs w:val="20"/>
                <w:color w:val="auto"/>
              </w:rPr>
            </w:pPr>
            <w:r>
              <w:rPr>
                <w:rFonts w:ascii="Arial" w:cs="Arial" w:eastAsia="Arial" w:hAnsi="Arial"/>
                <w:sz w:val="16"/>
                <w:szCs w:val="16"/>
                <w:color w:val="auto"/>
              </w:rPr>
              <w:t>Prepayments and other current assets</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15,251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23,337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Borders>
              <w:bottom w:val="single" w:sz="8" w:color="CCEEFF"/>
            </w:tcBorders>
            <w:gridSpan w:val="28"/>
          </w:tcPr>
          <w:p>
            <w:pPr>
              <w:ind w:left="100"/>
              <w:spacing w:after="0" w:line="162" w:lineRule="exact"/>
              <w:rPr>
                <w:sz w:val="20"/>
                <w:szCs w:val="20"/>
                <w:color w:val="auto"/>
              </w:rPr>
            </w:pPr>
            <w:r>
              <w:rPr>
                <w:rFonts w:ascii="Arial" w:cs="Arial" w:eastAsia="Arial" w:hAnsi="Arial"/>
                <w:sz w:val="16"/>
                <w:szCs w:val="16"/>
                <w:color w:val="auto"/>
              </w:rPr>
              <w:t>Assets held for sale</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1,558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3,139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gridSpan w:val="28"/>
            <w:shd w:val="clear" w:color="auto" w:fill="CCEEFF"/>
          </w:tcPr>
          <w:p>
            <w:pPr>
              <w:spacing w:after="0" w:line="155" w:lineRule="exact"/>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2,117,920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147,172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20" w:type="dxa"/>
            <w:vAlign w:val="bottom"/>
            <w:gridSpan w:val="28"/>
            <w:shd w:val="clear" w:color="auto" w:fill="CCEEFF"/>
          </w:tcPr>
          <w:p>
            <w:pPr>
              <w:spacing w:after="0" w:line="162" w:lineRule="exact"/>
              <w:rPr>
                <w:sz w:val="20"/>
                <w:szCs w:val="20"/>
                <w:color w:val="auto"/>
              </w:rPr>
            </w:pPr>
            <w:r>
              <w:rPr>
                <w:rFonts w:ascii="Arial" w:cs="Arial" w:eastAsia="Arial" w:hAnsi="Arial"/>
                <w:sz w:val="16"/>
                <w:szCs w:val="16"/>
                <w:color w:val="auto"/>
              </w:rPr>
              <w:t>Regulatory assets</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832,799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788,076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tcPr>
          <w:p>
            <w:pPr>
              <w:spacing w:after="0" w:line="162" w:lineRule="exact"/>
              <w:rPr>
                <w:sz w:val="20"/>
                <w:szCs w:val="20"/>
                <w:color w:val="auto"/>
              </w:rPr>
            </w:pPr>
            <w:r>
              <w:rPr>
                <w:rFonts w:ascii="Arial" w:cs="Arial" w:eastAsia="Arial" w:hAnsi="Arial"/>
                <w:sz w:val="16"/>
                <w:szCs w:val="16"/>
                <w:color w:val="auto"/>
              </w:rPr>
              <w:t>Deferred charges and other assets, net</w:t>
            </w: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41,449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6"/>
                <w:szCs w:val="16"/>
                <w:color w:val="auto"/>
              </w:rPr>
              <w:t>39,237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shd w:val="clear" w:color="auto" w:fill="CCEEFF"/>
          </w:tcPr>
          <w:p>
            <w:pPr>
              <w:spacing w:after="0" w:line="162" w:lineRule="exact"/>
              <w:rPr>
                <w:sz w:val="20"/>
                <w:szCs w:val="20"/>
                <w:color w:val="auto"/>
              </w:rPr>
            </w:pPr>
            <w:r>
              <w:rPr>
                <w:rFonts w:ascii="Arial" w:cs="Arial" w:eastAsia="Arial" w:hAnsi="Arial"/>
                <w:sz w:val="16"/>
                <w:szCs w:val="16"/>
                <w:color w:val="auto"/>
              </w:rPr>
              <w:t>Investment in joint venture</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6,959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Pr>
          <w:p>
            <w:pPr>
              <w:spacing w:after="0" w:line="162" w:lineRule="exact"/>
              <w:rPr>
                <w:sz w:val="20"/>
                <w:szCs w:val="20"/>
                <w:color w:val="auto"/>
              </w:rPr>
            </w:pPr>
            <w:r>
              <w:rPr>
                <w:rFonts w:ascii="Arial" w:cs="Arial" w:eastAsia="Arial" w:hAnsi="Arial"/>
                <w:sz w:val="16"/>
                <w:szCs w:val="16"/>
                <w:color w:val="auto"/>
                <w:w w:val="97"/>
              </w:rPr>
              <w:t>Goodwill</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52,722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6"/>
                <w:szCs w:val="16"/>
                <w:color w:val="auto"/>
              </w:rPr>
              <w:t>52,726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shd w:val="clear" w:color="auto" w:fill="CCEEFF"/>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13,164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40" w:type="dxa"/>
            <w:vAlign w:val="bottom"/>
            <w:gridSpan w:val="29"/>
          </w:tcPr>
          <w:p>
            <w:pPr>
              <w:spacing w:after="0" w:line="155" w:lineRule="exact"/>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9,180,350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6,964,496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580" w:type="dxa"/>
            <w:vAlign w:val="bottom"/>
            <w:gridSpan w:val="18"/>
            <w:vMerge w:val="restart"/>
          </w:tcPr>
          <w:p>
            <w:pPr>
              <w:jc w:val="center"/>
              <w:ind w:right="3100"/>
              <w:spacing w:after="0" w:line="159" w:lineRule="exact"/>
              <w:rPr>
                <w:sz w:val="20"/>
                <w:szCs w:val="20"/>
                <w:color w:val="auto"/>
              </w:rPr>
            </w:pPr>
            <w:r>
              <w:rPr>
                <w:rFonts w:ascii="Arial" w:cs="Arial" w:eastAsia="Arial" w:hAnsi="Arial"/>
                <w:sz w:val="16"/>
                <w:szCs w:val="16"/>
                <w:color w:val="auto"/>
                <w:w w:val="95"/>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5580" w:type="dxa"/>
            <w:vAlign w:val="bottom"/>
            <w:gridSpan w:val="18"/>
            <w:vMerge w:val="continue"/>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440" w:type="dxa"/>
            <w:vAlign w:val="bottom"/>
            <w:gridSpan w:val="29"/>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420" w:type="dxa"/>
            <w:vAlign w:val="bottom"/>
            <w:gridSpan w:val="28"/>
            <w:shd w:val="clear" w:color="auto" w:fill="CCEEFF"/>
          </w:tcPr>
          <w:p>
            <w:pPr>
              <w:ind w:left="100"/>
              <w:spacing w:after="0" w:line="138" w:lineRule="exact"/>
              <w:rPr>
                <w:sz w:val="20"/>
                <w:szCs w:val="20"/>
                <w:color w:val="auto"/>
              </w:rPr>
            </w:pPr>
            <w:r>
              <w:rPr>
                <w:rFonts w:ascii="Arial" w:cs="Arial" w:eastAsia="Arial" w:hAnsi="Arial"/>
                <w:sz w:val="16"/>
                <w:szCs w:val="16"/>
                <w:color w:val="auto"/>
                <w:w w:val="93"/>
              </w:rPr>
              <w:t>Common stock at $0.50 par value, authorized 300,000,000 shares, issued 218,887,834 and 181,151,827 as of June 30, 2019</w:t>
            </w:r>
          </w:p>
        </w:tc>
        <w:tc>
          <w:tcPr>
            <w:tcW w:w="26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109,444</w:t>
            </w:r>
          </w:p>
        </w:tc>
        <w:tc>
          <w:tcPr>
            <w:tcW w:w="8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20" w:type="dxa"/>
            <w:vAlign w:val="bottom"/>
            <w:gridSpan w:val="28"/>
            <w:shd w:val="clear" w:color="auto" w:fill="CCEEFF"/>
          </w:tcPr>
          <w:p>
            <w:pPr>
              <w:ind w:left="100"/>
              <w:spacing w:after="0"/>
              <w:rPr>
                <w:sz w:val="20"/>
                <w:szCs w:val="20"/>
                <w:color w:val="auto"/>
              </w:rPr>
            </w:pPr>
            <w:r>
              <w:rPr>
                <w:rFonts w:ascii="Arial" w:cs="Arial" w:eastAsia="Arial" w:hAnsi="Arial"/>
                <w:sz w:val="16"/>
                <w:szCs w:val="16"/>
                <w:color w:val="auto"/>
              </w:rPr>
              <w:t>and December 31, 2018</w:t>
            </w:r>
          </w:p>
        </w:tc>
        <w:tc>
          <w:tcPr>
            <w:tcW w:w="26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tcPr>
          <w:p>
            <w:pPr>
              <w:ind w:left="100"/>
              <w:spacing w:after="0" w:line="162" w:lineRule="exact"/>
              <w:rPr>
                <w:sz w:val="20"/>
                <w:szCs w:val="20"/>
                <w:color w:val="auto"/>
              </w:rPr>
            </w:pPr>
            <w:r>
              <w:rPr>
                <w:rFonts w:ascii="Arial" w:cs="Arial" w:eastAsia="Arial" w:hAnsi="Arial"/>
                <w:sz w:val="16"/>
                <w:szCs w:val="16"/>
                <w:color w:val="auto"/>
              </w:rPr>
              <w:t>Capital in excess of par value</w:t>
            </w: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2,633,271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6"/>
                <w:szCs w:val="16"/>
                <w:color w:val="auto"/>
              </w:rPr>
              <w:t>820,378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28"/>
            <w:shd w:val="clear" w:color="auto" w:fill="CCEEFF"/>
          </w:tcPr>
          <w:p>
            <w:pPr>
              <w:ind w:left="100"/>
              <w:spacing w:after="0" w:line="162" w:lineRule="exact"/>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1,159,753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1,174,245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-4068445</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-4068445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9"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20" w:type="dxa"/>
            <w:vAlign w:val="bottom"/>
          </w:tcPr>
          <w:p>
            <w:pPr>
              <w:ind w:left="100"/>
              <w:spacing w:after="0"/>
              <w:rPr>
                <w:sz w:val="20"/>
                <w:szCs w:val="20"/>
                <w:color w:val="auto"/>
              </w:rPr>
            </w:pPr>
            <w:r>
              <w:rPr>
                <w:rFonts w:ascii="Arial" w:cs="Arial" w:eastAsia="Arial" w:hAnsi="Arial"/>
                <w:sz w:val="16"/>
                <w:szCs w:val="16"/>
                <w:color w:val="auto"/>
              </w:rPr>
              <w:t>Treasury stock, at cost, 3,112,376 and 3,060,206 shares as of June 30, 2019 and December 31, 2018</w:t>
            </w:r>
          </w:p>
        </w:tc>
        <w:tc>
          <w:tcPr>
            <w:tcW w:w="4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(77,694)</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(75,835)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3,824,774</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2,009,364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excluding current portion</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2,779,074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2,419,115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debt issuance costs</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29,870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20,651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2,749,204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2,398,464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6"/>
                <w:szCs w:val="16"/>
                <w:color w:val="auto"/>
              </w:rPr>
              <w:t>Commitments and contingencies (See Note 15)</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20" w:type="dxa"/>
            <w:vAlign w:val="bottom"/>
          </w:tcPr>
          <w:p>
            <w:pPr>
              <w:spacing w:after="0" w:line="162" w:lineRule="exact"/>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Current portion of long-term debt</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221,393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144,545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Pr>
          <w:p>
            <w:pPr>
              <w:ind w:left="100"/>
              <w:spacing w:after="0" w:line="162" w:lineRule="exact"/>
              <w:rPr>
                <w:sz w:val="20"/>
                <w:szCs w:val="20"/>
                <w:color w:val="auto"/>
              </w:rPr>
            </w:pPr>
            <w:r>
              <w:rPr>
                <w:rFonts w:ascii="Arial" w:cs="Arial" w:eastAsia="Arial" w:hAnsi="Arial"/>
                <w:sz w:val="16"/>
                <w:szCs w:val="16"/>
                <w:color w:val="auto"/>
              </w:rPr>
              <w:t>Loans payable</w:t>
            </w:r>
          </w:p>
        </w:tc>
        <w:tc>
          <w:tcPr>
            <w:tcW w:w="4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6,076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15,449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57,463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77,331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Pr>
          <w:p>
            <w:pPr>
              <w:ind w:left="100"/>
              <w:spacing w:after="0" w:line="162" w:lineRule="exact"/>
              <w:rPr>
                <w:sz w:val="20"/>
                <w:szCs w:val="20"/>
                <w:color w:val="auto"/>
              </w:rPr>
            </w:pPr>
            <w:r>
              <w:rPr>
                <w:rFonts w:ascii="Arial" w:cs="Arial" w:eastAsia="Arial" w:hAnsi="Arial"/>
                <w:sz w:val="16"/>
                <w:szCs w:val="16"/>
                <w:color w:val="auto"/>
              </w:rPr>
              <w:t>Book overdraft</w:t>
            </w:r>
          </w:p>
        </w:tc>
        <w:tc>
          <w:tcPr>
            <w:tcW w:w="4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22,294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8,950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Accrued interest</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30,755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Pr>
          <w:p>
            <w:pPr>
              <w:ind w:left="100"/>
              <w:spacing w:after="0" w:line="162" w:lineRule="exact"/>
              <w:rPr>
                <w:sz w:val="20"/>
                <w:szCs w:val="20"/>
                <w:color w:val="auto"/>
              </w:rPr>
            </w:pPr>
            <w:r>
              <w:rPr>
                <w:rFonts w:ascii="Arial" w:cs="Arial" w:eastAsia="Arial" w:hAnsi="Arial"/>
                <w:sz w:val="16"/>
                <w:szCs w:val="16"/>
                <w:color w:val="auto"/>
              </w:rPr>
              <w:t>Accrued taxes</w:t>
            </w:r>
          </w:p>
        </w:tc>
        <w:tc>
          <w:tcPr>
            <w:tcW w:w="4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17,962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22,234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Interest rate swap agreements</w:t>
            </w: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59,779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6"/>
                <w:szCs w:val="16"/>
                <w:color w:val="auto"/>
              </w:rPr>
              <w:t>Other accrued liabilities</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43,006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47,389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398,949</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398,977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credits and other liabilities:</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Pr>
          <w:p>
            <w:pPr>
              <w:ind w:left="100"/>
              <w:spacing w:after="0" w:line="162" w:lineRule="exact"/>
              <w:rPr>
                <w:sz w:val="20"/>
                <w:szCs w:val="20"/>
                <w:color w:val="auto"/>
              </w:rPr>
            </w:pPr>
            <w:r>
              <w:rPr>
                <w:rFonts w:ascii="Arial" w:cs="Arial" w:eastAsia="Arial" w:hAnsi="Arial"/>
                <w:sz w:val="16"/>
                <w:szCs w:val="16"/>
                <w:color w:val="auto"/>
              </w:rPr>
              <w:t>Deferred income taxes and investment tax credits</w:t>
            </w:r>
          </w:p>
        </w:tc>
        <w:tc>
          <w:tcPr>
            <w:tcW w:w="4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876,332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845,403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Customers' advances for construction</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102,801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93,343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Pr>
          <w:p>
            <w:pPr>
              <w:ind w:left="100"/>
              <w:spacing w:after="0" w:line="162" w:lineRule="exact"/>
              <w:rPr>
                <w:sz w:val="20"/>
                <w:szCs w:val="20"/>
                <w:color w:val="auto"/>
              </w:rPr>
            </w:pPr>
            <w:r>
              <w:rPr>
                <w:rFonts w:ascii="Arial" w:cs="Arial" w:eastAsia="Arial" w:hAnsi="Arial"/>
                <w:sz w:val="16"/>
                <w:szCs w:val="16"/>
                <w:color w:val="auto"/>
              </w:rPr>
              <w:t>Regulatory liabilities</w:t>
            </w:r>
          </w:p>
        </w:tc>
        <w:tc>
          <w:tcPr>
            <w:tcW w:w="4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525,864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531,027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11,913</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97,365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97,182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deferred credits and other liabilities</w:t>
            </w: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1,614,275</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1,566,955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Contributions in aid of construction</w:t>
            </w: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593,148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590,736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40" w:type="dxa"/>
            <w:vAlign w:val="bottom"/>
            <w:gridSpan w:val="2"/>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420" w:type="dxa"/>
            <w:vAlign w:val="bottom"/>
            <w:tcBorders>
              <w:bottom w:val="single" w:sz="8" w:color="auto"/>
            </w:tcBorders>
          </w:tcPr>
          <w:p>
            <w:pPr>
              <w:jc w:val="right"/>
              <w:ind w:right="264"/>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9,180,350</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6,964,496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CONSOLIDATED STATEMENTS OF OPERATIONS AND COMPREHENSIVE INCOME</w:t>
      </w:r>
    </w:p>
    <w:p>
      <w:pPr>
        <w:ind w:left="406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60" w:type="dxa"/>
            <w:vAlign w:val="bottom"/>
            <w:gridSpan w:val="4"/>
          </w:tcPr>
          <w:p>
            <w:pPr>
              <w:jc w:val="right"/>
              <w:ind w:right="812"/>
              <w:spacing w:after="0"/>
              <w:rPr>
                <w:sz w:val="20"/>
                <w:szCs w:val="20"/>
                <w:color w:val="auto"/>
              </w:rPr>
            </w:pPr>
            <w:r>
              <w:rPr>
                <w:rFonts w:ascii="Arial" w:cs="Arial" w:eastAsia="Arial" w:hAnsi="Arial"/>
                <w:sz w:val="22"/>
                <w:szCs w:val="22"/>
                <w:color w:val="auto"/>
              </w:rPr>
              <w:t>Three Months Ended</w:t>
            </w:r>
          </w:p>
        </w:tc>
      </w:tr>
      <w:tr>
        <w:trPr>
          <w:trHeight w:val="260"/>
        </w:trPr>
        <w:tc>
          <w:tcPr>
            <w:tcW w:w="7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22"/>
                <w:szCs w:val="22"/>
                <w:color w:val="auto"/>
              </w:rPr>
              <w:t>June 30,</w:t>
            </w:r>
          </w:p>
        </w:tc>
        <w:tc>
          <w:tcPr>
            <w:tcW w:w="1260" w:type="dxa"/>
            <w:vAlign w:val="bottom"/>
            <w:tcBorders>
              <w:bottom w:val="single" w:sz="8" w:color="auto"/>
            </w:tcBorders>
          </w:tcPr>
          <w:p>
            <w:pPr>
              <w:spacing w:after="0"/>
              <w:rPr>
                <w:sz w:val="22"/>
                <w:szCs w:val="22"/>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rPr>
              <w:t>2018</w:t>
            </w:r>
          </w:p>
        </w:tc>
      </w:tr>
      <w:tr>
        <w:trPr>
          <w:trHeight w:val="264"/>
        </w:trPr>
        <w:tc>
          <w:tcPr>
            <w:tcW w:w="778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218,892</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8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211,860</w:t>
            </w:r>
          </w:p>
        </w:tc>
      </w:tr>
      <w:tr>
        <w:trPr>
          <w:trHeight w:val="284"/>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4"/>
        </w:trPr>
        <w:tc>
          <w:tcPr>
            <w:tcW w:w="778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Operations and maintenance</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86,445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73,515</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Depreciation</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39,550</w:t>
            </w: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36,613</w:t>
            </w: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Amortization</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(2,920)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149</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Taxes other than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14,868</w:t>
            </w:r>
          </w:p>
        </w:tc>
        <w:tc>
          <w:tcPr>
            <w:tcW w:w="2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14,829</w:t>
            </w:r>
          </w:p>
        </w:tc>
      </w:tr>
      <w:tr>
        <w:trPr>
          <w:trHeight w:val="264"/>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Total operating expenses</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137,943</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125,106</w:t>
            </w:r>
          </w:p>
        </w:tc>
      </w:tr>
      <w:tr>
        <w:trPr>
          <w:trHeight w:val="264"/>
        </w:trPr>
        <w:tc>
          <w:tcPr>
            <w:tcW w:w="77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84"/>
        </w:trPr>
        <w:tc>
          <w:tcPr>
            <w:tcW w:w="7780" w:type="dxa"/>
            <w:vAlign w:val="bottom"/>
          </w:tcPr>
          <w:p>
            <w:pPr>
              <w:spacing w:after="0"/>
              <w:rPr>
                <w:sz w:val="20"/>
                <w:szCs w:val="20"/>
                <w:color w:val="auto"/>
              </w:rPr>
            </w:pPr>
            <w:r>
              <w:rPr>
                <w:rFonts w:ascii="Arial" w:cs="Arial" w:eastAsia="Arial" w:hAnsi="Arial"/>
                <w:sz w:val="22"/>
                <w:szCs w:val="22"/>
                <w:color w:val="auto"/>
              </w:rPr>
              <w:t>Operating income</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80,949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86,754</w:t>
            </w:r>
          </w:p>
        </w:tc>
      </w:tr>
      <w:tr>
        <w:trPr>
          <w:trHeight w:val="284"/>
        </w:trPr>
        <w:tc>
          <w:tcPr>
            <w:tcW w:w="7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84"/>
        </w:trPr>
        <w:tc>
          <w:tcPr>
            <w:tcW w:w="7780" w:type="dxa"/>
            <w:vAlign w:val="bottom"/>
          </w:tcPr>
          <w:p>
            <w:pPr>
              <w:spacing w:after="0"/>
              <w:rPr>
                <w:sz w:val="20"/>
                <w:szCs w:val="20"/>
                <w:color w:val="auto"/>
              </w:rPr>
            </w:pPr>
            <w:r>
              <w:rPr>
                <w:rFonts w:ascii="Arial" w:cs="Arial" w:eastAsia="Arial" w:hAnsi="Arial"/>
                <w:sz w:val="22"/>
                <w:szCs w:val="22"/>
                <w:color w:val="auto"/>
              </w:rPr>
              <w:t>Other expense (income):</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Interest expense, net</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23,309</w:t>
            </w: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23,723</w:t>
            </w: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Allowance for funds used during construction</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(3,611)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(2,577)</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Change in fair value of interest rate swap agreements</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(11,040)</w:t>
            </w: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Loss on debt extinguishment</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18,935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Gain on sale of other assets</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w:t>
            </w: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(141)</w:t>
            </w: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Equity earnings in joint venture</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(1,240)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(911)</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Other</w:t>
            </w:r>
          </w:p>
        </w:tc>
        <w:tc>
          <w:tcPr>
            <w:tcW w:w="3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1,912</w:t>
            </w:r>
          </w:p>
        </w:tc>
        <w:tc>
          <w:tcPr>
            <w:tcW w:w="2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437</w:t>
            </w:r>
          </w:p>
        </w:tc>
      </w:tr>
      <w:tr>
        <w:trPr>
          <w:trHeight w:val="264"/>
        </w:trPr>
        <w:tc>
          <w:tcPr>
            <w:tcW w:w="7780" w:type="dxa"/>
            <w:vAlign w:val="bottom"/>
          </w:tcPr>
          <w:p>
            <w:pPr>
              <w:spacing w:after="0"/>
              <w:rPr>
                <w:sz w:val="20"/>
                <w:szCs w:val="20"/>
                <w:color w:val="auto"/>
              </w:rPr>
            </w:pPr>
            <w:r>
              <w:rPr>
                <w:rFonts w:ascii="Arial" w:cs="Arial" w:eastAsia="Arial" w:hAnsi="Arial"/>
                <w:sz w:val="22"/>
                <w:szCs w:val="22"/>
                <w:color w:val="auto"/>
              </w:rPr>
              <w:t>Income before income taxes</w:t>
            </w:r>
          </w:p>
        </w:tc>
        <w:tc>
          <w:tcPr>
            <w:tcW w:w="3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52,732</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66,223</w:t>
            </w:r>
          </w:p>
        </w:tc>
      </w:tr>
      <w:tr>
        <w:trPr>
          <w:trHeight w:val="284"/>
        </w:trPr>
        <w:tc>
          <w:tcPr>
            <w:tcW w:w="7780" w:type="dxa"/>
            <w:vAlign w:val="bottom"/>
            <w:shd w:val="clear" w:color="auto" w:fill="CCEEFF"/>
          </w:tcPr>
          <w:p>
            <w:pPr>
              <w:spacing w:after="0"/>
              <w:rPr>
                <w:sz w:val="20"/>
                <w:szCs w:val="20"/>
                <w:color w:val="auto"/>
              </w:rPr>
            </w:pPr>
            <w:r>
              <w:rPr>
                <w:rFonts w:ascii="Arial" w:cs="Arial" w:eastAsia="Arial" w:hAnsi="Arial"/>
                <w:sz w:val="22"/>
                <w:szCs w:val="22"/>
                <w:color w:val="auto"/>
              </w:rPr>
              <w:t>Provision for income tax benefit</w:t>
            </w:r>
          </w:p>
        </w:tc>
        <w:tc>
          <w:tcPr>
            <w:tcW w:w="3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(2,171)</w:t>
            </w:r>
          </w:p>
        </w:tc>
        <w:tc>
          <w:tcPr>
            <w:tcW w:w="2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(367)</w:t>
            </w:r>
          </w:p>
        </w:tc>
      </w:tr>
      <w:tr>
        <w:trPr>
          <w:trHeight w:val="290"/>
        </w:trPr>
        <w:tc>
          <w:tcPr>
            <w:tcW w:w="7780" w:type="dxa"/>
            <w:vAlign w:val="bottom"/>
            <w:tcBorders>
              <w:bottom w:val="single" w:sz="8" w:color="CCEEFF"/>
            </w:tcBorders>
          </w:tcPr>
          <w:p>
            <w:pPr>
              <w:spacing w:after="0" w:line="250" w:lineRule="exact"/>
              <w:rPr>
                <w:sz w:val="20"/>
                <w:szCs w:val="20"/>
                <w:color w:val="auto"/>
              </w:rPr>
            </w:pPr>
            <w:r>
              <w:rPr>
                <w:rFonts w:ascii="Arial" w:cs="Arial" w:eastAsia="Arial" w:hAnsi="Arial"/>
                <w:sz w:val="22"/>
                <w:szCs w:val="22"/>
                <w:color w:val="auto"/>
              </w:rPr>
              <w:t>Net income</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54,903</w:t>
            </w: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2"/>
              <w:spacing w:after="0" w:line="250" w:lineRule="exact"/>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66,590</w:t>
            </w:r>
          </w:p>
        </w:tc>
      </w:tr>
      <w:tr>
        <w:trPr>
          <w:trHeight w:val="237"/>
        </w:trPr>
        <w:tc>
          <w:tcPr>
            <w:tcW w:w="7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310"/>
        </w:trPr>
        <w:tc>
          <w:tcPr>
            <w:tcW w:w="77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Comprehensive income</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54,903</w:t>
            </w: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66,590</w:t>
            </w:r>
          </w:p>
        </w:tc>
      </w:tr>
      <w:tr>
        <w:trPr>
          <w:trHeight w:val="237"/>
        </w:trPr>
        <w:tc>
          <w:tcPr>
            <w:tcW w:w="7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84"/>
        </w:trPr>
        <w:tc>
          <w:tcPr>
            <w:tcW w:w="77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Net income per common share:</w:t>
            </w:r>
          </w:p>
        </w:tc>
        <w:tc>
          <w:tcPr>
            <w:tcW w:w="3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bl>
    <w:p>
      <w:pPr>
        <w:sectPr>
          <w:pgSz w:w="11900" w:h="16900" w:orient="portrait"/>
          <w:cols w:equalWidth="0" w:num="1">
            <w:col w:w="11420"/>
          </w:cols>
          <w:pgMar w:left="240" w:top="118"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2"/>
                <w:szCs w:val="22"/>
                <w:color w:val="auto"/>
              </w:rPr>
              <w:t>Basic</w:t>
            </w:r>
          </w:p>
        </w:tc>
        <w:tc>
          <w:tcPr>
            <w:tcW w:w="52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0.25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0.37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120"/>
              <w:spacing w:after="0"/>
              <w:rPr>
                <w:sz w:val="20"/>
                <w:szCs w:val="20"/>
                <w:color w:val="auto"/>
              </w:rPr>
            </w:pPr>
            <w:r>
              <w:rPr>
                <w:rFonts w:ascii="Arial" w:cs="Arial" w:eastAsia="Arial" w:hAnsi="Arial"/>
                <w:sz w:val="22"/>
                <w:szCs w:val="22"/>
                <w:color w:val="auto"/>
              </w:rPr>
              <w:t>Diluted</w:t>
            </w: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vMerge w:val="continue"/>
          </w:tcPr>
          <w:p>
            <w:pPr>
              <w:spacing w:after="0"/>
              <w:rPr>
                <w:sz w:val="22"/>
                <w:szCs w:val="22"/>
                <w:color w:val="auto"/>
              </w:rPr>
            </w:pP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0.25</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52"/>
              <w:spacing w:after="0" w:line="224" w:lineRule="exact"/>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0.37</w:t>
            </w: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78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2"/>
                <w:szCs w:val="22"/>
                <w:color w:val="auto"/>
              </w:rPr>
              <w:t>Basic</w:t>
            </w:r>
          </w:p>
        </w:tc>
        <w:tc>
          <w:tcPr>
            <w:tcW w:w="5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219,055</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177,901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120"/>
              <w:spacing w:after="0"/>
              <w:rPr>
                <w:sz w:val="20"/>
                <w:szCs w:val="20"/>
                <w:color w:val="auto"/>
              </w:rPr>
            </w:pPr>
            <w:r>
              <w:rPr>
                <w:rFonts w:ascii="Arial" w:cs="Arial" w:eastAsia="Arial" w:hAnsi="Arial"/>
                <w:sz w:val="22"/>
                <w:szCs w:val="22"/>
                <w:color w:val="auto"/>
              </w:rPr>
              <w:t>Diluted</w:t>
            </w: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219,790</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line="224" w:lineRule="exact"/>
              <w:rPr>
                <w:sz w:val="20"/>
                <w:szCs w:val="20"/>
                <w:color w:val="auto"/>
              </w:rPr>
            </w:pPr>
            <w:r>
              <w:rPr>
                <w:rFonts w:ascii="Arial" w:cs="Arial" w:eastAsia="Arial" w:hAnsi="Arial"/>
                <w:sz w:val="22"/>
                <w:szCs w:val="22"/>
                <w:color w:val="auto"/>
              </w:rPr>
              <w:t>178,273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CONSOLIDATED STATEMENTS OF OPERATIONS AND COMPREHENSIVE INCOME</w:t>
      </w:r>
    </w:p>
    <w:p>
      <w:pPr>
        <w:ind w:left="406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07" w:lineRule="exact"/>
        <w:rPr>
          <w:sz w:val="20"/>
          <w:szCs w:val="20"/>
          <w:color w:val="auto"/>
        </w:rPr>
      </w:pPr>
    </w:p>
    <w:p>
      <w:pPr>
        <w:jc w:val="center"/>
        <w:ind w:left="8040"/>
        <w:spacing w:after="0"/>
        <w:rPr>
          <w:sz w:val="20"/>
          <w:szCs w:val="20"/>
          <w:color w:val="auto"/>
        </w:rPr>
      </w:pPr>
      <w:r>
        <w:rPr>
          <w:rFonts w:ascii="Arial" w:cs="Arial" w:eastAsia="Arial" w:hAnsi="Arial"/>
          <w:sz w:val="22"/>
          <w:szCs w:val="22"/>
          <w:color w:val="auto"/>
        </w:rPr>
        <w:t>Six Months Ended</w:t>
      </w:r>
    </w:p>
    <w:p>
      <w:pPr>
        <w:jc w:val="center"/>
        <w:ind w:left="8040"/>
        <w:spacing w:after="0"/>
        <w:rPr>
          <w:sz w:val="20"/>
          <w:szCs w:val="20"/>
          <w:color w:val="auto"/>
        </w:rPr>
      </w:pPr>
      <w:r>
        <w:rPr>
          <w:rFonts w:ascii="Arial" w:cs="Arial" w:eastAsia="Arial" w:hAnsi="Arial"/>
          <w:sz w:val="22"/>
          <w:szCs w:val="22"/>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-12065</wp:posOffset>
            </wp:positionV>
            <wp:extent cx="2143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642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rPr>
              <w:t>2019</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64"/>
        </w:trPr>
        <w:tc>
          <w:tcPr>
            <w:tcW w:w="642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1960" w:type="dxa"/>
            <w:vAlign w:val="bottom"/>
            <w:gridSpan w:val="2"/>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420,024</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406,207</w:t>
            </w: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1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Pr>
          <w:p>
            <w:pPr>
              <w:ind w:left="120"/>
              <w:spacing w:after="0"/>
              <w:rPr>
                <w:sz w:val="20"/>
                <w:szCs w:val="20"/>
                <w:color w:val="auto"/>
              </w:rPr>
            </w:pPr>
            <w:r>
              <w:rPr>
                <w:rFonts w:ascii="Arial" w:cs="Arial" w:eastAsia="Arial" w:hAnsi="Arial"/>
                <w:sz w:val="22"/>
                <w:szCs w:val="22"/>
                <w:color w:val="auto"/>
              </w:rPr>
              <w:t>Operations and maintenance</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165,759</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147,461</w:t>
            </w: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Depreciation</w:t>
            </w:r>
          </w:p>
        </w:tc>
        <w:tc>
          <w:tcPr>
            <w:tcW w:w="1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78,624</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72,580</w:t>
            </w:r>
          </w:p>
        </w:tc>
        <w:tc>
          <w:tcPr>
            <w:tcW w:w="0" w:type="dxa"/>
            <w:vAlign w:val="bottom"/>
          </w:tcPr>
          <w:p>
            <w:pPr>
              <w:spacing w:after="0"/>
              <w:rPr>
                <w:sz w:val="1"/>
                <w:szCs w:val="1"/>
                <w:color w:val="auto"/>
              </w:rPr>
            </w:pPr>
          </w:p>
        </w:tc>
      </w:tr>
      <w:tr>
        <w:trPr>
          <w:trHeight w:val="284"/>
        </w:trPr>
        <w:tc>
          <w:tcPr>
            <w:tcW w:w="6420" w:type="dxa"/>
            <w:vAlign w:val="bottom"/>
          </w:tcPr>
          <w:p>
            <w:pPr>
              <w:ind w:left="120"/>
              <w:spacing w:after="0"/>
              <w:rPr>
                <w:sz w:val="20"/>
                <w:szCs w:val="20"/>
                <w:color w:val="auto"/>
              </w:rPr>
            </w:pPr>
            <w:r>
              <w:rPr>
                <w:rFonts w:ascii="Arial" w:cs="Arial" w:eastAsia="Arial" w:hAnsi="Arial"/>
                <w:sz w:val="22"/>
                <w:szCs w:val="22"/>
                <w:color w:val="auto"/>
              </w:rPr>
              <w:t>Amortization</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(2,584)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279</w:t>
            </w: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Taxes other than income taxes</w:t>
            </w:r>
          </w:p>
        </w:tc>
        <w:tc>
          <w:tcPr>
            <w:tcW w:w="16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29,837</w:t>
            </w:r>
          </w:p>
        </w:tc>
        <w:tc>
          <w:tcPr>
            <w:tcW w:w="2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29,796</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Total operating expenses</w:t>
            </w:r>
          </w:p>
        </w:tc>
        <w:tc>
          <w:tcPr>
            <w:tcW w:w="1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271,636</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250,116</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22"/>
                <w:szCs w:val="22"/>
                <w:color w:val="auto"/>
              </w:rPr>
              <w:t>Operating income</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148,388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156,091</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22"/>
                <w:szCs w:val="22"/>
                <w:color w:val="auto"/>
              </w:rPr>
              <w:t>Other expense (income):</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Interest expense, net</w:t>
            </w:r>
          </w:p>
        </w:tc>
        <w:tc>
          <w:tcPr>
            <w:tcW w:w="1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51,159</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47,194</w:t>
            </w:r>
          </w:p>
        </w:tc>
        <w:tc>
          <w:tcPr>
            <w:tcW w:w="0" w:type="dxa"/>
            <w:vAlign w:val="bottom"/>
          </w:tcPr>
          <w:p>
            <w:pPr>
              <w:spacing w:after="0"/>
              <w:rPr>
                <w:sz w:val="1"/>
                <w:szCs w:val="1"/>
                <w:color w:val="auto"/>
              </w:rPr>
            </w:pPr>
          </w:p>
        </w:tc>
      </w:tr>
      <w:tr>
        <w:trPr>
          <w:trHeight w:val="284"/>
        </w:trPr>
        <w:tc>
          <w:tcPr>
            <w:tcW w:w="6420" w:type="dxa"/>
            <w:vAlign w:val="bottom"/>
          </w:tcPr>
          <w:p>
            <w:pPr>
              <w:ind w:left="120"/>
              <w:spacing w:after="0"/>
              <w:rPr>
                <w:sz w:val="20"/>
                <w:szCs w:val="20"/>
                <w:color w:val="auto"/>
              </w:rPr>
            </w:pPr>
            <w:r>
              <w:rPr>
                <w:rFonts w:ascii="Arial" w:cs="Arial" w:eastAsia="Arial" w:hAnsi="Arial"/>
                <w:sz w:val="22"/>
                <w:szCs w:val="22"/>
                <w:color w:val="auto"/>
              </w:rPr>
              <w:t>Allowance for funds used during construction</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(7,667)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(5,444)</w:t>
            </w: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Change in fair value of interest rate swap agreements</w:t>
            </w:r>
          </w:p>
        </w:tc>
        <w:tc>
          <w:tcPr>
            <w:tcW w:w="1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23,742</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4"/>
        </w:trPr>
        <w:tc>
          <w:tcPr>
            <w:tcW w:w="6420" w:type="dxa"/>
            <w:vAlign w:val="bottom"/>
          </w:tcPr>
          <w:p>
            <w:pPr>
              <w:ind w:left="120"/>
              <w:spacing w:after="0"/>
              <w:rPr>
                <w:sz w:val="20"/>
                <w:szCs w:val="20"/>
                <w:color w:val="auto"/>
              </w:rPr>
            </w:pPr>
            <w:r>
              <w:rPr>
                <w:rFonts w:ascii="Arial" w:cs="Arial" w:eastAsia="Arial" w:hAnsi="Arial"/>
                <w:sz w:val="22"/>
                <w:szCs w:val="22"/>
                <w:color w:val="auto"/>
              </w:rPr>
              <w:t>Loss on debt extinguishment</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18,935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Gain on sale of other assets</w:t>
            </w:r>
          </w:p>
        </w:tc>
        <w:tc>
          <w:tcPr>
            <w:tcW w:w="1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(268)</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(337)</w:t>
            </w:r>
          </w:p>
        </w:tc>
        <w:tc>
          <w:tcPr>
            <w:tcW w:w="0" w:type="dxa"/>
            <w:vAlign w:val="bottom"/>
          </w:tcPr>
          <w:p>
            <w:pPr>
              <w:spacing w:after="0"/>
              <w:rPr>
                <w:sz w:val="1"/>
                <w:szCs w:val="1"/>
                <w:color w:val="auto"/>
              </w:rPr>
            </w:pPr>
          </w:p>
        </w:tc>
      </w:tr>
      <w:tr>
        <w:trPr>
          <w:trHeight w:val="284"/>
        </w:trPr>
        <w:tc>
          <w:tcPr>
            <w:tcW w:w="6420" w:type="dxa"/>
            <w:vAlign w:val="bottom"/>
          </w:tcPr>
          <w:p>
            <w:pPr>
              <w:ind w:left="120"/>
              <w:spacing w:after="0"/>
              <w:rPr>
                <w:sz w:val="20"/>
                <w:szCs w:val="20"/>
                <w:color w:val="auto"/>
              </w:rPr>
            </w:pPr>
            <w:r>
              <w:rPr>
                <w:rFonts w:ascii="Arial" w:cs="Arial" w:eastAsia="Arial" w:hAnsi="Arial"/>
                <w:sz w:val="22"/>
                <w:szCs w:val="22"/>
                <w:color w:val="auto"/>
              </w:rPr>
              <w:t>Equity earnings in joint venture</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(1,783)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(1,293)</w:t>
            </w: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Other</w:t>
            </w:r>
          </w:p>
        </w:tc>
        <w:tc>
          <w:tcPr>
            <w:tcW w:w="16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2,784</w:t>
            </w:r>
          </w:p>
        </w:tc>
        <w:tc>
          <w:tcPr>
            <w:tcW w:w="2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1,040</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0"/>
                <w:szCs w:val="20"/>
                <w:color w:val="auto"/>
              </w:rPr>
            </w:pPr>
            <w:r>
              <w:rPr>
                <w:rFonts w:ascii="Arial" w:cs="Arial" w:eastAsia="Arial" w:hAnsi="Arial"/>
                <w:sz w:val="22"/>
                <w:szCs w:val="22"/>
                <w:color w:val="auto"/>
              </w:rPr>
              <w:t>Income before income taxes</w:t>
            </w:r>
          </w:p>
        </w:tc>
        <w:tc>
          <w:tcPr>
            <w:tcW w:w="1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61,486</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114,931</w:t>
            </w: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spacing w:after="0"/>
              <w:rPr>
                <w:sz w:val="20"/>
                <w:szCs w:val="20"/>
                <w:color w:val="auto"/>
              </w:rPr>
            </w:pPr>
            <w:r>
              <w:rPr>
                <w:rFonts w:ascii="Arial" w:cs="Arial" w:eastAsia="Arial" w:hAnsi="Arial"/>
                <w:sz w:val="22"/>
                <w:szCs w:val="22"/>
                <w:color w:val="auto"/>
              </w:rPr>
              <w:t>Provision for income tax benefit</w:t>
            </w:r>
          </w:p>
        </w:tc>
        <w:tc>
          <w:tcPr>
            <w:tcW w:w="16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(10,341)</w:t>
            </w:r>
          </w:p>
        </w:tc>
        <w:tc>
          <w:tcPr>
            <w:tcW w:w="2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(2,498)</w:t>
            </w:r>
          </w:p>
        </w:tc>
        <w:tc>
          <w:tcPr>
            <w:tcW w:w="0" w:type="dxa"/>
            <w:vAlign w:val="bottom"/>
          </w:tcPr>
          <w:p>
            <w:pPr>
              <w:spacing w:after="0"/>
              <w:rPr>
                <w:sz w:val="1"/>
                <w:szCs w:val="1"/>
                <w:color w:val="auto"/>
              </w:rPr>
            </w:pPr>
          </w:p>
        </w:tc>
      </w:tr>
      <w:tr>
        <w:trPr>
          <w:trHeight w:val="304"/>
        </w:trPr>
        <w:tc>
          <w:tcPr>
            <w:tcW w:w="6420" w:type="dxa"/>
            <w:vAlign w:val="bottom"/>
          </w:tcPr>
          <w:p>
            <w:pPr>
              <w:spacing w:after="0"/>
              <w:rPr>
                <w:sz w:val="20"/>
                <w:szCs w:val="20"/>
                <w:color w:val="auto"/>
              </w:rPr>
            </w:pPr>
            <w:r>
              <w:rPr>
                <w:rFonts w:ascii="Arial" w:cs="Arial" w:eastAsia="Arial" w:hAnsi="Arial"/>
                <w:sz w:val="22"/>
                <w:szCs w:val="22"/>
                <w:color w:val="auto"/>
              </w:rPr>
              <w:t>Net income</w:t>
            </w:r>
          </w:p>
        </w:tc>
        <w:tc>
          <w:tcPr>
            <w:tcW w:w="196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71,827</w:t>
            </w:r>
          </w:p>
        </w:tc>
        <w:tc>
          <w:tcPr>
            <w:tcW w:w="20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117,429</w:t>
            </w:r>
          </w:p>
        </w:tc>
        <w:tc>
          <w:tcPr>
            <w:tcW w:w="0" w:type="dxa"/>
            <w:vAlign w:val="bottom"/>
          </w:tcPr>
          <w:p>
            <w:pPr>
              <w:spacing w:after="0"/>
              <w:rPr>
                <w:sz w:val="1"/>
                <w:szCs w:val="1"/>
                <w:color w:val="auto"/>
              </w:rPr>
            </w:pPr>
          </w:p>
        </w:tc>
      </w:tr>
      <w:tr>
        <w:trPr>
          <w:trHeight w:val="251"/>
        </w:trPr>
        <w:tc>
          <w:tcPr>
            <w:tcW w:w="64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420" w:type="dxa"/>
            <w:vAlign w:val="bottom"/>
          </w:tcPr>
          <w:p>
            <w:pPr>
              <w:spacing w:after="0"/>
              <w:rPr>
                <w:sz w:val="20"/>
                <w:szCs w:val="20"/>
                <w:color w:val="auto"/>
              </w:rPr>
            </w:pPr>
            <w:r>
              <w:rPr>
                <w:rFonts w:ascii="Arial" w:cs="Arial" w:eastAsia="Arial" w:hAnsi="Arial"/>
                <w:sz w:val="22"/>
                <w:szCs w:val="22"/>
                <w:color w:val="auto"/>
              </w:rPr>
              <w:t>Comprehensive income</w:t>
            </w:r>
          </w:p>
        </w:tc>
        <w:tc>
          <w:tcPr>
            <w:tcW w:w="196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71,827</w:t>
            </w:r>
          </w:p>
        </w:tc>
        <w:tc>
          <w:tcPr>
            <w:tcW w:w="20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117,429</w:t>
            </w:r>
          </w:p>
        </w:tc>
        <w:tc>
          <w:tcPr>
            <w:tcW w:w="0" w:type="dxa"/>
            <w:vAlign w:val="bottom"/>
          </w:tcPr>
          <w:p>
            <w:pPr>
              <w:spacing w:after="0"/>
              <w:rPr>
                <w:sz w:val="1"/>
                <w:szCs w:val="1"/>
                <w:color w:val="auto"/>
              </w:rPr>
            </w:pPr>
          </w:p>
        </w:tc>
      </w:tr>
      <w:tr>
        <w:trPr>
          <w:trHeight w:val="251"/>
        </w:trPr>
        <w:tc>
          <w:tcPr>
            <w:tcW w:w="64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22"/>
                <w:szCs w:val="22"/>
                <w:color w:val="auto"/>
              </w:rPr>
              <w:t>Net income per common share:</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2"/>
                <w:szCs w:val="22"/>
                <w:color w:val="auto"/>
              </w:rPr>
              <w:t>Basic</w:t>
            </w:r>
          </w:p>
        </w:tc>
        <w:tc>
          <w:tcPr>
            <w:tcW w:w="16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0.36</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0.66</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120"/>
              <w:spacing w:after="0"/>
              <w:rPr>
                <w:sz w:val="20"/>
                <w:szCs w:val="20"/>
                <w:color w:val="auto"/>
              </w:rPr>
            </w:pPr>
            <w:r>
              <w:rPr>
                <w:rFonts w:ascii="Arial" w:cs="Arial" w:eastAsia="Arial" w:hAnsi="Arial"/>
                <w:sz w:val="22"/>
                <w:szCs w:val="22"/>
                <w:color w:val="auto"/>
              </w:rPr>
              <w:t>Diluted</w:t>
            </w:r>
          </w:p>
        </w:tc>
        <w:tc>
          <w:tcPr>
            <w:tcW w:w="1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20" w:type="dxa"/>
            <w:vAlign w:val="bottom"/>
            <w:tcBorders>
              <w:bottom w:val="single" w:sz="8" w:color="CCEEFF"/>
            </w:tcBorders>
            <w:vMerge w:val="continue"/>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12"/>
              <w:spacing w:after="0" w:line="224" w:lineRule="exact"/>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0.36</w:t>
            </w:r>
          </w:p>
        </w:tc>
        <w:tc>
          <w:tcPr>
            <w:tcW w:w="2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32"/>
              <w:spacing w:after="0" w:line="224" w:lineRule="exact"/>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0.66</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2"/>
                <w:szCs w:val="22"/>
                <w:color w:val="auto"/>
              </w:rPr>
              <w:t>Basic</w:t>
            </w:r>
          </w:p>
        </w:tc>
        <w:tc>
          <w:tcPr>
            <w:tcW w:w="16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198,747</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177,852</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120"/>
              <w:spacing w:after="0"/>
              <w:rPr>
                <w:sz w:val="20"/>
                <w:szCs w:val="20"/>
                <w:color w:val="auto"/>
              </w:rPr>
            </w:pPr>
            <w:r>
              <w:rPr>
                <w:rFonts w:ascii="Arial" w:cs="Arial" w:eastAsia="Arial" w:hAnsi="Arial"/>
                <w:sz w:val="22"/>
                <w:szCs w:val="22"/>
                <w:color w:val="auto"/>
              </w:rPr>
              <w:t>Diluted</w:t>
            </w: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199,303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178,299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ectPr>
          <w:pgSz w:w="11900" w:h="16838" w:orient="portrait"/>
          <w:cols w:equalWidth="0" w:num="1">
            <w:col w:w="11420"/>
          </w:cols>
          <w:pgMar w:left="240" w:top="130" w:right="239" w:bottom="0" w:gutter="0" w:footer="0" w:header="0"/>
        </w:sectPr>
      </w:pPr>
    </w:p>
    <w:bookmarkStart w:id="4" w:name="page5"/>
    <w:bookmarkEnd w:id="4"/>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36"/>
        </w:trPr>
        <w:tc>
          <w:tcPr>
            <w:tcW w:w="5680" w:type="dxa"/>
            <w:vAlign w:val="bottom"/>
            <w:gridSpan w:val="4"/>
            <w:vMerge w:val="restart"/>
          </w:tcPr>
          <w:p>
            <w:pPr>
              <w:spacing w:after="0"/>
              <w:rPr>
                <w:sz w:val="20"/>
                <w:szCs w:val="20"/>
                <w:color w:val="auto"/>
              </w:rPr>
            </w:pPr>
            <w:r>
              <w:rPr>
                <w:rFonts w:ascii="Arial" w:cs="Arial" w:eastAsia="Arial" w:hAnsi="Arial"/>
                <w:sz w:val="18"/>
                <w:szCs w:val="18"/>
                <w:color w:val="auto"/>
              </w:rPr>
              <w:t>Stockholders' equity:</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83"/>
        </w:trPr>
        <w:tc>
          <w:tcPr>
            <w:tcW w:w="5680" w:type="dxa"/>
            <w:vAlign w:val="bottom"/>
            <w:gridSpan w:val="4"/>
            <w:vMerge w:val="continue"/>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Common stock, $0.50 par value</w:t>
            </w: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109,444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Capital in excess of par value</w:t>
            </w: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2,633,271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820,378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1,159,753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Borders>
              <w:bottom w:val="single" w:sz="8" w:color="CCEEFF"/>
            </w:tcBorders>
            <w:gridSpan w:val="3"/>
          </w:tcPr>
          <w:p>
            <w:pPr>
              <w:ind w:left="220"/>
              <w:spacing w:after="0" w:line="202" w:lineRule="exact"/>
              <w:rPr>
                <w:sz w:val="20"/>
                <w:szCs w:val="20"/>
                <w:color w:val="auto"/>
              </w:rPr>
            </w:pPr>
            <w:r>
              <w:rPr>
                <w:rFonts w:ascii="Arial" w:cs="Arial" w:eastAsia="Arial" w:hAnsi="Arial"/>
                <w:sz w:val="18"/>
                <w:szCs w:val="18"/>
                <w:color w:val="auto"/>
              </w:rPr>
              <w:t>Treasury stock, at cost</w:t>
            </w:r>
          </w:p>
        </w:tc>
        <w:tc>
          <w:tcPr>
            <w:tcW w:w="15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(77,694)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(75,835)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1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3,824,774</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2,009,364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6"/>
              </w:rPr>
              <w:t>Long-term debt of subsidiaries (substantially collateralized by utility plant):</w:t>
            </w: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88"/>
              </w:rPr>
              <w:t>Interest Rate Range</w:t>
            </w:r>
          </w:p>
        </w:tc>
        <w:tc>
          <w:tcPr>
            <w:tcW w:w="2440" w:type="dxa"/>
            <w:vAlign w:val="bottom"/>
          </w:tcPr>
          <w:p>
            <w:pPr>
              <w:spacing w:after="0"/>
              <w:rPr>
                <w:sz w:val="15"/>
                <w:szCs w:val="15"/>
                <w:color w:val="auto"/>
              </w:rPr>
            </w:pPr>
          </w:p>
        </w:tc>
        <w:tc>
          <w:tcPr>
            <w:tcW w:w="1940" w:type="dxa"/>
            <w:vAlign w:val="bottom"/>
            <w:gridSpan w:val="2"/>
          </w:tcPr>
          <w:p>
            <w:pPr>
              <w:jc w:val="center"/>
              <w:ind w:right="440"/>
              <w:spacing w:after="0" w:line="176" w:lineRule="exact"/>
              <w:rPr>
                <w:sz w:val="20"/>
                <w:szCs w:val="20"/>
                <w:color w:val="auto"/>
              </w:rPr>
            </w:pPr>
            <w:r>
              <w:rPr>
                <w:rFonts w:ascii="Arial" w:cs="Arial" w:eastAsia="Arial" w:hAnsi="Arial"/>
                <w:sz w:val="18"/>
                <w:szCs w:val="18"/>
                <w:color w:val="auto"/>
                <w:w w:val="90"/>
              </w:rPr>
              <w:t>Maturity Date Range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0.00% to 0.99%</w:t>
            </w:r>
          </w:p>
        </w:tc>
        <w:tc>
          <w:tcPr>
            <w:tcW w:w="244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2023 to 2033</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60" w:type="dxa"/>
            <w:vAlign w:val="bottom"/>
            <w:gridSpan w:val="2"/>
          </w:tcPr>
          <w:p>
            <w:pPr>
              <w:jc w:val="center"/>
              <w:ind w:right="2460"/>
              <w:spacing w:after="0" w:line="202" w:lineRule="exact"/>
              <w:rPr>
                <w:sz w:val="20"/>
                <w:szCs w:val="20"/>
                <w:color w:val="auto"/>
              </w:rPr>
            </w:pPr>
            <w:r>
              <w:rPr>
                <w:rFonts w:ascii="Arial" w:cs="Arial" w:eastAsia="Arial" w:hAnsi="Arial"/>
                <w:sz w:val="18"/>
                <w:szCs w:val="18"/>
                <w:color w:val="auto"/>
                <w:w w:val="94"/>
              </w:rPr>
              <w:t>1.00% to 1.99%</w:t>
            </w:r>
          </w:p>
        </w:tc>
        <w:tc>
          <w:tcPr>
            <w:tcW w:w="1940" w:type="dxa"/>
            <w:vAlign w:val="bottom"/>
            <w:gridSpan w:val="2"/>
          </w:tcPr>
          <w:p>
            <w:pPr>
              <w:jc w:val="center"/>
              <w:ind w:right="440"/>
              <w:spacing w:after="0" w:line="202" w:lineRule="exact"/>
              <w:rPr>
                <w:sz w:val="20"/>
                <w:szCs w:val="20"/>
                <w:color w:val="auto"/>
              </w:rPr>
            </w:pPr>
            <w:r>
              <w:rPr>
                <w:rFonts w:ascii="Arial" w:cs="Arial" w:eastAsia="Arial" w:hAnsi="Arial"/>
                <w:sz w:val="18"/>
                <w:szCs w:val="18"/>
                <w:color w:val="auto"/>
                <w:w w:val="89"/>
              </w:rPr>
              <w:t>2020 to 2035</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11,624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jc w:val="center"/>
              <w:ind w:right="2460"/>
              <w:spacing w:after="0" w:line="202" w:lineRule="exact"/>
              <w:rPr>
                <w:sz w:val="20"/>
                <w:szCs w:val="20"/>
                <w:color w:val="auto"/>
              </w:rPr>
            </w:pPr>
            <w:r>
              <w:rPr>
                <w:rFonts w:ascii="Arial" w:cs="Arial" w:eastAsia="Arial" w:hAnsi="Arial"/>
                <w:sz w:val="18"/>
                <w:szCs w:val="18"/>
                <w:color w:val="auto"/>
                <w:w w:val="94"/>
              </w:rPr>
              <w:t>2.00% to 2.99%</w:t>
            </w:r>
          </w:p>
        </w:tc>
        <w:tc>
          <w:tcPr>
            <w:tcW w:w="1940" w:type="dxa"/>
            <w:vAlign w:val="bottom"/>
            <w:gridSpan w:val="2"/>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w w:val="89"/>
              </w:rPr>
              <w:t>2024 to 2033</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16,587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60" w:type="dxa"/>
            <w:vAlign w:val="bottom"/>
            <w:gridSpan w:val="2"/>
          </w:tcPr>
          <w:p>
            <w:pPr>
              <w:jc w:val="center"/>
              <w:ind w:right="2460"/>
              <w:spacing w:after="0" w:line="202" w:lineRule="exact"/>
              <w:rPr>
                <w:sz w:val="20"/>
                <w:szCs w:val="20"/>
                <w:color w:val="auto"/>
              </w:rPr>
            </w:pPr>
            <w:r>
              <w:rPr>
                <w:rFonts w:ascii="Arial" w:cs="Arial" w:eastAsia="Arial" w:hAnsi="Arial"/>
                <w:sz w:val="18"/>
                <w:szCs w:val="18"/>
                <w:color w:val="auto"/>
                <w:w w:val="94"/>
              </w:rPr>
              <w:t>3.00% to 3.99%</w:t>
            </w:r>
          </w:p>
        </w:tc>
        <w:tc>
          <w:tcPr>
            <w:tcW w:w="1940" w:type="dxa"/>
            <w:vAlign w:val="bottom"/>
            <w:gridSpan w:val="2"/>
          </w:tcPr>
          <w:p>
            <w:pPr>
              <w:jc w:val="center"/>
              <w:ind w:right="440"/>
              <w:spacing w:after="0" w:line="202" w:lineRule="exact"/>
              <w:rPr>
                <w:sz w:val="20"/>
                <w:szCs w:val="20"/>
                <w:color w:val="auto"/>
              </w:rPr>
            </w:pPr>
            <w:r>
              <w:rPr>
                <w:rFonts w:ascii="Arial" w:cs="Arial" w:eastAsia="Arial" w:hAnsi="Arial"/>
                <w:sz w:val="18"/>
                <w:szCs w:val="18"/>
                <w:color w:val="auto"/>
                <w:w w:val="89"/>
              </w:rPr>
              <w:t>2019 to 2056</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496,319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497,426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jc w:val="center"/>
              <w:ind w:right="2460"/>
              <w:spacing w:after="0" w:line="202" w:lineRule="exact"/>
              <w:rPr>
                <w:sz w:val="20"/>
                <w:szCs w:val="20"/>
                <w:color w:val="auto"/>
              </w:rPr>
            </w:pPr>
            <w:r>
              <w:rPr>
                <w:rFonts w:ascii="Arial" w:cs="Arial" w:eastAsia="Arial" w:hAnsi="Arial"/>
                <w:sz w:val="18"/>
                <w:szCs w:val="18"/>
                <w:color w:val="auto"/>
                <w:w w:val="94"/>
              </w:rPr>
              <w:t>4.00% to 4.99%</w:t>
            </w:r>
          </w:p>
        </w:tc>
        <w:tc>
          <w:tcPr>
            <w:tcW w:w="1940" w:type="dxa"/>
            <w:vAlign w:val="bottom"/>
            <w:gridSpan w:val="2"/>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w w:val="89"/>
              </w:rPr>
              <w:t>2020 to 2059</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955,566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831,066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60" w:type="dxa"/>
            <w:vAlign w:val="bottom"/>
            <w:gridSpan w:val="2"/>
          </w:tcPr>
          <w:p>
            <w:pPr>
              <w:jc w:val="center"/>
              <w:ind w:right="2460"/>
              <w:spacing w:after="0" w:line="202" w:lineRule="exact"/>
              <w:rPr>
                <w:sz w:val="20"/>
                <w:szCs w:val="20"/>
                <w:color w:val="auto"/>
              </w:rPr>
            </w:pPr>
            <w:r>
              <w:rPr>
                <w:rFonts w:ascii="Arial" w:cs="Arial" w:eastAsia="Arial" w:hAnsi="Arial"/>
                <w:sz w:val="18"/>
                <w:szCs w:val="18"/>
                <w:color w:val="auto"/>
                <w:w w:val="94"/>
              </w:rPr>
              <w:t>5.00% to 5.99%</w:t>
            </w:r>
          </w:p>
        </w:tc>
        <w:tc>
          <w:tcPr>
            <w:tcW w:w="1940" w:type="dxa"/>
            <w:vAlign w:val="bottom"/>
            <w:gridSpan w:val="2"/>
          </w:tcPr>
          <w:p>
            <w:pPr>
              <w:jc w:val="center"/>
              <w:ind w:right="440"/>
              <w:spacing w:after="0" w:line="202" w:lineRule="exact"/>
              <w:rPr>
                <w:sz w:val="20"/>
                <w:szCs w:val="20"/>
                <w:color w:val="auto"/>
              </w:rPr>
            </w:pPr>
            <w:r>
              <w:rPr>
                <w:rFonts w:ascii="Arial" w:cs="Arial" w:eastAsia="Arial" w:hAnsi="Arial"/>
                <w:sz w:val="18"/>
                <w:szCs w:val="18"/>
                <w:color w:val="auto"/>
                <w:w w:val="89"/>
              </w:rPr>
              <w:t>2019 to 2043</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134,478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154,788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jc w:val="center"/>
              <w:ind w:right="2460"/>
              <w:spacing w:after="0" w:line="202" w:lineRule="exact"/>
              <w:rPr>
                <w:sz w:val="20"/>
                <w:szCs w:val="20"/>
                <w:color w:val="auto"/>
              </w:rPr>
            </w:pPr>
            <w:r>
              <w:rPr>
                <w:rFonts w:ascii="Arial" w:cs="Arial" w:eastAsia="Arial" w:hAnsi="Arial"/>
                <w:sz w:val="18"/>
                <w:szCs w:val="18"/>
                <w:color w:val="auto"/>
                <w:w w:val="94"/>
              </w:rPr>
              <w:t>6.00% to 6.99%</w:t>
            </w:r>
          </w:p>
        </w:tc>
        <w:tc>
          <w:tcPr>
            <w:tcW w:w="1940" w:type="dxa"/>
            <w:vAlign w:val="bottom"/>
            <w:gridSpan w:val="2"/>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w w:val="89"/>
              </w:rPr>
              <w:t>2026 to 2036</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60" w:type="dxa"/>
            <w:vAlign w:val="bottom"/>
            <w:gridSpan w:val="2"/>
          </w:tcPr>
          <w:p>
            <w:pPr>
              <w:jc w:val="center"/>
              <w:ind w:right="2460"/>
              <w:spacing w:after="0" w:line="202" w:lineRule="exact"/>
              <w:rPr>
                <w:sz w:val="20"/>
                <w:szCs w:val="20"/>
                <w:color w:val="auto"/>
              </w:rPr>
            </w:pPr>
            <w:r>
              <w:rPr>
                <w:rFonts w:ascii="Arial" w:cs="Arial" w:eastAsia="Arial" w:hAnsi="Arial"/>
                <w:sz w:val="18"/>
                <w:szCs w:val="18"/>
                <w:color w:val="auto"/>
                <w:w w:val="94"/>
              </w:rPr>
              <w:t>7.00% to 7.99%</w:t>
            </w:r>
          </w:p>
        </w:tc>
        <w:tc>
          <w:tcPr>
            <w:tcW w:w="1940" w:type="dxa"/>
            <w:vAlign w:val="bottom"/>
            <w:gridSpan w:val="2"/>
          </w:tcPr>
          <w:p>
            <w:pPr>
              <w:jc w:val="center"/>
              <w:ind w:right="440"/>
              <w:spacing w:after="0" w:line="202" w:lineRule="exact"/>
              <w:rPr>
                <w:sz w:val="20"/>
                <w:szCs w:val="20"/>
                <w:color w:val="auto"/>
              </w:rPr>
            </w:pPr>
            <w:r>
              <w:rPr>
                <w:rFonts w:ascii="Arial" w:cs="Arial" w:eastAsia="Arial" w:hAnsi="Arial"/>
                <w:sz w:val="18"/>
                <w:szCs w:val="18"/>
                <w:color w:val="auto"/>
                <w:w w:val="89"/>
              </w:rPr>
              <w:t>2022 to 2027</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31,163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jc w:val="center"/>
              <w:ind w:right="2460"/>
              <w:spacing w:after="0" w:line="202" w:lineRule="exact"/>
              <w:rPr>
                <w:sz w:val="20"/>
                <w:szCs w:val="20"/>
                <w:color w:val="auto"/>
              </w:rPr>
            </w:pPr>
            <w:r>
              <w:rPr>
                <w:rFonts w:ascii="Arial" w:cs="Arial" w:eastAsia="Arial" w:hAnsi="Arial"/>
                <w:sz w:val="18"/>
                <w:szCs w:val="18"/>
                <w:color w:val="auto"/>
                <w:w w:val="94"/>
              </w:rPr>
              <w:t>8.00% to 8.99%</w:t>
            </w:r>
          </w:p>
        </w:tc>
        <w:tc>
          <w:tcPr>
            <w:tcW w:w="1940" w:type="dxa"/>
            <w:vAlign w:val="bottom"/>
            <w:gridSpan w:val="2"/>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w w:val="89"/>
              </w:rPr>
              <w:t>2021 to 2025</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gridSpan w:val="2"/>
          </w:tcPr>
          <w:p>
            <w:pPr>
              <w:jc w:val="center"/>
              <w:ind w:right="2460"/>
              <w:spacing w:after="0" w:line="202" w:lineRule="exact"/>
              <w:rPr>
                <w:sz w:val="20"/>
                <w:szCs w:val="20"/>
                <w:color w:val="auto"/>
              </w:rPr>
            </w:pPr>
            <w:r>
              <w:rPr>
                <w:rFonts w:ascii="Arial" w:cs="Arial" w:eastAsia="Arial" w:hAnsi="Arial"/>
                <w:sz w:val="18"/>
                <w:szCs w:val="18"/>
                <w:color w:val="auto"/>
                <w:w w:val="94"/>
              </w:rPr>
              <w:t>9.00% to 9.99%</w:t>
            </w:r>
          </w:p>
        </w:tc>
        <w:tc>
          <w:tcPr>
            <w:tcW w:w="1940" w:type="dxa"/>
            <w:vAlign w:val="bottom"/>
            <w:tcBorders>
              <w:bottom w:val="single" w:sz="8" w:color="CCEEFF"/>
            </w:tcBorders>
            <w:gridSpan w:val="2"/>
          </w:tcPr>
          <w:p>
            <w:pPr>
              <w:jc w:val="center"/>
              <w:ind w:right="440"/>
              <w:spacing w:after="0" w:line="202" w:lineRule="exact"/>
              <w:rPr>
                <w:sz w:val="20"/>
                <w:szCs w:val="20"/>
                <w:color w:val="auto"/>
              </w:rPr>
            </w:pPr>
            <w:r>
              <w:rPr>
                <w:rFonts w:ascii="Arial" w:cs="Arial" w:eastAsia="Arial" w:hAnsi="Arial"/>
                <w:sz w:val="18"/>
                <w:szCs w:val="18"/>
                <w:color w:val="auto"/>
                <w:w w:val="89"/>
              </w:rPr>
              <w:t>2020 to 2026</w:t>
            </w: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1,705,459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1,604,233</w:t>
            </w: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c>
          <w:tcPr>
            <w:tcW w:w="394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Notes payable to bank under revolving credit agreement, variable rate, due 2023</w:t>
            </w:r>
          </w:p>
        </w:tc>
        <w:tc>
          <w:tcPr>
            <w:tcW w:w="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tcPr>
          <w:p>
            <w:pPr>
              <w:spacing w:after="0" w:line="202" w:lineRule="exact"/>
              <w:rPr>
                <w:sz w:val="20"/>
                <w:szCs w:val="20"/>
                <w:color w:val="auto"/>
              </w:rPr>
            </w:pPr>
            <w:r>
              <w:rPr>
                <w:rFonts w:ascii="Arial" w:cs="Arial" w:eastAsia="Arial" w:hAnsi="Arial"/>
                <w:sz w:val="18"/>
                <w:szCs w:val="18"/>
                <w:color w:val="auto"/>
              </w:rPr>
              <w:t>Unsecured notes payable:</w:t>
            </w: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Bank notes at 2.48% and 3.50% due 2019 and 2020</w:t>
            </w: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Amortizing notes at 3.00% due 2022</w:t>
            </w: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119,081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Notes ranging from 3.01% to 3.59% due 2027 through 2041</w:t>
            </w: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Notes at 4.28%, due 2049</w:t>
            </w: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Notes ranging from 5.64% to 5.95%, due 2020 through 2034</w:t>
            </w: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50,927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132,427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3,000,467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2,563,660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6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5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221,393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144,545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1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2,779,074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2,419,115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Less: debt issuance costs</w:t>
            </w:r>
          </w:p>
        </w:tc>
        <w:tc>
          <w:tcPr>
            <w:tcW w:w="15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29,870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 net of debt issuance costs</w:t>
            </w:r>
          </w:p>
        </w:tc>
        <w:tc>
          <w:tcPr>
            <w:tcW w:w="1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2,749,204</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2,398,464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capitalization</w:t>
            </w:r>
          </w:p>
        </w:tc>
        <w:tc>
          <w:tcPr>
            <w:tcW w:w="15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6,573,978</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4,407,828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beginning on page 9 of this report.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Capital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color w:val="auto"/>
              </w:rPr>
              <w:t>Common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w w:val="97"/>
              </w:rPr>
              <w:t>Excess of</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Treasury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5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Stock</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6"/>
              </w:rPr>
              <w:t>Par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Earnings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Stock</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Total</w:t>
            </w:r>
          </w:p>
        </w:tc>
      </w:tr>
      <w:tr>
        <w:trPr>
          <w:trHeight w:val="19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90,576</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1,174,245</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(75,835)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2,009,364</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16,924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($0.2190 per share)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(39,014)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(39,014)</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Issuance of common stock under dividend reinvestment plan (117,845 shares)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stock (52,124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(1,857)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r>
    </w:tbl>
    <w:p>
      <w:pPr>
        <w:sectPr>
          <w:pgSz w:w="11900" w:h="16838" w:orient="portrait"/>
          <w:cols w:equalWidth="0" w:num="1">
            <w:col w:w="11420"/>
          </w:cols>
          <w:pgMar w:left="240" w:top="577" w:right="239" w:bottom="0" w:gutter="0" w:footer="0" w:header="0"/>
        </w:sectPr>
      </w:pPr>
    </w:p>
    <w:bookmarkStart w:id="5" w:name="page6"/>
    <w:bookmarkEnd w:id="5"/>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20"/>
                <w:szCs w:val="20"/>
                <w:color w:val="auto"/>
              </w:rPr>
            </w:pPr>
            <w:r>
              <w:rPr>
                <w:rFonts w:ascii="Arial" w:cs="Arial" w:eastAsia="Arial" w:hAnsi="Arial"/>
                <w:sz w:val="16"/>
                <w:szCs w:val="16"/>
                <w:color w:val="auto"/>
              </w:rPr>
              <w:t>Equity compensation plan (134,257 shares)</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(77,479 shares)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Pr>
          <w:p>
            <w:pPr>
              <w:spacing w:after="0"/>
              <w:rPr>
                <w:sz w:val="20"/>
                <w:szCs w:val="20"/>
                <w:color w:val="auto"/>
              </w:rPr>
            </w:pPr>
            <w:r>
              <w:rPr>
                <w:rFonts w:ascii="Arial" w:cs="Arial" w:eastAsia="Arial" w:hAnsi="Arial"/>
                <w:sz w:val="16"/>
                <w:szCs w:val="16"/>
                <w:color w:val="auto"/>
              </w:rPr>
              <w:t>Balance at March 31, 2019</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90,741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827,339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1,152,197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(77,692)</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1,992,585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54,903</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Dividends declared ($0.2190 per share)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(47,249)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(47,249)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Stock issued to finance pending acquisition (37,370,017 shares)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18,685</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1,245,440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1,264,125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Proceeds from stock purchase contract issued under tangible equity units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557,837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557,837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dividend reinvestment plan (10,162 shares)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Repurchase of stock (46 shares)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 (5,099 shares)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Exercise of stock options (21,148 shares)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(212)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June 30, 2019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109,444</w:t>
            </w:r>
          </w:p>
        </w:tc>
        <w:tc>
          <w:tcPr>
            <w:tcW w:w="80" w:type="dxa"/>
            <w:vAlign w:val="bottom"/>
            <w:tcBorders>
              <w:left w:val="single" w:sz="8" w:color="CCEEFF"/>
            </w:tcBorders>
            <w:vMerge w:val="continue"/>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2,633,271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1,159,753</w:t>
            </w:r>
          </w:p>
        </w:tc>
        <w:tc>
          <w:tcPr>
            <w:tcW w:w="80" w:type="dxa"/>
            <w:vAlign w:val="bottom"/>
            <w:tcBorders>
              <w:left w:val="single" w:sz="8" w:color="CCEEFF"/>
            </w:tcBorders>
            <w:vMerge w:val="continue"/>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(77,694)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3,824,774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w w:val="90"/>
              </w:rPr>
              <w:t>Accumulated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Retained</w:t>
            </w:r>
          </w:p>
        </w:tc>
        <w:tc>
          <w:tcPr>
            <w:tcW w:w="1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w w:val="91"/>
              </w:rPr>
              <w:t>Treasury</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w w:val="94"/>
              </w:rPr>
              <w:t>Comprehensive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Par Value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Total</w:t>
            </w:r>
          </w:p>
        </w:tc>
      </w:tr>
      <w:tr>
        <w:trPr>
          <w:trHeight w:val="19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807,135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1,132,556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(73,280)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1,957,621</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50,839</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($0.2047 per share)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(36,386)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(36,386)</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w w:val="94"/>
              </w:rPr>
              <w:t>Issuance of common stock under dividend reinvestment plan (11,252 shares)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stock (71,940 shares)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Equity compensation plan (181,670 shares)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(62,688 shares)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w w:val="99"/>
              </w:rPr>
              <w:t>Cumulative effect of change in accounting principle - financial instruments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5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9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2018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809,624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(75,771)</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1,972,159</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66,590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($0.2047 per share)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(36,416)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(36,416)</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w w:val="94"/>
              </w:rPr>
              <w:t>Issuance of common stock under dividend reinvestment plan (10,918 shares)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 (3,969 shares)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Exercise of stock options (411 shares)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0"/>
        </w:trPr>
        <w:tc>
          <w:tcPr>
            <w:tcW w:w="5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June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90,486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811,763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1,177,874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(75,771)</w:t>
            </w: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64"/>
              <w:spacing w:after="0" w:line="183" w:lineRule="exact"/>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2,004,352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CONSOLIDATED STATEMENTS OF CASH FLOW</w:t>
      </w:r>
    </w:p>
    <w:p>
      <w:pPr>
        <w:ind w:left="462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56" w:lineRule="exact"/>
        <w:rPr>
          <w:sz w:val="20"/>
          <w:szCs w:val="20"/>
          <w:color w:val="auto"/>
        </w:rPr>
      </w:pPr>
    </w:p>
    <w:p>
      <w:pPr>
        <w:jc w:val="center"/>
        <w:ind w:left="8940"/>
        <w:spacing w:after="0"/>
        <w:rPr>
          <w:sz w:val="20"/>
          <w:szCs w:val="20"/>
          <w:color w:val="auto"/>
        </w:rPr>
      </w:pPr>
      <w:r>
        <w:rPr>
          <w:rFonts w:ascii="Arial" w:cs="Arial" w:eastAsia="Arial" w:hAnsi="Arial"/>
          <w:sz w:val="16"/>
          <w:szCs w:val="16"/>
          <w:color w:val="auto"/>
        </w:rPr>
        <w:t>Six Months Ended</w:t>
      </w:r>
    </w:p>
    <w:p>
      <w:pPr>
        <w:spacing w:after="0" w:line="22" w:lineRule="exact"/>
        <w:rPr>
          <w:sz w:val="20"/>
          <w:szCs w:val="20"/>
          <w:color w:val="auto"/>
        </w:rPr>
      </w:pPr>
    </w:p>
    <w:p>
      <w:pPr>
        <w:jc w:val="center"/>
        <w:ind w:left="8940"/>
        <w:spacing w:after="0"/>
        <w:rPr>
          <w:sz w:val="20"/>
          <w:szCs w:val="20"/>
          <w:color w:val="auto"/>
        </w:rPr>
      </w:pPr>
      <w:r>
        <w:rPr>
          <w:rFonts w:ascii="Arial" w:cs="Arial" w:eastAsia="Arial" w:hAnsi="Arial"/>
          <w:sz w:val="16"/>
          <w:szCs w:val="16"/>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-635</wp:posOffset>
            </wp:positionV>
            <wp:extent cx="1577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9360"/>
        <w:spacing w:after="0"/>
        <w:tabs>
          <w:tab w:leader="none" w:pos="10660" w:val="left"/>
        </w:tabs>
        <w:rPr>
          <w:sz w:val="20"/>
          <w:szCs w:val="20"/>
          <w:color w:val="auto"/>
        </w:rPr>
      </w:pPr>
      <w:r>
        <w:rPr>
          <w:rFonts w:ascii="Arial" w:cs="Arial" w:eastAsia="Arial" w:hAnsi="Arial"/>
          <w:sz w:val="16"/>
          <w:szCs w:val="16"/>
          <w:color w:val="auto"/>
        </w:rPr>
        <w:t>2019</w:t>
      </w:r>
      <w:r>
        <w:rPr>
          <w:sz w:val="20"/>
          <w:szCs w:val="20"/>
          <w:color w:val="auto"/>
        </w:rPr>
        <w:tab/>
      </w:r>
      <w:r>
        <w:rPr>
          <w:rFonts w:ascii="Arial" w:cs="Arial" w:eastAsia="Arial" w:hAnsi="Arial"/>
          <w:sz w:val="16"/>
          <w:szCs w:val="16"/>
          <w:color w:val="auto"/>
        </w:rPr>
        <w:t>2018</w:t>
      </w:r>
    </w:p>
    <w:p>
      <w:pPr>
        <w:sectPr>
          <w:pgSz w:w="11900" w:h="16910" w:orient="portrait"/>
          <w:cols w:equalWidth="0" w:num="1">
            <w:col w:w="11420"/>
          </w:cols>
          <w:pgMar w:left="240" w:top="118"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89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117,429</w:t>
            </w:r>
          </w:p>
        </w:tc>
        <w:tc>
          <w:tcPr>
            <w:tcW w:w="0" w:type="dxa"/>
            <w:vAlign w:val="bottom"/>
          </w:tcPr>
          <w:p>
            <w:pPr>
              <w:spacing w:after="0"/>
              <w:rPr>
                <w:sz w:val="1"/>
                <w:szCs w:val="1"/>
                <w:color w:val="auto"/>
              </w:rPr>
            </w:pPr>
          </w:p>
        </w:tc>
      </w:tr>
      <w:tr>
        <w:trPr>
          <w:trHeight w:val="203"/>
        </w:trPr>
        <w:tc>
          <w:tcPr>
            <w:tcW w:w="8940" w:type="dxa"/>
            <w:vAlign w:val="bottom"/>
          </w:tcPr>
          <w:p>
            <w:pPr>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0" w:type="dxa"/>
            <w:vAlign w:val="bottom"/>
          </w:tcPr>
          <w:p>
            <w:pPr>
              <w:spacing w:after="0"/>
              <w:rPr>
                <w:sz w:val="1"/>
                <w:szCs w:val="1"/>
                <w:color w:val="auto"/>
              </w:rPr>
            </w:pPr>
          </w:p>
        </w:tc>
      </w:tr>
      <w:tr>
        <w:trPr>
          <w:trHeight w:val="203"/>
        </w:trPr>
        <w:tc>
          <w:tcPr>
            <w:tcW w:w="89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(11,884)</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03"/>
        </w:trPr>
        <w:tc>
          <w:tcPr>
            <w:tcW w:w="89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4,058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3,432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other assets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(268)</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3"/>
        </w:trPr>
        <w:tc>
          <w:tcPr>
            <w:tcW w:w="8940" w:type="dxa"/>
            <w:vAlign w:val="bottom"/>
          </w:tcPr>
          <w:p>
            <w:pPr>
              <w:ind w:left="220"/>
              <w:spacing w:after="0"/>
              <w:rPr>
                <w:sz w:val="20"/>
                <w:szCs w:val="20"/>
                <w:color w:val="auto"/>
              </w:rPr>
            </w:pPr>
            <w:r>
              <w:rPr>
                <w:rFonts w:ascii="Arial" w:cs="Arial" w:eastAsia="Arial" w:hAnsi="Arial"/>
                <w:sz w:val="16"/>
                <w:szCs w:val="16"/>
                <w:color w:val="auto"/>
              </w:rPr>
              <w:t>Gain on sale of utility system</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(403)</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interest rate swap agreements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23,742</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940" w:type="dxa"/>
            <w:vAlign w:val="bottom"/>
          </w:tcPr>
          <w:p>
            <w:pPr>
              <w:ind w:left="220"/>
              <w:spacing w:after="0"/>
              <w:rPr>
                <w:sz w:val="20"/>
                <w:szCs w:val="20"/>
                <w:color w:val="auto"/>
              </w:rPr>
            </w:pPr>
            <w:r>
              <w:rPr>
                <w:rFonts w:ascii="Arial" w:cs="Arial" w:eastAsia="Arial" w:hAnsi="Arial"/>
                <w:sz w:val="16"/>
                <w:szCs w:val="16"/>
                <w:color w:val="auto"/>
              </w:rPr>
              <w:t>Loss on debt extinguishment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18,935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 of interest rate swap agreements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(83,520)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940" w:type="dxa"/>
            <w:vAlign w:val="bottom"/>
          </w:tcPr>
          <w:p>
            <w:pPr>
              <w:ind w:left="220"/>
              <w:spacing w:after="0"/>
              <w:rPr>
                <w:sz w:val="20"/>
                <w:szCs w:val="20"/>
                <w:color w:val="auto"/>
              </w:rPr>
            </w:pPr>
            <w:r>
              <w:rPr>
                <w:rFonts w:ascii="Arial" w:cs="Arial" w:eastAsia="Arial" w:hAnsi="Arial"/>
                <w:sz w:val="16"/>
                <w:szCs w:val="16"/>
                <w:color w:val="auto"/>
              </w:rPr>
              <w:t>Net change in receivables, inventory and prepayments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(5,672)</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(11,110)</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(658)</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0" w:type="dxa"/>
            <w:vAlign w:val="bottom"/>
          </w:tcPr>
          <w:p>
            <w:pPr>
              <w:spacing w:after="0"/>
              <w:rPr>
                <w:sz w:val="1"/>
                <w:szCs w:val="1"/>
                <w:color w:val="auto"/>
              </w:rPr>
            </w:pPr>
          </w:p>
        </w:tc>
      </w:tr>
      <w:tr>
        <w:trPr>
          <w:trHeight w:val="203"/>
        </w:trPr>
        <w:tc>
          <w:tcPr>
            <w:tcW w:w="8940" w:type="dxa"/>
            <w:vAlign w:val="bottom"/>
          </w:tcPr>
          <w:p>
            <w:pPr>
              <w:ind w:left="220"/>
              <w:spacing w:after="0"/>
              <w:rPr>
                <w:sz w:val="20"/>
                <w:szCs w:val="20"/>
                <w:color w:val="auto"/>
              </w:rPr>
            </w:pPr>
            <w:r>
              <w:rPr>
                <w:rFonts w:ascii="Arial" w:cs="Arial" w:eastAsia="Arial" w:hAnsi="Arial"/>
                <w:sz w:val="16"/>
                <w:szCs w:val="16"/>
                <w:color w:val="auto"/>
              </w:rPr>
              <w:t>Pension and other postretirement benefits contributions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(6,595)</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(8,692)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0" w:type="dxa"/>
            <w:vAlign w:val="bottom"/>
          </w:tcPr>
          <w:p>
            <w:pPr>
              <w:spacing w:after="0"/>
              <w:rPr>
                <w:sz w:val="1"/>
                <w:szCs w:val="1"/>
                <w:color w:val="auto"/>
              </w:rPr>
            </w:pPr>
          </w:p>
        </w:tc>
      </w:tr>
      <w:tr>
        <w:trPr>
          <w:trHeight w:val="183"/>
        </w:trPr>
        <w:tc>
          <w:tcPr>
            <w:tcW w:w="89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cash flows from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87,543</w:t>
            </w:r>
          </w:p>
        </w:tc>
        <w:tc>
          <w:tcPr>
            <w:tcW w:w="1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169,685</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940" w:type="dxa"/>
            <w:vAlign w:val="bottom"/>
          </w:tcPr>
          <w:p>
            <w:pPr>
              <w:ind w:left="120"/>
              <w:spacing w:after="0" w:line="138" w:lineRule="exact"/>
              <w:rPr>
                <w:sz w:val="20"/>
                <w:szCs w:val="20"/>
                <w:color w:val="auto"/>
              </w:rPr>
            </w:pPr>
            <w:r>
              <w:rPr>
                <w:rFonts w:ascii="Arial" w:cs="Arial" w:eastAsia="Arial" w:hAnsi="Arial"/>
                <w:sz w:val="16"/>
                <w:szCs w:val="16"/>
                <w:color w:val="auto"/>
                <w:w w:val="96"/>
              </w:rPr>
              <w:t>Property, plant and equipment additions, including the debt component of allowance for funds used during construction of $2,117</w:t>
            </w:r>
          </w:p>
        </w:tc>
        <w:tc>
          <w:tcPr>
            <w:tcW w:w="2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(269,171)</w:t>
            </w:r>
          </w:p>
        </w:tc>
        <w:tc>
          <w:tcPr>
            <w:tcW w:w="3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(216,614)</w:t>
            </w:r>
          </w:p>
        </w:tc>
        <w:tc>
          <w:tcPr>
            <w:tcW w:w="0" w:type="dxa"/>
            <w:vAlign w:val="bottom"/>
          </w:tcPr>
          <w:p>
            <w:pPr>
              <w:spacing w:after="0"/>
              <w:rPr>
                <w:sz w:val="1"/>
                <w:szCs w:val="1"/>
                <w:color w:val="auto"/>
              </w:rPr>
            </w:pPr>
          </w:p>
        </w:tc>
      </w:tr>
      <w:tr>
        <w:trPr>
          <w:trHeight w:val="185"/>
        </w:trPr>
        <w:tc>
          <w:tcPr>
            <w:tcW w:w="8940" w:type="dxa"/>
            <w:vAlign w:val="bottom"/>
          </w:tcPr>
          <w:p>
            <w:pPr>
              <w:ind w:left="120"/>
              <w:spacing w:after="0"/>
              <w:rPr>
                <w:sz w:val="20"/>
                <w:szCs w:val="20"/>
                <w:color w:val="auto"/>
              </w:rPr>
            </w:pPr>
            <w:r>
              <w:rPr>
                <w:rFonts w:ascii="Arial" w:cs="Arial" w:eastAsia="Arial" w:hAnsi="Arial"/>
                <w:sz w:val="16"/>
                <w:szCs w:val="16"/>
                <w:color w:val="auto"/>
              </w:rPr>
              <w:t>and $1,613</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Acquisitions of utility systems, net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(519)</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Net proceeds from the sale of other assets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83"/>
        </w:trPr>
        <w:tc>
          <w:tcPr>
            <w:tcW w:w="8940" w:type="dxa"/>
            <w:vAlign w:val="bottom"/>
          </w:tcPr>
          <w:p>
            <w:pPr>
              <w:spacing w:after="0" w:line="183" w:lineRule="exact"/>
              <w:rPr>
                <w:sz w:val="20"/>
                <w:szCs w:val="20"/>
                <w:color w:val="auto"/>
              </w:rPr>
            </w:pPr>
            <w:r>
              <w:rPr>
                <w:rFonts w:ascii="Arial" w:cs="Arial" w:eastAsia="Arial" w:hAnsi="Arial"/>
                <w:sz w:val="16"/>
                <w:szCs w:val="16"/>
                <w:color w:val="auto"/>
              </w:rPr>
              <w:t>Net cash flows used in investing activities</w:t>
            </w:r>
          </w:p>
        </w:tc>
        <w:tc>
          <w:tcPr>
            <w:tcW w:w="280" w:type="dxa"/>
            <w:vAlign w:val="bottom"/>
          </w:tcPr>
          <w:p>
            <w:pPr>
              <w:spacing w:after="0"/>
              <w:rPr>
                <w:sz w:val="15"/>
                <w:szCs w:val="15"/>
                <w:color w:val="auto"/>
              </w:rPr>
            </w:pPr>
          </w:p>
        </w:tc>
        <w:tc>
          <w:tcPr>
            <w:tcW w:w="104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(266,525)</w:t>
            </w:r>
          </w:p>
        </w:tc>
        <w:tc>
          <w:tcPr>
            <w:tcW w:w="3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(216,558)</w:t>
            </w:r>
          </w:p>
        </w:tc>
        <w:tc>
          <w:tcPr>
            <w:tcW w:w="0" w:type="dxa"/>
            <w:vAlign w:val="bottom"/>
          </w:tcPr>
          <w:p>
            <w:pPr>
              <w:spacing w:after="0"/>
              <w:rPr>
                <w:sz w:val="1"/>
                <w:szCs w:val="1"/>
                <w:color w:val="auto"/>
              </w:rPr>
            </w:pPr>
          </w:p>
        </w:tc>
      </w:tr>
      <w:tr>
        <w:trPr>
          <w:trHeight w:val="183"/>
        </w:trPr>
        <w:tc>
          <w:tcPr>
            <w:tcW w:w="8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Customers' advances and contributions in aid of construction</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5,914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4,068</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customers' advances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(1,488)</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Net repayments of short-term debt</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(9,373)</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1,136,000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218,037</w:t>
            </w: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(825,642)</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(41,001)</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Extinguishment of long-term debt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(25,237)</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Change in cash overdraft position</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13,343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(6,062)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 under dividend reinvestment plan</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Proceeds from stock issued to finance pending acquisition</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1,264,125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tangible equity unit issuance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674,170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Proceeds from exercised stock options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(1,859)</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0" w:type="dxa"/>
            <w:vAlign w:val="bottom"/>
          </w:tcPr>
          <w:p>
            <w:pPr>
              <w:spacing w:after="0"/>
              <w:rPr>
                <w:sz w:val="1"/>
                <w:szCs w:val="1"/>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6"/>
                <w:szCs w:val="16"/>
                <w:color w:val="auto"/>
              </w:rPr>
              <w:t>Dividends paid on common stock</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(86,263)</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(72,802)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(225)</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3"/>
        </w:trPr>
        <w:tc>
          <w:tcPr>
            <w:tcW w:w="89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cash flows from financing activities</w:t>
            </w: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2,149,431</w:t>
            </w:r>
          </w:p>
        </w:tc>
        <w:tc>
          <w:tcPr>
            <w:tcW w:w="1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95,617</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1,970,449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48,744</w:t>
            </w:r>
          </w:p>
        </w:tc>
        <w:tc>
          <w:tcPr>
            <w:tcW w:w="0" w:type="dxa"/>
            <w:vAlign w:val="bottom"/>
          </w:tcPr>
          <w:p>
            <w:pPr>
              <w:spacing w:after="0"/>
              <w:rPr>
                <w:sz w:val="1"/>
                <w:szCs w:val="1"/>
                <w:color w:val="auto"/>
              </w:rPr>
            </w:pPr>
          </w:p>
        </w:tc>
      </w:tr>
      <w:tr>
        <w:trPr>
          <w:trHeight w:val="203"/>
        </w:trPr>
        <w:tc>
          <w:tcPr>
            <w:tcW w:w="8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1,974,076</w:t>
            </w:r>
          </w:p>
        </w:tc>
        <w:tc>
          <w:tcPr>
            <w:tcW w:w="1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52,948</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44,809</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26,010</w:t>
            </w:r>
          </w:p>
        </w:tc>
        <w:tc>
          <w:tcPr>
            <w:tcW w:w="0" w:type="dxa"/>
            <w:vAlign w:val="bottom"/>
          </w:tcPr>
          <w:p>
            <w:pPr>
              <w:spacing w:after="0"/>
              <w:rPr>
                <w:sz w:val="1"/>
                <w:szCs w:val="1"/>
                <w:color w:val="auto"/>
              </w:rPr>
            </w:pPr>
          </w:p>
        </w:tc>
      </w:tr>
      <w:tr>
        <w:trPr>
          <w:trHeight w:val="224"/>
        </w:trPr>
        <w:tc>
          <w:tcPr>
            <w:tcW w:w="8940" w:type="dxa"/>
            <w:vAlign w:val="bottom"/>
          </w:tcPr>
          <w:p>
            <w:pPr>
              <w:ind w:left="12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21,527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10,468</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ind w:right="40"/>
        <w:spacing w:after="0" w:line="217" w:lineRule="auto"/>
        <w:rPr>
          <w:sz w:val="20"/>
          <w:szCs w:val="20"/>
          <w:color w:val="auto"/>
        </w:rPr>
      </w:pPr>
      <w:r>
        <w:rPr>
          <w:rFonts w:ascii="Arial" w:cs="Arial" w:eastAsia="Arial" w:hAnsi="Arial"/>
          <w:sz w:val="22"/>
          <w:szCs w:val="22"/>
          <w:color w:val="auto"/>
        </w:rPr>
        <w:t>AQUA AMERICA, INC. AND SUBSIDIARIES</w:t>
      </w:r>
    </w:p>
    <w:p>
      <w:pPr>
        <w:jc w:val="center"/>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accompanying consolidated balance sheets and statements of capitalization of Aqua America, Inc. and subsidiaries (the “Company”, “we”, “us” or “our”) at June 30, 2019, the consolidated statements of operations and comprehensive income for the three and six months ended June 30, 2019 and 2018 the consolidated statements of cash flow for the six months ended June 30, 2019 and 2018, and the consolidated statements of equity for the six months ended June 30, 2019 and 2018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2018. The results of operations for interim periods may not be indicative of the results that may be expected for the entire year. The December 31, 2018 consolidated balance sheet data presented herein was derived from the Company’s December 31, 2018 audited consolidated financial statements but does not include all disclosures and notes normally provided in annual financial statements.</w:t>
      </w:r>
    </w:p>
    <w:p>
      <w:pPr>
        <w:sectPr>
          <w:pgSz w:w="11900" w:h="16838" w:orient="portrait"/>
          <w:cols w:equalWidth="0" w:num="1">
            <w:col w:w="11420"/>
          </w:cols>
          <w:pgMar w:left="240" w:top="133" w:right="239" w:bottom="194" w:gutter="0" w:footer="0" w:header="0"/>
        </w:sectPr>
      </w:pPr>
    </w:p>
    <w:bookmarkStart w:id="7" w:name="page8"/>
    <w:bookmarkEnd w:id="7"/>
    <w:p>
      <w:pPr>
        <w:spacing w:after="0" w:line="92" w:lineRule="exact"/>
        <w:rPr>
          <w:sz w:val="20"/>
          <w:szCs w:val="20"/>
          <w:color w:val="auto"/>
        </w:rPr>
      </w:pPr>
    </w:p>
    <w:p>
      <w:pPr>
        <w:ind w:right="120"/>
        <w:spacing w:after="0" w:line="233" w:lineRule="auto"/>
        <w:rPr>
          <w:sz w:val="20"/>
          <w:szCs w:val="20"/>
          <w:color w:val="auto"/>
        </w:rPr>
      </w:pPr>
      <w:r>
        <w:rPr>
          <w:rFonts w:ascii="Arial" w:cs="Arial" w:eastAsia="Arial" w:hAnsi="Arial"/>
          <w:sz w:val="21"/>
          <w:szCs w:val="21"/>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91" w:lineRule="exact"/>
        <w:rPr>
          <w:sz w:val="20"/>
          <w:szCs w:val="20"/>
          <w:color w:val="auto"/>
        </w:rPr>
      </w:pPr>
    </w:p>
    <w:p>
      <w:pPr>
        <w:jc w:val="both"/>
        <w:ind w:right="380"/>
        <w:spacing w:after="0" w:line="232" w:lineRule="auto"/>
        <w:rPr>
          <w:sz w:val="20"/>
          <w:szCs w:val="20"/>
          <w:color w:val="auto"/>
        </w:rPr>
      </w:pPr>
      <w:r>
        <w:rPr>
          <w:rFonts w:ascii="Arial" w:cs="Arial" w:eastAsia="Arial" w:hAnsi="Arial"/>
          <w:sz w:val="22"/>
          <w:szCs w:val="22"/>
          <w:color w:val="auto"/>
        </w:rPr>
        <w:t xml:space="preserve">There have been no changes to the summary of significant accounting policies, other than as described in Note 17 – </w:t>
      </w:r>
      <w:r>
        <w:rPr>
          <w:rFonts w:ascii="Arial" w:cs="Arial" w:eastAsia="Arial" w:hAnsi="Arial"/>
          <w:sz w:val="22"/>
          <w:szCs w:val="22"/>
          <w:i w:val="1"/>
          <w:iCs w:val="1"/>
          <w:color w:val="auto"/>
        </w:rPr>
        <w:t>Leases</w:t>
      </w:r>
      <w:r>
        <w:rPr>
          <w:rFonts w:ascii="Arial" w:cs="Arial" w:eastAsia="Arial" w:hAnsi="Arial"/>
          <w:sz w:val="22"/>
          <w:szCs w:val="22"/>
          <w:color w:val="auto"/>
        </w:rPr>
        <w:t xml:space="preserve"> as a result of the adoption of a new accounting pronouncement adopted on January 1, 2019, previously identified in the Company’s Annual Report on Form 10-K for the year ended December 31, 2018.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3"/>
          </w:tcPr>
          <w:p>
            <w:pPr>
              <w:jc w:val="right"/>
              <w:spacing w:after="0"/>
              <w:rPr>
                <w:sz w:val="20"/>
                <w:szCs w:val="20"/>
                <w:color w:val="auto"/>
              </w:rPr>
            </w:pPr>
            <w:r>
              <w:rPr>
                <w:rFonts w:ascii="Arial" w:cs="Arial" w:eastAsia="Arial" w:hAnsi="Arial"/>
                <w:sz w:val="16"/>
                <w:szCs w:val="16"/>
                <w:color w:val="auto"/>
              </w:rPr>
              <w:t>Three Months Ended</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3"/>
          </w:tcPr>
          <w:p>
            <w:pPr>
              <w:jc w:val="right"/>
              <w:spacing w:after="0"/>
              <w:rPr>
                <w:sz w:val="20"/>
                <w:szCs w:val="20"/>
                <w:color w:val="auto"/>
              </w:rPr>
            </w:pPr>
            <w:r>
              <w:rPr>
                <w:rFonts w:ascii="Arial" w:cs="Arial" w:eastAsia="Arial" w:hAnsi="Arial"/>
                <w:sz w:val="16"/>
                <w:szCs w:val="16"/>
                <w:color w:val="auto"/>
              </w:rPr>
              <w:t>Three Months Ended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June 30, 2019</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June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6"/>
                <w:szCs w:val="16"/>
                <w:color w:val="auto"/>
                <w:w w:val="88"/>
              </w:rPr>
              <w:t>Water Revenues</w:t>
            </w:r>
          </w:p>
        </w:tc>
        <w:tc>
          <w:tcPr>
            <w:tcW w:w="140" w:type="dxa"/>
            <w:vAlign w:val="bottom"/>
          </w:tcPr>
          <w:p>
            <w:pPr>
              <w:spacing w:after="0"/>
              <w:rPr>
                <w:sz w:val="11"/>
                <w:szCs w:val="11"/>
                <w:color w:val="auto"/>
              </w:rPr>
            </w:pPr>
          </w:p>
        </w:tc>
        <w:tc>
          <w:tcPr>
            <w:tcW w:w="1040" w:type="dxa"/>
            <w:vAlign w:val="bottom"/>
          </w:tcPr>
          <w:p>
            <w:pPr>
              <w:jc w:val="right"/>
              <w:ind w:right="159"/>
              <w:spacing w:after="0" w:line="132" w:lineRule="exact"/>
              <w:rPr>
                <w:sz w:val="20"/>
                <w:szCs w:val="20"/>
                <w:color w:val="auto"/>
              </w:rPr>
            </w:pPr>
            <w:r>
              <w:rPr>
                <w:rFonts w:ascii="Arial" w:cs="Arial" w:eastAsia="Arial" w:hAnsi="Arial"/>
                <w:sz w:val="15"/>
                <w:szCs w:val="15"/>
                <w:color w:val="auto"/>
                <w:w w:val="98"/>
              </w:rPr>
              <w:t>Wastewater</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color w:val="auto"/>
              </w:rPr>
              <w:t>Other Revenues</w:t>
            </w:r>
          </w:p>
        </w:tc>
        <w:tc>
          <w:tcPr>
            <w:tcW w:w="100" w:type="dxa"/>
            <w:vAlign w:val="bottom"/>
          </w:tcPr>
          <w:p>
            <w:pPr>
              <w:spacing w:after="0"/>
              <w:rPr>
                <w:sz w:val="11"/>
                <w:szCs w:val="11"/>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color w:val="auto"/>
                <w:w w:val="87"/>
              </w:rPr>
              <w:t>Water Revenues</w:t>
            </w:r>
          </w:p>
        </w:tc>
        <w:tc>
          <w:tcPr>
            <w:tcW w:w="120" w:type="dxa"/>
            <w:vAlign w:val="bottom"/>
          </w:tcPr>
          <w:p>
            <w:pPr>
              <w:spacing w:after="0"/>
              <w:rPr>
                <w:sz w:val="11"/>
                <w:szCs w:val="11"/>
                <w:color w:val="auto"/>
              </w:rPr>
            </w:pPr>
          </w:p>
        </w:tc>
        <w:tc>
          <w:tcPr>
            <w:tcW w:w="1040" w:type="dxa"/>
            <w:vAlign w:val="bottom"/>
          </w:tcPr>
          <w:p>
            <w:pPr>
              <w:jc w:val="right"/>
              <w:ind w:right="159"/>
              <w:spacing w:after="0" w:line="132" w:lineRule="exact"/>
              <w:rPr>
                <w:sz w:val="20"/>
                <w:szCs w:val="20"/>
                <w:color w:val="auto"/>
              </w:rPr>
            </w:pPr>
            <w:r>
              <w:rPr>
                <w:rFonts w:ascii="Arial" w:cs="Arial" w:eastAsia="Arial" w:hAnsi="Arial"/>
                <w:sz w:val="15"/>
                <w:szCs w:val="15"/>
                <w:color w:val="auto"/>
                <w:w w:val="98"/>
              </w:rPr>
              <w:t>Wastewater</w:t>
            </w:r>
          </w:p>
        </w:tc>
        <w:tc>
          <w:tcPr>
            <w:tcW w:w="140" w:type="dxa"/>
            <w:vAlign w:val="bottom"/>
          </w:tcPr>
          <w:p>
            <w:pPr>
              <w:spacing w:after="0"/>
              <w:rPr>
                <w:sz w:val="11"/>
                <w:szCs w:val="11"/>
                <w:color w:val="auto"/>
              </w:rPr>
            </w:pPr>
          </w:p>
        </w:tc>
        <w:tc>
          <w:tcPr>
            <w:tcW w:w="880" w:type="dxa"/>
            <w:vAlign w:val="bottom"/>
          </w:tcPr>
          <w:p>
            <w:pPr>
              <w:jc w:val="right"/>
              <w:ind w:right="259"/>
              <w:spacing w:after="0" w:line="132" w:lineRule="exact"/>
              <w:rPr>
                <w:sz w:val="20"/>
                <w:szCs w:val="20"/>
                <w:color w:val="auto"/>
              </w:rPr>
            </w:pPr>
            <w:r>
              <w:rPr>
                <w:rFonts w:ascii="Arial" w:cs="Arial" w:eastAsia="Arial" w:hAnsi="Arial"/>
                <w:sz w:val="15"/>
                <w:szCs w:val="15"/>
                <w:color w:val="auto"/>
              </w:rPr>
              <w:t>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Revenues</w:t>
            </w:r>
          </w:p>
        </w:tc>
        <w:tc>
          <w:tcPr>
            <w:tcW w:w="14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Revenues</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Revenues from contracts with customers:</w:t>
            </w:r>
          </w:p>
        </w:tc>
        <w:tc>
          <w:tcPr>
            <w:tcW w:w="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Residential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126,550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20,263</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122,530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6"/>
                <w:szCs w:val="16"/>
                <w:color w:val="auto"/>
              </w:rPr>
              <w:t>Commercial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35,155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3,797</w:t>
            </w:r>
          </w:p>
        </w:tc>
        <w:tc>
          <w:tcPr>
            <w:tcW w:w="3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33,456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2,975</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Fire protection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6"/>
                <w:szCs w:val="16"/>
                <w:color w:val="auto"/>
              </w:rPr>
              <w:t>Industrial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7,456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w:t>
            </w:r>
          </w:p>
        </w:tc>
        <w:tc>
          <w:tcPr>
            <w:tcW w:w="3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7,309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water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6"/>
                <w:szCs w:val="16"/>
                <w:color w:val="auto"/>
              </w:rPr>
              <w:t>Other wastewater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1,423</w:t>
            </w:r>
          </w:p>
        </w:tc>
        <w:tc>
          <w:tcPr>
            <w:tcW w:w="3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utility</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Revenues from contracts with customers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188,459</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25,970</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185,485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22,976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Alternative revenue program</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and eliminations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Consolidated</w:t>
            </w:r>
          </w:p>
        </w:tc>
        <w:tc>
          <w:tcPr>
            <w:tcW w:w="7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188,776</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25,868</w:t>
            </w:r>
          </w:p>
        </w:tc>
        <w:tc>
          <w:tcPr>
            <w:tcW w:w="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4,248</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185,365</w:t>
            </w:r>
          </w:p>
        </w:tc>
        <w:tc>
          <w:tcPr>
            <w:tcW w:w="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23,140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jc w:val="right"/>
              <w:ind w:right="19"/>
              <w:spacing w:after="0"/>
              <w:rPr>
                <w:sz w:val="20"/>
                <w:szCs w:val="20"/>
                <w:color w:val="auto"/>
              </w:rPr>
            </w:pPr>
            <w:r>
              <w:rPr>
                <w:rFonts w:ascii="Arial" w:cs="Arial" w:eastAsia="Arial" w:hAnsi="Arial"/>
                <w:sz w:val="16"/>
                <w:szCs w:val="16"/>
                <w:color w:val="auto"/>
              </w:rPr>
              <w:t>Six Months Ended</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right"/>
              <w:ind w:right="19"/>
              <w:spacing w:after="0"/>
              <w:rPr>
                <w:sz w:val="20"/>
                <w:szCs w:val="20"/>
                <w:color w:val="auto"/>
              </w:rPr>
            </w:pPr>
            <w:r>
              <w:rPr>
                <w:rFonts w:ascii="Arial" w:cs="Arial" w:eastAsia="Arial" w:hAnsi="Arial"/>
                <w:sz w:val="16"/>
                <w:szCs w:val="16"/>
                <w:color w:val="auto"/>
              </w:rPr>
              <w:t>Six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June 30, 2019</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June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6"/>
                <w:szCs w:val="16"/>
                <w:color w:val="auto"/>
                <w:w w:val="88"/>
              </w:rPr>
              <w:t>Water Revenues</w:t>
            </w:r>
          </w:p>
        </w:tc>
        <w:tc>
          <w:tcPr>
            <w:tcW w:w="140" w:type="dxa"/>
            <w:vAlign w:val="bottom"/>
          </w:tcPr>
          <w:p>
            <w:pPr>
              <w:spacing w:after="0"/>
              <w:rPr>
                <w:sz w:val="11"/>
                <w:szCs w:val="11"/>
                <w:color w:val="auto"/>
              </w:rPr>
            </w:pPr>
          </w:p>
        </w:tc>
        <w:tc>
          <w:tcPr>
            <w:tcW w:w="1040" w:type="dxa"/>
            <w:vAlign w:val="bottom"/>
          </w:tcPr>
          <w:p>
            <w:pPr>
              <w:jc w:val="right"/>
              <w:ind w:right="159"/>
              <w:spacing w:after="0" w:line="132" w:lineRule="exact"/>
              <w:rPr>
                <w:sz w:val="20"/>
                <w:szCs w:val="20"/>
                <w:color w:val="auto"/>
              </w:rPr>
            </w:pPr>
            <w:r>
              <w:rPr>
                <w:rFonts w:ascii="Arial" w:cs="Arial" w:eastAsia="Arial" w:hAnsi="Arial"/>
                <w:sz w:val="15"/>
                <w:szCs w:val="15"/>
                <w:color w:val="auto"/>
                <w:w w:val="98"/>
              </w:rPr>
              <w:t>Wastewater</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color w:val="auto"/>
              </w:rPr>
              <w:t>Other Revenues</w:t>
            </w:r>
          </w:p>
        </w:tc>
        <w:tc>
          <w:tcPr>
            <w:tcW w:w="100" w:type="dxa"/>
            <w:vAlign w:val="bottom"/>
          </w:tcPr>
          <w:p>
            <w:pPr>
              <w:spacing w:after="0"/>
              <w:rPr>
                <w:sz w:val="11"/>
                <w:szCs w:val="11"/>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color w:val="auto"/>
                <w:w w:val="87"/>
              </w:rPr>
              <w:t>Water Revenues</w:t>
            </w:r>
          </w:p>
        </w:tc>
        <w:tc>
          <w:tcPr>
            <w:tcW w:w="120" w:type="dxa"/>
            <w:vAlign w:val="bottom"/>
          </w:tcPr>
          <w:p>
            <w:pPr>
              <w:spacing w:after="0"/>
              <w:rPr>
                <w:sz w:val="11"/>
                <w:szCs w:val="11"/>
                <w:color w:val="auto"/>
              </w:rPr>
            </w:pPr>
          </w:p>
        </w:tc>
        <w:tc>
          <w:tcPr>
            <w:tcW w:w="1040" w:type="dxa"/>
            <w:vAlign w:val="bottom"/>
          </w:tcPr>
          <w:p>
            <w:pPr>
              <w:jc w:val="right"/>
              <w:ind w:right="159"/>
              <w:spacing w:after="0" w:line="132" w:lineRule="exact"/>
              <w:rPr>
                <w:sz w:val="20"/>
                <w:szCs w:val="20"/>
                <w:color w:val="auto"/>
              </w:rPr>
            </w:pPr>
            <w:r>
              <w:rPr>
                <w:rFonts w:ascii="Arial" w:cs="Arial" w:eastAsia="Arial" w:hAnsi="Arial"/>
                <w:sz w:val="15"/>
                <w:szCs w:val="15"/>
                <w:color w:val="auto"/>
                <w:w w:val="98"/>
              </w:rPr>
              <w:t>Wastewater</w:t>
            </w:r>
          </w:p>
        </w:tc>
        <w:tc>
          <w:tcPr>
            <w:tcW w:w="140" w:type="dxa"/>
            <w:vAlign w:val="bottom"/>
          </w:tcPr>
          <w:p>
            <w:pPr>
              <w:spacing w:after="0"/>
              <w:rPr>
                <w:sz w:val="11"/>
                <w:szCs w:val="11"/>
                <w:color w:val="auto"/>
              </w:rPr>
            </w:pPr>
          </w:p>
        </w:tc>
        <w:tc>
          <w:tcPr>
            <w:tcW w:w="880" w:type="dxa"/>
            <w:vAlign w:val="bottom"/>
          </w:tcPr>
          <w:p>
            <w:pPr>
              <w:jc w:val="right"/>
              <w:ind w:right="259"/>
              <w:spacing w:after="0" w:line="132" w:lineRule="exact"/>
              <w:rPr>
                <w:sz w:val="20"/>
                <w:szCs w:val="20"/>
                <w:color w:val="auto"/>
              </w:rPr>
            </w:pPr>
            <w:r>
              <w:rPr>
                <w:rFonts w:ascii="Arial" w:cs="Arial" w:eastAsia="Arial" w:hAnsi="Arial"/>
                <w:sz w:val="15"/>
                <w:szCs w:val="15"/>
                <w:color w:val="auto"/>
              </w:rPr>
              <w:t>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Revenues</w:t>
            </w:r>
          </w:p>
        </w:tc>
        <w:tc>
          <w:tcPr>
            <w:tcW w:w="14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Revenues</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from contracts with customers:</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6"/>
                <w:szCs w:val="16"/>
                <w:color w:val="auto"/>
              </w:rPr>
              <w:t>Residential</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240,597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40,210</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236,367</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35,115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65,446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63,798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6"/>
                <w:szCs w:val="16"/>
                <w:color w:val="auto"/>
              </w:rPr>
              <w:t>Fire protection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16,338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15,908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Industrial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6"/>
                <w:szCs w:val="16"/>
                <w:color w:val="auto"/>
              </w:rPr>
              <w:t>Other water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23,845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25,241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wastewater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utility</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6,252</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contracts with customers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360,547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51,361</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354,983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6"/>
                <w:szCs w:val="16"/>
                <w:color w:val="auto"/>
              </w:rPr>
              <w:t>Alternative revenue program</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3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Other and eliminations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line="183" w:lineRule="exact"/>
              <w:rPr>
                <w:sz w:val="20"/>
                <w:szCs w:val="20"/>
                <w:color w:val="auto"/>
              </w:rPr>
            </w:pPr>
            <w:r>
              <w:rPr>
                <w:rFonts w:ascii="Arial" w:cs="Arial" w:eastAsia="Arial" w:hAnsi="Arial"/>
                <w:sz w:val="16"/>
                <w:szCs w:val="16"/>
                <w:color w:val="auto"/>
              </w:rPr>
              <w:t>Consolidated</w:t>
            </w:r>
          </w:p>
        </w:tc>
        <w:tc>
          <w:tcPr>
            <w:tcW w:w="7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360,828</w:t>
            </w:r>
          </w:p>
        </w:tc>
        <w:tc>
          <w:tcPr>
            <w:tcW w:w="1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51,146</w:t>
            </w:r>
          </w:p>
        </w:tc>
        <w:tc>
          <w:tcPr>
            <w:tcW w:w="3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8,050</w:t>
            </w:r>
          </w:p>
        </w:tc>
        <w:tc>
          <w:tcPr>
            <w:tcW w:w="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354,863</w:t>
            </w: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44,814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6,530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b w:val="1"/>
          <w:bCs w:val="1"/>
          <w:i w:val="1"/>
          <w:iCs w:val="1"/>
          <w:color w:val="auto"/>
        </w:rPr>
        <w:t xml:space="preserve">Revenues from Contracts with Customers – </w:t>
      </w:r>
      <w:r>
        <w:rPr>
          <w:rFonts w:ascii="Arial" w:cs="Arial" w:eastAsia="Arial" w:hAnsi="Arial"/>
          <w:sz w:val="22"/>
          <w:szCs w:val="22"/>
          <w:color w:val="auto"/>
        </w:rPr>
        <w:t>These revenues are composed of three main categories: water, wastewater, and other.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Water revenues represent revenues earned for supplying customers with water service. Wastewater revenues represent revenues earned for treating wastewater and releasing it into the water supply. Other revenues are associated fees that relate to the regulated business but are not water and wastewater revenues. See description below for a discussion on the performance obligation for each of these revenue streams.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ind w:right="40"/>
        <w:spacing w:after="0" w:line="217" w:lineRule="auto"/>
        <w:rPr>
          <w:sz w:val="20"/>
          <w:szCs w:val="20"/>
          <w:color w:val="auto"/>
        </w:rPr>
      </w:pPr>
      <w:r>
        <w:rPr>
          <w:rFonts w:ascii="Arial" w:cs="Arial" w:eastAsia="Arial" w:hAnsi="Arial"/>
          <w:sz w:val="22"/>
          <w:szCs w:val="22"/>
          <w:color w:val="auto"/>
        </w:rPr>
        <w:t>AQUA AMERICA,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ectPr>
          <w:pgSz w:w="11900" w:h="16931" w:orient="portrait"/>
          <w:cols w:equalWidth="0" w:num="1">
            <w:col w:w="11420"/>
          </w:cols>
          <w:pgMar w:left="240" w:top="118" w:right="239" w:bottom="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b w:val="1"/>
          <w:bCs w:val="1"/>
          <w:i w:val="1"/>
          <w:iCs w:val="1"/>
          <w:color w:val="auto"/>
        </w:rPr>
        <w:t xml:space="preserve">Tariff Revenues – </w:t>
      </w:r>
      <w:r>
        <w:rPr>
          <w:rFonts w:ascii="Arial" w:cs="Arial" w:eastAsia="Arial" w:hAnsi="Arial"/>
          <w:sz w:val="19"/>
          <w:szCs w:val="19"/>
          <w:color w:val="auto"/>
        </w:rPr>
        <w:t>These revenues are categorized by customer class: residential, commercial, fire protection, industrial, and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or wastewater treatment service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67"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 which represent fees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The performance obligations vary for these revenues, but all are primarily recognized over time as the service is delivered.</w:t>
      </w:r>
    </w:p>
    <w:p>
      <w:pPr>
        <w:spacing w:after="0" w:line="162"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b w:val="1"/>
          <w:bCs w:val="1"/>
          <w:i w:val="1"/>
          <w:iCs w:val="1"/>
          <w:color w:val="auto"/>
        </w:rPr>
        <w:t xml:space="preserve">Alternative Revenue Program – </w:t>
      </w:r>
      <w:r>
        <w:rPr>
          <w:rFonts w:ascii="Arial" w:cs="Arial" w:eastAsia="Arial" w:hAnsi="Arial"/>
          <w:sz w:val="19"/>
          <w:szCs w:val="19"/>
          <w:color w:val="auto"/>
        </w:rPr>
        <w:t>These revenues represent the difference between the actual billed utility water and wastewater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revenues for Aqua Illinois and the revenues set in the last Aqua Illinois rate case.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 This revenue program represents a contract between the utility and its regulators, not customers, and therefore is not within the scope of the Financial Accounting Standards Board’s (“FASB”) accounting guidance for recognizing revenue from contracts with customers.</w:t>
      </w:r>
    </w:p>
    <w:p>
      <w:pPr>
        <w:spacing w:after="0" w:line="167" w:lineRule="exact"/>
        <w:rPr>
          <w:sz w:val="20"/>
          <w:szCs w:val="20"/>
          <w:color w:val="auto"/>
        </w:rPr>
      </w:pPr>
    </w:p>
    <w:p>
      <w:pPr>
        <w:ind w:right="40"/>
        <w:spacing w:after="0" w:line="313" w:lineRule="auto"/>
        <w:rPr>
          <w:sz w:val="20"/>
          <w:szCs w:val="20"/>
          <w:color w:val="auto"/>
        </w:rPr>
      </w:pPr>
      <w:r>
        <w:rPr>
          <w:rFonts w:ascii="Arial" w:cs="Arial" w:eastAsia="Arial" w:hAnsi="Arial"/>
          <w:sz w:val="19"/>
          <w:szCs w:val="19"/>
          <w:b w:val="1"/>
          <w:bCs w:val="1"/>
          <w:i w:val="1"/>
          <w:iCs w:val="1"/>
          <w:color w:val="auto"/>
        </w:rPr>
        <w:t xml:space="preserve">Other and Eliminations – </w:t>
      </w:r>
      <w:r>
        <w:rPr>
          <w:rFonts w:ascii="Arial" w:cs="Arial" w:eastAsia="Arial" w:hAnsi="Arial"/>
          <w:sz w:val="19"/>
          <w:szCs w:val="19"/>
          <w:color w:val="auto"/>
        </w:rPr>
        <w:t>Other and eliminations consist of our market-based revenues, which comprises: Aqua Infrastructure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Aqua Resources (described below), and intercompany eliminations for revenue billed between our subsidiaries.</w:t>
      </w:r>
    </w:p>
    <w:p>
      <w:pPr>
        <w:spacing w:after="0" w:line="119" w:lineRule="exact"/>
        <w:rPr>
          <w:sz w:val="20"/>
          <w:szCs w:val="20"/>
          <w:color w:val="auto"/>
        </w:rPr>
      </w:pPr>
    </w:p>
    <w:p>
      <w:pPr>
        <w:ind w:right="380"/>
        <w:spacing w:after="0" w:line="224" w:lineRule="auto"/>
        <w:rPr>
          <w:sz w:val="20"/>
          <w:szCs w:val="20"/>
          <w:color w:val="auto"/>
        </w:rPr>
      </w:pPr>
      <w:r>
        <w:rPr>
          <w:rFonts w:ascii="Arial" w:cs="Arial" w:eastAsia="Arial" w:hAnsi="Arial"/>
          <w:sz w:val="22"/>
          <w:szCs w:val="22"/>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operations.</w:t>
      </w:r>
    </w:p>
    <w:p>
      <w:pPr>
        <w:spacing w:after="0" w:line="191" w:lineRule="exact"/>
        <w:rPr>
          <w:sz w:val="20"/>
          <w:szCs w:val="20"/>
          <w:color w:val="auto"/>
        </w:rPr>
      </w:pPr>
    </w:p>
    <w:p>
      <w:pPr>
        <w:ind w:right="100"/>
        <w:spacing w:after="0" w:line="221" w:lineRule="auto"/>
        <w:rPr>
          <w:sz w:val="20"/>
          <w:szCs w:val="20"/>
          <w:color w:val="auto"/>
        </w:rPr>
      </w:pPr>
      <w:r>
        <w:rPr>
          <w:rFonts w:ascii="Arial" w:cs="Arial" w:eastAsia="Arial" w:hAnsi="Arial"/>
          <w:sz w:val="22"/>
          <w:szCs w:val="22"/>
          <w:color w:val="auto"/>
        </w:rPr>
        <w:t>Aqua Resources earns revenues by providing non-regulated water and wastewater services through operating and maintenance contracts, and third-party water and sewer service line repair. The performance obligations are performing agreed upon services in the contract, most commonly operation of third-party water or wastewater treatment services, or billing services, or allowing the use of our logo to a third-party water and sewer service line repair. Revenues are primarily recognized over time as service is delivered.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5"/>
              </w:rPr>
              <w:t>Regulated</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0"/>
        </w:trPr>
        <w:tc>
          <w:tcPr>
            <w:tcW w:w="558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Segment</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Other</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0"/>
              </w:rPr>
              <w:t>Consolidated</w:t>
            </w:r>
          </w:p>
        </w:tc>
      </w:tr>
      <w:tr>
        <w:trPr>
          <w:trHeight w:val="264"/>
        </w:trPr>
        <w:tc>
          <w:tcPr>
            <w:tcW w:w="5580" w:type="dxa"/>
            <w:vAlign w:val="bottom"/>
            <w:shd w:val="clear" w:color="auto" w:fill="CCEEFF"/>
          </w:tcPr>
          <w:p>
            <w:pPr>
              <w:spacing w:after="0"/>
              <w:rPr>
                <w:sz w:val="20"/>
                <w:szCs w:val="20"/>
                <w:color w:val="auto"/>
              </w:rPr>
            </w:pPr>
            <w:r>
              <w:rPr>
                <w:rFonts w:ascii="Arial" w:cs="Arial" w:eastAsia="Arial" w:hAnsi="Arial"/>
                <w:sz w:val="22"/>
                <w:szCs w:val="22"/>
                <w:color w:val="auto"/>
              </w:rPr>
              <w:t>Balance at December 31, 2018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47,885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4,841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52,726</w:t>
            </w:r>
          </w:p>
        </w:tc>
      </w:tr>
      <w:tr>
        <w:trPr>
          <w:trHeight w:val="284"/>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Reclassification to utility plant acquisition adjustment</w:t>
            </w:r>
          </w:p>
        </w:tc>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w:t>
            </w:r>
          </w:p>
        </w:tc>
      </w:tr>
      <w:tr>
        <w:trPr>
          <w:trHeight w:val="250"/>
        </w:trPr>
        <w:tc>
          <w:tcPr>
            <w:tcW w:w="558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Balance at June 30, 2019</w:t>
            </w:r>
          </w:p>
        </w:tc>
        <w:tc>
          <w:tcPr>
            <w:tcW w:w="1040" w:type="dxa"/>
            <w:vAlign w:val="bottom"/>
            <w:gridSpan w:val="2"/>
            <w:shd w:val="clear" w:color="auto" w:fill="CCEEFF"/>
          </w:tcPr>
          <w:p>
            <w:pPr>
              <w:jc w:val="right"/>
              <w:ind w:right="120"/>
              <w:spacing w:after="0" w:line="250" w:lineRule="exact"/>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47,881</w:t>
            </w:r>
          </w:p>
        </w:tc>
        <w:tc>
          <w:tcPr>
            <w:tcW w:w="520" w:type="dxa"/>
            <w:vAlign w:val="bottom"/>
            <w:gridSpan w:val="2"/>
            <w:shd w:val="clear" w:color="auto" w:fill="CCEEFF"/>
          </w:tcPr>
          <w:p>
            <w:pPr>
              <w:jc w:val="right"/>
              <w:ind w:right="200"/>
              <w:spacing w:after="0" w:line="250"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4,841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w w:val="81"/>
              </w:rPr>
              <w:t>$</w:t>
            </w:r>
          </w:p>
        </w:tc>
        <w:tc>
          <w:tcPr>
            <w:tcW w:w="13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52,722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140"/>
        <w:spacing w:after="0" w:line="232"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 upon achieving specific objectives.</w:t>
      </w:r>
    </w:p>
    <w:p>
      <w:pPr>
        <w:sectPr>
          <w:pgSz w:w="11900" w:h="16838" w:orient="portrait"/>
          <w:cols w:equalWidth="0" w:num="1">
            <w:col w:w="11420"/>
          </w:cols>
          <w:pgMar w:left="240" w:top="113" w:right="239" w:bottom="217"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217" w:gutter="0" w:footer="0" w:header="0"/>
          <w:type w:val="continuous"/>
        </w:sectPr>
      </w:pPr>
    </w:p>
    <w:bookmarkStart w:id="9" w:name="page10"/>
    <w:bookmarkEnd w:id="9"/>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Peoples Gas Acquisition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Pursuant to the Company’s growth strategy, on October 22, 2018, the Company entered into a purchase agreement (the “Acquisition Agreement”) with LDC Parent LLC (“Seller”), to acquire its interests in LDC Funding LLC (“LDC”). LDC is the parent of LDC Holdings LLC (“LDC Holdings”), and LDC Holdings is the parent of five natural gas utility companies, which includes Peoples Natural Gas Company, Peoples Gas Company, and Delta Natural Gas Company as well as other operating subsidiaries. This acquisition is referred to as the “Peoples Gas Acquisition” and collectively, these businesses are referred to as “Peoples.” Peoples is headquartered in Pittsburgh, Pennsylvania and serves approximately 740,000 gas utility customers in western Pennsylvania, West Virginia, and Kentucky.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$1,370,000 of Peoples’ indebtedness upon the closing of the Peoples Gas Acquisition, which would reduce the cash purchase price by approximately $1,370,000.</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 xml:space="preserve">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29, 2019, the Company entered into a Stock Purchase Agreement to issue shares of common stock in a private placement to fund a portion of the Peoples Gas Acquisition. The gross proceeds of the Stock Purchase Agreement are expected to amount to approximately $750,000. Further, on April 18, 2019, the Company issued $1,293,750 of its common stock and $690,000 of its tangible equity units, with a stated amount of $50 per unit, and on April 26, 2019, the Company issued $900,000 of senior notes. As of June 30, 2019, the Company has terminated $4,350,000 of commitments under the Bridge Commitment. The remaining balance available under the Bridge Commitment is $750,000. Refer to Note 6 – </w:t>
      </w:r>
      <w:r>
        <w:rPr>
          <w:rFonts w:ascii="Arial" w:cs="Arial" w:eastAsia="Arial" w:hAnsi="Arial"/>
          <w:sz w:val="19"/>
          <w:szCs w:val="19"/>
          <w:i w:val="1"/>
          <w:iCs w:val="1"/>
          <w:color w:val="auto"/>
        </w:rPr>
        <w:t>Capitalization</w:t>
      </w:r>
      <w:r>
        <w:rPr>
          <w:rFonts w:ascii="Arial" w:cs="Arial" w:eastAsia="Arial" w:hAnsi="Arial"/>
          <w:sz w:val="19"/>
          <w:szCs w:val="19"/>
          <w:color w:val="auto"/>
        </w:rPr>
        <w:t xml:space="preserve"> for further information on these financings.</w:t>
      </w:r>
    </w:p>
    <w:p>
      <w:pPr>
        <w:spacing w:after="0" w:line="174"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long-term debt to be used to finance a portion of the purchase price of this acquisition, which resulted in a payment by the Company of $83,520. Refer to Note 7 – </w:t>
      </w:r>
      <w:r>
        <w:rPr>
          <w:rFonts w:ascii="Arial" w:cs="Arial" w:eastAsia="Arial" w:hAnsi="Arial"/>
          <w:sz w:val="22"/>
          <w:szCs w:val="22"/>
          <w:i w:val="1"/>
          <w:iCs w:val="1"/>
          <w:color w:val="auto"/>
        </w:rPr>
        <w:t>Interest Rate Swap Agreements</w:t>
      </w:r>
      <w:r>
        <w:rPr>
          <w:rFonts w:ascii="Arial" w:cs="Arial" w:eastAsia="Arial" w:hAnsi="Arial"/>
          <w:sz w:val="22"/>
          <w:szCs w:val="22"/>
          <w:color w:val="auto"/>
        </w:rPr>
        <w:t xml:space="preserve"> for further information. The interest rate swaps did not qualify for hedge accounting and any changes in the fair value of the swaps was included in our earnings.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22" w:lineRule="auto"/>
        <w:rPr>
          <w:sz w:val="20"/>
          <w:szCs w:val="20"/>
          <w:color w:val="auto"/>
        </w:rPr>
      </w:pPr>
      <w:r>
        <w:rPr>
          <w:rFonts w:ascii="Arial" w:cs="Arial" w:eastAsia="Arial" w:hAnsi="Arial"/>
          <w:sz w:val="22"/>
          <w:szCs w:val="22"/>
          <w:color w:val="auto"/>
        </w:rPr>
        <w:t>The Peoples Gas Acquisition is subject to regulatory approval by the Pennsylvania Public Utility Commission, and other customary closing conditions set forth in the Acquisition Agreement. Approval from the United States Federal Trade Commission was obtained in December 2018, and approvals from the public utility commissions of Kentucky and West Virginia were obtained in March 2019 and April 2019, respectively. On June 11, 2019, we filed a settlement agreement with the Pennsylvania Public Utility Commission, and all but two of the intervenors to the case have entered into or chosen not to oppose the settlement agreement. The Peoples Gas Acquisition is expected to close in the fall of 2019, once all regulatory approvals are obtained, and closing conditions are met, and it is anticipated that this acquisition will result in the recording of goodwill. In the event that the Acquisition Agreement is terminated due to certain breaches by the Company, a fee of $120,000 would be payable to the Seller as a reverse termination fee.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In July 2018, the Company acquired the wastewater utility systems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the Company completed seven acquisitions of water and wastewater utility systems in three states adding 8,661 customers. The total purchase price of these utility systems consisted of $42,519 in cash. The purchase price allocation for these acquisitions consisted primarily of acquired property, plant and equipment. Further, in December 2018, the Company acquired the Valley Creek Trunk Sewer System, serving area municipalities in Pennsylvania, from the Tredyffrin Township Municipal Authority for $28,300. The system receives untreated wastewater from area municipalities, which is conveyed to the Valley Forge Treatment Plant. The system consists of 49,000 linear feet of gravity sewers, pump stations, and force mains</w:t>
      </w:r>
    </w:p>
    <w:p>
      <w:pPr>
        <w:sectPr>
          <w:pgSz w:w="11900" w:h="16838" w:orient="portrait"/>
          <w:cols w:equalWidth="0" w:num="1">
            <w:col w:w="11420"/>
          </w:cols>
          <w:pgMar w:left="240" w:top="113" w:right="239" w:bottom="42" w:gutter="0" w:footer="0" w:header="0"/>
        </w:sectPr>
      </w:pPr>
    </w:p>
    <w:bookmarkStart w:id="10" w:name="page11"/>
    <w:bookmarkEnd w:id="10"/>
    <w:p>
      <w:pPr>
        <w:spacing w:after="0" w:line="228" w:lineRule="auto"/>
        <w:rPr>
          <w:sz w:val="20"/>
          <w:szCs w:val="20"/>
          <w:color w:val="auto"/>
        </w:rPr>
      </w:pPr>
      <w:r>
        <w:rPr>
          <w:rFonts w:ascii="Arial" w:cs="Arial" w:eastAsia="Arial" w:hAnsi="Arial"/>
          <w:sz w:val="22"/>
          <w:szCs w:val="22"/>
          <w:color w:val="auto"/>
        </w:rPr>
        <w:t>In November 2018, the Company entered into a purchase agreement to acquire the wastewater utility system assets of East Norriton Township, Pennsylvania, which serves approximately 4,950 customers for $21,000. The purchase price for this pending acquisition is subject to certain adjustments at closing, and is subject to regulatory approval, including the final determination of the fair value of the rate base acquired.</w:t>
      </w:r>
    </w:p>
    <w:p>
      <w:pPr>
        <w:spacing w:after="0" w:line="187"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In July 2018, the Company entered into a purchase agreement to acquire the wastewater utility system assets of Cheltenham Township, Pennsylvania, which serves approximately 10,500 customers for $50,250. The purchase price for this pending acquisition is subject to certain adjustments at closing, and is subject to regulatory approval, including the final determination of the fair value of the rate base acquired.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In addition to the Company’s pending acquisitions in East Norriton and Cheltenham Townships, as part of the Company’s growth-through-acquisition strategy, the Company entered into purchase agreements to acquire the water or wastewater utility system assets of five municipalities for a total combined purchase price in cash of $46,450 which we plan to finance by the issuance of debt. The purchase prices for these acquisitions are subject to certain adjustments at closing, and the acquisitions are subject to regulatory approvals, including the final determination of the fair value of the rate base acquired. Closings for our remaining acquisitions (other than the Peoples Gas Acquisition), with the exception of East Norriton Township, are expected to occur by the end of 2019, subject to the timing of the individual regulatory approval processes. In total, these acquisitions (other than the Peoples Gas Acquisition) will add approximately 7,200 customers in three of the states in which the Company operates.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Assets Held for Sale</w:t>
      </w:r>
    </w:p>
    <w:p>
      <w:pPr>
        <w:spacing w:after="0" w:line="212"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In the fourth quarter of 2018, the Company decided to market for sale a water system in Virginia that serves approximately 500 customers. This water system was reported as assets held for sale in the Company’s consolidated balance sheet, and in April 2019, the Company completed the sale for proceeds of $1,882 and recognized a gain on sale of $403.</w:t>
      </w:r>
    </w:p>
    <w:p>
      <w:pPr>
        <w:spacing w:after="0" w:line="148" w:lineRule="exact"/>
        <w:rPr>
          <w:sz w:val="20"/>
          <w:szCs w:val="20"/>
          <w:color w:val="auto"/>
        </w:rPr>
      </w:pPr>
    </w:p>
    <w:p>
      <w:pPr>
        <w:ind w:right="660"/>
        <w:spacing w:after="0" w:line="232" w:lineRule="auto"/>
        <w:rPr>
          <w:sz w:val="20"/>
          <w:szCs w:val="20"/>
          <w:color w:val="auto"/>
        </w:rPr>
      </w:pPr>
      <w:r>
        <w:rPr>
          <w:rFonts w:ascii="Arial" w:cs="Arial" w:eastAsia="Arial" w:hAnsi="Arial"/>
          <w:sz w:val="22"/>
          <w:szCs w:val="22"/>
          <w:color w:val="auto"/>
        </w:rPr>
        <w:t>In the first quarter of 2017, the Company decided to market for sale a water system in Texas that serves approximately 265 customers. This water system is reported as assets held for sale in the Company’s consolidated balance sheet, and the sale is expected to close in the fourth quarter of 2019.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w:t>
      </w:r>
    </w:p>
    <w:p>
      <w:pPr>
        <w:spacing w:after="0" w:line="206"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On March 29, 2019, the Company entered into a Stock Purchase Agreement (the “Stock Purchase Agreement”) with Canada Pension Plan Investment Board (the “Investor”), pursuant to which the Company has agreed to issue and sell to the Investor in a private placement (the “Private Placement”) 21,661,095 newly issued shares of common stock, par value $0.50 per share (the “Common Stock”). The gross proceeds of the Private Placement are expected to amount to approximately $750,000, less estimated expenses of $21,560.</w:t>
      </w:r>
    </w:p>
    <w:p>
      <w:pPr>
        <w:spacing w:after="0" w:line="186" w:lineRule="exact"/>
        <w:rPr>
          <w:sz w:val="20"/>
          <w:szCs w:val="20"/>
          <w:color w:val="auto"/>
        </w:rPr>
      </w:pPr>
    </w:p>
    <w:p>
      <w:pPr>
        <w:ind w:right="40"/>
        <w:spacing w:after="0" w:line="231" w:lineRule="auto"/>
        <w:rPr>
          <w:sz w:val="20"/>
          <w:szCs w:val="20"/>
          <w:color w:val="auto"/>
        </w:rPr>
      </w:pPr>
      <w:r>
        <w:rPr>
          <w:rFonts w:ascii="Arial" w:cs="Arial" w:eastAsia="Arial" w:hAnsi="Arial"/>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 Based on the common stock offering noted below, the Private Placement was priced at $34.62 per share.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The closing of the Private Placement is expected to occur concurrently with the closing of the Peoples Gas Acquisition, subject to certain closing conditions, including the closing of the Peoples Gas Acquisition, and the execution and delivery of a shareholder agreement between the Investor and the Company. The Investor has agreed to certain transfer restrictions for a period of 15 months from the closing date of the Peoples Gas Acquisition.</w:t>
      </w:r>
    </w:p>
    <w:p>
      <w:pPr>
        <w:sectPr>
          <w:pgSz w:w="11900" w:h="16838" w:orient="portrait"/>
          <w:cols w:equalWidth="0" w:num="1">
            <w:col w:w="11420"/>
          </w:cols>
          <w:pgMar w:left="240" w:top="118" w:right="239" w:bottom="0" w:gutter="0" w:footer="0" w:header="0"/>
        </w:sectPr>
      </w:pPr>
    </w:p>
    <w:bookmarkStart w:id="11" w:name="page12"/>
    <w:bookmarkEnd w:id="11"/>
    <w:p>
      <w:pPr>
        <w:ind w:right="40"/>
        <w:spacing w:after="0" w:line="228" w:lineRule="auto"/>
        <w:rPr>
          <w:sz w:val="20"/>
          <w:szCs w:val="20"/>
          <w:color w:val="auto"/>
        </w:rPr>
      </w:pPr>
      <w:r>
        <w:rPr>
          <w:rFonts w:ascii="Arial" w:cs="Arial" w:eastAsia="Arial" w:hAnsi="Arial"/>
          <w:sz w:val="22"/>
          <w:szCs w:val="22"/>
          <w:color w:val="auto"/>
        </w:rPr>
        <w:t>The Stock Purchase Agreement contains customary representations, warranties and covenants of the Company and the Investor, and the parties have agreed to indemnify each other for losses related to breaches of their respective representations and warranties. Upon closing of the Private Placement, the Company has agreed to reimburse the Investor for reasonable out-of-pocket diligence expenses of up to $4,000, subject to certain exceptions.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 / Tangible Equity Unit Issuances</w:t>
      </w:r>
    </w:p>
    <w:p>
      <w:pPr>
        <w:spacing w:after="0" w:line="206"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On April 23, 2019, the Company issued $1,293,750, less expenses of $29,625, of its common stock and $690,000, less expenses of $15,830, of its tangible equity units (the “Units”), with a stated amount of $50 per unit. These issuances were part of the permanent financing to close the planned Peoples Gas Acquisition. The common stock was issued at $34.62 per share and thus the Private Placement noted above was priced at $34.62 per share.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74" w:lineRule="exact"/>
        <w:rPr>
          <w:sz w:val="20"/>
          <w:szCs w:val="20"/>
          <w:color w:val="auto"/>
        </w:rPr>
      </w:pPr>
    </w:p>
    <w:p>
      <w:pPr>
        <w:ind w:right="80"/>
        <w:spacing w:after="0" w:line="237" w:lineRule="auto"/>
        <w:rPr>
          <w:sz w:val="20"/>
          <w:szCs w:val="20"/>
          <w:color w:val="auto"/>
        </w:rPr>
      </w:pPr>
      <w:r>
        <w:rPr>
          <w:rFonts w:ascii="Arial" w:cs="Arial" w:eastAsia="Arial" w:hAnsi="Arial"/>
          <w:sz w:val="21"/>
          <w:szCs w:val="21"/>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The Company recorded the issuance of the purchase contract portion of the Units as additional paid-in-capital of $570,919, less allocable issuance costs of $13,082, in our financial statements. The Company recorded the amortizing notes portion of the Units of $119,081 as long-term debt and recorded allocable issuance costs of $2,748 as debt issuance costs.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w:t>
      </w:r>
    </w:p>
    <w:p>
      <w:pPr>
        <w:spacing w:after="0" w:line="206" w:lineRule="exact"/>
        <w:rPr>
          <w:sz w:val="20"/>
          <w:szCs w:val="20"/>
          <w:color w:val="auto"/>
        </w:rPr>
      </w:pPr>
    </w:p>
    <w:p>
      <w:pPr>
        <w:ind w:right="680"/>
        <w:spacing w:after="0" w:line="313" w:lineRule="auto"/>
        <w:rPr>
          <w:sz w:val="20"/>
          <w:szCs w:val="20"/>
          <w:color w:val="auto"/>
        </w:rPr>
      </w:pPr>
      <w:r>
        <w:rPr>
          <w:rFonts w:ascii="Arial" w:cs="Arial" w:eastAsia="Arial" w:hAnsi="Arial"/>
          <w:sz w:val="19"/>
          <w:szCs w:val="19"/>
          <w:color w:val="auto"/>
        </w:rPr>
        <w:t>On April 26, 2019, the Company issued $900,000 of long-term debt (the “Senior Notes”), less expenses of $7,324, of which $400,000 is due in 2029, and $500,000 is due in 2049 with interest rates of 3.566% and 4.276%, respectively.</w:t>
      </w:r>
    </w:p>
    <w:p>
      <w:pPr>
        <w:spacing w:after="0" w:line="119" w:lineRule="exact"/>
        <w:rPr>
          <w:sz w:val="20"/>
          <w:szCs w:val="20"/>
          <w:color w:val="auto"/>
        </w:rPr>
      </w:pPr>
    </w:p>
    <w:p>
      <w:pPr>
        <w:ind w:right="40"/>
        <w:spacing w:after="0" w:line="234" w:lineRule="auto"/>
        <w:rPr>
          <w:sz w:val="20"/>
          <w:szCs w:val="20"/>
          <w:color w:val="auto"/>
        </w:rPr>
      </w:pPr>
      <w:r>
        <w:rPr>
          <w:rFonts w:ascii="Arial" w:cs="Arial" w:eastAsia="Arial" w:hAnsi="Arial"/>
          <w:sz w:val="21"/>
          <w:szCs w:val="21"/>
          <w:color w:val="auto"/>
        </w:rPr>
        <w:t>The issuance of the Senior Notes was not conditioned upon the consummation of the Peoples Gas Acquisition; however, if (1) the Peoples Gas Acquisition has not been consummated on or prior to April 22, 2020, (2) on or prior to the April 22, 2020 and prior to the consummation of the Peoples Gas Acquisition, the Acquisition Agreement is terminated or (3) prior to the consummation of the Peoples Gas Acquisition, the Company otherwise publicly announces that the acquisition will not be consummated, then the Company will be required to redeem all outstanding Senior Notes on a special mandatory redemption date at a special mandatory redemption price equal to 101% of the aggregate principal amount of the notes, plus accrued and unpaid interest thereon, if any, to, but excluding, the special mandatory redemption date.</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The Company used the net proceeds from the issuance of Senior Notes, together with the net proceeds from the common stock offering and tangible equity unit offering noted above, as well as the proceeds from the Private Placement of common stock noted above, to (1) secure funding for the planned Peoples Gas Acquisition, (2) complete the redemption of $313,500 aggregate principal amount of certain of the Company’s outstanding notes noted below, (3) pay related costs and expenses, and (4) for general corporate purposes. Upon consummation of the Private Placement, the permanent financing for the Peoples Gas Acquisition will be complete.</w:t>
      </w:r>
    </w:p>
    <w:p>
      <w:pPr>
        <w:spacing w:after="0" w:line="191"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On May 18, 2019, the Company redeemed $313,500 of the Company’s outstanding notes (the “Company Debt Refinancing”) that had maturities ranging from 2019-2037 and interest rates ranging from 3.57-5.83%. Additionally, the Company Debt Refinancing was subject to a make whole payment of $25,237. During the second quarter of 2019, $18,935 of this payment was expensed and is presented in the consolidated statements of operations on the line item “loss on debt extinguishment.” The balance of the payment, or $6,302, was deferred as it represents an amount by which the Company expects to receive prospective rate recovery.</w:t>
      </w:r>
    </w:p>
    <w:p>
      <w:pPr>
        <w:spacing w:after="0" w:line="162"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color w:val="auto"/>
        </w:rPr>
        <w:t>If for any reason the Peoples Gas Acquisition is not consummated, the Company intends to use the net proceeds from these financings, after the special mandatory redemption noted above, for general corporate purposes, which may include the redemption</w:t>
      </w:r>
    </w:p>
    <w:p>
      <w:pPr>
        <w:sectPr>
          <w:pgSz w:w="11900" w:h="16838" w:orient="portrait"/>
          <w:cols w:equalWidth="0" w:num="1">
            <w:col w:w="11420"/>
          </w:cols>
          <w:pgMar w:left="240" w:top="118" w:right="239" w:bottom="0" w:gutter="0" w:footer="0" w:header="0"/>
        </w:sectPr>
      </w:pPr>
    </w:p>
    <w:bookmarkStart w:id="12" w:name="page13"/>
    <w:bookmarkEnd w:id="12"/>
    <w:p>
      <w:pPr>
        <w:ind w:right="40"/>
        <w:spacing w:after="0" w:line="239" w:lineRule="auto"/>
        <w:rPr>
          <w:sz w:val="20"/>
          <w:szCs w:val="20"/>
          <w:color w:val="auto"/>
        </w:rPr>
      </w:pPr>
      <w:r>
        <w:rPr>
          <w:rFonts w:ascii="Arial" w:cs="Arial" w:eastAsia="Arial" w:hAnsi="Arial"/>
          <w:sz w:val="22"/>
          <w:szCs w:val="22"/>
          <w:color w:val="auto"/>
        </w:rPr>
        <w:t>of certain of the Company’s outstanding notes, repurchases of the Company’s common stock, debt repayment, capital expenditures, and investments.</w:t>
      </w:r>
    </w:p>
    <w:p>
      <w:pPr>
        <w:spacing w:after="0" w:line="185" w:lineRule="exact"/>
        <w:rPr>
          <w:sz w:val="20"/>
          <w:szCs w:val="20"/>
          <w:color w:val="auto"/>
        </w:rPr>
      </w:pPr>
    </w:p>
    <w:p>
      <w:pPr>
        <w:ind w:right="280"/>
        <w:spacing w:after="0" w:line="235" w:lineRule="auto"/>
        <w:rPr>
          <w:sz w:val="20"/>
          <w:szCs w:val="20"/>
          <w:color w:val="auto"/>
        </w:rPr>
      </w:pPr>
      <w:r>
        <w:rPr>
          <w:rFonts w:ascii="Arial" w:cs="Arial" w:eastAsia="Arial" w:hAnsi="Arial"/>
          <w:sz w:val="21"/>
          <w:szCs w:val="21"/>
          <w:color w:val="auto"/>
        </w:rPr>
        <w:t>In May 2019, Aqua Pennsylvania issued $125,000 of first mortgage bonds, of which $75,000 is due in 2049, $25,000 is due in 2054, and $25,000 is due in 2059 with interest rates of 4.02%, 4.07%, and 4.12%, respectively. The proceeds from these bonds were used to repay existing indebtedness and for general corporate purposes. Additionally, Aqua Pennsylvania committed to the issuance of $175,000 of first mortgage bonds, contingent upon receiving approval from the Pennsylvania Public Utility Commission, of which $50,000 is due in 2054, $75,000 is due in 2058, and $50,000 is due in 2059 with interest rates of 4.09%, 4.13%, and 4.14%, respectively, that will be issued in September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ind w:left="260" w:right="248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Interest Rate Swap Agreements</w:t>
      </w:r>
    </w:p>
    <w:p>
      <w:pPr>
        <w:spacing w:after="0" w:line="212" w:lineRule="exact"/>
        <w:rPr>
          <w:sz w:val="20"/>
          <w:szCs w:val="20"/>
          <w:color w:val="auto"/>
        </w:rPr>
      </w:pPr>
    </w:p>
    <w:p>
      <w:pPr>
        <w:ind w:right="180"/>
        <w:spacing w:after="0" w:line="237" w:lineRule="auto"/>
        <w:rPr>
          <w:sz w:val="20"/>
          <w:szCs w:val="20"/>
          <w:color w:val="auto"/>
        </w:rPr>
      </w:pPr>
      <w:r>
        <w:rPr>
          <w:rFonts w:ascii="Arial" w:cs="Arial" w:eastAsia="Arial" w:hAnsi="Arial"/>
          <w:sz w:val="21"/>
          <w:szCs w:val="21"/>
          <w:color w:val="auto"/>
        </w:rPr>
        <w:t>In October 2018, the Company entered into interest rate swap agreements to mitigate interest rate risk associated with an anticipated $850,000 of future debt issuances to fund a portion of the Peoples Gas Acquisition and refinance a portion of the Company’s borrowings. On April 24, 2019, the Company settled the interest rate swap agreements upon issuance of $900,000 of long-term debt to be used to finance a portion of the purchase price of the Peoples Gas Acquisition and redeem $313,500 of the Company’s existing debt. The settlement resulted in a payment by the Company of $83,520.</w:t>
      </w:r>
    </w:p>
    <w:p>
      <w:pPr>
        <w:spacing w:after="0" w:line="185"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The interest rate swaps did not qualify for hedge accounting and any changes in the fair value of the swaps was included in our earnings. The interest rate swaps were classified as financial derivatives used for non-trading activities. Other than the interest rate swaps, the Company had no other derivative instruments. The Company recorded the fair value of the interest rate swaps by discounting the future net cash flows associated with the debt issuance and recognized either an asset or liability at the balance sheet date.</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a summary of the amounts recognized in earnings for our interest rate swap agreements:</w:t>
      </w:r>
    </w:p>
    <w:p>
      <w:pPr>
        <w:sectPr>
          <w:pgSz w:w="11900" w:h="16838" w:orient="portrait"/>
          <w:cols w:equalWidth="0" w:num="1">
            <w:col w:w="11420"/>
          </w:cols>
          <w:pgMar w:left="240" w:top="118" w:right="239" w:bottom="3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2680"/>
        <w:spacing w:after="0"/>
        <w:rPr>
          <w:sz w:val="20"/>
          <w:szCs w:val="20"/>
          <w:color w:val="auto"/>
        </w:rPr>
      </w:pPr>
      <w:r>
        <w:rPr>
          <w:rFonts w:ascii="Arial" w:cs="Arial" w:eastAsia="Arial" w:hAnsi="Arial"/>
          <w:sz w:val="15"/>
          <w:szCs w:val="15"/>
          <w:color w:val="auto"/>
        </w:rPr>
        <w:t>Location of Gain (Loss)</w:t>
      </w:r>
    </w:p>
    <w:p>
      <w:pPr>
        <w:jc w:val="center"/>
        <w:ind w:left="2680"/>
        <w:spacing w:after="0" w:line="216" w:lineRule="auto"/>
        <w:rPr>
          <w:sz w:val="20"/>
          <w:szCs w:val="20"/>
          <w:color w:val="auto"/>
        </w:rPr>
      </w:pPr>
      <w:r>
        <w:rPr>
          <w:rFonts w:ascii="Arial" w:cs="Arial" w:eastAsia="Arial" w:hAnsi="Arial"/>
          <w:sz w:val="16"/>
          <w:szCs w:val="16"/>
          <w:color w:val="auto"/>
        </w:rPr>
        <w:t>Recognized</w:t>
      </w:r>
    </w:p>
    <w:p>
      <w:pPr>
        <w:ind w:right="1760"/>
        <w:spacing w:after="0" w:line="231" w:lineRule="auto"/>
        <w:rPr>
          <w:sz w:val="20"/>
          <w:szCs w:val="20"/>
          <w:color w:val="auto"/>
        </w:rPr>
      </w:pPr>
      <w:r>
        <w:rPr>
          <w:rFonts w:ascii="Arial" w:cs="Arial" w:eastAsia="Arial" w:hAnsi="Arial"/>
          <w:sz w:val="16"/>
          <w:szCs w:val="16"/>
          <w:color w:val="auto"/>
        </w:rPr>
        <w:t>Derivatives not designated as hedging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-218440</wp:posOffset>
            </wp:positionV>
            <wp:extent cx="1260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120"/>
        <w:spacing w:after="0"/>
        <w:tabs>
          <w:tab w:leader="none" w:pos="2480" w:val="left"/>
        </w:tabs>
        <w:rPr>
          <w:sz w:val="20"/>
          <w:szCs w:val="20"/>
          <w:color w:val="auto"/>
        </w:rPr>
      </w:pPr>
      <w:r>
        <w:rPr>
          <w:rFonts w:ascii="Arial" w:cs="Arial" w:eastAsia="Arial" w:hAnsi="Arial"/>
          <w:sz w:val="16"/>
          <w:szCs w:val="16"/>
          <w:color w:val="auto"/>
        </w:rPr>
        <w:t>Interest rate swaps</w:t>
      </w:r>
      <w:r>
        <w:rPr>
          <w:sz w:val="20"/>
          <w:szCs w:val="20"/>
          <w:color w:val="auto"/>
        </w:rPr>
        <w:tab/>
      </w:r>
      <w:r>
        <w:rPr>
          <w:rFonts w:ascii="Arial" w:cs="Arial" w:eastAsia="Arial" w:hAnsi="Arial"/>
          <w:sz w:val="14"/>
          <w:szCs w:val="14"/>
          <w:color w:val="auto"/>
        </w:rPr>
        <w:t>Other income (expense)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Amount of Gain (Loss) Recognized in Income</w:t>
      </w:r>
    </w:p>
    <w:p>
      <w:pPr>
        <w:jc w:val="center"/>
        <w:spacing w:after="0" w:line="233" w:lineRule="auto"/>
        <w:rPr>
          <w:sz w:val="20"/>
          <w:szCs w:val="20"/>
          <w:color w:val="auto"/>
        </w:rPr>
      </w:pPr>
      <w:r>
        <w:rPr>
          <w:rFonts w:ascii="Arial" w:cs="Arial" w:eastAsia="Arial" w:hAnsi="Arial"/>
          <w:sz w:val="16"/>
          <w:szCs w:val="16"/>
          <w:color w:val="auto"/>
        </w:rPr>
        <w:t>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2040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040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207010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2040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Borders>
              <w:bottom w:val="single" w:sz="8" w:color="auto"/>
            </w:tcBorders>
          </w:tcPr>
          <w:p>
            <w:pPr>
              <w:jc w:val="right"/>
              <w:ind w:right="1264"/>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line="229" w:lineRule="auto"/>
        <w:rPr>
          <w:sz w:val="20"/>
          <w:szCs w:val="20"/>
          <w:color w:val="auto"/>
        </w:rPr>
      </w:pPr>
      <w:r>
        <w:rPr>
          <w:rFonts w:ascii="Arial" w:cs="Arial" w:eastAsia="Arial" w:hAnsi="Arial"/>
          <w:sz w:val="16"/>
          <w:szCs w:val="16"/>
          <w:color w:val="auto"/>
        </w:rPr>
        <w:t>Amount of Gain (Loss) 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2049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049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2049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tcBorders>
              <w:bottom w:val="single" w:sz="8" w:color="auto"/>
            </w:tcBorders>
          </w:tcPr>
          <w:p>
            <w:pPr>
              <w:jc w:val="right"/>
              <w:ind w:right="1204"/>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(23,742)</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240" w:space="420"/>
            <w:col w:w="3220" w:space="320"/>
            <w:col w:w="3220"/>
          </w:cols>
          <w:pgMar w:left="240" w:top="118" w:right="239" w:bottom="32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21"/>
          <w:szCs w:val="21"/>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85" w:lineRule="exact"/>
        <w:rPr>
          <w:sz w:val="20"/>
          <w:szCs w:val="20"/>
          <w:color w:val="auto"/>
        </w:rPr>
      </w:pPr>
    </w:p>
    <w:p>
      <w:pPr>
        <w:ind w:left="660" w:right="420"/>
        <w:spacing w:after="0" w:line="239" w:lineRule="auto"/>
        <w:rPr>
          <w:sz w:val="20"/>
          <w:szCs w:val="20"/>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63" w:lineRule="exact"/>
        <w:rPr>
          <w:sz w:val="20"/>
          <w:szCs w:val="20"/>
          <w:color w:val="auto"/>
        </w:rPr>
      </w:pPr>
    </w:p>
    <w:p>
      <w:pPr>
        <w:ind w:left="660" w:right="40"/>
        <w:spacing w:after="0" w:line="222" w:lineRule="auto"/>
        <w:rPr>
          <w:sz w:val="20"/>
          <w:szCs w:val="20"/>
          <w:color w:val="auto"/>
        </w:rPr>
      </w:pPr>
      <w:r>
        <w:rPr>
          <w:rFonts w:ascii="Arial" w:cs="Arial" w:eastAsia="Arial" w:hAnsi="Arial"/>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ind w:left="660"/>
        <w:spacing w:after="0"/>
        <w:rPr>
          <w:sz w:val="20"/>
          <w:szCs w:val="20"/>
          <w:color w:val="auto"/>
        </w:rPr>
      </w:pPr>
      <w:r>
        <w:rPr>
          <w:rFonts w:ascii="Arial" w:cs="Arial" w:eastAsia="Arial" w:hAnsi="Arial"/>
          <w:sz w:val="22"/>
          <w:szCs w:val="22"/>
          <w:color w:val="auto"/>
        </w:rPr>
        <w:t>Level 3: inputs that are unobservable and significant to the fair value measurement.</w:t>
      </w:r>
    </w:p>
    <w:p>
      <w:pPr>
        <w:spacing w:after="0" w:line="1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ind w:left="280" w:right="246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ectPr>
          <w:pgSz w:w="11900" w:h="16838" w:orient="portrait"/>
          <w:cols w:equalWidth="0" w:num="1">
            <w:col w:w="11420"/>
          </w:cols>
          <w:pgMar w:left="240" w:top="118" w:right="239" w:bottom="320" w:gutter="0" w:footer="0" w:header="0"/>
          <w:type w:val="continuous"/>
        </w:sectPr>
      </w:pPr>
    </w:p>
    <w:bookmarkStart w:id="13" w:name="page14"/>
    <w:bookmarkEnd w:id="13"/>
    <w:p>
      <w:pPr>
        <w:spacing w:after="0" w:line="9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June 30, 2019.</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June 30, 2019 and December 31, 2018, the carrying amount of the Company’s loans payable was $6,076 and $15,449, respectively, which equates to their estimated fair value. The fair value of the interest rate swap agreements was determined by discounting the future net cash flows utilizing level 2 methods and assumptions. As of December 31, 2018, the fair value of the Company’s interest rate swap agreements, which were settled in April 2019, represented a liability of $59,779. The fair value of cash and cash equivalents, which is comprised of uninvested cash and the proceeds from the April 2019 issuances of common stock, tangible equity units, and long-term debt for the planned Peoples Gas Acquisition, which are held in an interest- bearing account, is determined based on Level 1 methods and assumptions. As of June 30, 2019, and December 31, 2018, the carrying amounts of the Company's cash and cash equivalents was $1,974,076 and $3,627,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2019, and December 31, 2018, the carrying amount of these securities was $22,671 and $20,388, respectively, which equates to their fair value, and is reported in the consolidated balance sheet in deferred charges and other assets.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60" w:type="dxa"/>
            <w:vAlign w:val="bottom"/>
          </w:tcPr>
          <w:p>
            <w:pPr>
              <w:spacing w:after="0"/>
              <w:rPr>
                <w:sz w:val="21"/>
                <w:szCs w:val="21"/>
                <w:color w:val="auto"/>
              </w:rPr>
            </w:pPr>
          </w:p>
        </w:tc>
        <w:tc>
          <w:tcPr>
            <w:tcW w:w="2080" w:type="dxa"/>
            <w:vAlign w:val="bottom"/>
            <w:gridSpan w:val="7"/>
          </w:tcPr>
          <w:p>
            <w:pPr>
              <w:jc w:val="center"/>
              <w:ind w:right="220"/>
              <w:spacing w:after="0"/>
              <w:rPr>
                <w:sz w:val="20"/>
                <w:szCs w:val="20"/>
                <w:color w:val="auto"/>
              </w:rPr>
            </w:pPr>
            <w:r>
              <w:rPr>
                <w:rFonts w:ascii="Arial" w:cs="Arial" w:eastAsia="Arial" w:hAnsi="Arial"/>
                <w:sz w:val="20"/>
                <w:szCs w:val="20"/>
                <w:color w:val="auto"/>
                <w:w w:val="88"/>
              </w:rPr>
              <w:t>Three Months Ended</w:t>
            </w:r>
          </w:p>
        </w:tc>
        <w:tc>
          <w:tcPr>
            <w:tcW w:w="180" w:type="dxa"/>
            <w:vAlign w:val="bottom"/>
          </w:tcPr>
          <w:p>
            <w:pPr>
              <w:spacing w:after="0"/>
              <w:rPr>
                <w:sz w:val="21"/>
                <w:szCs w:val="21"/>
                <w:color w:val="auto"/>
              </w:rPr>
            </w:pPr>
          </w:p>
        </w:tc>
        <w:tc>
          <w:tcPr>
            <w:tcW w:w="1800" w:type="dxa"/>
            <w:vAlign w:val="bottom"/>
            <w:gridSpan w:val="4"/>
          </w:tcPr>
          <w:p>
            <w:pPr>
              <w:jc w:val="right"/>
              <w:ind w:right="141"/>
              <w:spacing w:after="0"/>
              <w:rPr>
                <w:sz w:val="20"/>
                <w:szCs w:val="20"/>
                <w:color w:val="auto"/>
              </w:rPr>
            </w:pPr>
            <w:r>
              <w:rPr>
                <w:rFonts w:ascii="Arial" w:cs="Arial" w:eastAsia="Arial" w:hAnsi="Arial"/>
                <w:sz w:val="20"/>
                <w:szCs w:val="20"/>
                <w:color w:val="auto"/>
                <w:w w:val="94"/>
              </w:rPr>
              <w:t>Six Months Ended</w:t>
            </w:r>
          </w:p>
        </w:tc>
        <w:tc>
          <w:tcPr>
            <w:tcW w:w="0" w:type="dxa"/>
            <w:vAlign w:val="bottom"/>
          </w:tcPr>
          <w:p>
            <w:pPr>
              <w:spacing w:after="0"/>
              <w:rPr>
                <w:sz w:val="1"/>
                <w:szCs w:val="1"/>
                <w:color w:val="auto"/>
              </w:rPr>
            </w:pPr>
          </w:p>
        </w:tc>
      </w:tr>
      <w:tr>
        <w:trPr>
          <w:trHeight w:val="253"/>
        </w:trPr>
        <w:tc>
          <w:tcPr>
            <w:tcW w:w="7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6"/>
          </w:tcPr>
          <w:p>
            <w:pPr>
              <w:jc w:val="center"/>
              <w:ind w:right="380"/>
              <w:spacing w:after="0"/>
              <w:rPr>
                <w:sz w:val="20"/>
                <w:szCs w:val="20"/>
                <w:color w:val="auto"/>
              </w:rPr>
            </w:pPr>
            <w:r>
              <w:rPr>
                <w:rFonts w:ascii="Arial" w:cs="Arial" w:eastAsia="Arial" w:hAnsi="Arial"/>
                <w:sz w:val="20"/>
                <w:szCs w:val="20"/>
                <w:color w:val="auto"/>
                <w:w w:val="85"/>
              </w:rPr>
              <w:t>June 30,</w:t>
            </w:r>
          </w:p>
        </w:tc>
        <w:tc>
          <w:tcPr>
            <w:tcW w:w="1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June 30,</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98"/>
              </w:rPr>
              <w:t>2019</w:t>
            </w:r>
          </w:p>
        </w:tc>
        <w:tc>
          <w:tcPr>
            <w:tcW w:w="12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98"/>
              </w:rPr>
              <w:t>2018</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rPr>
              <w:t>2019</w:t>
            </w:r>
          </w:p>
        </w:tc>
        <w:tc>
          <w:tcPr>
            <w:tcW w:w="22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2018</w:t>
            </w: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gain (loss) recognized during the period on equity securities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72"/>
        </w:trPr>
        <w:tc>
          <w:tcPr>
            <w:tcW w:w="7360" w:type="dxa"/>
            <w:vAlign w:val="bottom"/>
          </w:tcPr>
          <w:p>
            <w:pPr>
              <w:spacing w:after="0" w:line="173" w:lineRule="exact"/>
              <w:rPr>
                <w:sz w:val="20"/>
                <w:szCs w:val="20"/>
                <w:color w:val="auto"/>
              </w:rPr>
            </w:pPr>
            <w:r>
              <w:rPr>
                <w:rFonts w:ascii="Arial" w:cs="Arial" w:eastAsia="Arial" w:hAnsi="Arial"/>
                <w:sz w:val="19"/>
                <w:szCs w:val="19"/>
                <w:color w:val="auto"/>
              </w:rPr>
              <w:t>Less: net gain / loss recognized during the period on equity securities sold during the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3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period</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2"/>
        </w:trPr>
        <w:tc>
          <w:tcPr>
            <w:tcW w:w="736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Unrealized gain (loss) recognized during the reporting period on equity securities still</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12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2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193</w:t>
            </w:r>
          </w:p>
        </w:tc>
        <w:tc>
          <w:tcPr>
            <w:tcW w:w="2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spacing w:after="0" w:line="219" w:lineRule="exact"/>
              <w:rPr>
                <w:sz w:val="20"/>
                <w:szCs w:val="20"/>
                <w:color w:val="auto"/>
              </w:rPr>
            </w:pPr>
            <w:r>
              <w:rPr>
                <w:rFonts w:ascii="Arial" w:cs="Arial" w:eastAsia="Arial" w:hAnsi="Arial"/>
                <w:sz w:val="20"/>
                <w:szCs w:val="20"/>
                <w:color w:val="auto"/>
              </w:rPr>
              <w:t>held at the reporting date</w:t>
            </w:r>
          </w:p>
        </w:tc>
        <w:tc>
          <w:tcPr>
            <w:tcW w:w="1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The net gain recognized on equity securities is presented on the consolidated statements of operations on the line item “Other.”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860" w:type="dxa"/>
            <w:vAlign w:val="bottom"/>
          </w:tcPr>
          <w:p>
            <w:pPr>
              <w:spacing w:after="0"/>
              <w:rPr>
                <w:sz w:val="23"/>
                <w:szCs w:val="23"/>
                <w:color w:val="auto"/>
              </w:rPr>
            </w:pPr>
          </w:p>
        </w:tc>
        <w:tc>
          <w:tcPr>
            <w:tcW w:w="2060" w:type="dxa"/>
            <w:vAlign w:val="bottom"/>
          </w:tcPr>
          <w:p>
            <w:pPr>
              <w:jc w:val="center"/>
              <w:ind w:left="952"/>
              <w:spacing w:after="0"/>
              <w:rPr>
                <w:sz w:val="20"/>
                <w:szCs w:val="20"/>
                <w:color w:val="auto"/>
              </w:rPr>
            </w:pPr>
            <w:r>
              <w:rPr>
                <w:rFonts w:ascii="Arial" w:cs="Arial" w:eastAsia="Arial" w:hAnsi="Arial"/>
                <w:sz w:val="22"/>
                <w:szCs w:val="22"/>
                <w:color w:val="auto"/>
                <w:w w:val="85"/>
              </w:rPr>
              <w:t>June 30,</w:t>
            </w: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tcPr>
          <w:p>
            <w:pPr>
              <w:jc w:val="right"/>
              <w:ind w:right="812"/>
              <w:spacing w:after="0"/>
              <w:rPr>
                <w:sz w:val="20"/>
                <w:szCs w:val="20"/>
                <w:color w:val="auto"/>
              </w:rPr>
            </w:pPr>
            <w:r>
              <w:rPr>
                <w:rFonts w:ascii="Arial" w:cs="Arial" w:eastAsia="Arial" w:hAnsi="Arial"/>
                <w:sz w:val="22"/>
                <w:szCs w:val="22"/>
                <w:color w:val="auto"/>
              </w:rPr>
              <w:t>December 31,</w:t>
            </w:r>
          </w:p>
        </w:tc>
      </w:tr>
      <w:tr>
        <w:trPr>
          <w:trHeight w:val="260"/>
        </w:trPr>
        <w:tc>
          <w:tcPr>
            <w:tcW w:w="486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2019</w:t>
            </w:r>
          </w:p>
        </w:tc>
        <w:tc>
          <w:tcPr>
            <w:tcW w:w="1060" w:type="dxa"/>
            <w:vAlign w:val="bottom"/>
            <w:tcBorders>
              <w:bottom w:val="single" w:sz="8" w:color="auto"/>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192"/>
              <w:spacing w:after="0"/>
              <w:rPr>
                <w:sz w:val="20"/>
                <w:szCs w:val="20"/>
                <w:color w:val="auto"/>
              </w:rPr>
            </w:pPr>
            <w:r>
              <w:rPr>
                <w:rFonts w:ascii="Arial" w:cs="Arial" w:eastAsia="Arial" w:hAnsi="Arial"/>
                <w:sz w:val="22"/>
                <w:szCs w:val="22"/>
                <w:color w:val="auto"/>
              </w:rPr>
              <w:t>2018</w:t>
            </w:r>
          </w:p>
        </w:tc>
      </w:tr>
      <w:tr>
        <w:trPr>
          <w:trHeight w:val="264"/>
        </w:trPr>
        <w:tc>
          <w:tcPr>
            <w:tcW w:w="4860" w:type="dxa"/>
            <w:vAlign w:val="bottom"/>
            <w:shd w:val="clear" w:color="auto" w:fill="CCEEFF"/>
          </w:tcPr>
          <w:p>
            <w:pPr>
              <w:spacing w:after="0"/>
              <w:rPr>
                <w:sz w:val="20"/>
                <w:szCs w:val="20"/>
                <w:color w:val="auto"/>
              </w:rPr>
            </w:pPr>
            <w:r>
              <w:rPr>
                <w:rFonts w:ascii="Arial" w:cs="Arial" w:eastAsia="Arial" w:hAnsi="Arial"/>
                <w:sz w:val="22"/>
                <w:szCs w:val="22"/>
                <w:color w:val="auto"/>
              </w:rPr>
              <w:t>Carrying amount</w:t>
            </w:r>
          </w:p>
        </w:tc>
        <w:tc>
          <w:tcPr>
            <w:tcW w:w="2060" w:type="dxa"/>
            <w:vAlign w:val="bottom"/>
            <w:shd w:val="clear" w:color="auto" w:fill="CCEEFF"/>
          </w:tcPr>
          <w:p>
            <w:pPr>
              <w:jc w:val="right"/>
              <w:ind w:right="1832"/>
              <w:spacing w:after="0"/>
              <w:rPr>
                <w:sz w:val="20"/>
                <w:szCs w:val="20"/>
                <w:color w:val="auto"/>
              </w:rPr>
            </w:pPr>
            <w:r>
              <w:rPr>
                <w:rFonts w:ascii="Arial" w:cs="Arial" w:eastAsia="Arial" w:hAnsi="Arial"/>
                <w:sz w:val="22"/>
                <w:szCs w:val="22"/>
                <w:color w:val="auto"/>
                <w:w w:val="8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3,000,467</w:t>
            </w: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81"/>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2,563,660</w:t>
            </w:r>
          </w:p>
        </w:tc>
      </w:tr>
      <w:tr>
        <w:trPr>
          <w:trHeight w:val="307"/>
        </w:trPr>
        <w:tc>
          <w:tcPr>
            <w:tcW w:w="4860" w:type="dxa"/>
            <w:vAlign w:val="bottom"/>
          </w:tcPr>
          <w:p>
            <w:pPr>
              <w:spacing w:after="0"/>
              <w:rPr>
                <w:sz w:val="20"/>
                <w:szCs w:val="20"/>
                <w:color w:val="auto"/>
              </w:rPr>
            </w:pPr>
            <w:r>
              <w:rPr>
                <w:rFonts w:ascii="Arial" w:cs="Arial" w:eastAsia="Arial" w:hAnsi="Arial"/>
                <w:sz w:val="22"/>
                <w:szCs w:val="22"/>
                <w:color w:val="auto"/>
              </w:rPr>
              <w:t>Estimated fair value</w:t>
            </w:r>
          </w:p>
        </w:tc>
        <w:tc>
          <w:tcPr>
            <w:tcW w:w="20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3,234,787</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22"/>
                <w:szCs w:val="22"/>
                <w:color w:val="auto"/>
              </w:rPr>
              <w:t>2,588,086</w:t>
            </w:r>
          </w:p>
        </w:tc>
      </w:tr>
    </w:tbl>
    <w:p>
      <w:pPr>
        <w:spacing w:after="0" w:line="198"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5" w:lineRule="exact"/>
        <w:rPr>
          <w:sz w:val="20"/>
          <w:szCs w:val="20"/>
          <w:color w:val="auto"/>
        </w:rPr>
      </w:pPr>
    </w:p>
    <w:p>
      <w:pPr>
        <w:ind w:right="180"/>
        <w:spacing w:after="0" w:line="224" w:lineRule="auto"/>
        <w:rPr>
          <w:sz w:val="20"/>
          <w:szCs w:val="20"/>
          <w:color w:val="auto"/>
        </w:rPr>
      </w:pPr>
      <w:r>
        <w:rPr>
          <w:rFonts w:ascii="Arial" w:cs="Arial" w:eastAsia="Arial" w:hAnsi="Arial"/>
          <w:sz w:val="22"/>
          <w:szCs w:val="22"/>
          <w:color w:val="auto"/>
        </w:rPr>
        <w:t>The Company’s customers’ advances for construction have a carrying value of $102,801 as of June 30, 2019, and $93,343 as of December 31, 2018. Their relative fair values cannot be accurately estimated because future refund payments depend on several variables, including new customer connections, customer consumption levels, and future rates. Portions of these non-interest-bearing instruments are payable annually through 2029 and amounts not paid by the respective contract expiration dates become non-refundable. The fair value of these amounts would, however, be less than their carrying value due to the non-interest-bearing feature.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w:t>
      </w:r>
    </w:p>
    <w:p>
      <w:pPr>
        <w:sectPr>
          <w:pgSz w:w="11900" w:h="16935" w:orient="portrait"/>
          <w:cols w:equalWidth="0" w:num="1">
            <w:col w:w="11420"/>
          </w:cols>
          <w:pgMar w:left="240" w:top="118" w:right="239" w:bottom="0" w:gutter="0" w:footer="0" w:header="0"/>
        </w:sectPr>
      </w:pPr>
    </w:p>
    <w:bookmarkStart w:id="14" w:name="page15"/>
    <w:bookmarkEnd w:id="14"/>
    <w:p>
      <w:pPr>
        <w:jc w:val="both"/>
        <w:spacing w:after="0" w:line="267" w:lineRule="auto"/>
        <w:rPr>
          <w:sz w:val="20"/>
          <w:szCs w:val="20"/>
          <w:color w:val="auto"/>
        </w:rPr>
      </w:pPr>
      <w:r>
        <w:rPr>
          <w:rFonts w:ascii="Arial" w:cs="Arial" w:eastAsia="Arial" w:hAnsi="Arial"/>
          <w:sz w:val="19"/>
          <w:szCs w:val="19"/>
          <w:color w:val="auto"/>
        </w:rPr>
        <w:t>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spacing w:after="0"/>
              <w:rPr>
                <w:sz w:val="21"/>
                <w:szCs w:val="21"/>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22"/>
                <w:szCs w:val="22"/>
                <w:color w:val="auto"/>
                <w:w w:val="88"/>
              </w:rPr>
              <w:t>Three Months Ended</w:t>
            </w:r>
          </w:p>
        </w:tc>
        <w:tc>
          <w:tcPr>
            <w:tcW w:w="2500" w:type="dxa"/>
            <w:vAlign w:val="bottom"/>
            <w:gridSpan w:val="4"/>
          </w:tcPr>
          <w:p>
            <w:pPr>
              <w:jc w:val="center"/>
              <w:spacing w:after="0"/>
              <w:rPr>
                <w:sz w:val="20"/>
                <w:szCs w:val="20"/>
                <w:color w:val="auto"/>
              </w:rPr>
            </w:pPr>
            <w:r>
              <w:rPr>
                <w:rFonts w:ascii="Arial" w:cs="Arial" w:eastAsia="Arial" w:hAnsi="Arial"/>
                <w:sz w:val="22"/>
                <w:szCs w:val="22"/>
                <w:color w:val="auto"/>
                <w:w w:val="90"/>
              </w:rPr>
              <w:t>Six Months Ended</w:t>
            </w:r>
          </w:p>
        </w:tc>
        <w:tc>
          <w:tcPr>
            <w:tcW w:w="0" w:type="dxa"/>
            <w:vAlign w:val="bottom"/>
          </w:tcPr>
          <w:p>
            <w:pPr>
              <w:spacing w:after="0"/>
              <w:rPr>
                <w:sz w:val="1"/>
                <w:szCs w:val="1"/>
                <w:color w:val="auto"/>
              </w:rPr>
            </w:pPr>
          </w:p>
        </w:tc>
      </w:tr>
      <w:tr>
        <w:trPr>
          <w:trHeight w:val="251"/>
        </w:trPr>
        <w:tc>
          <w:tcPr>
            <w:tcW w:w="612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92"/>
              <w:spacing w:after="0" w:line="251" w:lineRule="exact"/>
              <w:rPr>
                <w:sz w:val="20"/>
                <w:szCs w:val="20"/>
                <w:color w:val="auto"/>
              </w:rPr>
            </w:pPr>
            <w:r>
              <w:rPr>
                <w:rFonts w:ascii="Arial" w:cs="Arial" w:eastAsia="Arial" w:hAnsi="Arial"/>
                <w:sz w:val="22"/>
                <w:szCs w:val="22"/>
                <w:color w:val="auto"/>
                <w:w w:val="85"/>
              </w:rPr>
              <w:t>June 30,</w:t>
            </w: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72"/>
              <w:spacing w:after="0" w:line="251" w:lineRule="exact"/>
              <w:rPr>
                <w:sz w:val="20"/>
                <w:szCs w:val="20"/>
                <w:color w:val="auto"/>
              </w:rPr>
            </w:pPr>
            <w:r>
              <w:rPr>
                <w:rFonts w:ascii="Arial" w:cs="Arial" w:eastAsia="Arial" w:hAnsi="Arial"/>
                <w:sz w:val="22"/>
                <w:szCs w:val="22"/>
                <w:color w:val="auto"/>
                <w:w w:val="85"/>
              </w:rPr>
              <w:t>June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2019</w:t>
            </w: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93"/>
              </w:rPr>
              <w:t>2018</w:t>
            </w:r>
          </w:p>
        </w:tc>
        <w:tc>
          <w:tcPr>
            <w:tcW w:w="2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2019</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w w:val="93"/>
              </w:rPr>
              <w:t>2018</w:t>
            </w: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Average common shares outstanding during the period for basic</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1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computation</w:t>
            </w:r>
          </w:p>
        </w:tc>
        <w:tc>
          <w:tcPr>
            <w:tcW w:w="11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219,055</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177,901</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198,747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8"/>
              </w:rPr>
              <w:t>177,852</w:t>
            </w:r>
          </w:p>
        </w:tc>
        <w:tc>
          <w:tcPr>
            <w:tcW w:w="0" w:type="dxa"/>
            <w:vAlign w:val="bottom"/>
          </w:tcPr>
          <w:p>
            <w:pPr>
              <w:spacing w:after="0"/>
              <w:rPr>
                <w:sz w:val="1"/>
                <w:szCs w:val="1"/>
                <w:color w:val="auto"/>
              </w:rPr>
            </w:pPr>
          </w:p>
        </w:tc>
      </w:tr>
      <w:tr>
        <w:trPr>
          <w:trHeight w:val="230"/>
        </w:trPr>
        <w:tc>
          <w:tcPr>
            <w:tcW w:w="6120" w:type="dxa"/>
            <w:vAlign w:val="bottom"/>
          </w:tcPr>
          <w:p>
            <w:pPr>
              <w:spacing w:after="0" w:line="229" w:lineRule="exact"/>
              <w:rPr>
                <w:sz w:val="20"/>
                <w:szCs w:val="20"/>
                <w:color w:val="auto"/>
              </w:rPr>
            </w:pPr>
            <w:r>
              <w:rPr>
                <w:rFonts w:ascii="Arial" w:cs="Arial" w:eastAsia="Arial" w:hAnsi="Arial"/>
                <w:sz w:val="22"/>
                <w:szCs w:val="22"/>
                <w:color w:val="auto"/>
              </w:rPr>
              <w:t>Dilutive effect of tangible equity units</w:t>
            </w: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423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212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Dilutive effect of employee stock-based compensation</w:t>
            </w: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312</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372</w:t>
            </w:r>
          </w:p>
        </w:tc>
        <w:tc>
          <w:tcPr>
            <w:tcW w:w="2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344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447</w:t>
            </w:r>
          </w:p>
        </w:tc>
        <w:tc>
          <w:tcPr>
            <w:tcW w:w="0" w:type="dxa"/>
            <w:vAlign w:val="bottom"/>
          </w:tcPr>
          <w:p>
            <w:pPr>
              <w:spacing w:after="0"/>
              <w:rPr>
                <w:sz w:val="1"/>
                <w:szCs w:val="1"/>
                <w:color w:val="auto"/>
              </w:rPr>
            </w:pPr>
          </w:p>
        </w:tc>
      </w:tr>
      <w:tr>
        <w:trPr>
          <w:trHeight w:val="188"/>
        </w:trPr>
        <w:tc>
          <w:tcPr>
            <w:tcW w:w="6120" w:type="dxa"/>
            <w:vAlign w:val="bottom"/>
          </w:tcPr>
          <w:p>
            <w:pPr>
              <w:spacing w:after="0" w:line="188" w:lineRule="exact"/>
              <w:rPr>
                <w:sz w:val="20"/>
                <w:szCs w:val="20"/>
                <w:color w:val="auto"/>
              </w:rPr>
            </w:pPr>
            <w:r>
              <w:rPr>
                <w:rFonts w:ascii="Arial" w:cs="Arial" w:eastAsia="Arial" w:hAnsi="Arial"/>
                <w:sz w:val="21"/>
                <w:szCs w:val="21"/>
                <w:color w:val="auto"/>
              </w:rPr>
              <w:t>Average common shares outstanding during the period for diluted</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219,790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178,273</w:t>
            </w:r>
          </w:p>
        </w:tc>
        <w:tc>
          <w:tcPr>
            <w:tcW w:w="2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199,303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w w:val="98"/>
              </w:rPr>
              <w:t>178,299</w:t>
            </w:r>
          </w:p>
        </w:tc>
        <w:tc>
          <w:tcPr>
            <w:tcW w:w="0" w:type="dxa"/>
            <w:vAlign w:val="bottom"/>
          </w:tcPr>
          <w:p>
            <w:pPr>
              <w:spacing w:after="0"/>
              <w:rPr>
                <w:sz w:val="1"/>
                <w:szCs w:val="1"/>
                <w:color w:val="auto"/>
              </w:rPr>
            </w:pPr>
          </w:p>
        </w:tc>
      </w:tr>
      <w:tr>
        <w:trPr>
          <w:trHeight w:val="238"/>
        </w:trPr>
        <w:tc>
          <w:tcPr>
            <w:tcW w:w="6120" w:type="dxa"/>
            <w:vAlign w:val="bottom"/>
          </w:tcPr>
          <w:p>
            <w:pPr>
              <w:spacing w:after="0" w:line="238" w:lineRule="exact"/>
              <w:rPr>
                <w:sz w:val="20"/>
                <w:szCs w:val="20"/>
                <w:color w:val="auto"/>
              </w:rPr>
            </w:pPr>
            <w:r>
              <w:rPr>
                <w:rFonts w:ascii="Arial" w:cs="Arial" w:eastAsia="Arial" w:hAnsi="Arial"/>
                <w:sz w:val="22"/>
                <w:szCs w:val="22"/>
                <w:color w:val="auto"/>
              </w:rPr>
              <w:t>computation</w:t>
            </w: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spacing w:after="0" w:line="224" w:lineRule="auto"/>
        <w:rPr>
          <w:sz w:val="20"/>
          <w:szCs w:val="20"/>
          <w:color w:val="auto"/>
        </w:rPr>
      </w:pPr>
      <w:r>
        <w:rPr>
          <w:rFonts w:ascii="Arial" w:cs="Arial" w:eastAsia="Arial" w:hAnsi="Arial"/>
          <w:sz w:val="22"/>
          <w:szCs w:val="22"/>
          <w:color w:val="auto"/>
        </w:rPr>
        <w:t>For the three months ended June 30, 2019 and the six months ended June 30, 2019 and 2018, all of the Company’s employee stock options were included in the calculations of diluted net income per share as the calculated cost to exercise the stock options was less than the average market price of the Company’s common stock during these periods. For the three months ended June 30, 2018, employee stock options to purchase 159,244 shares of common stock were excluded from the calculation of diluted net income per share as the calculated cost to exercise the stock options was greater than the average market price of the Company’s common stock during this period.</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For the three and six months ended June 30, 2019, the average common shares outstanding during the period for basic computation includes the impact of 12,336,745 and 6,202,452 shares, respectively, based on the minimum number of shares to be issued in April 2022 upon settlement of the stock purchase contracts issued in April 2019 under the tangible equity units.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 equivalents, and other stock-based awards may be granted to employees, non-employee directors, and consultants and advisors. No further grants may be made under the 2004 Plan. The 2009 Plan authorizes 6,250,000 shares for issuance under the plan. A maximum of 3,125,000 shares under the 2009 Plan may be issued pursuant to stock awards, stock units and other stock-based awards, subject to adjustment as provided in the 2009 Plan. During any calendar year, no individual may be granted (i) stock options and stock appreciation rights under the 2009 Plan for more than 500,000 shares of Company stock in the aggregate or (ii) 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June 30, 2019, 2,628,625 shares were still available for issuance under the 2009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 Company’s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if specified performance goals are met over the three-year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ectPr>
          <w:pgSz w:w="11900" w:h="16838" w:orient="portrait"/>
          <w:cols w:equalWidth="0" w:num="1">
            <w:col w:w="11420"/>
          </w:cols>
          <w:pgMar w:left="240" w:top="118"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75"/>
        </w:trPr>
        <w:tc>
          <w:tcPr>
            <w:tcW w:w="4860" w:type="dxa"/>
            <w:vAlign w:val="bottom"/>
          </w:tcPr>
          <w:p>
            <w:pPr>
              <w:spacing w:after="0"/>
              <w:rPr>
                <w:sz w:val="23"/>
                <w:szCs w:val="23"/>
                <w:color w:val="auto"/>
              </w:rPr>
            </w:pPr>
          </w:p>
        </w:tc>
        <w:tc>
          <w:tcPr>
            <w:tcW w:w="3460" w:type="dxa"/>
            <w:vAlign w:val="bottom"/>
            <w:gridSpan w:val="7"/>
          </w:tcPr>
          <w:p>
            <w:pPr>
              <w:jc w:val="center"/>
              <w:ind w:right="240"/>
              <w:spacing w:after="0"/>
              <w:rPr>
                <w:sz w:val="20"/>
                <w:szCs w:val="20"/>
                <w:color w:val="auto"/>
              </w:rPr>
            </w:pPr>
            <w:r>
              <w:rPr>
                <w:rFonts w:ascii="Arial" w:cs="Arial" w:eastAsia="Arial" w:hAnsi="Arial"/>
                <w:sz w:val="22"/>
                <w:szCs w:val="22"/>
                <w:color w:val="auto"/>
                <w:w w:val="88"/>
              </w:rPr>
              <w:t>Three Months Ended</w:t>
            </w:r>
          </w:p>
        </w:tc>
        <w:tc>
          <w:tcPr>
            <w:tcW w:w="120" w:type="dxa"/>
            <w:vAlign w:val="bottom"/>
          </w:tcPr>
          <w:p>
            <w:pPr>
              <w:spacing w:after="0"/>
              <w:rPr>
                <w:sz w:val="23"/>
                <w:szCs w:val="23"/>
                <w:color w:val="auto"/>
              </w:rPr>
            </w:pPr>
          </w:p>
        </w:tc>
        <w:tc>
          <w:tcPr>
            <w:tcW w:w="2980" w:type="dxa"/>
            <w:vAlign w:val="bottom"/>
            <w:gridSpan w:val="6"/>
          </w:tcPr>
          <w:p>
            <w:pPr>
              <w:jc w:val="center"/>
              <w:ind w:right="12"/>
              <w:spacing w:after="0"/>
              <w:rPr>
                <w:sz w:val="20"/>
                <w:szCs w:val="20"/>
                <w:color w:val="auto"/>
              </w:rPr>
            </w:pPr>
            <w:r>
              <w:rPr>
                <w:rFonts w:ascii="Arial" w:cs="Arial" w:eastAsia="Arial" w:hAnsi="Arial"/>
                <w:sz w:val="22"/>
                <w:szCs w:val="22"/>
                <w:color w:val="auto"/>
                <w:w w:val="90"/>
              </w:rPr>
              <w:t>Six Months Ended</w:t>
            </w:r>
          </w:p>
        </w:tc>
      </w:tr>
      <w:tr>
        <w:trPr>
          <w:trHeight w:val="260"/>
        </w:trPr>
        <w:tc>
          <w:tcPr>
            <w:tcW w:w="48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5"/>
              </w:rPr>
              <w:t>June 30,</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center"/>
              <w:ind w:left="952"/>
              <w:spacing w:after="0"/>
              <w:rPr>
                <w:sz w:val="20"/>
                <w:szCs w:val="20"/>
                <w:color w:val="auto"/>
              </w:rPr>
            </w:pPr>
            <w:r>
              <w:rPr>
                <w:rFonts w:ascii="Arial" w:cs="Arial" w:eastAsia="Arial" w:hAnsi="Arial"/>
                <w:sz w:val="22"/>
                <w:szCs w:val="22"/>
                <w:color w:val="auto"/>
                <w:w w:val="85"/>
              </w:rPr>
              <w:t>June 30,</w:t>
            </w:r>
          </w:p>
        </w:tc>
        <w:tc>
          <w:tcPr>
            <w:tcW w:w="1200" w:type="dxa"/>
            <w:vAlign w:val="bottom"/>
            <w:tcBorders>
              <w:bottom w:val="single" w:sz="8" w:color="auto"/>
            </w:tcBorders>
          </w:tcPr>
          <w:p>
            <w:pPr>
              <w:spacing w:after="0"/>
              <w:rPr>
                <w:sz w:val="22"/>
                <w:szCs w:val="22"/>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4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2019</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w w:val="89"/>
              </w:rPr>
              <w:t>2018</w:t>
            </w:r>
          </w:p>
        </w:tc>
      </w:tr>
      <w:tr>
        <w:trPr>
          <w:trHeight w:val="188"/>
        </w:trPr>
        <w:tc>
          <w:tcPr>
            <w:tcW w:w="486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51"/>
        </w:trPr>
        <w:tc>
          <w:tcPr>
            <w:tcW w:w="48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080" w:type="dxa"/>
            <w:vAlign w:val="bottom"/>
            <w:shd w:val="clear" w:color="auto" w:fill="CCEEFF"/>
          </w:tcPr>
          <w:p>
            <w:pPr>
              <w:jc w:val="right"/>
              <w:ind w:right="852"/>
              <w:spacing w:after="0" w:line="251" w:lineRule="exact"/>
              <w:rPr>
                <w:sz w:val="20"/>
                <w:szCs w:val="20"/>
                <w:color w:val="auto"/>
              </w:rPr>
            </w:pPr>
            <w:r>
              <w:rPr>
                <w:rFonts w:ascii="Arial" w:cs="Arial" w:eastAsia="Arial" w:hAnsi="Arial"/>
                <w:sz w:val="22"/>
                <w:szCs w:val="22"/>
                <w:color w:val="auto"/>
                <w:w w:val="81"/>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853</w:t>
            </w:r>
          </w:p>
        </w:tc>
        <w:tc>
          <w:tcPr>
            <w:tcW w:w="620" w:type="dxa"/>
            <w:vAlign w:val="bottom"/>
            <w:gridSpan w:val="2"/>
            <w:shd w:val="clear" w:color="auto" w:fill="CCEEFF"/>
          </w:tcPr>
          <w:p>
            <w:pPr>
              <w:jc w:val="right"/>
              <w:ind w:right="280"/>
              <w:spacing w:after="0" w:line="251" w:lineRule="exact"/>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1,339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shd w:val="clear" w:color="auto" w:fill="CCEEFF"/>
          </w:tcPr>
          <w:p>
            <w:pPr>
              <w:jc w:val="right"/>
              <w:ind w:right="160"/>
              <w:spacing w:after="0" w:line="251" w:lineRule="exact"/>
              <w:rPr>
                <w:sz w:val="20"/>
                <w:szCs w:val="20"/>
                <w:color w:val="auto"/>
              </w:rPr>
            </w:pPr>
            <w:r>
              <w:rPr>
                <w:rFonts w:ascii="Arial" w:cs="Arial" w:eastAsia="Arial" w:hAnsi="Arial"/>
                <w:sz w:val="22"/>
                <w:szCs w:val="22"/>
                <w:color w:val="auto"/>
              </w:rPr>
              <w:t>1,850</w:t>
            </w:r>
          </w:p>
        </w:tc>
        <w:tc>
          <w:tcPr>
            <w:tcW w:w="280" w:type="dxa"/>
            <w:vAlign w:val="bottom"/>
            <w:gridSpan w:val="2"/>
            <w:shd w:val="clear" w:color="auto" w:fill="CCEEFF"/>
          </w:tcPr>
          <w:p>
            <w:pPr>
              <w:jc w:val="right"/>
              <w:ind w:right="140"/>
              <w:spacing w:after="0" w:line="251" w:lineRule="exact"/>
              <w:rPr>
                <w:sz w:val="20"/>
                <w:szCs w:val="20"/>
                <w:color w:val="auto"/>
              </w:rPr>
            </w:pPr>
            <w:r>
              <w:rPr>
                <w:rFonts w:ascii="Arial" w:cs="Arial" w:eastAsia="Arial" w:hAnsi="Arial"/>
                <w:sz w:val="22"/>
                <w:szCs w:val="22"/>
                <w:color w:val="auto"/>
                <w:w w:val="97"/>
              </w:rPr>
              <w:t>$</w:t>
            </w:r>
          </w:p>
        </w:tc>
        <w:tc>
          <w:tcPr>
            <w:tcW w:w="12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2,198</w:t>
            </w:r>
          </w:p>
        </w:tc>
      </w:tr>
      <w:tr>
        <w:trPr>
          <w:trHeight w:val="307"/>
        </w:trPr>
        <w:tc>
          <w:tcPr>
            <w:tcW w:w="4860" w:type="dxa"/>
            <w:vAlign w:val="bottom"/>
          </w:tcPr>
          <w:p>
            <w:pPr>
              <w:spacing w:after="0"/>
              <w:rPr>
                <w:sz w:val="20"/>
                <w:szCs w:val="20"/>
                <w:color w:val="auto"/>
              </w:rPr>
            </w:pPr>
            <w:r>
              <w:rPr>
                <w:rFonts w:ascii="Arial" w:cs="Arial" w:eastAsia="Arial" w:hAnsi="Arial"/>
                <w:sz w:val="22"/>
                <w:szCs w:val="22"/>
                <w:color w:val="auto"/>
              </w:rPr>
              <w:t>Income tax benefit</w:t>
            </w:r>
          </w:p>
        </w:tc>
        <w:tc>
          <w:tcPr>
            <w:tcW w:w="10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239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22"/>
                <w:szCs w:val="22"/>
                <w:color w:val="auto"/>
              </w:rPr>
              <w:t>516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614</w:t>
            </w:r>
          </w:p>
        </w:tc>
      </w:tr>
      <w:tr>
        <w:trPr>
          <w:trHeight w:val="459"/>
        </w:trPr>
        <w:tc>
          <w:tcPr>
            <w:tcW w:w="8320" w:type="dxa"/>
            <w:vAlign w:val="bottom"/>
            <w:gridSpan w:val="8"/>
          </w:tcPr>
          <w:p>
            <w:pPr>
              <w:spacing w:after="0"/>
              <w:rPr>
                <w:sz w:val="20"/>
                <w:szCs w:val="20"/>
                <w:color w:val="auto"/>
              </w:rPr>
            </w:pPr>
            <w:r>
              <w:rPr>
                <w:rFonts w:ascii="Arial" w:cs="Arial" w:eastAsia="Arial" w:hAnsi="Arial"/>
                <w:sz w:val="22"/>
                <w:szCs w:val="22"/>
                <w:color w:val="auto"/>
                <w:w w:val="90"/>
              </w:rPr>
              <w:t>The following table summarizes the PSU transactions for the six months ended June 30, 2019:</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1"/>
        </w:trPr>
        <w:tc>
          <w:tcPr>
            <w:tcW w:w="4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center"/>
              <w:ind w:right="480"/>
              <w:spacing w:after="0"/>
              <w:rPr>
                <w:sz w:val="20"/>
                <w:szCs w:val="20"/>
                <w:color w:val="auto"/>
              </w:rPr>
            </w:pPr>
            <w:r>
              <w:rPr>
                <w:rFonts w:ascii="Arial" w:cs="Arial" w:eastAsia="Arial" w:hAnsi="Arial"/>
                <w:sz w:val="22"/>
                <w:szCs w:val="22"/>
                <w:color w:val="auto"/>
                <w:w w:val="89"/>
              </w:rPr>
              <w:t>Number</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92"/>
              <w:spacing w:after="0"/>
              <w:rPr>
                <w:sz w:val="20"/>
                <w:szCs w:val="20"/>
                <w:color w:val="auto"/>
              </w:rPr>
            </w:pPr>
            <w:r>
              <w:rPr>
                <w:rFonts w:ascii="Arial" w:cs="Arial" w:eastAsia="Arial" w:hAnsi="Arial"/>
                <w:sz w:val="22"/>
                <w:szCs w:val="22"/>
                <w:color w:val="auto"/>
                <w:w w:val="88"/>
              </w:rPr>
              <w:t>Weighted</w:t>
            </w:r>
          </w:p>
        </w:tc>
      </w:tr>
      <w:tr>
        <w:trPr>
          <w:trHeight w:val="230"/>
        </w:trPr>
        <w:tc>
          <w:tcPr>
            <w:tcW w:w="4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center"/>
              <w:ind w:right="480"/>
              <w:spacing w:after="0" w:line="229" w:lineRule="exact"/>
              <w:rPr>
                <w:sz w:val="20"/>
                <w:szCs w:val="20"/>
                <w:color w:val="auto"/>
              </w:rPr>
            </w:pPr>
            <w:r>
              <w:rPr>
                <w:rFonts w:ascii="Arial" w:cs="Arial" w:eastAsia="Arial" w:hAnsi="Arial"/>
                <w:sz w:val="22"/>
                <w:szCs w:val="22"/>
                <w:color w:val="auto"/>
                <w:w w:val="97"/>
              </w:rPr>
              <w:t>of</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17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4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center"/>
              <w:ind w:right="480"/>
              <w:spacing w:after="0" w:line="251" w:lineRule="exact"/>
              <w:rPr>
                <w:sz w:val="20"/>
                <w:szCs w:val="20"/>
                <w:color w:val="auto"/>
              </w:rPr>
            </w:pPr>
            <w:r>
              <w:rPr>
                <w:rFonts w:ascii="Arial" w:cs="Arial" w:eastAsia="Arial" w:hAnsi="Arial"/>
                <w:sz w:val="22"/>
                <w:szCs w:val="22"/>
                <w:color w:val="auto"/>
                <w:w w:val="88"/>
              </w:rPr>
              <w:t>Share Units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center"/>
              <w:ind w:right="17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48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10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443,410</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27.20</w:t>
            </w:r>
          </w:p>
        </w:tc>
      </w:tr>
      <w:tr>
        <w:trPr>
          <w:trHeight w:val="230"/>
        </w:trPr>
        <w:tc>
          <w:tcPr>
            <w:tcW w:w="48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r>
      <w:tr>
        <w:trPr>
          <w:trHeight w:val="230"/>
        </w:trPr>
        <w:tc>
          <w:tcPr>
            <w:tcW w:w="4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Performance criteria adjustment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(64,259)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33.42</w:t>
            </w:r>
          </w:p>
        </w:tc>
      </w:tr>
      <w:tr>
        <w:trPr>
          <w:trHeight w:val="230"/>
        </w:trPr>
        <w:tc>
          <w:tcPr>
            <w:tcW w:w="486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(3,964)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33.62</w:t>
            </w:r>
          </w:p>
        </w:tc>
      </w:tr>
      <w:tr>
        <w:trPr>
          <w:trHeight w:val="230"/>
        </w:trPr>
        <w:tc>
          <w:tcPr>
            <w:tcW w:w="4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Share units issued</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(89,324)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52.39</w:t>
            </w:r>
          </w:p>
        </w:tc>
      </w:tr>
      <w:tr>
        <w:trPr>
          <w:trHeight w:val="223"/>
        </w:trPr>
        <w:tc>
          <w:tcPr>
            <w:tcW w:w="486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285,863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Arial" w:cs="Arial" w:eastAsia="Arial" w:hAnsi="Arial"/>
                <w:sz w:val="22"/>
                <w:szCs w:val="22"/>
                <w:color w:val="auto"/>
              </w:rPr>
              <w:t>17.84</w:t>
            </w:r>
          </w:p>
        </w:tc>
      </w:tr>
      <w:tr>
        <w:trPr>
          <w:trHeight w:val="20"/>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six months ended June 30, 2018 was $37.65. The Company did not grant PSUs for the six months ended June 30, 2019.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35"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 Company’s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20" w:type="dxa"/>
            <w:vAlign w:val="bottom"/>
            <w:gridSpan w:val="4"/>
          </w:tcPr>
          <w:p>
            <w:pPr>
              <w:jc w:val="center"/>
              <w:ind w:left="29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80" w:type="dxa"/>
            <w:vAlign w:val="bottom"/>
            <w:gridSpan w:val="5"/>
          </w:tcPr>
          <w:p>
            <w:pPr>
              <w:jc w:val="center"/>
              <w:ind w:right="252"/>
              <w:spacing w:after="0"/>
              <w:rPr>
                <w:sz w:val="20"/>
                <w:szCs w:val="20"/>
                <w:color w:val="auto"/>
              </w:rPr>
            </w:pPr>
            <w:r>
              <w:rPr>
                <w:rFonts w:ascii="Arial" w:cs="Arial" w:eastAsia="Arial" w:hAnsi="Arial"/>
                <w:sz w:val="22"/>
                <w:szCs w:val="22"/>
                <w:color w:val="auto"/>
                <w:w w:val="89"/>
              </w:rPr>
              <w:t>Six Months Ended</w:t>
            </w:r>
          </w:p>
        </w:tc>
      </w:tr>
      <w:tr>
        <w:trPr>
          <w:trHeight w:val="260"/>
        </w:trPr>
        <w:tc>
          <w:tcPr>
            <w:tcW w:w="4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right="372"/>
              <w:spacing w:after="0"/>
              <w:rPr>
                <w:sz w:val="20"/>
                <w:szCs w:val="20"/>
                <w:color w:val="auto"/>
              </w:rPr>
            </w:pPr>
            <w:r>
              <w:rPr>
                <w:rFonts w:ascii="Arial" w:cs="Arial" w:eastAsia="Arial" w:hAnsi="Arial"/>
                <w:sz w:val="22"/>
                <w:szCs w:val="22"/>
                <w:color w:val="auto"/>
                <w:w w:val="85"/>
              </w:rPr>
              <w:t>June 30,</w:t>
            </w:r>
          </w:p>
        </w:tc>
        <w:tc>
          <w:tcPr>
            <w:tcW w:w="4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left="712"/>
              <w:spacing w:after="0"/>
              <w:rPr>
                <w:sz w:val="20"/>
                <w:szCs w:val="20"/>
                <w:color w:val="auto"/>
              </w:rPr>
            </w:pPr>
            <w:r>
              <w:rPr>
                <w:rFonts w:ascii="Arial" w:cs="Arial" w:eastAsia="Arial" w:hAnsi="Arial"/>
                <w:sz w:val="22"/>
                <w:szCs w:val="22"/>
                <w:color w:val="auto"/>
                <w:w w:val="85"/>
              </w:rPr>
              <w:t>June 30,</w:t>
            </w:r>
          </w:p>
        </w:tc>
        <w:tc>
          <w:tcPr>
            <w:tcW w:w="1180" w:type="dxa"/>
            <w:vAlign w:val="bottom"/>
            <w:tcBorders>
              <w:bottom w:val="single" w:sz="8" w:color="auto"/>
            </w:tcBorders>
          </w:tcPr>
          <w:p>
            <w:pPr>
              <w:spacing w:after="0"/>
              <w:rPr>
                <w:sz w:val="22"/>
                <w:szCs w:val="22"/>
                <w:color w:val="auto"/>
              </w:rPr>
            </w:pPr>
          </w:p>
        </w:tc>
      </w:tr>
      <w:tr>
        <w:trPr>
          <w:trHeight w:val="264"/>
        </w:trPr>
        <w:tc>
          <w:tcPr>
            <w:tcW w:w="45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2019</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2018</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22"/>
                <w:szCs w:val="22"/>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472"/>
              <w:spacing w:after="0"/>
              <w:rPr>
                <w:sz w:val="20"/>
                <w:szCs w:val="20"/>
                <w:color w:val="auto"/>
              </w:rPr>
            </w:pPr>
            <w:r>
              <w:rPr>
                <w:rFonts w:ascii="Arial" w:cs="Arial" w:eastAsia="Arial" w:hAnsi="Arial"/>
                <w:sz w:val="22"/>
                <w:szCs w:val="22"/>
                <w:color w:val="auto"/>
              </w:rPr>
              <w:t>2018</w:t>
            </w:r>
          </w:p>
        </w:tc>
      </w:tr>
      <w:tr>
        <w:trPr>
          <w:trHeight w:val="188"/>
        </w:trPr>
        <w:tc>
          <w:tcPr>
            <w:tcW w:w="45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w w:val="99"/>
              </w:rPr>
              <w:t>Stock-based compensation within operations and</w:t>
            </w:r>
          </w:p>
        </w:tc>
        <w:tc>
          <w:tcPr>
            <w:tcW w:w="3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51"/>
        </w:trPr>
        <w:tc>
          <w:tcPr>
            <w:tcW w:w="458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40" w:type="dxa"/>
            <w:vAlign w:val="bottom"/>
            <w:gridSpan w:val="2"/>
            <w:shd w:val="clear" w:color="auto" w:fill="CCEEFF"/>
          </w:tcPr>
          <w:p>
            <w:pPr>
              <w:jc w:val="right"/>
              <w:ind w:right="692"/>
              <w:spacing w:after="0" w:line="251"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412</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12"/>
              <w:spacing w:after="0" w:line="251" w:lineRule="exact"/>
              <w:rPr>
                <w:sz w:val="20"/>
                <w:szCs w:val="20"/>
                <w:color w:val="auto"/>
              </w:rPr>
            </w:pPr>
            <w:r>
              <w:rPr>
                <w:rFonts w:ascii="Arial" w:cs="Arial" w:eastAsia="Arial" w:hAnsi="Arial"/>
                <w:sz w:val="22"/>
                <w:szCs w:val="22"/>
                <w:color w:val="auto"/>
                <w:w w:val="81"/>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355</w:t>
            </w:r>
          </w:p>
        </w:tc>
        <w:tc>
          <w:tcPr>
            <w:tcW w:w="58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837</w:t>
            </w:r>
          </w:p>
        </w:tc>
        <w:tc>
          <w:tcPr>
            <w:tcW w:w="540" w:type="dxa"/>
            <w:vAlign w:val="bottom"/>
            <w:gridSpan w:val="2"/>
            <w:shd w:val="clear" w:color="auto" w:fill="CCEEFF"/>
          </w:tcPr>
          <w:p>
            <w:pPr>
              <w:jc w:val="right"/>
              <w:ind w:right="320"/>
              <w:spacing w:after="0" w:line="251" w:lineRule="exact"/>
              <w:rPr>
                <w:sz w:val="20"/>
                <w:szCs w:val="20"/>
                <w:color w:val="auto"/>
              </w:rPr>
            </w:pPr>
            <w:r>
              <w:rPr>
                <w:rFonts w:ascii="Arial" w:cs="Arial" w:eastAsia="Arial" w:hAnsi="Arial"/>
                <w:sz w:val="22"/>
                <w:szCs w:val="22"/>
                <w:color w:val="auto"/>
              </w:rPr>
              <w:t>$</w:t>
            </w:r>
          </w:p>
        </w:tc>
        <w:tc>
          <w:tcPr>
            <w:tcW w:w="11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706</w:t>
            </w:r>
          </w:p>
        </w:tc>
      </w:tr>
      <w:tr>
        <w:trPr>
          <w:trHeight w:val="307"/>
        </w:trPr>
        <w:tc>
          <w:tcPr>
            <w:tcW w:w="4580" w:type="dxa"/>
            <w:vAlign w:val="bottom"/>
          </w:tcPr>
          <w:p>
            <w:pPr>
              <w:spacing w:after="0"/>
              <w:rPr>
                <w:sz w:val="20"/>
                <w:szCs w:val="20"/>
                <w:color w:val="auto"/>
              </w:rPr>
            </w:pPr>
            <w:r>
              <w:rPr>
                <w:rFonts w:ascii="Arial" w:cs="Arial" w:eastAsia="Arial" w:hAnsi="Arial"/>
                <w:sz w:val="22"/>
                <w:szCs w:val="22"/>
                <w:color w:val="auto"/>
              </w:rPr>
              <w:t>Income tax benefit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116</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100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2"/>
                <w:szCs w:val="22"/>
                <w:color w:val="auto"/>
              </w:rPr>
              <w:t>236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six months ended June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center"/>
              <w:ind w:right="112"/>
              <w:spacing w:after="0"/>
              <w:rPr>
                <w:sz w:val="20"/>
                <w:szCs w:val="20"/>
                <w:color w:val="auto"/>
              </w:rPr>
            </w:pPr>
            <w:r>
              <w:rPr>
                <w:rFonts w:ascii="Arial" w:cs="Arial" w:eastAsia="Arial" w:hAnsi="Arial"/>
                <w:sz w:val="22"/>
                <w:szCs w:val="22"/>
                <w:color w:val="auto"/>
                <w:w w:val="88"/>
              </w:rPr>
              <w:t>Weighted</w:t>
            </w:r>
          </w:p>
        </w:tc>
      </w:tr>
      <w:tr>
        <w:trPr>
          <w:trHeight w:val="230"/>
        </w:trPr>
        <w:tc>
          <w:tcPr>
            <w:tcW w:w="8080" w:type="dxa"/>
            <w:vAlign w:val="bottom"/>
          </w:tcPr>
          <w:p>
            <w:pPr>
              <w:spacing w:after="0"/>
              <w:rPr>
                <w:sz w:val="19"/>
                <w:szCs w:val="19"/>
                <w:color w:val="auto"/>
              </w:rPr>
            </w:pPr>
          </w:p>
        </w:tc>
        <w:tc>
          <w:tcPr>
            <w:tcW w:w="148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0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91"/>
              </w:rPr>
              <w:t>Stock Units</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80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130,085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2"/>
              <w:spacing w:after="0" w:line="223" w:lineRule="exact"/>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33.13</w:t>
            </w:r>
          </w:p>
        </w:tc>
      </w:tr>
      <w:tr>
        <w:trPr>
          <w:trHeight w:val="230"/>
        </w:trPr>
        <w:tc>
          <w:tcPr>
            <w:tcW w:w="808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80" w:type="dxa"/>
            <w:vAlign w:val="bottom"/>
          </w:tcPr>
          <w:p>
            <w:pPr>
              <w:jc w:val="right"/>
              <w:spacing w:after="0" w:line="229" w:lineRule="exact"/>
              <w:rPr>
                <w:sz w:val="20"/>
                <w:szCs w:val="20"/>
                <w:color w:val="auto"/>
              </w:rPr>
            </w:pPr>
            <w:r>
              <w:rPr>
                <w:rFonts w:ascii="Arial" w:cs="Arial" w:eastAsia="Arial" w:hAnsi="Arial"/>
                <w:sz w:val="22"/>
                <w:szCs w:val="22"/>
                <w:color w:val="auto"/>
              </w:rPr>
              <w:t>55,686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Arial" w:cs="Arial" w:eastAsia="Arial" w:hAnsi="Arial"/>
                <w:sz w:val="22"/>
                <w:szCs w:val="22"/>
                <w:color w:val="auto"/>
              </w:rPr>
              <w:t>36.01</w:t>
            </w:r>
          </w:p>
        </w:tc>
      </w:tr>
      <w:tr>
        <w:trPr>
          <w:trHeight w:val="230"/>
        </w:trPr>
        <w:tc>
          <w:tcPr>
            <w:tcW w:w="80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4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(40,178)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32.88</w:t>
            </w:r>
          </w:p>
        </w:tc>
      </w:tr>
      <w:tr>
        <w:trPr>
          <w:trHeight w:val="230"/>
        </w:trPr>
        <w:tc>
          <w:tcPr>
            <w:tcW w:w="808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Forfeited</w:t>
            </w:r>
          </w:p>
        </w:tc>
        <w:tc>
          <w:tcPr>
            <w:tcW w:w="14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(2,327)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line="229" w:lineRule="exact"/>
              <w:rPr>
                <w:sz w:val="20"/>
                <w:szCs w:val="20"/>
                <w:color w:val="auto"/>
              </w:rPr>
            </w:pPr>
            <w:r>
              <w:rPr>
                <w:rFonts w:ascii="Arial" w:cs="Arial" w:eastAsia="Arial" w:hAnsi="Arial"/>
                <w:sz w:val="22"/>
                <w:szCs w:val="22"/>
                <w:color w:val="auto"/>
              </w:rPr>
              <w:t>35.17</w:t>
            </w:r>
          </w:p>
        </w:tc>
      </w:tr>
      <w:tr>
        <w:trPr>
          <w:trHeight w:val="223"/>
        </w:trPr>
        <w:tc>
          <w:tcPr>
            <w:tcW w:w="80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143,266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34.29</w:t>
            </w:r>
          </w:p>
        </w:tc>
      </w:tr>
      <w:tr>
        <w:trPr>
          <w:trHeight w:val="20"/>
        </w:trPr>
        <w:tc>
          <w:tcPr>
            <w:tcW w:w="8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ectPr>
          <w:pgSz w:w="11900" w:h="16838" w:orient="portrait"/>
          <w:cols w:equalWidth="0" w:num="1">
            <w:col w:w="11420"/>
          </w:cols>
          <w:pgMar w:left="240" w:top="402" w:right="239" w:bottom="0" w:gutter="0" w:footer="0" w:header="0"/>
        </w:sectPr>
      </w:pPr>
    </w:p>
    <w:bookmarkStart w:id="16" w:name="page17"/>
    <w:bookmarkEnd w:id="16"/>
    <w:p>
      <w:pPr>
        <w:spacing w:after="0" w:line="62"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six months ended June 30, 2019 and 2018 was $36.01 and $34.91,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33"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 specified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420" w:type="dxa"/>
            <w:vAlign w:val="bottom"/>
          </w:tcPr>
          <w:p>
            <w:pPr>
              <w:spacing w:after="0"/>
              <w:rPr>
                <w:sz w:val="23"/>
                <w:szCs w:val="23"/>
                <w:color w:val="auto"/>
              </w:rPr>
            </w:pPr>
          </w:p>
        </w:tc>
        <w:tc>
          <w:tcPr>
            <w:tcW w:w="2440" w:type="dxa"/>
            <w:vAlign w:val="bottom"/>
            <w:gridSpan w:val="4"/>
          </w:tcPr>
          <w:p>
            <w:pPr>
              <w:jc w:val="center"/>
              <w:ind w:left="316"/>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20" w:type="dxa"/>
            <w:vAlign w:val="bottom"/>
            <w:gridSpan w:val="5"/>
          </w:tcPr>
          <w:p>
            <w:pPr>
              <w:jc w:val="right"/>
              <w:ind w:right="532"/>
              <w:spacing w:after="0"/>
              <w:rPr>
                <w:sz w:val="20"/>
                <w:szCs w:val="20"/>
                <w:color w:val="auto"/>
              </w:rPr>
            </w:pPr>
            <w:r>
              <w:rPr>
                <w:rFonts w:ascii="Arial" w:cs="Arial" w:eastAsia="Arial" w:hAnsi="Arial"/>
                <w:sz w:val="22"/>
                <w:szCs w:val="22"/>
                <w:color w:val="auto"/>
              </w:rPr>
              <w:t>Six Months Ended</w:t>
            </w:r>
          </w:p>
        </w:tc>
      </w:tr>
      <w:tr>
        <w:trPr>
          <w:trHeight w:val="260"/>
        </w:trPr>
        <w:tc>
          <w:tcPr>
            <w:tcW w:w="54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right="412"/>
              <w:spacing w:after="0"/>
              <w:rPr>
                <w:sz w:val="20"/>
                <w:szCs w:val="20"/>
                <w:color w:val="auto"/>
              </w:rPr>
            </w:pPr>
            <w:r>
              <w:rPr>
                <w:rFonts w:ascii="Arial" w:cs="Arial" w:eastAsia="Arial" w:hAnsi="Arial"/>
                <w:sz w:val="22"/>
                <w:szCs w:val="22"/>
                <w:color w:val="auto"/>
                <w:w w:val="85"/>
              </w:rPr>
              <w:t>June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22"/>
                <w:szCs w:val="22"/>
                <w:color w:val="auto"/>
              </w:rPr>
              <w:t>June 30,</w:t>
            </w:r>
          </w:p>
        </w:tc>
        <w:tc>
          <w:tcPr>
            <w:tcW w:w="940" w:type="dxa"/>
            <w:vAlign w:val="bottom"/>
            <w:tcBorders>
              <w:bottom w:val="single" w:sz="8" w:color="auto"/>
            </w:tcBorders>
          </w:tcPr>
          <w:p>
            <w:pPr>
              <w:spacing w:after="0"/>
              <w:rPr>
                <w:sz w:val="22"/>
                <w:szCs w:val="22"/>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w w:val="93"/>
              </w:rPr>
              <w:t>2018</w:t>
            </w:r>
          </w:p>
        </w:tc>
      </w:tr>
      <w:tr>
        <w:trPr>
          <w:trHeight w:val="188"/>
        </w:trPr>
        <w:tc>
          <w:tcPr>
            <w:tcW w:w="54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51"/>
        </w:trPr>
        <w:tc>
          <w:tcPr>
            <w:tcW w:w="54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9"/>
                <w:szCs w:val="19"/>
                <w:color w:val="auto"/>
                <w:w w:val="75"/>
              </w:rPr>
              <w:t>$</w:t>
            </w:r>
          </w:p>
        </w:tc>
        <w:tc>
          <w:tcPr>
            <w:tcW w:w="4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661</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92"/>
              <w:spacing w:after="0" w:line="251" w:lineRule="exact"/>
              <w:rPr>
                <w:sz w:val="20"/>
                <w:szCs w:val="20"/>
                <w:color w:val="auto"/>
              </w:rPr>
            </w:pPr>
            <w:r>
              <w:rPr>
                <w:rFonts w:ascii="Arial" w:cs="Arial" w:eastAsia="Arial" w:hAnsi="Arial"/>
                <w:sz w:val="22"/>
                <w:szCs w:val="22"/>
                <w:color w:val="auto"/>
                <w:w w:val="81"/>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154</w:t>
            </w:r>
          </w:p>
        </w:tc>
        <w:tc>
          <w:tcPr>
            <w:tcW w:w="520" w:type="dxa"/>
            <w:vAlign w:val="bottom"/>
            <w:gridSpan w:val="2"/>
            <w:shd w:val="clear" w:color="auto" w:fill="CCEEFF"/>
          </w:tcPr>
          <w:p>
            <w:pPr>
              <w:jc w:val="right"/>
              <w:ind w:right="160"/>
              <w:spacing w:after="0" w:line="251"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988</w:t>
            </w:r>
          </w:p>
        </w:tc>
        <w:tc>
          <w:tcPr>
            <w:tcW w:w="520" w:type="dxa"/>
            <w:vAlign w:val="bottom"/>
            <w:gridSpan w:val="2"/>
            <w:shd w:val="clear" w:color="auto" w:fill="CCEEFF"/>
          </w:tcPr>
          <w:p>
            <w:pPr>
              <w:jc w:val="right"/>
              <w:ind w:right="300"/>
              <w:spacing w:after="0" w:line="251" w:lineRule="exact"/>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248</w:t>
            </w:r>
          </w:p>
        </w:tc>
      </w:tr>
      <w:tr>
        <w:trPr>
          <w:trHeight w:val="307"/>
        </w:trPr>
        <w:tc>
          <w:tcPr>
            <w:tcW w:w="5420" w:type="dxa"/>
            <w:vAlign w:val="bottom"/>
          </w:tcPr>
          <w:p>
            <w:pPr>
              <w:spacing w:after="0"/>
              <w:rPr>
                <w:sz w:val="20"/>
                <w:szCs w:val="20"/>
                <w:color w:val="auto"/>
              </w:rPr>
            </w:pPr>
            <w:r>
              <w:rPr>
                <w:rFonts w:ascii="Arial" w:cs="Arial" w:eastAsia="Arial" w:hAnsi="Arial"/>
                <w:sz w:val="22"/>
                <w:szCs w:val="22"/>
                <w:color w:val="auto"/>
              </w:rPr>
              <w:t>Income tax benefit</w:t>
            </w: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186</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42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2"/>
                <w:szCs w:val="22"/>
                <w:color w:val="auto"/>
              </w:rPr>
              <w:t>278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101</w:t>
            </w:r>
          </w:p>
        </w:tc>
      </w:tr>
    </w:tbl>
    <w:p>
      <w:pPr>
        <w:spacing w:after="0" w:line="239"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2019</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72"/>
              <w:spacing w:after="0"/>
              <w:rPr>
                <w:sz w:val="20"/>
                <w:szCs w:val="20"/>
                <w:color w:val="auto"/>
              </w:rPr>
            </w:pPr>
            <w:r>
              <w:rPr>
                <w:rFonts w:ascii="Arial" w:cs="Arial" w:eastAsia="Arial" w:hAnsi="Arial"/>
                <w:sz w:val="22"/>
                <w:szCs w:val="22"/>
                <w:color w:val="auto"/>
              </w:rPr>
              <w:t>2018</w:t>
            </w:r>
          </w:p>
        </w:tc>
      </w:tr>
      <w:tr>
        <w:trPr>
          <w:trHeight w:val="264"/>
        </w:trPr>
        <w:tc>
          <w:tcPr>
            <w:tcW w:w="7000" w:type="dxa"/>
            <w:vAlign w:val="bottom"/>
            <w:shd w:val="clear" w:color="auto" w:fill="CCEEFF"/>
          </w:tcPr>
          <w:p>
            <w:pPr>
              <w:spacing w:after="0"/>
              <w:rPr>
                <w:sz w:val="20"/>
                <w:szCs w:val="20"/>
                <w:color w:val="auto"/>
              </w:rPr>
            </w:pPr>
            <w:r>
              <w:rPr>
                <w:rFonts w:ascii="Arial" w:cs="Arial" w:eastAsia="Arial" w:hAnsi="Arial"/>
                <w:sz w:val="22"/>
                <w:szCs w:val="22"/>
                <w:color w:val="auto"/>
              </w:rPr>
              <w:t>Expected term (years)</w:t>
            </w:r>
          </w:p>
        </w:tc>
        <w:tc>
          <w:tcPr>
            <w:tcW w:w="1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5.47</w:t>
            </w:r>
          </w:p>
        </w:tc>
        <w:tc>
          <w:tcPr>
            <w:tcW w:w="5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5.46</w:t>
            </w:r>
          </w:p>
        </w:tc>
      </w:tr>
      <w:tr>
        <w:trPr>
          <w:trHeight w:val="284"/>
        </w:trPr>
        <w:tc>
          <w:tcPr>
            <w:tcW w:w="7000" w:type="dxa"/>
            <w:vAlign w:val="bottom"/>
          </w:tcPr>
          <w:p>
            <w:pPr>
              <w:spacing w:after="0"/>
              <w:rPr>
                <w:sz w:val="20"/>
                <w:szCs w:val="20"/>
                <w:color w:val="auto"/>
              </w:rPr>
            </w:pPr>
            <w:r>
              <w:rPr>
                <w:rFonts w:ascii="Arial" w:cs="Arial" w:eastAsia="Arial" w:hAnsi="Arial"/>
                <w:sz w:val="22"/>
                <w:szCs w:val="22"/>
                <w:color w:val="auto"/>
              </w:rPr>
              <w:t>Risk-free interest rate</w:t>
            </w:r>
          </w:p>
        </w:tc>
        <w:tc>
          <w:tcPr>
            <w:tcW w:w="146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2.53%</w:t>
            </w:r>
          </w:p>
        </w:tc>
        <w:tc>
          <w:tcPr>
            <w:tcW w:w="5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2.72%</w:t>
            </w:r>
          </w:p>
        </w:tc>
      </w:tr>
      <w:tr>
        <w:trPr>
          <w:trHeight w:val="284"/>
        </w:trPr>
        <w:tc>
          <w:tcPr>
            <w:tcW w:w="7000" w:type="dxa"/>
            <w:vAlign w:val="bottom"/>
            <w:shd w:val="clear" w:color="auto" w:fill="CCEEFF"/>
          </w:tcPr>
          <w:p>
            <w:pPr>
              <w:spacing w:after="0"/>
              <w:rPr>
                <w:sz w:val="20"/>
                <w:szCs w:val="20"/>
                <w:color w:val="auto"/>
              </w:rPr>
            </w:pPr>
            <w:r>
              <w:rPr>
                <w:rFonts w:ascii="Arial" w:cs="Arial" w:eastAsia="Arial" w:hAnsi="Arial"/>
                <w:sz w:val="22"/>
                <w:szCs w:val="22"/>
                <w:color w:val="auto"/>
              </w:rPr>
              <w:t>Expected volatility</w:t>
            </w:r>
          </w:p>
        </w:tc>
        <w:tc>
          <w:tcPr>
            <w:tcW w:w="1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17.7%</w:t>
            </w:r>
          </w:p>
        </w:tc>
        <w:tc>
          <w:tcPr>
            <w:tcW w:w="5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17.2%</w:t>
            </w:r>
          </w:p>
        </w:tc>
      </w:tr>
      <w:tr>
        <w:trPr>
          <w:trHeight w:val="284"/>
        </w:trPr>
        <w:tc>
          <w:tcPr>
            <w:tcW w:w="7000" w:type="dxa"/>
            <w:vAlign w:val="bottom"/>
          </w:tcPr>
          <w:p>
            <w:pPr>
              <w:spacing w:after="0"/>
              <w:rPr>
                <w:sz w:val="20"/>
                <w:szCs w:val="20"/>
                <w:color w:val="auto"/>
              </w:rPr>
            </w:pPr>
            <w:r>
              <w:rPr>
                <w:rFonts w:ascii="Arial" w:cs="Arial" w:eastAsia="Arial" w:hAnsi="Arial"/>
                <w:sz w:val="22"/>
                <w:szCs w:val="22"/>
                <w:color w:val="auto"/>
              </w:rPr>
              <w:t>Dividend yield</w:t>
            </w:r>
          </w:p>
        </w:tc>
        <w:tc>
          <w:tcPr>
            <w:tcW w:w="146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2.44%</w:t>
            </w:r>
          </w:p>
        </w:tc>
        <w:tc>
          <w:tcPr>
            <w:tcW w:w="5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2.37%</w:t>
            </w:r>
          </w:p>
        </w:tc>
      </w:tr>
      <w:tr>
        <w:trPr>
          <w:trHeight w:val="284"/>
        </w:trPr>
        <w:tc>
          <w:tcPr>
            <w:tcW w:w="7000" w:type="dxa"/>
            <w:vAlign w:val="bottom"/>
            <w:shd w:val="clear" w:color="auto" w:fill="CCEEFF"/>
          </w:tcPr>
          <w:p>
            <w:pPr>
              <w:spacing w:after="0"/>
              <w:rPr>
                <w:sz w:val="20"/>
                <w:szCs w:val="20"/>
                <w:color w:val="auto"/>
              </w:rPr>
            </w:pPr>
            <w:r>
              <w:rPr>
                <w:rFonts w:ascii="Arial" w:cs="Arial" w:eastAsia="Arial" w:hAnsi="Arial"/>
                <w:sz w:val="22"/>
                <w:szCs w:val="22"/>
                <w:color w:val="auto"/>
              </w:rPr>
              <w:t>Grant date fair value per option</w:t>
            </w:r>
          </w:p>
        </w:tc>
        <w:tc>
          <w:tcPr>
            <w:tcW w:w="1460" w:type="dxa"/>
            <w:vAlign w:val="bottom"/>
            <w:shd w:val="clear" w:color="auto" w:fill="CCEEFF"/>
          </w:tcPr>
          <w:p>
            <w:pPr>
              <w:jc w:val="right"/>
              <w:ind w:right="812"/>
              <w:spacing w:after="0"/>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5.25</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5.10</w:t>
            </w:r>
          </w:p>
        </w:tc>
      </w:tr>
    </w:tbl>
    <w:p>
      <w:pPr>
        <w:spacing w:after="0" w:line="208" w:lineRule="exact"/>
        <w:rPr>
          <w:sz w:val="20"/>
          <w:szCs w:val="20"/>
          <w:color w:val="auto"/>
        </w:rPr>
      </w:pPr>
    </w:p>
    <w:p>
      <w:pPr>
        <w:jc w:val="both"/>
        <w:ind w:right="180"/>
        <w:spacing w:after="0" w:line="228" w:lineRule="auto"/>
        <w:rPr>
          <w:sz w:val="20"/>
          <w:szCs w:val="20"/>
          <w:color w:val="auto"/>
        </w:rPr>
      </w:pPr>
      <w:r>
        <w:rPr>
          <w:rFonts w:ascii="Arial" w:cs="Arial" w:eastAsia="Arial" w:hAnsi="Arial"/>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six months ended June 30,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22"/>
                <w:szCs w:val="22"/>
                <w:color w:val="auto"/>
                <w:w w:val="88"/>
              </w:rPr>
              <w:t>Weighted</w:t>
            </w:r>
          </w:p>
        </w:tc>
        <w:tc>
          <w:tcPr>
            <w:tcW w:w="1400" w:type="dxa"/>
            <w:vAlign w:val="bottom"/>
            <w:gridSpan w:val="2"/>
          </w:tcPr>
          <w:p>
            <w:pPr>
              <w:jc w:val="center"/>
              <w:ind w:right="180"/>
              <w:spacing w:after="0"/>
              <w:rPr>
                <w:sz w:val="20"/>
                <w:szCs w:val="20"/>
                <w:color w:val="auto"/>
              </w:rPr>
            </w:pPr>
            <w:r>
              <w:rPr>
                <w:rFonts w:ascii="Arial" w:cs="Arial" w:eastAsia="Arial" w:hAnsi="Arial"/>
                <w:sz w:val="22"/>
                <w:szCs w:val="22"/>
                <w:color w:val="auto"/>
                <w:w w:val="88"/>
              </w:rPr>
              <w:t>Weighted</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4"/>
        </w:trPr>
        <w:tc>
          <w:tcPr>
            <w:tcW w:w="5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22"/>
                <w:szCs w:val="22"/>
                <w:color w:val="auto"/>
                <w:w w:val="87"/>
              </w:rPr>
              <w:t>Average</w:t>
            </w:r>
          </w:p>
        </w:tc>
        <w:tc>
          <w:tcPr>
            <w:tcW w:w="1400" w:type="dxa"/>
            <w:vAlign w:val="bottom"/>
            <w:gridSpan w:val="2"/>
          </w:tcPr>
          <w:p>
            <w:pPr>
              <w:jc w:val="center"/>
              <w:ind w:right="180"/>
              <w:spacing w:after="0"/>
              <w:rPr>
                <w:sz w:val="20"/>
                <w:szCs w:val="20"/>
                <w:color w:val="auto"/>
              </w:rPr>
            </w:pPr>
            <w:r>
              <w:rPr>
                <w:rFonts w:ascii="Arial" w:cs="Arial" w:eastAsia="Arial" w:hAnsi="Arial"/>
                <w:sz w:val="22"/>
                <w:szCs w:val="22"/>
                <w:color w:val="auto"/>
                <w:w w:val="85"/>
              </w:rPr>
              <w:t>Average</w:t>
            </w:r>
          </w:p>
        </w:tc>
        <w:tc>
          <w:tcPr>
            <w:tcW w:w="220" w:type="dxa"/>
            <w:vAlign w:val="bottom"/>
          </w:tcPr>
          <w:p>
            <w:pPr>
              <w:spacing w:after="0"/>
              <w:rPr>
                <w:sz w:val="24"/>
                <w:szCs w:val="24"/>
                <w:color w:val="auto"/>
              </w:rPr>
            </w:pPr>
          </w:p>
        </w:tc>
        <w:tc>
          <w:tcPr>
            <w:tcW w:w="1300" w:type="dxa"/>
            <w:vAlign w:val="bottom"/>
          </w:tcPr>
          <w:p>
            <w:pPr>
              <w:jc w:val="center"/>
              <w:ind w:right="92"/>
              <w:spacing w:after="0"/>
              <w:rPr>
                <w:sz w:val="20"/>
                <w:szCs w:val="20"/>
                <w:color w:val="auto"/>
              </w:rPr>
            </w:pPr>
            <w:r>
              <w:rPr>
                <w:rFonts w:ascii="Arial" w:cs="Arial" w:eastAsia="Arial" w:hAnsi="Arial"/>
                <w:sz w:val="22"/>
                <w:szCs w:val="22"/>
                <w:color w:val="auto"/>
                <w:w w:val="88"/>
              </w:rPr>
              <w:t>Aggregate</w:t>
            </w:r>
          </w:p>
        </w:tc>
      </w:tr>
      <w:tr>
        <w:trPr>
          <w:trHeight w:val="284"/>
        </w:trPr>
        <w:tc>
          <w:tcPr>
            <w:tcW w:w="5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22"/>
                <w:szCs w:val="22"/>
                <w:color w:val="auto"/>
                <w:w w:val="87"/>
              </w:rPr>
              <w:t>Exercise</w:t>
            </w:r>
          </w:p>
        </w:tc>
        <w:tc>
          <w:tcPr>
            <w:tcW w:w="1400" w:type="dxa"/>
            <w:vAlign w:val="bottom"/>
            <w:gridSpan w:val="2"/>
          </w:tcPr>
          <w:p>
            <w:pPr>
              <w:jc w:val="center"/>
              <w:ind w:right="180"/>
              <w:spacing w:after="0"/>
              <w:rPr>
                <w:sz w:val="20"/>
                <w:szCs w:val="20"/>
                <w:color w:val="auto"/>
              </w:rPr>
            </w:pPr>
            <w:r>
              <w:rPr>
                <w:rFonts w:ascii="Arial" w:cs="Arial" w:eastAsia="Arial" w:hAnsi="Arial"/>
                <w:sz w:val="22"/>
                <w:szCs w:val="22"/>
                <w:color w:val="auto"/>
                <w:w w:val="89"/>
              </w:rPr>
              <w:t>Remaining</w:t>
            </w:r>
          </w:p>
        </w:tc>
        <w:tc>
          <w:tcPr>
            <w:tcW w:w="220" w:type="dxa"/>
            <w:vAlign w:val="bottom"/>
          </w:tcPr>
          <w:p>
            <w:pPr>
              <w:spacing w:after="0"/>
              <w:rPr>
                <w:sz w:val="24"/>
                <w:szCs w:val="24"/>
                <w:color w:val="auto"/>
              </w:rPr>
            </w:pPr>
          </w:p>
        </w:tc>
        <w:tc>
          <w:tcPr>
            <w:tcW w:w="1300" w:type="dxa"/>
            <w:vAlign w:val="bottom"/>
          </w:tcPr>
          <w:p>
            <w:pPr>
              <w:jc w:val="center"/>
              <w:ind w:right="112"/>
              <w:spacing w:after="0"/>
              <w:rPr>
                <w:sz w:val="20"/>
                <w:szCs w:val="20"/>
                <w:color w:val="auto"/>
              </w:rPr>
            </w:pPr>
            <w:r>
              <w:rPr>
                <w:rFonts w:ascii="Arial" w:cs="Arial" w:eastAsia="Arial" w:hAnsi="Arial"/>
                <w:sz w:val="22"/>
                <w:szCs w:val="22"/>
                <w:color w:val="auto"/>
                <w:w w:val="94"/>
              </w:rPr>
              <w:t>Intrinsic</w:t>
            </w:r>
          </w:p>
        </w:tc>
      </w:tr>
      <w:tr>
        <w:trPr>
          <w:trHeight w:val="260"/>
        </w:trPr>
        <w:tc>
          <w:tcPr>
            <w:tcW w:w="55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Shares</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color w:val="auto"/>
                <w:w w:val="87"/>
              </w:rPr>
              <w:t>Price</w:t>
            </w: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Life (years)</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color w:val="auto"/>
                <w:w w:val="85"/>
              </w:rPr>
              <w:t>Value</w:t>
            </w:r>
          </w:p>
        </w:tc>
      </w:tr>
      <w:tr>
        <w:trPr>
          <w:trHeight w:val="264"/>
        </w:trPr>
        <w:tc>
          <w:tcPr>
            <w:tcW w:w="5540" w:type="dxa"/>
            <w:vAlign w:val="bottom"/>
            <w:shd w:val="clear" w:color="auto" w:fill="CCEEFF"/>
          </w:tcPr>
          <w:p>
            <w:pPr>
              <w:spacing w:after="0"/>
              <w:rPr>
                <w:sz w:val="20"/>
                <w:szCs w:val="20"/>
                <w:color w:val="auto"/>
              </w:rPr>
            </w:pPr>
            <w:r>
              <w:rPr>
                <w:rFonts w:ascii="Arial" w:cs="Arial" w:eastAsia="Arial" w:hAnsi="Arial"/>
                <w:sz w:val="22"/>
                <w:szCs w:val="22"/>
                <w:color w:val="auto"/>
              </w:rPr>
              <w:t>Outstanding at beginning of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422,972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25.97</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22"/>
                <w:szCs w:val="22"/>
                <w:color w:val="auto"/>
              </w:rPr>
              <w:t>Granted</w:t>
            </w:r>
          </w:p>
        </w:tc>
        <w:tc>
          <w:tcPr>
            <w:tcW w:w="1300" w:type="dxa"/>
            <w:vAlign w:val="bottom"/>
          </w:tcPr>
          <w:p>
            <w:pPr>
              <w:jc w:val="right"/>
              <w:spacing w:after="0"/>
              <w:rPr>
                <w:sz w:val="20"/>
                <w:szCs w:val="20"/>
                <w:color w:val="auto"/>
              </w:rPr>
            </w:pPr>
            <w:r>
              <w:rPr>
                <w:rFonts w:ascii="Arial" w:cs="Arial" w:eastAsia="Arial" w:hAnsi="Arial"/>
                <w:sz w:val="22"/>
                <w:szCs w:val="22"/>
                <w:color w:val="auto"/>
              </w:rPr>
              <w:t>769,115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35.94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54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(18,120)</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35.45</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22"/>
                <w:szCs w:val="22"/>
                <w:color w:val="auto"/>
              </w:rPr>
              <w:t>Expired / Cancelled</w:t>
            </w:r>
          </w:p>
        </w:tc>
        <w:tc>
          <w:tcPr>
            <w:tcW w:w="1300" w:type="dxa"/>
            <w:vAlign w:val="bottom"/>
          </w:tcPr>
          <w:p>
            <w:pPr>
              <w:jc w:val="right"/>
              <w:spacing w:after="0"/>
              <w:rPr>
                <w:sz w:val="20"/>
                <w:szCs w:val="20"/>
                <w:color w:val="auto"/>
              </w:rPr>
            </w:pPr>
            <w:r>
              <w:rPr>
                <w:rFonts w:ascii="Arial" w:cs="Arial" w:eastAsia="Arial" w:hAnsi="Arial"/>
                <w:sz w:val="22"/>
                <w:szCs w:val="22"/>
                <w:color w:val="auto"/>
              </w:rPr>
              <w:t>(397)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32.05</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540" w:type="dxa"/>
            <w:vAlign w:val="bottom"/>
            <w:shd w:val="clear" w:color="auto" w:fill="CCEEFF"/>
          </w:tcPr>
          <w:p>
            <w:pPr>
              <w:ind w:left="120"/>
              <w:spacing w:after="0"/>
              <w:rPr>
                <w:sz w:val="20"/>
                <w:szCs w:val="20"/>
                <w:color w:val="auto"/>
              </w:rPr>
            </w:pPr>
            <w:r>
              <w:rPr>
                <w:rFonts w:ascii="Arial" w:cs="Arial" w:eastAsia="Arial" w:hAnsi="Arial"/>
                <w:sz w:val="22"/>
                <w:szCs w:val="22"/>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(98,627)</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15.68</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2"/>
                <w:szCs w:val="22"/>
                <w:color w:val="auto"/>
              </w:rPr>
              <w:t>Outstanding at end of period</w:t>
            </w:r>
          </w:p>
        </w:tc>
        <w:tc>
          <w:tcPr>
            <w:tcW w:w="1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1,074,943</w:t>
            </w:r>
          </w:p>
        </w:tc>
        <w:tc>
          <w:tcPr>
            <w:tcW w:w="360" w:type="dxa"/>
            <w:vAlign w:val="bottom"/>
            <w:tcBorders>
              <w:bottom w:val="single" w:sz="8" w:color="auto"/>
            </w:tcBorders>
            <w:gridSpan w:val="2"/>
          </w:tcPr>
          <w:p>
            <w:pPr>
              <w:jc w:val="right"/>
              <w:ind w:right="60"/>
              <w:spacing w:after="0" w:line="250"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33.89</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8.8</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8,044</w:t>
            </w:r>
          </w:p>
        </w:tc>
      </w:tr>
      <w:tr>
        <w:trPr>
          <w:trHeight w:val="20"/>
        </w:trPr>
        <w:tc>
          <w:tcPr>
            <w:tcW w:w="5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900" w:orient="portrait"/>
          <w:cols w:equalWidth="0" w:num="1">
            <w:col w:w="11420"/>
          </w:cols>
          <w:pgMar w:left="240" w:top="118" w:right="239" w:bottom="0" w:gutter="0" w:footer="0" w:header="0"/>
        </w:sectPr>
      </w:pPr>
    </w:p>
    <w:bookmarkStart w:id="17" w:name="page18"/>
    <w:bookmarkEnd w:id="17"/>
    <w:p>
      <w:pPr>
        <w:spacing w:after="0" w:line="90" w:lineRule="exact"/>
        <w:rPr>
          <w:sz w:val="20"/>
          <w:szCs w:val="20"/>
          <w:color w:val="auto"/>
        </w:rPr>
      </w:pPr>
    </w:p>
    <w:p>
      <w:pPr>
        <w:spacing w:after="0"/>
        <w:tabs>
          <w:tab w:leader="none" w:pos="6060" w:val="left"/>
          <w:tab w:leader="none" w:pos="7020" w:val="left"/>
          <w:tab w:leader="none" w:pos="7740" w:val="left"/>
          <w:tab w:leader="none" w:pos="9360" w:val="left"/>
          <w:tab w:leader="none" w:pos="9880" w:val="left"/>
          <w:tab w:leader="none" w:pos="10840" w:val="left"/>
        </w:tabs>
        <w:rPr>
          <w:sz w:val="20"/>
          <w:szCs w:val="20"/>
          <w:color w:val="auto"/>
        </w:rPr>
      </w:pPr>
      <w:r>
        <w:rPr>
          <w:rFonts w:ascii="Arial" w:cs="Arial" w:eastAsia="Arial" w:hAnsi="Arial"/>
          <w:sz w:val="22"/>
          <w:szCs w:val="22"/>
          <w:color w:val="auto"/>
        </w:rPr>
        <w:t>Exercisable at end of period</w:t>
      </w:r>
      <w:r>
        <w:rPr>
          <w:sz w:val="20"/>
          <w:szCs w:val="20"/>
          <w:color w:val="auto"/>
        </w:rPr>
        <w:tab/>
      </w:r>
      <w:r>
        <w:rPr>
          <w:rFonts w:ascii="Arial" w:cs="Arial" w:eastAsia="Arial" w:hAnsi="Arial"/>
          <w:sz w:val="22"/>
          <w:szCs w:val="22"/>
          <w:color w:val="auto"/>
        </w:rPr>
        <w:t>186,931</w:t>
        <w:tab/>
        <w:t>$</w:t>
      </w:r>
      <w:r>
        <w:rPr>
          <w:sz w:val="20"/>
          <w:szCs w:val="20"/>
          <w:color w:val="auto"/>
        </w:rPr>
        <w:tab/>
      </w:r>
      <w:r>
        <w:rPr>
          <w:rFonts w:ascii="Arial" w:cs="Arial" w:eastAsia="Arial" w:hAnsi="Arial"/>
          <w:sz w:val="22"/>
          <w:szCs w:val="22"/>
          <w:color w:val="auto"/>
        </w:rPr>
        <w:t>25.83</w:t>
      </w:r>
      <w:r>
        <w:rPr>
          <w:sz w:val="20"/>
          <w:szCs w:val="20"/>
          <w:color w:val="auto"/>
        </w:rPr>
        <w:tab/>
      </w:r>
      <w:r>
        <w:rPr>
          <w:rFonts w:ascii="Arial" w:cs="Arial" w:eastAsia="Arial" w:hAnsi="Arial"/>
          <w:sz w:val="22"/>
          <w:szCs w:val="22"/>
          <w:color w:val="auto"/>
        </w:rPr>
        <w:t>5.5</w:t>
        <w:tab/>
        <w:t>$</w:t>
      </w:r>
      <w:r>
        <w:rPr>
          <w:sz w:val="20"/>
          <w:szCs w:val="20"/>
          <w:color w:val="auto"/>
        </w:rPr>
        <w:tab/>
      </w:r>
      <w:r>
        <w:rPr>
          <w:rFonts w:ascii="Arial" w:cs="Arial" w:eastAsia="Arial" w:hAnsi="Arial"/>
          <w:sz w:val="19"/>
          <w:szCs w:val="19"/>
          <w:color w:val="auto"/>
        </w:rPr>
        <w:t>2,904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0"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4"/>
          </w:tcPr>
          <w:p>
            <w:pPr>
              <w:jc w:val="center"/>
              <w:ind w:left="312"/>
              <w:spacing w:after="0"/>
              <w:rPr>
                <w:sz w:val="20"/>
                <w:szCs w:val="20"/>
                <w:color w:val="auto"/>
              </w:rPr>
            </w:pPr>
            <w:r>
              <w:rPr>
                <w:rFonts w:ascii="Arial" w:cs="Arial" w:eastAsia="Arial" w:hAnsi="Arial"/>
                <w:sz w:val="22"/>
                <w:szCs w:val="22"/>
                <w:color w:val="auto"/>
                <w:w w:val="89"/>
              </w:rPr>
              <w:t>Three Months Ended</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20" w:type="dxa"/>
            <w:vAlign w:val="bottom"/>
            <w:gridSpan w:val="5"/>
          </w:tcPr>
          <w:p>
            <w:pPr>
              <w:jc w:val="center"/>
              <w:ind w:right="252"/>
              <w:spacing w:after="0"/>
              <w:rPr>
                <w:sz w:val="20"/>
                <w:szCs w:val="20"/>
                <w:color w:val="auto"/>
              </w:rPr>
            </w:pPr>
            <w:r>
              <w:rPr>
                <w:rFonts w:ascii="Arial" w:cs="Arial" w:eastAsia="Arial" w:hAnsi="Arial"/>
                <w:sz w:val="22"/>
                <w:szCs w:val="22"/>
                <w:color w:val="auto"/>
                <w:w w:val="89"/>
              </w:rPr>
              <w:t>Six Months Ended</w:t>
            </w:r>
          </w:p>
        </w:tc>
      </w:tr>
      <w:tr>
        <w:trPr>
          <w:trHeight w:val="260"/>
        </w:trPr>
        <w:tc>
          <w:tcPr>
            <w:tcW w:w="4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right="437"/>
              <w:spacing w:after="0"/>
              <w:rPr>
                <w:sz w:val="20"/>
                <w:szCs w:val="20"/>
                <w:color w:val="auto"/>
              </w:rPr>
            </w:pPr>
            <w:r>
              <w:rPr>
                <w:rFonts w:ascii="Arial" w:cs="Arial" w:eastAsia="Arial" w:hAnsi="Arial"/>
                <w:sz w:val="22"/>
                <w:szCs w:val="22"/>
                <w:color w:val="auto"/>
                <w:w w:val="85"/>
              </w:rPr>
              <w:t>June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left="732"/>
              <w:spacing w:after="0"/>
              <w:rPr>
                <w:sz w:val="20"/>
                <w:szCs w:val="20"/>
                <w:color w:val="auto"/>
              </w:rPr>
            </w:pPr>
            <w:r>
              <w:rPr>
                <w:rFonts w:ascii="Arial" w:cs="Arial" w:eastAsia="Arial" w:hAnsi="Arial"/>
                <w:sz w:val="22"/>
                <w:szCs w:val="22"/>
                <w:color w:val="auto"/>
                <w:w w:val="85"/>
              </w:rPr>
              <w:t>June 30,</w:t>
            </w:r>
          </w:p>
        </w:tc>
        <w:tc>
          <w:tcPr>
            <w:tcW w:w="1200" w:type="dxa"/>
            <w:vAlign w:val="bottom"/>
            <w:tcBorders>
              <w:bottom w:val="single" w:sz="8" w:color="auto"/>
            </w:tcBorders>
          </w:tcPr>
          <w:p>
            <w:pPr>
              <w:spacing w:after="0"/>
              <w:rPr>
                <w:sz w:val="22"/>
                <w:szCs w:val="22"/>
                <w:color w:val="auto"/>
              </w:rPr>
            </w:pPr>
          </w:p>
        </w:tc>
      </w:tr>
      <w:tr>
        <w:trPr>
          <w:trHeight w:val="264"/>
        </w:trPr>
        <w:tc>
          <w:tcPr>
            <w:tcW w:w="450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2019</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2018</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12"/>
              <w:spacing w:after="0"/>
              <w:rPr>
                <w:sz w:val="20"/>
                <w:szCs w:val="20"/>
                <w:color w:val="auto"/>
              </w:rPr>
            </w:pPr>
            <w:r>
              <w:rPr>
                <w:rFonts w:ascii="Arial" w:cs="Arial" w:eastAsia="Arial" w:hAnsi="Arial"/>
                <w:sz w:val="22"/>
                <w:szCs w:val="22"/>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472"/>
              <w:spacing w:after="0"/>
              <w:rPr>
                <w:sz w:val="20"/>
                <w:szCs w:val="20"/>
                <w:color w:val="auto"/>
              </w:rPr>
            </w:pPr>
            <w:r>
              <w:rPr>
                <w:rFonts w:ascii="Arial" w:cs="Arial" w:eastAsia="Arial" w:hAnsi="Arial"/>
                <w:sz w:val="22"/>
                <w:szCs w:val="22"/>
                <w:color w:val="auto"/>
              </w:rPr>
              <w:t>2018</w:t>
            </w:r>
          </w:p>
        </w:tc>
      </w:tr>
      <w:tr>
        <w:trPr>
          <w:trHeight w:val="188"/>
        </w:trPr>
        <w:tc>
          <w:tcPr>
            <w:tcW w:w="45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251"/>
        </w:trPr>
        <w:tc>
          <w:tcPr>
            <w:tcW w:w="450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00" w:type="dxa"/>
            <w:vAlign w:val="bottom"/>
            <w:gridSpan w:val="2"/>
            <w:shd w:val="clear" w:color="auto" w:fill="CCEEFF"/>
          </w:tcPr>
          <w:p>
            <w:pPr>
              <w:jc w:val="right"/>
              <w:ind w:right="752"/>
              <w:spacing w:after="0" w:line="251" w:lineRule="exact"/>
              <w:rPr>
                <w:sz w:val="20"/>
                <w:szCs w:val="20"/>
                <w:color w:val="auto"/>
              </w:rPr>
            </w:pPr>
            <w:r>
              <w:rPr>
                <w:rFonts w:ascii="Arial" w:cs="Arial" w:eastAsia="Arial" w:hAnsi="Arial"/>
                <w:sz w:val="22"/>
                <w:szCs w:val="22"/>
                <w:color w:val="auto"/>
              </w:rPr>
              <w:t>$</w:t>
            </w:r>
          </w:p>
        </w:tc>
        <w:tc>
          <w:tcPr>
            <w:tcW w:w="62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w w:val="97"/>
              </w:rPr>
              <w:t>202</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9"/>
                <w:szCs w:val="19"/>
                <w:color w:val="auto"/>
                <w:w w:val="75"/>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140</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2"/>
              <w:spacing w:after="0" w:line="251" w:lineRule="exact"/>
              <w:rPr>
                <w:sz w:val="20"/>
                <w:szCs w:val="20"/>
                <w:color w:val="auto"/>
              </w:rPr>
            </w:pPr>
            <w:r>
              <w:rPr>
                <w:rFonts w:ascii="Arial" w:cs="Arial" w:eastAsia="Arial" w:hAnsi="Arial"/>
                <w:sz w:val="22"/>
                <w:szCs w:val="22"/>
                <w:color w:val="auto"/>
                <w:w w:val="81"/>
              </w:rPr>
              <w:t>$</w:t>
            </w:r>
          </w:p>
        </w:tc>
        <w:tc>
          <w:tcPr>
            <w:tcW w:w="140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382</w:t>
            </w:r>
          </w:p>
        </w:tc>
        <w:tc>
          <w:tcPr>
            <w:tcW w:w="520" w:type="dxa"/>
            <w:vAlign w:val="bottom"/>
            <w:gridSpan w:val="2"/>
            <w:shd w:val="clear" w:color="auto" w:fill="CCEEFF"/>
          </w:tcPr>
          <w:p>
            <w:pPr>
              <w:jc w:val="right"/>
              <w:ind w:right="300"/>
              <w:spacing w:after="0" w:line="251"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280</w:t>
            </w:r>
          </w:p>
        </w:tc>
      </w:tr>
      <w:tr>
        <w:trPr>
          <w:trHeight w:val="307"/>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22"/>
                <w:szCs w:val="22"/>
                <w:color w:val="auto"/>
              </w:rPr>
              <w:t>58</w:t>
            </w: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41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110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81</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six months ended June 30,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30"/>
        </w:trPr>
        <w:tc>
          <w:tcPr>
            <w:tcW w:w="7260" w:type="dxa"/>
            <w:vAlign w:val="bottom"/>
          </w:tcPr>
          <w:p>
            <w:pPr>
              <w:spacing w:after="0"/>
              <w:rPr>
                <w:sz w:val="19"/>
                <w:szCs w:val="19"/>
                <w:color w:val="auto"/>
              </w:rPr>
            </w:pPr>
          </w:p>
        </w:tc>
        <w:tc>
          <w:tcPr>
            <w:tcW w:w="184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26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2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17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30"/>
        </w:trPr>
        <w:tc>
          <w:tcPr>
            <w:tcW w:w="72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9,854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line="229" w:lineRule="exact"/>
              <w:rPr>
                <w:sz w:val="20"/>
                <w:szCs w:val="20"/>
                <w:color w:val="auto"/>
              </w:rPr>
            </w:pPr>
            <w:r>
              <w:rPr>
                <w:rFonts w:ascii="Arial" w:cs="Arial" w:eastAsia="Arial" w:hAnsi="Arial"/>
                <w:sz w:val="22"/>
                <w:szCs w:val="22"/>
                <w:color w:val="auto"/>
              </w:rPr>
              <w:t>38.82</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(9,854)</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38.82</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2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The per unit weighted-average fair value at the date of grant for stock awards granted during the six months ended June 30, 2019 and 2018 was $38.82 and $34.58,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80"/>
        <w:spacing w:after="0" w:line="226" w:lineRule="auto"/>
        <w:rPr>
          <w:sz w:val="20"/>
          <w:szCs w:val="20"/>
          <w:color w:val="auto"/>
        </w:rPr>
      </w:pPr>
      <w:r>
        <w:rPr>
          <w:rFonts w:ascii="Arial" w:cs="Arial" w:eastAsia="Arial" w:hAnsi="Arial"/>
          <w:sz w:val="22"/>
          <w:szCs w:val="22"/>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6"/>
          </w:tcPr>
          <w:p>
            <w:pPr>
              <w:ind w:left="600"/>
              <w:spacing w:after="0"/>
              <w:rPr>
                <w:sz w:val="20"/>
                <w:szCs w:val="20"/>
                <w:color w:val="auto"/>
              </w:rPr>
            </w:pPr>
            <w:r>
              <w:rPr>
                <w:rFonts w:ascii="Arial" w:cs="Arial" w:eastAsia="Arial" w:hAnsi="Arial"/>
                <w:sz w:val="22"/>
                <w:szCs w:val="22"/>
                <w:color w:val="auto"/>
              </w:rPr>
              <w:t>Pension Benefits</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right"/>
              <w:ind w:right="70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gridSpan w:val="4"/>
          </w:tcPr>
          <w:p>
            <w:pPr>
              <w:jc w:val="right"/>
              <w:ind w:right="832"/>
              <w:spacing w:after="0" w:line="202" w:lineRule="exact"/>
              <w:rPr>
                <w:sz w:val="20"/>
                <w:szCs w:val="20"/>
                <w:color w:val="auto"/>
              </w:rPr>
            </w:pPr>
            <w:r>
              <w:rPr>
                <w:rFonts w:ascii="Arial" w:cs="Arial" w:eastAsia="Arial" w:hAnsi="Arial"/>
                <w:sz w:val="22"/>
                <w:szCs w:val="22"/>
                <w:color w:val="auto"/>
              </w:rPr>
              <w:t>Six Months Ended</w:t>
            </w:r>
          </w:p>
        </w:tc>
        <w:tc>
          <w:tcPr>
            <w:tcW w:w="20" w:type="dxa"/>
            <w:vAlign w:val="bottom"/>
          </w:tcPr>
          <w:p>
            <w:pPr>
              <w:spacing w:after="0"/>
              <w:rPr>
                <w:sz w:val="17"/>
                <w:szCs w:val="17"/>
                <w:color w:val="auto"/>
              </w:rPr>
            </w:pPr>
          </w:p>
        </w:tc>
      </w:tr>
      <w:tr>
        <w:trPr>
          <w:trHeight w:val="251"/>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03"/>
              <w:spacing w:after="0" w:line="251" w:lineRule="exact"/>
              <w:rPr>
                <w:sz w:val="20"/>
                <w:szCs w:val="20"/>
                <w:color w:val="auto"/>
              </w:rPr>
            </w:pPr>
            <w:r>
              <w:rPr>
                <w:rFonts w:ascii="Arial" w:cs="Arial" w:eastAsia="Arial" w:hAnsi="Arial"/>
                <w:sz w:val="22"/>
                <w:szCs w:val="22"/>
                <w:color w:val="auto"/>
              </w:rPr>
              <w:t>June 30,</w:t>
            </w: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143"/>
              <w:spacing w:after="0" w:line="251" w:lineRule="exact"/>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2018</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2018</w:t>
            </w:r>
          </w:p>
        </w:tc>
        <w:tc>
          <w:tcPr>
            <w:tcW w:w="20" w:type="dxa"/>
            <w:vAlign w:val="bottom"/>
          </w:tcPr>
          <w:p>
            <w:pPr>
              <w:spacing w:after="0"/>
              <w:rPr>
                <w:sz w:val="22"/>
                <w:szCs w:val="22"/>
                <w:color w:val="auto"/>
              </w:rPr>
            </w:pPr>
          </w:p>
        </w:tc>
      </w:tr>
      <w:tr>
        <w:trPr>
          <w:trHeight w:val="26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680</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812</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1,360</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1,625</w:t>
            </w:r>
          </w:p>
        </w:tc>
        <w:tc>
          <w:tcPr>
            <w:tcW w:w="20" w:type="dxa"/>
            <w:vAlign w:val="bottom"/>
          </w:tcPr>
          <w:p>
            <w:pPr>
              <w:spacing w:after="0"/>
              <w:rPr>
                <w:sz w:val="22"/>
                <w:szCs w:val="22"/>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22"/>
                <w:szCs w:val="22"/>
                <w:color w:val="auto"/>
              </w:rPr>
              <w:t>Interest cost</w:t>
            </w:r>
          </w:p>
        </w:tc>
        <w:tc>
          <w:tcPr>
            <w:tcW w:w="3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2,954</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2,874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5,908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5,748</w:t>
            </w:r>
          </w:p>
        </w:tc>
        <w:tc>
          <w:tcPr>
            <w:tcW w:w="20" w:type="dxa"/>
            <w:vAlign w:val="bottom"/>
          </w:tcPr>
          <w:p>
            <w:pPr>
              <w:spacing w:after="0"/>
              <w:rPr>
                <w:sz w:val="24"/>
                <w:szCs w:val="24"/>
                <w:color w:val="auto"/>
              </w:rPr>
            </w:pPr>
          </w:p>
        </w:tc>
      </w:t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(3,818)</w:t>
            </w:r>
          </w:p>
        </w:tc>
        <w:tc>
          <w:tcPr>
            <w:tcW w:w="3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(4,553)</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(7,636)</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(9,106)</w:t>
            </w:r>
          </w:p>
        </w:tc>
        <w:tc>
          <w:tcPr>
            <w:tcW w:w="20" w:type="dxa"/>
            <w:vAlign w:val="bottom"/>
          </w:tcPr>
          <w:p>
            <w:pPr>
              <w:spacing w:after="0"/>
              <w:rPr>
                <w:sz w:val="24"/>
                <w:szCs w:val="24"/>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155</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310</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264</w:t>
            </w:r>
          </w:p>
        </w:tc>
        <w:tc>
          <w:tcPr>
            <w:tcW w:w="20" w:type="dxa"/>
            <w:vAlign w:val="bottom"/>
          </w:tcPr>
          <w:p>
            <w:pPr>
              <w:spacing w:after="0"/>
              <w:rPr>
                <w:sz w:val="24"/>
                <w:szCs w:val="24"/>
                <w:color w:val="auto"/>
              </w:rPr>
            </w:pPr>
          </w:p>
        </w:tc>
      </w:t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1,982</w:t>
            </w: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1,823</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3,964</w:t>
            </w:r>
          </w:p>
        </w:tc>
        <w:tc>
          <w:tcPr>
            <w:tcW w:w="2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3,646</w:t>
            </w:r>
          </w:p>
        </w:tc>
        <w:tc>
          <w:tcPr>
            <w:tcW w:w="20" w:type="dxa"/>
            <w:vAlign w:val="bottom"/>
          </w:tcPr>
          <w:p>
            <w:pPr>
              <w:spacing w:after="0"/>
              <w:rPr>
                <w:sz w:val="24"/>
                <w:szCs w:val="24"/>
                <w:color w:val="auto"/>
              </w:rPr>
            </w:pPr>
          </w:p>
        </w:tc>
      </w:tr>
      <w:tr>
        <w:trPr>
          <w:trHeight w:val="250"/>
        </w:trPr>
        <w:tc>
          <w:tcPr>
            <w:tcW w:w="452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1,953</w:t>
            </w:r>
          </w:p>
        </w:tc>
        <w:tc>
          <w:tcPr>
            <w:tcW w:w="220" w:type="dxa"/>
            <w:vAlign w:val="bottom"/>
          </w:tcPr>
          <w:p>
            <w:pPr>
              <w:spacing w:after="0"/>
              <w:rPr>
                <w:sz w:val="21"/>
                <w:szCs w:val="21"/>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1,088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jc w:val="right"/>
              <w:ind w:right="212"/>
              <w:spacing w:after="0" w:line="250" w:lineRule="exact"/>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3,906</w:t>
            </w:r>
          </w:p>
        </w:tc>
        <w:tc>
          <w:tcPr>
            <w:tcW w:w="220" w:type="dxa"/>
            <w:vAlign w:val="bottom"/>
          </w:tcPr>
          <w:p>
            <w:pPr>
              <w:spacing w:after="0"/>
              <w:rPr>
                <w:sz w:val="21"/>
                <w:szCs w:val="21"/>
                <w:color w:val="auto"/>
              </w:rPr>
            </w:pPr>
          </w:p>
        </w:tc>
        <w:tc>
          <w:tcPr>
            <w:tcW w:w="48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2,177</w:t>
            </w:r>
          </w:p>
        </w:tc>
        <w:tc>
          <w:tcPr>
            <w:tcW w:w="20" w:type="dxa"/>
            <w:vAlign w:val="bottom"/>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22"/>
                <w:szCs w:val="22"/>
                <w:color w:val="auto"/>
                <w:w w:val="94"/>
              </w:rPr>
              <w:t>Other</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6"/>
          </w:tcPr>
          <w:p>
            <w:pPr>
              <w:jc w:val="right"/>
              <w:ind w:right="820"/>
              <w:spacing w:after="0" w:line="251" w:lineRule="exact"/>
              <w:rPr>
                <w:sz w:val="20"/>
                <w:szCs w:val="20"/>
                <w:color w:val="auto"/>
              </w:rPr>
            </w:pPr>
            <w:r>
              <w:rPr>
                <w:rFonts w:ascii="Arial" w:cs="Arial" w:eastAsia="Arial" w:hAnsi="Arial"/>
                <w:sz w:val="22"/>
                <w:szCs w:val="22"/>
                <w:color w:val="auto"/>
              </w:rPr>
              <w:t>Postretirement Benefits</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right"/>
              <w:ind w:right="56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gridSpan w:val="4"/>
          </w:tcPr>
          <w:p>
            <w:pPr>
              <w:jc w:val="right"/>
              <w:ind w:right="712"/>
              <w:spacing w:after="0" w:line="202" w:lineRule="exact"/>
              <w:rPr>
                <w:sz w:val="20"/>
                <w:szCs w:val="20"/>
                <w:color w:val="auto"/>
              </w:rPr>
            </w:pPr>
            <w:r>
              <w:rPr>
                <w:rFonts w:ascii="Arial" w:cs="Arial" w:eastAsia="Arial" w:hAnsi="Arial"/>
                <w:sz w:val="22"/>
                <w:szCs w:val="22"/>
                <w:color w:val="auto"/>
              </w:rPr>
              <w:t>Six Months Ended</w:t>
            </w:r>
          </w:p>
        </w:tc>
        <w:tc>
          <w:tcPr>
            <w:tcW w:w="20" w:type="dxa"/>
            <w:vAlign w:val="bottom"/>
          </w:tcPr>
          <w:p>
            <w:pPr>
              <w:spacing w:after="0"/>
              <w:rPr>
                <w:sz w:val="17"/>
                <w:szCs w:val="17"/>
                <w:color w:val="auto"/>
              </w:rPr>
            </w:pPr>
          </w:p>
        </w:tc>
      </w:tr>
      <w:tr>
        <w:trPr>
          <w:trHeight w:val="251"/>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June 30,</w:t>
            </w: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23"/>
              <w:spacing w:after="0" w:line="251" w:lineRule="exact"/>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2018</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2018</w:t>
            </w:r>
          </w:p>
        </w:tc>
        <w:tc>
          <w:tcPr>
            <w:tcW w:w="20" w:type="dxa"/>
            <w:vAlign w:val="bottom"/>
          </w:tcPr>
          <w:p>
            <w:pPr>
              <w:spacing w:after="0"/>
              <w:rPr>
                <w:sz w:val="22"/>
                <w:szCs w:val="22"/>
                <w:color w:val="auto"/>
              </w:rPr>
            </w:pPr>
          </w:p>
        </w:tc>
      </w:tr>
      <w:tr>
        <w:trPr>
          <w:trHeight w:val="26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205</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410</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525</w:t>
            </w:r>
          </w:p>
        </w:tc>
        <w:tc>
          <w:tcPr>
            <w:tcW w:w="20" w:type="dxa"/>
            <w:vAlign w:val="bottom"/>
          </w:tcPr>
          <w:p>
            <w:pPr>
              <w:spacing w:after="0"/>
              <w:rPr>
                <w:sz w:val="22"/>
                <w:szCs w:val="22"/>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22"/>
                <w:szCs w:val="22"/>
                <w:color w:val="auto"/>
              </w:rPr>
              <w:t>Interest cost</w:t>
            </w:r>
          </w:p>
        </w:tc>
        <w:tc>
          <w:tcPr>
            <w:tcW w:w="3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750</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1,500</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1,416</w:t>
            </w:r>
          </w:p>
        </w:tc>
        <w:tc>
          <w:tcPr>
            <w:tcW w:w="20" w:type="dxa"/>
            <w:vAlign w:val="bottom"/>
          </w:tcPr>
          <w:p>
            <w:pPr>
              <w:spacing w:after="0"/>
              <w:rPr>
                <w:sz w:val="24"/>
                <w:szCs w:val="24"/>
                <w:color w:val="auto"/>
              </w:rPr>
            </w:pPr>
          </w:p>
        </w:tc>
      </w:t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(621)</w:t>
            </w:r>
          </w:p>
        </w:tc>
        <w:tc>
          <w:tcPr>
            <w:tcW w:w="3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(677)</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(1,242)</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(1,353)</w:t>
            </w:r>
          </w:p>
        </w:tc>
        <w:tc>
          <w:tcPr>
            <w:tcW w:w="20" w:type="dxa"/>
            <w:vAlign w:val="bottom"/>
          </w:tcPr>
          <w:p>
            <w:pPr>
              <w:spacing w:after="0"/>
              <w:rPr>
                <w:sz w:val="24"/>
                <w:szCs w:val="24"/>
                <w:color w:val="auto"/>
              </w:rPr>
            </w:pPr>
          </w:p>
        </w:tc>
      </w:tr>
      <w:tr>
        <w:trPr>
          <w:trHeight w:val="275"/>
        </w:trPr>
        <w:tc>
          <w:tcPr>
            <w:tcW w:w="452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(116)</w:t>
            </w:r>
          </w:p>
        </w:tc>
        <w:tc>
          <w:tcPr>
            <w:tcW w:w="38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2"/>
                <w:szCs w:val="22"/>
                <w:color w:val="auto"/>
              </w:rPr>
              <w:t>(127)</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(232)</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(255)</w:t>
            </w:r>
          </w:p>
        </w:tc>
        <w:tc>
          <w:tcPr>
            <w:tcW w:w="20" w:type="dxa"/>
            <w:vAlign w:val="bottom"/>
          </w:tcPr>
          <w:p>
            <w:pPr>
              <w:spacing w:after="0"/>
              <w:rPr>
                <w:sz w:val="23"/>
                <w:szCs w:val="23"/>
                <w:color w:val="auto"/>
              </w:rPr>
            </w:pPr>
          </w:p>
        </w:tc>
      </w:tr>
    </w:tbl>
    <w:p>
      <w:pPr>
        <w:spacing w:after="0" w:line="20" w:lineRule="exact"/>
        <w:rPr>
          <w:sz w:val="20"/>
          <w:szCs w:val="20"/>
          <w:color w:val="auto"/>
        </w:rPr>
      </w:pPr>
    </w:p>
    <w:p>
      <w:pPr>
        <w:sectPr>
          <w:pgSz w:w="11900" w:h="16929" w:orient="portrait"/>
          <w:cols w:equalWidth="0" w:num="1">
            <w:col w:w="11420"/>
          </w:cols>
          <w:pgMar w:left="240" w:top="348"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6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166</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296</w:t>
            </w: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332</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591</w:t>
            </w:r>
          </w:p>
        </w:tc>
      </w:tr>
      <w:tr>
        <w:trPr>
          <w:trHeight w:val="250"/>
        </w:trPr>
        <w:tc>
          <w:tcPr>
            <w:tcW w:w="452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6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9"/>
                <w:szCs w:val="19"/>
                <w:color w:val="auto"/>
                <w:w w:val="75"/>
              </w:rPr>
              <w:t>$</w:t>
            </w:r>
          </w:p>
        </w:tc>
        <w:tc>
          <w:tcPr>
            <w:tcW w:w="9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384</w:t>
            </w:r>
          </w:p>
        </w:tc>
        <w:tc>
          <w:tcPr>
            <w:tcW w:w="2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462</w:t>
            </w:r>
          </w:p>
        </w:tc>
        <w:tc>
          <w:tcPr>
            <w:tcW w:w="3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452"/>
              <w:spacing w:after="0" w:line="250" w:lineRule="exact"/>
              <w:rPr>
                <w:sz w:val="20"/>
                <w:szCs w:val="20"/>
                <w:color w:val="auto"/>
              </w:rPr>
            </w:pPr>
            <w:r>
              <w:rPr>
                <w:rFonts w:ascii="Arial" w:cs="Arial" w:eastAsia="Arial" w:hAnsi="Arial"/>
                <w:sz w:val="22"/>
                <w:szCs w:val="22"/>
                <w:color w:val="auto"/>
                <w:w w:val="81"/>
              </w:rPr>
              <w:t>$</w:t>
            </w:r>
          </w:p>
        </w:tc>
        <w:tc>
          <w:tcPr>
            <w:tcW w:w="9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768</w:t>
            </w:r>
          </w:p>
        </w:tc>
        <w:tc>
          <w:tcPr>
            <w:tcW w:w="2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9"/>
                <w:szCs w:val="19"/>
                <w:color w:val="auto"/>
                <w:w w:val="75"/>
              </w:rPr>
              <w:t>$</w:t>
            </w:r>
          </w:p>
        </w:tc>
        <w:tc>
          <w:tcPr>
            <w:tcW w:w="9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924</w:t>
            </w:r>
          </w:p>
        </w:tc>
      </w:tr>
      <w:tr>
        <w:trPr>
          <w:trHeight w:val="20"/>
        </w:trPr>
        <w:tc>
          <w:tcPr>
            <w:tcW w:w="4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The components of net periodic benefit cost other than service cost are presented on the consolidated statements of operations on the line item “Other.”</w:t>
      </w:r>
    </w:p>
    <w:p>
      <w:pPr>
        <w:spacing w:after="0" w:line="185" w:lineRule="exact"/>
        <w:rPr>
          <w:sz w:val="20"/>
          <w:szCs w:val="20"/>
          <w:color w:val="auto"/>
        </w:rPr>
      </w:pPr>
    </w:p>
    <w:p>
      <w:pPr>
        <w:ind w:right="640"/>
        <w:spacing w:after="0" w:line="239" w:lineRule="auto"/>
        <w:rPr>
          <w:sz w:val="20"/>
          <w:szCs w:val="20"/>
          <w:color w:val="auto"/>
        </w:rPr>
      </w:pPr>
      <w:r>
        <w:rPr>
          <w:rFonts w:ascii="Arial" w:cs="Arial" w:eastAsia="Arial" w:hAnsi="Arial"/>
          <w:sz w:val="22"/>
          <w:szCs w:val="22"/>
          <w:color w:val="auto"/>
        </w:rPr>
        <w:t>The Company made cash contributions of $6,479 to its Pension Plan during the first six months of 2019 and intends to make additional cash contributions of $1,743 to the Pension Plan during the remainder of 2019.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Water and Wastewater Rates</w:t>
      </w:r>
    </w:p>
    <w:p>
      <w:pPr>
        <w:spacing w:after="0" w:line="212" w:lineRule="exact"/>
        <w:rPr>
          <w:sz w:val="20"/>
          <w:szCs w:val="20"/>
          <w:color w:val="auto"/>
        </w:rPr>
      </w:pPr>
    </w:p>
    <w:p>
      <w:pPr>
        <w:ind w:right="20"/>
        <w:spacing w:after="0" w:line="222" w:lineRule="auto"/>
        <w:rPr>
          <w:sz w:val="20"/>
          <w:szCs w:val="20"/>
          <w:color w:val="auto"/>
        </w:rPr>
      </w:pPr>
      <w:r>
        <w:rPr>
          <w:rFonts w:ascii="Arial" w:cs="Arial" w:eastAsia="Arial" w:hAnsi="Arial"/>
          <w:sz w:val="22"/>
          <w:szCs w:val="22"/>
          <w:color w:val="auto"/>
        </w:rPr>
        <w:t>In August 2018, the Company’s operating subsidiary in Pennsylvania filed for a base rate increase in water and wastewater rates for its customers. In May 2019 the Company received an order from the Pennsylvania Public Utility Commission, resulting in an increase of $47,000 in annual revenue, and new rates went into effect on May 24, 2019. The rates in effect at the time of the filing also included $29,493</w:t>
      </w: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in Distribution System Improvement Charges (“DSIC”), which was 7.5% above prior base rates. Consequently, the aggregate base rates increased by $76,493 since the last base rate increase and the DSIC was reset to zero.</w:t>
      </w:r>
    </w:p>
    <w:p>
      <w:pPr>
        <w:spacing w:after="0" w:line="185"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In December 2018, the Company’s operating subsidiary in New Jersey filed for a base rate increase in water rates for its customers. In May 2019, the Company received an order from the New Jersey Board of Public Utilities, resulting in an increase of $5,000 in annual revenues, and new rates went into effect on June 1, 2019.</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the Pennsylvania and New Jersey rate awards noted above, during the first six months of 2019, the Company’s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operating divisions in Ohio were granted base rate increases designed to increase total operating revenues on an annual basis by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$974. Further, during the first six months of 2019, the Company’s operating divisions in Illinois, Ohio, and Pennsylvania received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approval to bill infrastructure rehabilitation surcharges designed to increase total operating revenues on an annual basis by $3,931.</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jc w:val="right"/>
              <w:ind w:right="532"/>
              <w:spacing w:after="0"/>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20" w:type="dxa"/>
            <w:vAlign w:val="bottom"/>
            <w:gridSpan w:val="5"/>
          </w:tcPr>
          <w:p>
            <w:pPr>
              <w:jc w:val="right"/>
              <w:ind w:right="832"/>
              <w:spacing w:after="0"/>
              <w:rPr>
                <w:sz w:val="20"/>
                <w:szCs w:val="20"/>
                <w:color w:val="auto"/>
              </w:rPr>
            </w:pPr>
            <w:r>
              <w:rPr>
                <w:rFonts w:ascii="Arial" w:cs="Arial" w:eastAsia="Arial" w:hAnsi="Arial"/>
                <w:sz w:val="22"/>
                <w:szCs w:val="22"/>
                <w:color w:val="auto"/>
              </w:rPr>
              <w:t>Six Months Ended</w:t>
            </w:r>
          </w:p>
        </w:tc>
      </w:tr>
      <w:tr>
        <w:trPr>
          <w:trHeight w:val="251"/>
        </w:trPr>
        <w:tc>
          <w:tcPr>
            <w:tcW w:w="4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2"/>
              <w:spacing w:after="0" w:line="251" w:lineRule="exact"/>
              <w:rPr>
                <w:sz w:val="20"/>
                <w:szCs w:val="20"/>
                <w:color w:val="auto"/>
              </w:rPr>
            </w:pPr>
            <w:r>
              <w:rPr>
                <w:rFonts w:ascii="Arial" w:cs="Arial" w:eastAsia="Arial" w:hAnsi="Arial"/>
                <w:sz w:val="22"/>
                <w:szCs w:val="22"/>
                <w:color w:val="auto"/>
              </w:rPr>
              <w:t>June 30,</w:t>
            </w:r>
          </w:p>
        </w:tc>
        <w:tc>
          <w:tcPr>
            <w:tcW w:w="10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72"/>
              <w:spacing w:after="0" w:line="251" w:lineRule="exact"/>
              <w:rPr>
                <w:sz w:val="20"/>
                <w:szCs w:val="20"/>
                <w:color w:val="auto"/>
              </w:rPr>
            </w:pPr>
            <w:r>
              <w:rPr>
                <w:rFonts w:ascii="Arial" w:cs="Arial" w:eastAsia="Arial" w:hAnsi="Arial"/>
                <w:sz w:val="22"/>
                <w:szCs w:val="22"/>
                <w:color w:val="auto"/>
              </w:rPr>
              <w:t>June 30,</w:t>
            </w:r>
          </w:p>
        </w:tc>
        <w:tc>
          <w:tcPr>
            <w:tcW w:w="1200" w:type="dxa"/>
            <w:vAlign w:val="bottom"/>
            <w:tcBorders>
              <w:bottom w:val="single" w:sz="8" w:color="auto"/>
            </w:tcBorders>
          </w:tcPr>
          <w:p>
            <w:pPr>
              <w:spacing w:after="0"/>
              <w:rPr>
                <w:sz w:val="21"/>
                <w:szCs w:val="21"/>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2018</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2018</w:t>
            </w:r>
          </w:p>
        </w:tc>
      </w:tr>
      <w:tr>
        <w:trPr>
          <w:trHeight w:val="223"/>
        </w:trPr>
        <w:tc>
          <w:tcPr>
            <w:tcW w:w="45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6,929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line="223" w:lineRule="exact"/>
              <w:rPr>
                <w:sz w:val="20"/>
                <w:szCs w:val="20"/>
                <w:color w:val="auto"/>
              </w:rPr>
            </w:pPr>
            <w:r>
              <w:rPr>
                <w:rFonts w:ascii="Arial" w:cs="Arial" w:eastAsia="Arial" w:hAnsi="Arial"/>
                <w:sz w:val="22"/>
                <w:szCs w:val="22"/>
                <w:color w:val="auto"/>
                <w:w w:val="81"/>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6,775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13,395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2"/>
              <w:spacing w:after="0" w:line="223" w:lineRule="exact"/>
              <w:rPr>
                <w:sz w:val="20"/>
                <w:szCs w:val="20"/>
                <w:color w:val="auto"/>
              </w:rPr>
            </w:pPr>
            <w:r>
              <w:rPr>
                <w:rFonts w:ascii="Arial" w:cs="Arial" w:eastAsia="Arial" w:hAnsi="Arial"/>
                <w:sz w:val="22"/>
                <w:szCs w:val="22"/>
                <w:color w:val="auto"/>
                <w:w w:val="81"/>
              </w:rPr>
              <w:t>$</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13,524</w:t>
            </w:r>
          </w:p>
        </w:tc>
      </w:tr>
      <w:tr>
        <w:trPr>
          <w:trHeight w:val="230"/>
        </w:trPr>
        <w:tc>
          <w:tcPr>
            <w:tcW w:w="456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3,538</w:t>
            </w:r>
          </w:p>
        </w:tc>
        <w:tc>
          <w:tcPr>
            <w:tcW w:w="40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2"/>
                <w:szCs w:val="22"/>
                <w:color w:val="auto"/>
              </w:rPr>
              <w:t>3,789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6,757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7,053</w:t>
            </w:r>
          </w:p>
        </w:tc>
      </w:tr>
      <w:tr>
        <w:trPr>
          <w:trHeight w:val="230"/>
        </w:trPr>
        <w:tc>
          <w:tcPr>
            <w:tcW w:w="45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2,291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2,180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5,772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5,455</w:t>
            </w:r>
          </w:p>
        </w:tc>
      </w:tr>
      <w:tr>
        <w:trPr>
          <w:trHeight w:val="230"/>
        </w:trPr>
        <w:tc>
          <w:tcPr>
            <w:tcW w:w="456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748</w:t>
            </w:r>
          </w:p>
        </w:tc>
        <w:tc>
          <w:tcPr>
            <w:tcW w:w="40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2"/>
                <w:szCs w:val="22"/>
                <w:color w:val="auto"/>
              </w:rPr>
              <w:t>627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1,495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1,254</w:t>
            </w:r>
          </w:p>
        </w:tc>
      </w:tr>
      <w:tr>
        <w:trPr>
          <w:trHeight w:val="230"/>
        </w:trPr>
        <w:tc>
          <w:tcPr>
            <w:tcW w:w="45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1,272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1,424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2,241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2,415</w:t>
            </w:r>
          </w:p>
        </w:tc>
      </w:tr>
      <w:tr>
        <w:trPr>
          <w:trHeight w:val="230"/>
        </w:trPr>
        <w:tc>
          <w:tcPr>
            <w:tcW w:w="4560" w:type="dxa"/>
            <w:vAlign w:val="bottom"/>
          </w:tcPr>
          <w:p>
            <w:pPr>
              <w:spacing w:after="0" w:line="229" w:lineRule="exact"/>
              <w:rPr>
                <w:sz w:val="20"/>
                <w:szCs w:val="20"/>
                <w:color w:val="auto"/>
              </w:rPr>
            </w:pPr>
            <w:r>
              <w:rPr>
                <w:rFonts w:ascii="Arial" w:cs="Arial" w:eastAsia="Arial" w:hAnsi="Arial"/>
                <w:sz w:val="22"/>
                <w:szCs w:val="22"/>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90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2"/>
                <w:szCs w:val="22"/>
                <w:color w:val="auto"/>
              </w:rPr>
              <w:t>34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177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95</w:t>
            </w:r>
          </w:p>
        </w:tc>
      </w:tr>
      <w:tr>
        <w:trPr>
          <w:trHeight w:val="20"/>
        </w:trPr>
        <w:tc>
          <w:tcPr>
            <w:tcW w:w="4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50"/>
        </w:trPr>
        <w:tc>
          <w:tcPr>
            <w:tcW w:w="456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Total taxes other than income</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14,868</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2"/>
              <w:spacing w:after="0" w:line="250" w:lineRule="exact"/>
              <w:rPr>
                <w:sz w:val="20"/>
                <w:szCs w:val="20"/>
                <w:color w:val="auto"/>
              </w:rPr>
            </w:pPr>
            <w:r>
              <w:rPr>
                <w:rFonts w:ascii="Arial" w:cs="Arial" w:eastAsia="Arial" w:hAnsi="Arial"/>
                <w:sz w:val="22"/>
                <w:szCs w:val="22"/>
                <w:color w:val="auto"/>
                <w:w w:val="81"/>
              </w:rPr>
              <w:t>$</w:t>
            </w:r>
          </w:p>
        </w:tc>
        <w:tc>
          <w:tcPr>
            <w:tcW w:w="108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14,829</w:t>
            </w:r>
          </w:p>
        </w:tc>
        <w:tc>
          <w:tcPr>
            <w:tcW w:w="620" w:type="dxa"/>
            <w:vAlign w:val="bottom"/>
            <w:gridSpan w:val="2"/>
            <w:shd w:val="clear" w:color="auto" w:fill="CCEEFF"/>
          </w:tcPr>
          <w:p>
            <w:pPr>
              <w:jc w:val="right"/>
              <w:ind w:right="163"/>
              <w:spacing w:after="0" w:line="250" w:lineRule="exact"/>
              <w:rPr>
                <w:sz w:val="20"/>
                <w:szCs w:val="20"/>
                <w:color w:val="auto"/>
              </w:rPr>
            </w:pPr>
            <w:r>
              <w:rPr>
                <w:rFonts w:ascii="Arial" w:cs="Arial" w:eastAsia="Arial" w:hAnsi="Arial"/>
                <w:sz w:val="22"/>
                <w:szCs w:val="22"/>
                <w:color w:val="auto"/>
              </w:rPr>
              <w:t>$</w:t>
            </w:r>
          </w:p>
        </w:tc>
        <w:tc>
          <w:tcPr>
            <w:tcW w:w="12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29,837</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12"/>
              <w:spacing w:after="0" w:line="250"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29,796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The Company has ten operating segments and one reportable segment. The Regulated segment, the Company’s single reportable segment, is comprised of eight operating segments representing its water and wastewater regulated utility companies which are organized by the states where the Company provides water and wastewater services. These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w:t>
      </w:r>
    </w:p>
    <w:p>
      <w:pPr>
        <w:spacing w:after="0" w:line="164" w:lineRule="exact"/>
        <w:rPr>
          <w:sz w:val="20"/>
          <w:szCs w:val="20"/>
          <w:color w:val="auto"/>
        </w:rPr>
      </w:pPr>
    </w:p>
    <w:p>
      <w:pPr>
        <w:ind w:right="280"/>
        <w:spacing w:after="0" w:line="256" w:lineRule="auto"/>
        <w:rPr>
          <w:sz w:val="20"/>
          <w:szCs w:val="20"/>
          <w:color w:val="auto"/>
        </w:rPr>
      </w:pPr>
      <w:r>
        <w:rPr>
          <w:rFonts w:ascii="Arial" w:cs="Arial" w:eastAsia="Arial" w:hAnsi="Arial"/>
          <w:sz w:val="19"/>
          <w:szCs w:val="19"/>
          <w:color w:val="auto"/>
        </w:rPr>
        <w:t>Two operating segments are included within the Other category below. These segments are not quantitatively significant and are comprised of Aqua Infrastructure and Aqua Resources. Aqua Infrastructure provides non-utility raw water supply services for firms in the natural gas drilling industry. Aqua Resources provides water and wastewater service through operating and maintenance contracts with municipal authorities and other parties close to its utility companies’ service territories; and offers, through a third-party, water and sewer service line protection solutions and repair services to households.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67" w:right="239" w:bottom="137" w:gutter="0" w:footer="0" w:header="0"/>
        </w:sectPr>
      </w:pPr>
    </w:p>
    <w:bookmarkStart w:id="19" w:name="page20"/>
    <w:bookmarkEnd w:id="19"/>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jc w:val="both"/>
        <w:ind w:right="480"/>
        <w:spacing w:after="0" w:line="232" w:lineRule="auto"/>
        <w:rPr>
          <w:sz w:val="20"/>
          <w:szCs w:val="20"/>
          <w:color w:val="auto"/>
        </w:rPr>
      </w:pPr>
      <w:r>
        <w:rPr>
          <w:rFonts w:ascii="Arial" w:cs="Arial" w:eastAsia="Arial" w:hAnsi="Arial"/>
          <w:sz w:val="22"/>
          <w:szCs w:val="22"/>
          <w:color w:val="auto"/>
        </w:rPr>
        <w:t>In addition to these segments, Other is comprised of other business activities not included in the reportable segment, including corporate costs that have not been allocated to the Regulated segment and intersegment eliminations. Corporate costs include general and administrative expenses, and 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8"/>
        </w:trPr>
        <w:tc>
          <w:tcPr>
            <w:tcW w:w="3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0"/>
              </w:rPr>
              <w:t>June 30, 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0"/>
              </w:rPr>
              <w:t>June 30, 2018</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83"/>
        </w:trPr>
        <w:tc>
          <w:tcPr>
            <w:tcW w:w="32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Regulated</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Consolidated</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Regulated</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Consolidated</w:t>
            </w:r>
          </w:p>
        </w:tc>
      </w:tr>
      <w:tr>
        <w:trPr>
          <w:trHeight w:val="18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218,006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218,892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210,824</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211,860</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74,082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12,363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86,445</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73,047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73,515</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39,472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39,550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36,613</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(3,060)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(2,920)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93,112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80,949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86,754</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Interest expense, net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24,067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23,309</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21,756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23,723</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3,611</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Equity earnings in joint venture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1,240</w:t>
            </w: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911</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(benefit)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(2,171)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r>
      <w:tr>
        <w:trPr>
          <w:trHeight w:val="218"/>
        </w:trPr>
        <w:tc>
          <w:tcPr>
            <w:tcW w:w="3220" w:type="dxa"/>
            <w:vAlign w:val="bottom"/>
          </w:tcPr>
          <w:p>
            <w:pPr>
              <w:spacing w:after="0"/>
              <w:rPr>
                <w:sz w:val="20"/>
                <w:szCs w:val="20"/>
                <w:color w:val="auto"/>
              </w:rPr>
            </w:pPr>
            <w:r>
              <w:rPr>
                <w:rFonts w:ascii="Arial" w:cs="Arial" w:eastAsia="Arial" w:hAnsi="Arial"/>
                <w:sz w:val="14"/>
                <w:szCs w:val="14"/>
                <w:color w:val="auto"/>
              </w:rPr>
              <w:t>Net income (loss)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69,579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(14,676)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54,903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67,877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(1,287)</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66,590</w:t>
            </w:r>
          </w:p>
        </w:tc>
      </w:tr>
      <w:tr>
        <w:trPr>
          <w:trHeight w:val="405"/>
        </w:trPr>
        <w:tc>
          <w:tcPr>
            <w:tcW w:w="3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color w:val="auto"/>
                <w:w w:val="95"/>
              </w:rPr>
              <w:t>Six Months Ended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3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0"/>
              </w:rPr>
              <w:t>June 30, 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0"/>
              </w:rPr>
              <w:t>June 30, 2018</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32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Regulated</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Consolidated</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Regulated</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Consolidated</w:t>
            </w:r>
          </w:p>
        </w:tc>
      </w:tr>
      <w:tr>
        <w:trPr>
          <w:trHeight w:val="18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418,226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420,024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404,331</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406,207</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148,420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17,339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165,759</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144,350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147,461</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78,535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78,624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72,561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72,580</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(2,864)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(2,584)</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165,765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148,388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158,730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(2,639)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156,091</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Interest expense, net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47,725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3,434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51,159</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43,464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47,194</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7,667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7,667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5,444</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Equity earnings in joint venture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1,783</w:t>
            </w: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1,293</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(benefit)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(10,341)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Net income (loss)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121,520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(49,693)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71,827</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121,904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(4,475)</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117,429</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269,171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269,171</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216,614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216,614</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40" w:type="dxa"/>
            <w:vAlign w:val="bottom"/>
          </w:tcPr>
          <w:p>
            <w:pPr>
              <w:jc w:val="right"/>
              <w:ind w:right="32"/>
              <w:spacing w:after="0"/>
              <w:rPr>
                <w:sz w:val="20"/>
                <w:szCs w:val="20"/>
                <w:color w:val="auto"/>
              </w:rPr>
            </w:pPr>
            <w:r>
              <w:rPr>
                <w:rFonts w:ascii="Arial" w:cs="Arial" w:eastAsia="Arial" w:hAnsi="Arial"/>
                <w:sz w:val="22"/>
                <w:szCs w:val="22"/>
                <w:color w:val="auto"/>
              </w:rPr>
              <w:t>June 30,</w:t>
            </w: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tcPr>
          <w:p>
            <w:pPr>
              <w:jc w:val="right"/>
              <w:ind w:right="73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51"/>
        </w:trPr>
        <w:tc>
          <w:tcPr>
            <w:tcW w:w="3200" w:type="dxa"/>
            <w:vAlign w:val="bottom"/>
            <w:vMerge w:val="restart"/>
          </w:tcPr>
          <w:p>
            <w:pPr>
              <w:spacing w:after="0"/>
              <w:rPr>
                <w:sz w:val="20"/>
                <w:szCs w:val="20"/>
                <w:color w:val="auto"/>
              </w:rPr>
            </w:pPr>
            <w:r>
              <w:rPr>
                <w:rFonts w:ascii="Arial" w:cs="Arial" w:eastAsia="Arial" w:hAnsi="Arial"/>
                <w:sz w:val="22"/>
                <w:szCs w:val="22"/>
                <w:color w:val="auto"/>
              </w:rPr>
              <w:t>Total assets:</w:t>
            </w:r>
          </w:p>
        </w:tc>
        <w:tc>
          <w:tcPr>
            <w:tcW w:w="3920" w:type="dxa"/>
            <w:vAlign w:val="bottom"/>
            <w:gridSpan w:val="2"/>
          </w:tcPr>
          <w:p>
            <w:pPr>
              <w:jc w:val="right"/>
              <w:ind w:right="172"/>
              <w:spacing w:after="0" w:line="251" w:lineRule="exact"/>
              <w:rPr>
                <w:sz w:val="20"/>
                <w:szCs w:val="20"/>
                <w:color w:val="auto"/>
              </w:rPr>
            </w:pPr>
            <w:r>
              <w:rPr>
                <w:rFonts w:ascii="Arial" w:cs="Arial" w:eastAsia="Arial" w:hAnsi="Arial"/>
                <w:sz w:val="22"/>
                <w:szCs w:val="22"/>
                <w:color w:val="auto"/>
              </w:rPr>
              <w:t>2019</w:t>
            </w: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tcPr>
          <w:p>
            <w:pPr>
              <w:jc w:val="right"/>
              <w:ind w:right="1112"/>
              <w:spacing w:after="0" w:line="251" w:lineRule="exact"/>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line="229" w:lineRule="exact"/>
              <w:rPr>
                <w:sz w:val="20"/>
                <w:szCs w:val="20"/>
                <w:color w:val="auto"/>
              </w:rPr>
            </w:pPr>
            <w:r>
              <w:rPr>
                <w:rFonts w:ascii="Arial" w:cs="Arial" w:eastAsia="Arial" w:hAnsi="Arial"/>
                <w:sz w:val="22"/>
                <w:szCs w:val="22"/>
                <w:color w:val="auto"/>
              </w:rPr>
              <w:t>Regulated</w:t>
            </w:r>
          </w:p>
        </w:tc>
        <w:tc>
          <w:tcPr>
            <w:tcW w:w="3920" w:type="dxa"/>
            <w:vAlign w:val="bottom"/>
            <w:gridSpan w:val="2"/>
            <w:shd w:val="clear" w:color="auto" w:fill="CCEEFF"/>
          </w:tcPr>
          <w:p>
            <w:pPr>
              <w:jc w:val="right"/>
              <w:ind w:right="1812"/>
              <w:spacing w:after="0" w:line="229"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w w:val="98"/>
              </w:rPr>
              <w:t>7,043,679</w:t>
            </w:r>
          </w:p>
        </w:tc>
        <w:tc>
          <w:tcPr>
            <w:tcW w:w="840" w:type="dxa"/>
            <w:vAlign w:val="bottom"/>
            <w:gridSpan w:val="2"/>
            <w:shd w:val="clear" w:color="auto" w:fill="CCEEFF"/>
          </w:tcPr>
          <w:p>
            <w:pPr>
              <w:jc w:val="right"/>
              <w:ind w:right="252"/>
              <w:spacing w:after="0" w:line="229" w:lineRule="exact"/>
              <w:rPr>
                <w:sz w:val="20"/>
                <w:szCs w:val="20"/>
                <w:color w:val="auto"/>
              </w:rPr>
            </w:pPr>
            <w:r>
              <w:rPr>
                <w:rFonts w:ascii="Arial" w:cs="Arial" w:eastAsia="Arial" w:hAnsi="Arial"/>
                <w:sz w:val="22"/>
                <w:szCs w:val="22"/>
                <w:color w:val="auto"/>
              </w:rPr>
              <w:t>$</w:t>
            </w:r>
          </w:p>
        </w:tc>
        <w:tc>
          <w:tcPr>
            <w:tcW w:w="24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6,807,960</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80"/>
              <w:spacing w:after="0" w:line="229" w:lineRule="exact"/>
              <w:rPr>
                <w:sz w:val="20"/>
                <w:szCs w:val="20"/>
                <w:color w:val="auto"/>
              </w:rPr>
            </w:pPr>
            <w:r>
              <w:rPr>
                <w:rFonts w:ascii="Arial" w:cs="Arial" w:eastAsia="Arial" w:hAnsi="Arial"/>
                <w:sz w:val="22"/>
                <w:szCs w:val="22"/>
                <w:color w:val="auto"/>
              </w:rPr>
              <w:t>Other</w:t>
            </w:r>
          </w:p>
        </w:tc>
        <w:tc>
          <w:tcPr>
            <w:tcW w:w="18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w w:val="98"/>
              </w:rPr>
              <w:t>2,136,671</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156,536</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22"/>
                <w:szCs w:val="22"/>
                <w:color w:val="auto"/>
              </w:rPr>
              <w:t>Consolidated</w:t>
            </w:r>
          </w:p>
        </w:tc>
        <w:tc>
          <w:tcPr>
            <w:tcW w:w="18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1812"/>
              <w:spacing w:after="0" w:line="223" w:lineRule="exact"/>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w w:val="98"/>
              </w:rPr>
              <w:t>9,180,350</w:t>
            </w:r>
          </w:p>
        </w:tc>
        <w:tc>
          <w:tcPr>
            <w:tcW w:w="3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52"/>
              <w:spacing w:after="0" w:line="223" w:lineRule="exact"/>
              <w:rPr>
                <w:sz w:val="20"/>
                <w:szCs w:val="20"/>
                <w:color w:val="auto"/>
              </w:rPr>
            </w:pPr>
            <w:r>
              <w:rPr>
                <w:rFonts w:ascii="Arial" w:cs="Arial" w:eastAsia="Arial" w:hAnsi="Arial"/>
                <w:sz w:val="22"/>
                <w:szCs w:val="22"/>
                <w:color w:val="auto"/>
                <w:w w:val="81"/>
              </w:rPr>
              <w:t>$</w:t>
            </w:r>
          </w:p>
        </w:tc>
        <w:tc>
          <w:tcPr>
            <w:tcW w:w="24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6,964,496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2019, the aggregate amount of $17,929 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While the final outcome of these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 cash flows. Further, the Company has insurance coverage for certain of these loss contingencies, and as of June 30, 2019, estimates that approximately $6,526 of the amount accrued for these matters are</w:t>
      </w:r>
    </w:p>
    <w:p>
      <w:pPr>
        <w:sectPr>
          <w:pgSz w:w="11900" w:h="16838" w:orient="portrait"/>
          <w:cols w:equalWidth="0" w:num="1">
            <w:col w:w="11420"/>
          </w:cols>
          <w:pgMar w:left="240" w:top="113" w:right="239" w:bottom="0" w:gutter="0" w:footer="0" w:header="0"/>
        </w:sectPr>
      </w:pPr>
    </w:p>
    <w:bookmarkStart w:id="20" w:name="page21"/>
    <w:bookmarkEnd w:id="20"/>
    <w:p>
      <w:pPr>
        <w:spacing w:after="0" w:line="54"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color w:val="auto"/>
        </w:rPr>
        <w:t>probable of recovery through insurance, which amount is also reported in the Company’s consolidated balance sheet as deferred charges and other assets, net.</w:t>
      </w:r>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Although the results of legal proceedings cannot be predicted with certainty,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2" w:lineRule="exact"/>
        <w:rPr>
          <w:sz w:val="20"/>
          <w:szCs w:val="20"/>
          <w:color w:val="auto"/>
        </w:rPr>
      </w:pPr>
    </w:p>
    <w:p>
      <w:pPr>
        <w:ind w:right="540"/>
        <w:spacing w:after="0" w:line="228" w:lineRule="auto"/>
        <w:rPr>
          <w:sz w:val="20"/>
          <w:szCs w:val="20"/>
          <w:color w:val="auto"/>
        </w:rPr>
      </w:pPr>
      <w:r>
        <w:rPr>
          <w:rFonts w:ascii="Arial" w:cs="Arial" w:eastAsia="Arial" w:hAnsi="Arial"/>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$1,515 at June 30, 2019 and represents a reserve for unpaid claim costs, including an estimate for the cost of incurred but not reported claims.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During the six months ended June 30, 2019, the Company’s Federal net operating loss (“NOL”) carryforward increased by</w:t>
      </w:r>
    </w:p>
    <w:p>
      <w:pPr>
        <w:spacing w:after="0" w:line="6" w:lineRule="exact"/>
        <w:rPr>
          <w:sz w:val="20"/>
          <w:szCs w:val="20"/>
          <w:color w:val="auto"/>
        </w:rPr>
      </w:pPr>
    </w:p>
    <w:p>
      <w:pPr>
        <w:ind w:right="180"/>
        <w:spacing w:after="0" w:line="257" w:lineRule="auto"/>
        <w:rPr>
          <w:sz w:val="20"/>
          <w:szCs w:val="20"/>
          <w:color w:val="auto"/>
        </w:rPr>
      </w:pPr>
      <w:r>
        <w:rPr>
          <w:rFonts w:ascii="Arial" w:cs="Arial" w:eastAsia="Arial" w:hAnsi="Arial"/>
          <w:sz w:val="19"/>
          <w:szCs w:val="19"/>
          <w:color w:val="auto"/>
        </w:rPr>
        <w:t>$33,928. In addition, during the six months ended June 30, 2019, the Company’s state NOL carryforward increased by $67,583. As of June 30, 2019, the balance of the Company’s Federal NOL was $44,763. The Company believes its Federal NOL carryforward is more likely than not to be recovered and requires no valuation allowance. As of June 30, 2019, the balance of the Company’s gross state NOL was $717,868, a portion of which is offset by a valuation allowance because the Company does not believe the state NOLs are more likely than not to be realized. The Company’s Federal and state NOL carryforwards begin to expire in 2032 and 2023, respectively. The Company’s Federal and state NOL carryforwards are reduced by an unrecognized tax position, on a gross basis, of $68,978 and $85,657, respectively. The amounts of the Company’s Federal and state NOL carryforwards prior to being reduced by the unrecognized tax positions were $113,741 and $803,525 respectively. The Company records its unrecognized tax benefit as a reduction to its deferred income tax liability.</w:t>
      </w:r>
    </w:p>
    <w:p>
      <w:pPr>
        <w:spacing w:after="0" w:line="172"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As of June 30, 2019, the total gross unrecognized tax benefit was $17,562. As a result of the regulatory treatment afforded for qualifying infrastructure improvements in Pennsylvania, $28,058, if recognized, would affect the Company’s effective tax rate. At December 31, 2018, the Company had unrecognized tax benefits of $17,792.</w:t>
      </w:r>
    </w:p>
    <w:p>
      <w:pPr>
        <w:spacing w:after="0" w:line="185" w:lineRule="exact"/>
        <w:rPr>
          <w:sz w:val="20"/>
          <w:szCs w:val="20"/>
          <w:color w:val="auto"/>
        </w:rPr>
      </w:pPr>
    </w:p>
    <w:p>
      <w:pPr>
        <w:ind w:right="460"/>
        <w:spacing w:after="0" w:line="226" w:lineRule="auto"/>
        <w:rPr>
          <w:sz w:val="20"/>
          <w:szCs w:val="20"/>
          <w:color w:val="auto"/>
        </w:rPr>
      </w:pPr>
      <w:r>
        <w:rPr>
          <w:rFonts w:ascii="Arial" w:cs="Arial" w:eastAsia="Arial" w:hAnsi="Arial"/>
          <w:sz w:val="22"/>
          <w:szCs w:val="22"/>
          <w:color w:val="auto"/>
        </w:rPr>
        <w:t>Accounting rules for uncertain tax positions specify that tax positions for which the timing of resolution is uncertain should be classified as long-term liabilities. Judgment is required in evaluating the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ind w:left="260" w:right="248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Company’s uncertain tax positions and determining the provision for income taxes. Management believes that an adequate provision has been made for any adjustments that may result from tax 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As of December 31, 2017, the Company had provisionally estimated that $175,108 of deferred income tax liabilities for our Pennsylvania subsidiary, Aqua Pennsylvania, will be a regulatory liability as a result of the accounting effect of the Tax Cuts and Jobs Acts (the “TCJA”). In May 2018, the Pennsylvania Public Utility Commission (“PA PUC”) issued an order that set forth the requirements for utilities to either immediately initiate the refund or otherwise address the impacts of the TCJA in the utilities’ next rate case. Aqua Pennsylvania was included in the rate filing group of utilities as the Company filed a base rate case in August 2018, during which it expected the PA PUC to address the effects of the TCJA within the base rate case filing. Additionally, the PA PUC ordered that all rates charged by utilities, including those billed by Aqua Pennsylvania since January 1, 2018, are temporary and subject to refund pending the outcome of its review of the effects of the TCJA within the next base rate case. In February 2019, Aqua Pennsylvania filed a settlement for this base rate case, and on March 11, 2019, the administrative law judges issued a recommended decision approving the settlement on March 11, 2019. In May 2019 a final order was issued from the PA PUC affirming the Company’s regulatory liability of $175,108 and authorizing the Company to implement an average rate assumption method to reduce the regulatory liability over the book lives beginning in June 2019 to reflect the fact that the benefit from the excess accumulated deferred taxes is now reflected in base rates.</w:t>
      </w:r>
    </w:p>
    <w:p>
      <w:pPr>
        <w:spacing w:after="0" w:line="146" w:lineRule="exact"/>
        <w:rPr>
          <w:sz w:val="20"/>
          <w:szCs w:val="20"/>
          <w:color w:val="auto"/>
        </w:rPr>
      </w:pPr>
    </w:p>
    <w:p>
      <w:pPr>
        <w:ind w:right="40"/>
        <w:spacing w:after="0" w:line="234" w:lineRule="auto"/>
        <w:rPr>
          <w:sz w:val="20"/>
          <w:szCs w:val="20"/>
          <w:color w:val="auto"/>
        </w:rPr>
      </w:pPr>
      <w:r>
        <w:rPr>
          <w:rFonts w:ascii="Arial" w:cs="Arial" w:eastAsia="Arial" w:hAnsi="Arial"/>
          <w:sz w:val="21"/>
          <w:szCs w:val="21"/>
          <w:color w:val="auto"/>
        </w:rPr>
        <w:t>The Company’s regulated operations accounting for income taxes are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 Our state regulatory commissions have or are in the process of issuing procedural orders directing how the tax law changes are to be reflected in our utility customer rates.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17 – </w:t>
      </w:r>
      <w:r>
        <w:rPr>
          <w:rFonts w:ascii="Arial" w:cs="Arial" w:eastAsia="Arial" w:hAnsi="Arial"/>
          <w:sz w:val="22"/>
          <w:szCs w:val="22"/>
          <w:b w:val="1"/>
          <w:bCs w:val="1"/>
          <w:i w:val="1"/>
          <w:iCs w:val="1"/>
          <w:color w:val="auto"/>
        </w:rPr>
        <w:t>Leases</w:t>
      </w:r>
    </w:p>
    <w:p>
      <w:pPr>
        <w:spacing w:after="0" w:line="212" w:lineRule="exact"/>
        <w:rPr>
          <w:sz w:val="20"/>
          <w:szCs w:val="20"/>
          <w:color w:val="auto"/>
        </w:rPr>
      </w:pPr>
    </w:p>
    <w:p>
      <w:pPr>
        <w:ind w:right="120"/>
        <w:spacing w:after="0" w:line="313" w:lineRule="auto"/>
        <w:rPr>
          <w:sz w:val="20"/>
          <w:szCs w:val="20"/>
          <w:color w:val="auto"/>
        </w:rPr>
      </w:pPr>
      <w:r>
        <w:rPr>
          <w:rFonts w:ascii="Arial" w:cs="Arial" w:eastAsia="Arial" w:hAnsi="Arial"/>
          <w:sz w:val="19"/>
          <w:szCs w:val="19"/>
          <w:color w:val="auto"/>
        </w:rPr>
        <w:t>The Company leases land, office facilities, office equipment, and vehicles for use in its operations, which are accounted for as operating leases. Leases with a remaining term of 12 months or less are not recorded on the balance sheet; rather, lease expense is</w:t>
      </w:r>
    </w:p>
    <w:p>
      <w:pPr>
        <w:sectPr>
          <w:pgSz w:w="11900" w:h="16892" w:orient="portrait"/>
          <w:cols w:equalWidth="0" w:num="1">
            <w:col w:w="11400"/>
          </w:cols>
          <w:pgMar w:left="240" w:top="118" w:right="259" w:bottom="0" w:gutter="0" w:footer="0" w:header="0"/>
        </w:sectPr>
      </w:pPr>
    </w:p>
    <w:bookmarkStart w:id="21" w:name="page22"/>
    <w:bookmarkEnd w:id="21"/>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recognized on a straight-line basis over the lease term. Our leases have remaining lives of 1 year to 76 years.</w:t>
      </w:r>
    </w:p>
    <w:p>
      <w:pPr>
        <w:spacing w:after="0" w:line="207"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185" w:lineRule="exact"/>
        <w:rPr>
          <w:sz w:val="20"/>
          <w:szCs w:val="20"/>
          <w:color w:val="auto"/>
        </w:rPr>
      </w:pPr>
    </w:p>
    <w:p>
      <w:pPr>
        <w:ind w:right="220"/>
        <w:spacing w:after="0" w:line="226" w:lineRule="auto"/>
        <w:rPr>
          <w:sz w:val="20"/>
          <w:szCs w:val="20"/>
          <w:color w:val="auto"/>
        </w:rPr>
      </w:pPr>
      <w:r>
        <w:rPr>
          <w:rFonts w:ascii="Arial" w:cs="Arial" w:eastAsia="Arial" w:hAnsi="Arial"/>
          <w:sz w:val="22"/>
          <w:szCs w:val="22"/>
          <w:color w:val="auto"/>
        </w:rPr>
        <w:t>The Company accounts for lease and non-lease components of lease arrangements separately. For calculating lease liabilities, we may deem lease terms to include options to extend or terminate the lease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when it’s reasonably certain that we will exercise that option. The Company’s lease agreements do not contain significant residual value guarantees, restrictions or covenants.</w:t>
      </w:r>
    </w:p>
    <w:p>
      <w:pPr>
        <w:spacing w:after="0" w:line="185" w:lineRule="exact"/>
        <w:rPr>
          <w:sz w:val="20"/>
          <w:szCs w:val="20"/>
          <w:color w:val="auto"/>
        </w:rPr>
      </w:pPr>
    </w:p>
    <w:p>
      <w:pPr>
        <w:ind w:right="220"/>
        <w:spacing w:after="0" w:line="272" w:lineRule="auto"/>
        <w:rPr>
          <w:sz w:val="20"/>
          <w:szCs w:val="20"/>
          <w:color w:val="auto"/>
        </w:rPr>
      </w:pPr>
      <w:r>
        <w:rPr>
          <w:rFonts w:ascii="Arial" w:cs="Arial" w:eastAsia="Arial" w:hAnsi="Arial"/>
          <w:sz w:val="19"/>
          <w:szCs w:val="19"/>
          <w:color w:val="auto"/>
        </w:rPr>
        <w:t>Lease liabilities and corresponding right-of-use assets are recorded based on the present value of the lease payments over the expected lease term, including leases with variable payments that are based on a market rate or an index.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157"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For the Company’s regulated utility operations, we utilize the FASB’s accounting guidance for leases for entities with regulated operations, which allows, for rate-making purposes, a lease to be accounted for as an operating lease even though the lease may be classified as a finance lease, since the amount of the lease payment is included in allowable costs as rental expense in the period it covers.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17"/>
        </w:trPr>
        <w:tc>
          <w:tcPr>
            <w:tcW w:w="6060" w:type="dxa"/>
            <w:vAlign w:val="bottom"/>
            <w:vMerge w:val="restart"/>
          </w:tcPr>
          <w:p>
            <w:pPr>
              <w:spacing w:after="0"/>
              <w:rPr>
                <w:sz w:val="20"/>
                <w:szCs w:val="20"/>
                <w:color w:val="auto"/>
              </w:rPr>
            </w:pPr>
            <w:r>
              <w:rPr>
                <w:rFonts w:ascii="Arial" w:cs="Arial" w:eastAsia="Arial" w:hAnsi="Arial"/>
                <w:sz w:val="18"/>
                <w:szCs w:val="18"/>
                <w:color w:val="auto"/>
              </w:rPr>
              <w:t>Components of lease expense were as follows:</w:t>
            </w:r>
          </w:p>
        </w:tc>
        <w:tc>
          <w:tcPr>
            <w:tcW w:w="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9"/>
              </w:rPr>
              <w:t>June 30, 2019</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cost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86"/>
              </w:rPr>
              <w:t>530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472"/>
        </w:trPr>
        <w:tc>
          <w:tcPr>
            <w:tcW w:w="606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1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86"/>
              </w:rPr>
              <w:t>355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472"/>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7"/>
        </w:trPr>
        <w:tc>
          <w:tcPr>
            <w:tcW w:w="6060" w:type="dxa"/>
            <w:vAlign w:val="bottom"/>
            <w:vMerge w:val="restart"/>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2"/>
        </w:trPr>
        <w:tc>
          <w:tcPr>
            <w:tcW w:w="606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liabilities</w:t>
            </w: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11,913</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lease liabilities</w:t>
            </w: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7"/>
        </w:trPr>
        <w:tc>
          <w:tcPr>
            <w:tcW w:w="6060" w:type="dxa"/>
            <w:vAlign w:val="bottom"/>
            <w:vMerge w:val="restart"/>
          </w:tcPr>
          <w:p>
            <w:pPr>
              <w:spacing w:after="0"/>
              <w:rPr>
                <w:sz w:val="20"/>
                <w:szCs w:val="20"/>
                <w:color w:val="auto"/>
              </w:rPr>
            </w:pPr>
            <w:r>
              <w:rPr>
                <w:rFonts w:ascii="Arial" w:cs="Arial" w:eastAsia="Arial" w:hAnsi="Arial"/>
                <w:sz w:val="18"/>
                <w:szCs w:val="18"/>
                <w:color w:val="auto"/>
              </w:rPr>
              <w:t>Weighted average remaining lease term:</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years</w:t>
            </w:r>
          </w:p>
        </w:tc>
        <w:tc>
          <w:tcPr>
            <w:tcW w:w="0" w:type="dxa"/>
            <w:vAlign w:val="bottom"/>
          </w:tcPr>
          <w:p>
            <w:pPr>
              <w:spacing w:after="0"/>
              <w:rPr>
                <w:sz w:val="1"/>
                <w:szCs w:val="1"/>
                <w:color w:val="auto"/>
              </w:rPr>
            </w:pPr>
          </w:p>
        </w:tc>
      </w:tr>
      <w:tr>
        <w:trPr>
          <w:trHeight w:val="459"/>
        </w:trPr>
        <w:tc>
          <w:tcPr>
            <w:tcW w:w="60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Maturities of operating lease liabilities and a reconciliation of the operating lease liabilities reported on our Consolidated Balance Sheets as of June 30, 2019 are as follows:</w:t>
      </w:r>
    </w:p>
    <w:p>
      <w:pPr>
        <w:sectPr>
          <w:pgSz w:w="11900" w:h="16853" w:orient="portrait"/>
          <w:cols w:equalWidth="0" w:num="1">
            <w:col w:w="11420"/>
          </w:cols>
          <w:pgMar w:left="240" w:top="118" w:right="239" w:bottom="0" w:gutter="0" w:footer="0" w:header="0"/>
        </w:sectPr>
      </w:pPr>
    </w:p>
    <w:bookmarkStart w:id="22" w:name="page23"/>
    <w:bookmarkEnd w:id="2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w w:val="97"/>
              </w:rPr>
              <w:t>Operating Leases</w:t>
            </w:r>
          </w:p>
        </w:tc>
      </w:tr>
      <w:tr>
        <w:trPr>
          <w:trHeight w:val="26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2019</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618</w:t>
            </w:r>
          </w:p>
        </w:tc>
      </w:tr>
      <w:tr>
        <w:trPr>
          <w:trHeight w:val="284"/>
        </w:trPr>
        <w:tc>
          <w:tcPr>
            <w:tcW w:w="8780" w:type="dxa"/>
            <w:vAlign w:val="bottom"/>
          </w:tcPr>
          <w:p>
            <w:pPr>
              <w:spacing w:after="0"/>
              <w:rPr>
                <w:sz w:val="20"/>
                <w:szCs w:val="20"/>
                <w:color w:val="auto"/>
              </w:rPr>
            </w:pPr>
            <w:r>
              <w:rPr>
                <w:rFonts w:ascii="Arial" w:cs="Arial" w:eastAsia="Arial" w:hAnsi="Arial"/>
                <w:sz w:val="22"/>
                <w:szCs w:val="22"/>
                <w:color w:val="auto"/>
              </w:rPr>
              <w:t>2020</w:t>
            </w:r>
          </w:p>
        </w:tc>
        <w:tc>
          <w:tcPr>
            <w:tcW w:w="3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1,597</w:t>
            </w:r>
          </w:p>
        </w:tc>
      </w:tr>
      <w:tr>
        <w:trPr>
          <w:trHeight w:val="28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2021</w:t>
            </w:r>
          </w:p>
        </w:tc>
        <w:tc>
          <w:tcPr>
            <w:tcW w:w="34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1,374</w:t>
            </w:r>
          </w:p>
        </w:tc>
      </w:tr>
      <w:tr>
        <w:trPr>
          <w:trHeight w:val="284"/>
        </w:trPr>
        <w:tc>
          <w:tcPr>
            <w:tcW w:w="8780" w:type="dxa"/>
            <w:vAlign w:val="bottom"/>
          </w:tcPr>
          <w:p>
            <w:pPr>
              <w:spacing w:after="0"/>
              <w:rPr>
                <w:sz w:val="20"/>
                <w:szCs w:val="20"/>
                <w:color w:val="auto"/>
              </w:rPr>
            </w:pPr>
            <w:r>
              <w:rPr>
                <w:rFonts w:ascii="Arial" w:cs="Arial" w:eastAsia="Arial" w:hAnsi="Arial"/>
                <w:sz w:val="22"/>
                <w:szCs w:val="22"/>
                <w:color w:val="auto"/>
              </w:rPr>
              <w:t>2022</w:t>
            </w:r>
          </w:p>
        </w:tc>
        <w:tc>
          <w:tcPr>
            <w:tcW w:w="3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1,145</w:t>
            </w:r>
          </w:p>
        </w:tc>
      </w:tr>
      <w:tr>
        <w:trPr>
          <w:trHeight w:val="28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2023</w:t>
            </w:r>
          </w:p>
        </w:tc>
        <w:tc>
          <w:tcPr>
            <w:tcW w:w="34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770</w:t>
            </w:r>
          </w:p>
        </w:tc>
      </w:tr>
      <w:tr>
        <w:trPr>
          <w:trHeight w:val="284"/>
        </w:trPr>
        <w:tc>
          <w:tcPr>
            <w:tcW w:w="87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Thereafter</w:t>
            </w: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16,430</w:t>
            </w:r>
          </w:p>
        </w:tc>
      </w:tr>
      <w:tr>
        <w:trPr>
          <w:trHeight w:val="250"/>
        </w:trPr>
        <w:tc>
          <w:tcPr>
            <w:tcW w:w="878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Total operating lease payments</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21,934</w:t>
            </w:r>
          </w:p>
        </w:tc>
      </w:tr>
      <w:tr>
        <w:trPr>
          <w:trHeight w:val="20"/>
        </w:trPr>
        <w:tc>
          <w:tcPr>
            <w:tcW w:w="8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8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Total operating lease payments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21,934</w:t>
            </w:r>
          </w:p>
        </w:tc>
      </w:tr>
      <w:tr>
        <w:trPr>
          <w:trHeight w:val="284"/>
        </w:trPr>
        <w:tc>
          <w:tcPr>
            <w:tcW w:w="87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Less operating lease liabilities</w:t>
            </w: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13,164</w:t>
            </w:r>
          </w:p>
        </w:tc>
      </w:tr>
      <w:tr>
        <w:trPr>
          <w:trHeight w:val="250"/>
        </w:trPr>
        <w:tc>
          <w:tcPr>
            <w:tcW w:w="878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Present value adjustment</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8,770</w:t>
            </w:r>
          </w:p>
        </w:tc>
      </w:tr>
      <w:tr>
        <w:trPr>
          <w:trHeight w:val="20"/>
        </w:trPr>
        <w:tc>
          <w:tcPr>
            <w:tcW w:w="8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future annual minimum lease payments due for the Company’s leases as of December 31, 2018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shd w:val="clear" w:color="auto" w:fill="CCEEFF"/>
          </w:tcPr>
          <w:p>
            <w:pPr>
              <w:spacing w:after="0"/>
              <w:rPr>
                <w:sz w:val="20"/>
                <w:szCs w:val="20"/>
                <w:color w:val="auto"/>
              </w:rPr>
            </w:pPr>
            <w:r>
              <w:rPr>
                <w:rFonts w:ascii="Arial" w:cs="Arial" w:eastAsia="Arial" w:hAnsi="Arial"/>
                <w:sz w:val="22"/>
                <w:szCs w:val="22"/>
                <w:color w:val="auto"/>
              </w:rPr>
              <w:t>2019</w:t>
            </w:r>
          </w:p>
        </w:tc>
        <w:tc>
          <w:tcPr>
            <w:tcW w:w="4980" w:type="dxa"/>
            <w:vAlign w:val="bottom"/>
            <w:gridSpan w:val="2"/>
            <w:shd w:val="clear" w:color="auto" w:fill="CCEEFF"/>
          </w:tcPr>
          <w:p>
            <w:pPr>
              <w:jc w:val="right"/>
              <w:ind w:right="823"/>
              <w:spacing w:after="0"/>
              <w:rPr>
                <w:sz w:val="20"/>
                <w:szCs w:val="20"/>
                <w:color w:val="auto"/>
              </w:rPr>
            </w:pPr>
            <w:r>
              <w:rPr>
                <w:rFonts w:ascii="Arial" w:cs="Arial" w:eastAsia="Arial" w:hAnsi="Arial"/>
                <w:sz w:val="22"/>
                <w:szCs w:val="2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2,221</w:t>
            </w:r>
          </w:p>
        </w:tc>
      </w:tr>
      <w:tr>
        <w:trPr>
          <w:trHeight w:val="230"/>
        </w:trPr>
        <w:tc>
          <w:tcPr>
            <w:tcW w:w="4860" w:type="dxa"/>
            <w:vAlign w:val="bottom"/>
          </w:tcPr>
          <w:p>
            <w:pPr>
              <w:spacing w:after="0" w:line="229" w:lineRule="exact"/>
              <w:rPr>
                <w:sz w:val="20"/>
                <w:szCs w:val="20"/>
                <w:color w:val="auto"/>
              </w:rPr>
            </w:pPr>
            <w:r>
              <w:rPr>
                <w:rFonts w:ascii="Arial" w:cs="Arial" w:eastAsia="Arial" w:hAnsi="Arial"/>
                <w:sz w:val="22"/>
                <w:szCs w:val="22"/>
                <w:color w:val="auto"/>
              </w:rPr>
              <w:t>2020</w:t>
            </w:r>
          </w:p>
        </w:tc>
        <w:tc>
          <w:tcPr>
            <w:tcW w:w="3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1,682</w:t>
            </w:r>
          </w:p>
        </w:tc>
      </w:tr>
      <w:tr>
        <w:trPr>
          <w:trHeight w:val="230"/>
        </w:trPr>
        <w:tc>
          <w:tcPr>
            <w:tcW w:w="4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2021</w:t>
            </w:r>
          </w:p>
        </w:tc>
        <w:tc>
          <w:tcPr>
            <w:tcW w:w="3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1,443</w:t>
            </w:r>
          </w:p>
        </w:tc>
      </w:tr>
      <w:tr>
        <w:trPr>
          <w:trHeight w:val="230"/>
        </w:trPr>
        <w:tc>
          <w:tcPr>
            <w:tcW w:w="4860" w:type="dxa"/>
            <w:vAlign w:val="bottom"/>
          </w:tcPr>
          <w:p>
            <w:pPr>
              <w:spacing w:after="0" w:line="229" w:lineRule="exact"/>
              <w:rPr>
                <w:sz w:val="20"/>
                <w:szCs w:val="20"/>
                <w:color w:val="auto"/>
              </w:rPr>
            </w:pPr>
            <w:r>
              <w:rPr>
                <w:rFonts w:ascii="Arial" w:cs="Arial" w:eastAsia="Arial" w:hAnsi="Arial"/>
                <w:sz w:val="22"/>
                <w:szCs w:val="22"/>
                <w:color w:val="auto"/>
              </w:rPr>
              <w:t>2022</w:t>
            </w:r>
          </w:p>
        </w:tc>
        <w:tc>
          <w:tcPr>
            <w:tcW w:w="3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1,221</w:t>
            </w:r>
          </w:p>
        </w:tc>
      </w:tr>
      <w:tr>
        <w:trPr>
          <w:trHeight w:val="230"/>
        </w:trPr>
        <w:tc>
          <w:tcPr>
            <w:tcW w:w="4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2023</w:t>
            </w:r>
          </w:p>
        </w:tc>
        <w:tc>
          <w:tcPr>
            <w:tcW w:w="3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848</w:t>
            </w:r>
          </w:p>
        </w:tc>
      </w:tr>
      <w:tr>
        <w:trPr>
          <w:trHeight w:val="230"/>
        </w:trPr>
        <w:tc>
          <w:tcPr>
            <w:tcW w:w="486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Thereafter</w:t>
            </w:r>
          </w:p>
        </w:tc>
        <w:tc>
          <w:tcPr>
            <w:tcW w:w="39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16,170</w:t>
            </w:r>
          </w:p>
        </w:tc>
      </w:tr>
      <w:tr>
        <w:trPr>
          <w:trHeight w:val="223"/>
        </w:trPr>
        <w:tc>
          <w:tcPr>
            <w:tcW w:w="48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w:t>
            </w:r>
          </w:p>
        </w:tc>
        <w:tc>
          <w:tcPr>
            <w:tcW w:w="39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9"/>
                <w:szCs w:val="19"/>
                <w:color w:val="auto"/>
                <w:w w:val="75"/>
              </w:rPr>
              <w:t>$</w:t>
            </w:r>
          </w:p>
        </w:tc>
        <w:tc>
          <w:tcPr>
            <w:tcW w:w="15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23,585</w:t>
            </w:r>
          </w:p>
        </w:tc>
      </w:tr>
      <w:tr>
        <w:trPr>
          <w:trHeight w:val="20"/>
        </w:trPr>
        <w:tc>
          <w:tcPr>
            <w:tcW w:w="4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18 – </w:t>
      </w:r>
      <w:r>
        <w:rPr>
          <w:rFonts w:ascii="Arial" w:cs="Arial" w:eastAsia="Arial" w:hAnsi="Arial"/>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to be adopted upon the effective date:</w:t>
      </w:r>
    </w:p>
    <w:p>
      <w:pPr>
        <w:spacing w:after="0" w:line="206" w:lineRule="exact"/>
        <w:rPr>
          <w:sz w:val="20"/>
          <w:szCs w:val="20"/>
          <w:color w:val="auto"/>
        </w:rPr>
      </w:pPr>
    </w:p>
    <w:p>
      <w:pPr>
        <w:ind w:right="400"/>
        <w:spacing w:after="0" w:line="264" w:lineRule="auto"/>
        <w:rPr>
          <w:sz w:val="20"/>
          <w:szCs w:val="20"/>
          <w:color w:val="auto"/>
        </w:rPr>
      </w:pPr>
      <w:r>
        <w:rPr>
          <w:rFonts w:ascii="Arial" w:cs="Arial" w:eastAsia="Arial" w:hAnsi="Arial"/>
          <w:sz w:val="19"/>
          <w:szCs w:val="19"/>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The Company is evaluating the requirements of the updated guidance to determine the impact of adoption.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August 2018, the FASB issued updated accounting guidance, which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is evaluating the requirements of the updated guidance to determine the impact of adoption.</w:t>
      </w:r>
    </w:p>
    <w:p>
      <w:pPr>
        <w:spacing w:after="0" w:line="162"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In August 2018, the FASB issued updated accounting guidance, which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The Company is evaluating the requirements of the updated guidance to determine the impact of adoption.</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The Company is evaluating the requirements of the updated guidance to determine the impact of adoption.</w:t>
      </w:r>
    </w:p>
    <w:p>
      <w:pPr>
        <w:sectPr>
          <w:pgSz w:w="11900" w:h="16852" w:orient="portrait"/>
          <w:cols w:equalWidth="0" w:num="1">
            <w:col w:w="11420"/>
          </w:cols>
          <w:pgMar w:left="240" w:top="737" w:right="239" w:bottom="0" w:gutter="0" w:footer="0" w:header="0"/>
        </w:sectPr>
      </w:pPr>
    </w:p>
    <w:bookmarkStart w:id="23" w:name="page24"/>
    <w:bookmarkEnd w:id="23"/>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adopted during the year:</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On January 1, 2019, the Company adopted the updated guidance as required using the modified retrospective approach, which provides a method for recording existing leases at adoption and in comparative periods that approximates the results of a full retrospective approach. Further, we elected the package of practical expedients permitted under the transition guidance within the updated guidance, which among other things, allowed the Company to carry forward its historical lease classification. The Company also elected the practical expedient related to land easements, allowing the Company to carry forward its accounting treatment for land easements on existing agreements. Adoption of the new guidance resulted in the recording, on the Company’s consolidated balance sheet, of a right-of-use asset and lease liability of $14,028 as of January 1, 2019, and there was no cumulative impact adjustment to retained earnings for prior periods accounted for under the previous lease guidance.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MANAGEMENT’S DISCUSSION AND ANALYSIS OF</w:t>
      </w:r>
    </w:p>
    <w:p>
      <w:pPr>
        <w:jc w:val="center"/>
        <w:ind w:right="40"/>
        <w:spacing w:after="0" w:line="217" w:lineRule="auto"/>
        <w:rPr>
          <w:sz w:val="20"/>
          <w:szCs w:val="20"/>
          <w:color w:val="auto"/>
        </w:rPr>
      </w:pPr>
      <w:r>
        <w:rPr>
          <w:rFonts w:ascii="Arial" w:cs="Arial" w:eastAsia="Arial" w:hAnsi="Arial"/>
          <w:sz w:val="22"/>
          <w:szCs w:val="22"/>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06" w:lineRule="exact"/>
        <w:rPr>
          <w:sz w:val="20"/>
          <w:szCs w:val="20"/>
          <w:color w:val="auto"/>
        </w:rPr>
      </w:pPr>
    </w:p>
    <w:p>
      <w:pPr>
        <w:ind w:left="448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2018 under the captions “Risk Factors” and “Management’s Discussion and Analysis of Financial Condition and Results of Operations” and elsewhere in such report and those included under the captions “Risk Factors” in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General Information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and wastewater service through operating and maintenance contracts with municipal authorities and other parties close to our utility companies’ service territories and offers, through a third-party, water and sewer service line protection solutions and repair services to households.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ectPr>
          <w:pgSz w:w="11900" w:h="16845" w:orient="portrait"/>
          <w:cols w:equalWidth="0" w:num="1">
            <w:col w:w="11400"/>
          </w:cols>
          <w:pgMar w:left="240" w:top="348" w:right="259" w:bottom="0" w:gutter="0" w:footer="0" w:header="0"/>
        </w:sectPr>
      </w:pPr>
    </w:p>
    <w:bookmarkStart w:id="24" w:name="page25"/>
    <w:bookmarkEnd w:id="24"/>
    <w:p>
      <w:pPr>
        <w:spacing w:after="0" w:line="108" w:lineRule="exact"/>
        <w:rPr>
          <w:sz w:val="20"/>
          <w:szCs w:val="20"/>
          <w:color w:val="auto"/>
        </w:rPr>
      </w:pPr>
    </w:p>
    <w:p>
      <w:pPr>
        <w:jc w:val="center"/>
        <w:spacing w:after="0" w:line="232" w:lineRule="auto"/>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00" w:lineRule="exact"/>
        <w:rPr>
          <w:sz w:val="20"/>
          <w:szCs w:val="20"/>
          <w:color w:val="auto"/>
        </w:rPr>
      </w:pPr>
    </w:p>
    <w:p>
      <w:pPr>
        <w:spacing w:after="0" w:line="214"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has extended our regulated operations from southeastern Pennsylvania to include operations in seven other states.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 On October 22, 2018, the Company entered into an agreement to acquire from LDC Funding LLC, the parent company of PNG Companies, a natural gas distribution company consisting of Peoples Natural Gas Company LLC, Peoples Gas Company LLC, and Delta Natural Gas Company Inc. (“Peoples”), which upon closing, will expand the Company’s regulated utility business to include natural gas distribution.</w:t>
      </w:r>
    </w:p>
    <w:p>
      <w:pPr>
        <w:spacing w:after="0" w:line="187" w:lineRule="exact"/>
        <w:rPr>
          <w:sz w:val="20"/>
          <w:szCs w:val="20"/>
          <w:color w:val="auto"/>
        </w:rPr>
      </w:pPr>
    </w:p>
    <w:p>
      <w:pPr>
        <w:ind w:right="76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During the first six months of 2019, we incurred $269,171 of capital expenditures, expended $519 for the acquisition of water and wastewater utility systems, issued $1,268,545 of common stock, $674,170 of tangible equity units, $1,136,000 of long-term debt, and repaid debt and made sinking fund contributions and other loan repayments, including the extinguishment of long-term debt, of $850,879. The capital expenditures were related to new and replacement water mains, improvements to treatment plants, tanks, hydrants, and service lines, well and booster improvements, and other enhancements and improvements. The issuance of common stock, tangible equity units, and long-term debt was comprised principally of the permanent financing for our pending acquisition of Peoples and funds borrowed under our revolving credit facility.</w:t>
      </w:r>
    </w:p>
    <w:p>
      <w:pPr>
        <w:spacing w:after="0" w:line="167" w:lineRule="exact"/>
        <w:rPr>
          <w:sz w:val="20"/>
          <w:szCs w:val="20"/>
          <w:color w:val="auto"/>
        </w:rPr>
      </w:pPr>
    </w:p>
    <w:p>
      <w:pPr>
        <w:ind w:right="300"/>
        <w:spacing w:after="0" w:line="254" w:lineRule="auto"/>
        <w:rPr>
          <w:sz w:val="20"/>
          <w:szCs w:val="20"/>
          <w:color w:val="auto"/>
        </w:rPr>
      </w:pPr>
      <w:r>
        <w:rPr>
          <w:rFonts w:ascii="Arial" w:cs="Arial" w:eastAsia="Arial" w:hAnsi="Arial"/>
          <w:sz w:val="19"/>
          <w:szCs w:val="19"/>
          <w:color w:val="auto"/>
        </w:rPr>
        <w:t>Pursuant to the Company’s growth strategy, on October 22, 2018, the Company entered into a purchase agreement (the “Acquisition Agreement”) with LDC Parent LLC (“Seller”), to acquire its interests in LDC Funding LLC (“LDC”). LDC is the parent of LDC Holdings LLC (“LDC Holdings”), and LDC Holdings is the parent of five natural gas utility companies, which includes Peoples Natural Gas Company, Peoples Gas Company, and Delta Natural Gas Company as well as other operating subsidiaries. This acquisition is referred to as the “Peoples Gas Acquisition,” and collectively these businesses are referred to as “Peoples.” Peoples is headquartered in Pittsburgh, Pennsylvania, and serves approximately 740,000 gas utility customers in western Pennsylvania, West Virginia, and Kentucky. At the closing of the Peoples Gas Acquisition, the Company will pay $4,275,000 in cash subject to adjustments for working capital, certain capital expenditures, transaction expenses and closing</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300"/>
        <w:spacing w:after="0" w:line="232" w:lineRule="auto"/>
        <w:rPr>
          <w:sz w:val="20"/>
          <w:szCs w:val="20"/>
          <w:color w:val="auto"/>
        </w:rPr>
      </w:pPr>
      <w:r>
        <w:rPr>
          <w:rFonts w:ascii="Arial" w:cs="Arial" w:eastAsia="Arial" w:hAnsi="Arial"/>
          <w:sz w:val="22"/>
          <w:szCs w:val="22"/>
          <w:color w:val="auto"/>
        </w:rPr>
        <w:t>indebtedness as set forth in the Acquisition Agreement. The Company expects to assume approximately $1,370,000 of Peoples’ indebtedness upon closing of the Peoples Gas Acquisition, which would reduce the cash purchase price by approximately $1,370,000.</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29, 2019, the Company entered into a Stock Purchase Agreement to issue shares of common stock in a private placement to fund a portion of the Peoples Gas Acquisition. We expect the private placement to close concurrently with the consummation of the Peoples Gas Acquisition. The gross proceeds of the Stock Purchase Agreement are expected to amount to approximately $750,000. Further, on April 18, 2019, the Company issued $1,293,750 of its common stock and $690,000 of its tangible equity units, with a stated amount of $50 per unit, and on April 26, 2019, the Company issued $900,000 of senior notes. As of June 30, 2019, the Company has terminated $4,350,000 of commitments under the Bridge Commitment. The remaining balance available under the Bridge Commitment is $750,000. Refer to Note 6 – </w:t>
      </w:r>
      <w:r>
        <w:rPr>
          <w:rFonts w:ascii="Arial" w:cs="Arial" w:eastAsia="Arial" w:hAnsi="Arial"/>
          <w:sz w:val="19"/>
          <w:szCs w:val="19"/>
          <w:i w:val="1"/>
          <w:iCs w:val="1"/>
          <w:color w:val="auto"/>
        </w:rPr>
        <w:t>Capitalization</w:t>
      </w:r>
      <w:r>
        <w:rPr>
          <w:rFonts w:ascii="Arial" w:cs="Arial" w:eastAsia="Arial" w:hAnsi="Arial"/>
          <w:sz w:val="19"/>
          <w:szCs w:val="19"/>
          <w:color w:val="auto"/>
        </w:rPr>
        <w:t xml:space="preserve"> to the consolidated financial statements for further information on these financings.</w:t>
      </w:r>
    </w:p>
    <w:p>
      <w:pPr>
        <w:spacing w:after="0" w:line="168" w:lineRule="exact"/>
        <w:rPr>
          <w:sz w:val="20"/>
          <w:szCs w:val="20"/>
          <w:color w:val="auto"/>
        </w:rPr>
      </w:pPr>
    </w:p>
    <w:p>
      <w:pPr>
        <w:ind w:right="300"/>
        <w:spacing w:after="0" w:line="313" w:lineRule="auto"/>
        <w:rPr>
          <w:sz w:val="20"/>
          <w:szCs w:val="20"/>
          <w:color w:val="auto"/>
        </w:rPr>
      </w:pPr>
      <w:r>
        <w:rPr>
          <w:rFonts w:ascii="Arial" w:cs="Arial" w:eastAsia="Arial" w:hAnsi="Arial"/>
          <w:sz w:val="19"/>
          <w:szCs w:val="19"/>
          <w:color w:val="auto"/>
        </w:rPr>
        <w:t>On May 18, 2019, the Company redeemed $313,500 of the Company’s outstanding notes that had maturities ranging from 2019-2037 and interest rates ranging from 3.57-5.83%. Additionally, the redemption of senior unsecured notes was subject to a make</w:t>
      </w:r>
    </w:p>
    <w:p>
      <w:pPr>
        <w:sectPr>
          <w:pgSz w:w="11900" w:h="16946" w:orient="portrait"/>
          <w:cols w:equalWidth="0" w:num="1">
            <w:col w:w="11420"/>
          </w:cols>
          <w:pgMar w:left="240" w:top="348" w:right="239" w:bottom="0" w:gutter="0" w:footer="0" w:header="0"/>
        </w:sectPr>
      </w:pPr>
    </w:p>
    <w:bookmarkStart w:id="25" w:name="page26"/>
    <w:bookmarkEnd w:id="25"/>
    <w:p>
      <w:pPr>
        <w:spacing w:after="0" w:line="7" w:lineRule="exact"/>
        <w:rPr>
          <w:sz w:val="20"/>
          <w:szCs w:val="20"/>
          <w:color w:val="auto"/>
        </w:rPr>
      </w:pPr>
    </w:p>
    <w:p>
      <w:pPr>
        <w:ind w:right="140"/>
        <w:spacing w:after="0" w:line="244" w:lineRule="auto"/>
        <w:rPr>
          <w:sz w:val="20"/>
          <w:szCs w:val="20"/>
          <w:color w:val="auto"/>
        </w:rPr>
      </w:pPr>
      <w:r>
        <w:rPr>
          <w:rFonts w:ascii="Arial" w:cs="Arial" w:eastAsia="Arial" w:hAnsi="Arial"/>
          <w:sz w:val="21"/>
          <w:szCs w:val="21"/>
          <w:color w:val="auto"/>
        </w:rPr>
        <w:t>whole payment of $25,237. During the second quarter of 2019, $18,935 of this payment was expensed and is presented in the consolidated statements of operations on the line item “loss on debt extinguishment.” The balance of the payment, or $6,302, was deferred as it represents an amount by which the Company expects to receive prospective rate recovery.</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$900,000 of long-term debt to be used to finance a portion of the purchase price of this acquisition and redeem $313,500 of the Company’s existing debt. Refer to Note 7 – </w:t>
      </w:r>
      <w:r>
        <w:rPr>
          <w:rFonts w:ascii="Arial" w:cs="Arial" w:eastAsia="Arial" w:hAnsi="Arial"/>
          <w:sz w:val="19"/>
          <w:szCs w:val="19"/>
          <w:i w:val="1"/>
          <w:iCs w:val="1"/>
          <w:color w:val="auto"/>
        </w:rPr>
        <w:t>Interest Rate Swap Agreements</w:t>
      </w:r>
      <w:r>
        <w:rPr>
          <w:rFonts w:ascii="Arial" w:cs="Arial" w:eastAsia="Arial" w:hAnsi="Arial"/>
          <w:sz w:val="19"/>
          <w:szCs w:val="19"/>
          <w:color w:val="auto"/>
        </w:rPr>
        <w:t xml:space="preserve"> to the consolidated financial statements in this report for further information. The interest rate swaps did not qualify for hedge accounting and any changes in the fair value of the swaps was included in our earnings.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Peoples Gas Acquisition is subject to certain other adjustments at closing and is subject to regulatory approval by the Pennsylvania Public Utility Commission, and other customary closing conditions set forth in the Acquisition Agreement. Approval from the United States Federal Trade Commission was obtained in December 2018, and approvals from the public utility commissions of Kentucky and West Virginia were obtained in March 2019 and April 2019, respectively. On June 11, 2019, we filed a settlement agreement with the Pennsylvania Public Utility Commission, and all but two of the intervenors to the case have entered into or chosen not to oppose the settlement agreement. The Peoples Gas Acquisition is expected to close in the fall of 2019, once all regulatory approvals are obtained and closing conditions are met, and it is anticipated that this acquisition will result in the recording of goodwill. In the event that the Acquisition Agreement is terminated due to certain breaches by the Company, a fee of $120,000 would be payable to the Seller as a reverse termination fee.</w:t>
      </w:r>
    </w:p>
    <w:p>
      <w:pPr>
        <w:spacing w:after="0" w:line="174" w:lineRule="exact"/>
        <w:rPr>
          <w:sz w:val="20"/>
          <w:szCs w:val="20"/>
          <w:color w:val="auto"/>
        </w:rPr>
      </w:pPr>
    </w:p>
    <w:p>
      <w:pPr>
        <w:ind w:right="120"/>
        <w:spacing w:after="0" w:line="224" w:lineRule="auto"/>
        <w:rPr>
          <w:sz w:val="20"/>
          <w:szCs w:val="20"/>
          <w:color w:val="auto"/>
        </w:rPr>
      </w:pPr>
      <w:r>
        <w:rPr>
          <w:rFonts w:ascii="Arial" w:cs="Arial" w:eastAsia="Arial" w:hAnsi="Arial"/>
          <w:sz w:val="22"/>
          <w:szCs w:val="22"/>
          <w:color w:val="auto"/>
        </w:rPr>
        <w:t>At June 30, 2019, we had $1,974,076 of cash and cash equivalents compared to $3,627 at December 31, 2018. The cash and cash equivalents balance at June 30, 2019 includes $1,968,123 of proceeds from the April 2019 financings that are being held in an interest-bearing account to fund the Peoples acquisition, which is expected to close in the fall of 2019. During the first six months of 2019, we used the proceeds from the issuance of common stock, tangible equity units, long-term debt, and internally generated funds to fund the cash requirements discussed above, deposit financing proceeds into an interest-bearing account, and to pay dividends.</w:t>
      </w:r>
    </w:p>
    <w:p>
      <w:pPr>
        <w:spacing w:after="0" w:line="191"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At June 30, 2019, our $550,000 unsecured revolving credit facility, which expires in December 2023, had $531,302 available for borrowing. At June 30, 2019, we had short-term lines of credit of $135,500, of which $129,424 was available for borrowing. One of our short-term lines of credit is an Aqua Pennsylvania $100,000 364-day unsecured revolving credit facility with four banks, which is used to provide working capital, and as of June 30, 2019, $93,924 was available for borrowing.</w:t>
      </w:r>
    </w:p>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Our short-term lines of credit of $135,500 are subject to renewal on an annual basis. Although we believe we will be able to renew these facilities, there is no assurance that they will be renewed, or what the terms of any such renewal will be.</w:t>
      </w:r>
    </w:p>
    <w:p>
      <w:pPr>
        <w:spacing w:after="0" w:line="164"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auto"/>
        </w:rPr>
        <w:t>As a result of the proceeds raised from the April 2019 financings that are being held for funding the Peoples acquisition, which is expected to close in the fall of 2019, the Company has a positive working capital position as of June 30, 2019. However, historically, the Company’s consolidated balance sheet has had a negative working capital position whereby our current liabilities routinely exceed our current assets. Management believes that internally generated funds along with existing credit facilities and the proceeds from the issuance of long-term debt, common equity, and tangible equity units will be adequate to provide sufficient working capital to maintain normal operations and to meet our financing requirements for at least the next twelve months.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Results of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Analysis of Second Quarter of 2019 Compared to Second Quarter of 2018</w:t>
      </w:r>
    </w:p>
    <w:p>
      <w:pPr>
        <w:sectPr>
          <w:pgSz w:w="11900" w:h="16845" w:orient="portrait"/>
          <w:cols w:equalWidth="0" w:num="1">
            <w:col w:w="11400"/>
          </w:cols>
          <w:pgMar w:left="240" w:top="118" w:right="259" w:bottom="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Revenues increased by $7,032 or 3.3%,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water and wastewater rates and infrastructure rehabilitation surcharges of $4,731; and</w:t>
      </w:r>
    </w:p>
    <w:p>
      <w:pPr>
        <w:ind w:left="660"/>
        <w:spacing w:after="0" w:line="217" w:lineRule="auto"/>
        <w:rPr>
          <w:sz w:val="20"/>
          <w:szCs w:val="20"/>
          <w:color w:val="auto"/>
        </w:rPr>
      </w:pPr>
      <w:r>
        <w:rPr>
          <w:rFonts w:ascii="Arial" w:cs="Arial" w:eastAsia="Arial" w:hAnsi="Arial"/>
          <w:sz w:val="22"/>
          <w:szCs w:val="22"/>
          <w:color w:val="auto"/>
        </w:rPr>
        <w:t>additional water and wastewater revenues of $4,039 associated with a larger customer base due to organic growth and utility acquisitions, and other growth ventures;</w:t>
      </w:r>
    </w:p>
    <w:p>
      <w:pPr>
        <w:spacing w:after="0" w:line="2" w:lineRule="exact"/>
        <w:rPr>
          <w:sz w:val="20"/>
          <w:szCs w:val="20"/>
          <w:color w:val="auto"/>
        </w:rPr>
      </w:pPr>
    </w:p>
    <w:p>
      <w:pPr>
        <w:ind w:left="660" w:right="140"/>
        <w:spacing w:after="0" w:line="293" w:lineRule="auto"/>
        <w:rPr>
          <w:sz w:val="20"/>
          <w:szCs w:val="20"/>
          <w:color w:val="auto"/>
        </w:rPr>
      </w:pPr>
      <w:r>
        <w:rPr>
          <w:rFonts w:ascii="Arial" w:cs="Arial" w:eastAsia="Arial" w:hAnsi="Arial"/>
          <w:sz w:val="19"/>
          <w:szCs w:val="19"/>
          <w:color w:val="auto"/>
        </w:rPr>
        <w:t>offset by a decrease in water and wastewater revenues of $764 as a result of a do not consume advisory for some of our customers served by our Illinois subsidiary. We expect this decrease in revenues to continue into the third quarter of 2019.</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$12,930 or 17.6%, primarily due to:</w:t>
      </w:r>
    </w:p>
    <w:p>
      <w:pPr>
        <w:spacing w:after="0" w:line="206" w:lineRule="exact"/>
        <w:rPr>
          <w:sz w:val="20"/>
          <w:szCs w:val="20"/>
          <w:color w:val="auto"/>
        </w:rPr>
      </w:pPr>
    </w:p>
    <w:p>
      <w:pPr>
        <w:ind w:left="660" w:right="160"/>
        <w:spacing w:after="0" w:line="223" w:lineRule="auto"/>
        <w:rPr>
          <w:sz w:val="20"/>
          <w:szCs w:val="20"/>
          <w:color w:val="auto"/>
        </w:rPr>
      </w:pPr>
      <w:r>
        <w:rPr>
          <w:rFonts w:ascii="Arial" w:cs="Arial" w:eastAsia="Arial" w:hAnsi="Arial"/>
          <w:sz w:val="22"/>
          <w:szCs w:val="22"/>
          <w:color w:val="auto"/>
        </w:rPr>
        <w:t>transaction expenses of $12,744 for our planned Peoples Gas Acquisition, primarily representing expenses associated with obtaining regulatory approvals, investment banking fees, including bridge financing, legal expenses, and integration planning;</w:t>
      </w:r>
    </w:p>
    <w:p>
      <w:pPr>
        <w:ind w:left="660"/>
        <w:spacing w:after="0" w:line="219" w:lineRule="auto"/>
        <w:rPr>
          <w:sz w:val="20"/>
          <w:szCs w:val="20"/>
          <w:color w:val="auto"/>
        </w:rPr>
      </w:pPr>
      <w:r>
        <w:rPr>
          <w:rFonts w:ascii="Arial" w:cs="Arial" w:eastAsia="Arial" w:hAnsi="Arial"/>
          <w:sz w:val="22"/>
          <w:szCs w:val="22"/>
          <w:color w:val="auto"/>
        </w:rPr>
        <w:t>additional operating costs associated with acquired utility systems of $1,131; and</w:t>
      </w:r>
    </w:p>
    <w:p>
      <w:pPr>
        <w:jc w:val="both"/>
        <w:ind w:left="660" w:right="180"/>
        <w:spacing w:after="0" w:line="217" w:lineRule="auto"/>
        <w:rPr>
          <w:sz w:val="20"/>
          <w:szCs w:val="20"/>
          <w:color w:val="auto"/>
        </w:rPr>
      </w:pPr>
      <w:r>
        <w:rPr>
          <w:rFonts w:ascii="Arial" w:cs="Arial" w:eastAsia="Arial" w:hAnsi="Arial"/>
          <w:sz w:val="22"/>
          <w:szCs w:val="22"/>
          <w:color w:val="auto"/>
        </w:rPr>
        <w:t>expenses of $972 associated with remediating a do not consume advisory for some of our customers served by our Illinois subsidiary. We expect that the expenses associated with remediating the do not consumer advisory to continue in the third quarter of 2019;</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offset by a decrease in insurance expenses of $728 due to lower claims.</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color w:val="auto"/>
        </w:rPr>
        <w:t>Depreciation expense increased by $2,937 or 8.0%, primarily due to the utility plant placed in service since June 30, 2018.</w:t>
      </w:r>
    </w:p>
    <w:p>
      <w:pPr>
        <w:spacing w:after="0" w:line="218"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Amortization expense decreased by $3,069 primarily due to the favorable effects of a one-time adjustment recorded in the second quarter of 2019 resulting from a rate order received for our Pennsylvania subsidiary.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decreased by $414 or 1.7%, primarily due to the following items: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income of $7,408 earned on the proceeds from our April 2019 equity offerings; and</w:t>
      </w:r>
    </w:p>
    <w:p>
      <w:pPr>
        <w:ind w:left="660"/>
        <w:spacing w:after="0" w:line="217" w:lineRule="auto"/>
        <w:rPr>
          <w:sz w:val="20"/>
          <w:szCs w:val="20"/>
          <w:color w:val="auto"/>
        </w:rPr>
      </w:pPr>
      <w:r>
        <w:rPr>
          <w:rFonts w:ascii="Arial" w:cs="Arial" w:eastAsia="Arial" w:hAnsi="Arial"/>
          <w:sz w:val="22"/>
          <w:szCs w:val="22"/>
          <w:color w:val="auto"/>
        </w:rPr>
        <w:t>a decrease in our effective interest rate;</w:t>
      </w:r>
    </w:p>
    <w:p>
      <w:pPr>
        <w:ind w:left="660"/>
        <w:spacing w:after="0" w:line="218" w:lineRule="auto"/>
        <w:rPr>
          <w:sz w:val="20"/>
          <w:szCs w:val="20"/>
          <w:color w:val="auto"/>
        </w:rPr>
      </w:pPr>
      <w:r>
        <w:rPr>
          <w:rFonts w:ascii="Arial" w:cs="Arial" w:eastAsia="Arial" w:hAnsi="Arial"/>
          <w:sz w:val="22"/>
          <w:szCs w:val="22"/>
          <w:color w:val="auto"/>
        </w:rPr>
        <w:t>offset by an increase in average borrowings;</w:t>
      </w:r>
    </w:p>
    <w:p>
      <w:pPr>
        <w:spacing w:after="0" w:line="1" w:lineRule="exact"/>
        <w:rPr>
          <w:sz w:val="20"/>
          <w:szCs w:val="20"/>
          <w:color w:val="auto"/>
        </w:rPr>
      </w:pPr>
    </w:p>
    <w:p>
      <w:pPr>
        <w:ind w:left="660" w:right="300"/>
        <w:spacing w:after="0" w:line="217" w:lineRule="auto"/>
        <w:rPr>
          <w:sz w:val="20"/>
          <w:szCs w:val="20"/>
          <w:color w:val="auto"/>
        </w:rPr>
      </w:pPr>
      <w:r>
        <w:rPr>
          <w:rFonts w:ascii="Arial" w:cs="Arial" w:eastAsia="Arial" w:hAnsi="Arial"/>
          <w:sz w:val="22"/>
          <w:szCs w:val="22"/>
          <w:color w:val="auto"/>
        </w:rPr>
        <w:t>pre-acquisition interest expense, net of $1,318 from the issuance of $900,000 long-term debt and $119,081 of amortizing notes in April 2019 partially for the planned Peoples Gas Acquisition; and</w:t>
      </w:r>
    </w:p>
    <w:p>
      <w:pPr>
        <w:spacing w:after="0" w:line="2" w:lineRule="exact"/>
        <w:rPr>
          <w:sz w:val="20"/>
          <w:szCs w:val="20"/>
          <w:color w:val="auto"/>
        </w:rPr>
      </w:pPr>
    </w:p>
    <w:p>
      <w:pPr>
        <w:jc w:val="both"/>
        <w:ind w:left="660" w:right="180"/>
        <w:spacing w:after="0" w:line="226" w:lineRule="auto"/>
        <w:rPr>
          <w:sz w:val="20"/>
          <w:szCs w:val="20"/>
          <w:color w:val="auto"/>
        </w:rPr>
      </w:pPr>
      <w:r>
        <w:rPr>
          <w:rFonts w:ascii="Arial" w:cs="Arial" w:eastAsia="Arial" w:hAnsi="Arial"/>
          <w:sz w:val="22"/>
          <w:szCs w:val="22"/>
          <w:color w:val="auto"/>
        </w:rPr>
        <w:t>overlapping interest expense of $452 incurred in the second quarter of 2019 associated with $313,500 of existing debt that was subsequently refinanced in May 2019 after receipt of the proceeds from the April 2019 issuance of $900,000 of long-term debt.</w:t>
      </w:r>
    </w:p>
    <w:p>
      <w:pPr>
        <w:spacing w:after="0" w:line="294"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Allowance for funds used during construction (“AFUDC”) increased by $1,034, due to an increase in the average balance of utility plant construction work in progress, to which AFUDC is applied, and an increase in the AFUDC rate as a result of an increase in the amount of AFUDC related to equity.</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The change in fair value of interest rate swap agreements of $11,040 represents income recognized on the mark-to-market adjustment of our interest rate swap agreements that were entered into on October 23, 2018 to mitigate interest rate risk associated with an anticipated $850,000 of future debt issuances to fund a portion of the Peoples Gas Acquisition. The interest rate swap agreements did not qualify for hedge accounting, and any changes in the fair value of the swaps were included in earnings. On April 24, 2019, the Company settled the interest rate swap agreements upon issuance of $900,000 of long-term debt to be used to finance a portion of the purchase price of the Peoples Gas Acquisition and redeem $313,500 of the Company’s existing debt.</w:t>
      </w:r>
    </w:p>
    <w:p>
      <w:pPr>
        <w:spacing w:after="0" w:line="165"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The loss on debt extinguishment of $18,935 results from the extinguishment of $313,500 of existing debt that was refinanced in May 2019.</w:t>
      </w:r>
    </w:p>
    <w:p>
      <w:pPr>
        <w:spacing w:after="0" w:line="185" w:lineRule="exact"/>
        <w:rPr>
          <w:sz w:val="20"/>
          <w:szCs w:val="20"/>
          <w:color w:val="auto"/>
        </w:rPr>
      </w:pPr>
    </w:p>
    <w:p>
      <w:pPr>
        <w:ind w:right="380"/>
        <w:spacing w:after="0" w:line="239" w:lineRule="auto"/>
        <w:rPr>
          <w:sz w:val="20"/>
          <w:szCs w:val="20"/>
          <w:color w:val="auto"/>
        </w:rPr>
      </w:pPr>
      <w:r>
        <w:rPr>
          <w:rFonts w:ascii="Arial" w:cs="Arial" w:eastAsia="Arial" w:hAnsi="Arial"/>
          <w:sz w:val="22"/>
          <w:szCs w:val="22"/>
          <w:color w:val="auto"/>
        </w:rPr>
        <w:t>Equity earnings in joint venture increased by $329 due to an increase in the sale of raw water to firms in the natural gas drilling industry.</w:t>
      </w:r>
    </w:p>
    <w:p>
      <w:pPr>
        <w:spacing w:after="0" w:line="185" w:lineRule="exact"/>
        <w:rPr>
          <w:sz w:val="20"/>
          <w:szCs w:val="20"/>
          <w:color w:val="auto"/>
        </w:rPr>
      </w:pPr>
    </w:p>
    <w:p>
      <w:pPr>
        <w:ind w:right="560"/>
        <w:spacing w:after="0" w:line="239" w:lineRule="auto"/>
        <w:rPr>
          <w:sz w:val="20"/>
          <w:szCs w:val="20"/>
          <w:color w:val="auto"/>
        </w:rPr>
      </w:pPr>
      <w:r>
        <w:rPr>
          <w:rFonts w:ascii="Arial" w:cs="Arial" w:eastAsia="Arial" w:hAnsi="Arial"/>
          <w:sz w:val="22"/>
          <w:szCs w:val="22"/>
          <w:color w:val="auto"/>
        </w:rPr>
        <w:t>Other increased by $1,475 primarily due to an increase in the non-service cost components of our net benefit cost for pension benefits.</w:t>
      </w:r>
    </w:p>
    <w:p>
      <w:pPr>
        <w:sectPr>
          <w:pgSz w:w="11900" w:h="16838" w:orient="portrait"/>
          <w:cols w:equalWidth="0" w:num="1">
            <w:col w:w="11400"/>
          </w:cols>
          <w:pgMar w:left="240" w:top="348" w:right="259" w:bottom="188" w:gutter="0" w:footer="0" w:header="0"/>
        </w:sectPr>
      </w:pPr>
    </w:p>
    <w:bookmarkStart w:id="27" w:name="page28"/>
    <w:bookmarkEnd w:id="27"/>
    <w:p>
      <w:pPr>
        <w:spacing w:after="0"/>
        <w:rPr>
          <w:sz w:val="20"/>
          <w:szCs w:val="20"/>
          <w:color w:val="auto"/>
        </w:rPr>
      </w:pPr>
      <w:r>
        <w:rPr>
          <w:rFonts w:ascii="Arial" w:cs="Arial" w:eastAsia="Arial" w:hAnsi="Arial"/>
          <w:sz w:val="19"/>
          <w:szCs w:val="19"/>
          <w:color w:val="auto"/>
        </w:rPr>
        <w:t>Our effective income tax rate was -4.1% in the second quarter of 2019 and -0.6% in the second quarter of 2018. The Company’s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provision for income taxes represents an income tax benefit due to the effects of the loss on debt extinguishment noted above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$18,935, tax deductions recognized for certain qualifying infrastructure improvements for Aqua Pennsylvania, and the amortization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of certain tax benefits associated with the Tax Cuts and Jobs Act. Our effective income tax rate decreased due to the decrease in</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our income before income taxes of $13,491, which results primarily from the loss on debt extinguishment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Net income decreased by $11,687 or 17.6%, primarily as a result of the factors described above.</w:t>
      </w:r>
    </w:p>
    <w:p>
      <w:pPr>
        <w:ind w:left="56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0"/>
        <w:spacing w:after="0"/>
        <w:rPr>
          <w:sz w:val="20"/>
          <w:szCs w:val="20"/>
          <w:color w:val="auto"/>
        </w:rPr>
      </w:pPr>
      <w:r>
        <w:rPr>
          <w:rFonts w:ascii="Arial" w:cs="Arial" w:eastAsia="Arial" w:hAnsi="Arial"/>
          <w:sz w:val="22"/>
          <w:szCs w:val="22"/>
          <w:u w:val="single" w:color="auto"/>
          <w:color w:val="auto"/>
        </w:rPr>
        <w:t>Analysis of First Six Months of 2019 Compared to First Six Months of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$13,817 or 3.4%,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water and wastewater rates and infrastructure rehabilitation surcharges of $9,470; and</w:t>
      </w:r>
    </w:p>
    <w:p>
      <w:pPr>
        <w:ind w:left="660"/>
        <w:spacing w:after="0" w:line="217" w:lineRule="auto"/>
        <w:rPr>
          <w:sz w:val="20"/>
          <w:szCs w:val="20"/>
          <w:color w:val="auto"/>
        </w:rPr>
      </w:pPr>
      <w:r>
        <w:rPr>
          <w:rFonts w:ascii="Arial" w:cs="Arial" w:eastAsia="Arial" w:hAnsi="Arial"/>
          <w:sz w:val="22"/>
          <w:szCs w:val="22"/>
          <w:color w:val="auto"/>
        </w:rPr>
        <w:t>additional water and wastewater revenues of $8,063 associated with a larger customer base due to organic growth and utility acquisitions, and other growth ventures;</w:t>
      </w:r>
    </w:p>
    <w:p>
      <w:pPr>
        <w:ind w:left="660"/>
        <w:spacing w:after="0" w:line="219" w:lineRule="auto"/>
        <w:rPr>
          <w:sz w:val="20"/>
          <w:szCs w:val="20"/>
          <w:color w:val="auto"/>
        </w:rPr>
      </w:pPr>
      <w:r>
        <w:rPr>
          <w:rFonts w:ascii="Arial" w:cs="Arial" w:eastAsia="Arial" w:hAnsi="Arial"/>
          <w:sz w:val="22"/>
          <w:szCs w:val="22"/>
          <w:color w:val="auto"/>
        </w:rPr>
        <w:t>offset by a decrease in customer water consumption;</w:t>
      </w:r>
    </w:p>
    <w:p>
      <w:pPr>
        <w:ind w:left="660" w:right="140"/>
        <w:spacing w:after="0" w:line="293" w:lineRule="auto"/>
        <w:rPr>
          <w:sz w:val="20"/>
          <w:szCs w:val="20"/>
          <w:color w:val="auto"/>
        </w:rPr>
      </w:pPr>
      <w:r>
        <w:rPr>
          <w:rFonts w:ascii="Arial" w:cs="Arial" w:eastAsia="Arial" w:hAnsi="Arial"/>
          <w:sz w:val="19"/>
          <w:szCs w:val="19"/>
          <w:color w:val="auto"/>
        </w:rPr>
        <w:t>and a decrease in water and wastewater revenues of $764 as a result of a do not consume advisory for some of our customers served by our Illinois subsidiary. We expect this decrease in revenues to continue into the third quarter of 2019.</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$18,298 or 12.4%, primarily due to:</w:t>
      </w:r>
    </w:p>
    <w:p>
      <w:pPr>
        <w:spacing w:after="0" w:line="206" w:lineRule="exact"/>
        <w:rPr>
          <w:sz w:val="20"/>
          <w:szCs w:val="20"/>
          <w:color w:val="auto"/>
        </w:rPr>
      </w:pPr>
    </w:p>
    <w:p>
      <w:pPr>
        <w:ind w:left="660" w:right="160"/>
        <w:spacing w:after="0" w:line="223" w:lineRule="auto"/>
        <w:rPr>
          <w:sz w:val="20"/>
          <w:szCs w:val="20"/>
          <w:color w:val="auto"/>
        </w:rPr>
      </w:pPr>
      <w:r>
        <w:rPr>
          <w:rFonts w:ascii="Arial" w:cs="Arial" w:eastAsia="Arial" w:hAnsi="Arial"/>
          <w:sz w:val="22"/>
          <w:szCs w:val="22"/>
          <w:color w:val="auto"/>
        </w:rPr>
        <w:t>transaction expenses of $19,390 for our planned Peoples Gas Acquisition, primarily representing expenses associated with obtaining regulatory approvals, investment banking fees, including bridge financing, legal expenses, and integration planning;</w:t>
      </w:r>
    </w:p>
    <w:p>
      <w:pPr>
        <w:ind w:left="660"/>
        <w:spacing w:after="0" w:line="219" w:lineRule="auto"/>
        <w:rPr>
          <w:sz w:val="20"/>
          <w:szCs w:val="20"/>
          <w:color w:val="auto"/>
        </w:rPr>
      </w:pPr>
      <w:r>
        <w:rPr>
          <w:rFonts w:ascii="Arial" w:cs="Arial" w:eastAsia="Arial" w:hAnsi="Arial"/>
          <w:sz w:val="22"/>
          <w:szCs w:val="22"/>
          <w:color w:val="auto"/>
        </w:rPr>
        <w:t>additional operating costs associated with acquired utility systems of $2,103; and</w:t>
      </w:r>
    </w:p>
    <w:p>
      <w:pPr>
        <w:jc w:val="both"/>
        <w:ind w:left="660" w:right="180"/>
        <w:spacing w:after="0" w:line="217" w:lineRule="auto"/>
        <w:rPr>
          <w:sz w:val="20"/>
          <w:szCs w:val="20"/>
          <w:color w:val="auto"/>
        </w:rPr>
      </w:pPr>
      <w:r>
        <w:rPr>
          <w:rFonts w:ascii="Arial" w:cs="Arial" w:eastAsia="Arial" w:hAnsi="Arial"/>
          <w:sz w:val="22"/>
          <w:szCs w:val="22"/>
          <w:color w:val="auto"/>
        </w:rPr>
        <w:t>expenses of $972 associated with remediating a do not consume advisory for some of our customers served by our Illinois subsidiary. We expect that the expenses associated with remediating the do not consumer advisory to continue in the third quarter of 2019;</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offset by a decrease in insurance expenses of $1,770 due to lower claims.</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color w:val="auto"/>
        </w:rPr>
        <w:t>Depreciation expense increased by $6,044 or 8.3%, primarily due to the utility plant placed in service since June 30, 2018.</w:t>
      </w:r>
    </w:p>
    <w:p>
      <w:pPr>
        <w:spacing w:after="0" w:line="218"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Amortization expense decreased by $2,863 primarily due to the favorable effects of a one-time adjustment recorded in the second quarter of 2019 resulting from a rate order received for our Pennsylvania subsidiary.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$3,965 or 8.4%, primarily due to the following items: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average borrowings;</w:t>
      </w:r>
    </w:p>
    <w:p>
      <w:pPr>
        <w:ind w:left="660"/>
        <w:spacing w:after="0"/>
        <w:rPr>
          <w:sz w:val="20"/>
          <w:szCs w:val="20"/>
          <w:color w:val="auto"/>
        </w:rPr>
      </w:pPr>
      <w:r>
        <w:rPr>
          <w:rFonts w:ascii="Arial" w:cs="Arial" w:eastAsia="Arial" w:hAnsi="Arial"/>
          <w:sz w:val="19"/>
          <w:szCs w:val="19"/>
          <w:color w:val="auto"/>
        </w:rPr>
        <w:t>pre-acquisition interest expense, net of $1,318 from the issuance of $900,000 long-term debt and $119,081 of amortizing</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notes in April 2019 partially for the planned Peoples Gas Acquisition; and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both"/>
        <w:ind w:left="660" w:right="180"/>
        <w:spacing w:after="0" w:line="223" w:lineRule="auto"/>
        <w:rPr>
          <w:sz w:val="20"/>
          <w:szCs w:val="20"/>
          <w:color w:val="auto"/>
        </w:rPr>
      </w:pPr>
      <w:r>
        <w:rPr>
          <w:rFonts w:ascii="Arial" w:cs="Arial" w:eastAsia="Arial" w:hAnsi="Arial"/>
          <w:sz w:val="22"/>
          <w:szCs w:val="22"/>
          <w:color w:val="auto"/>
        </w:rPr>
        <w:t>overlapping interest expense incurred in the second quarter of 2019 of $452 associated with $313,500 of existing debt that was subsequently refinanced in May 2019 after receipt of the proceeds from the April 2019 issuance of $900,000 of long-term debt;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offset by interest income of $7,408 earned on the proceeds from our April 2019 equity offerings;</w:t>
      </w:r>
    </w:p>
    <w:p>
      <w:pPr>
        <w:sectPr>
          <w:pgSz w:w="11900" w:h="16838" w:orient="portrait"/>
          <w:cols w:equalWidth="0" w:num="1">
            <w:col w:w="11400"/>
          </w:cols>
          <w:pgMar w:left="240" w:top="118" w:right="259" w:bottom="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and a decrease in our effective interest rate.</w:t>
      </w:r>
    </w:p>
    <w:p>
      <w:pPr>
        <w:spacing w:after="0" w:line="31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Allowance for funds used during construction (“AFUDC”) increased by $2,223, due to an increase in the average balance of utility plant construction work in progress, to which AFUDC is applied, and an increase in the AFUDC rate as a result of an increase in the amount of AFUDC related to equity.</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The change in fair value of interest rate swap agreements of $23,742 represents expense recognized on the mark-to-market adjustment of our interest rate swap agreements that were entered into on October 23, 2018 to mitigate interest rate risk associated with an anticipated $850,000 of future debt issuances to fund a portion of the Peoples Gas Acquisition. The interest rate swap agreements did not qualify for hedge accounting, and any changes in the fair value of the swaps were included in earnings. On April 24, 2019, the Company settled the interest rate swap agreements upon issuance of $900,000 of long-term debt to be used to finance a portion of the purchase price of the Peoples Gas Acquisition and redeem $313,500 of the Company’s existing debt.</w:t>
      </w:r>
    </w:p>
    <w:p>
      <w:pPr>
        <w:spacing w:after="0" w:line="165"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The loss on debt extinguishment of $18,935 results from the extinguishment of $313,500 of existing debt that was refinanced in May 2019.</w:t>
      </w:r>
    </w:p>
    <w:p>
      <w:pPr>
        <w:spacing w:after="0" w:line="185"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color w:val="auto"/>
        </w:rPr>
        <w:t>Equity earnings in joint venture increased by $490 due to an increase in the sale of raw water to firms in the natural gas drilling industry.</w:t>
      </w:r>
    </w:p>
    <w:p>
      <w:pPr>
        <w:spacing w:after="0" w:line="185"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Other increased by $1,744 primarily due to an increase in the non-service cost components of our net benefit cost for pension benefits.</w:t>
      </w:r>
    </w:p>
    <w:p>
      <w:pPr>
        <w:spacing w:after="0" w:line="185"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Our effective income tax rate was -16.8% during the first six months of 2019 and -2.2% during the first six months of 2018. The Company’s provision for income taxes represents an income tax benefit due to the effects of the change in the fair value of the interest rate swap agreement noted above of $23,742, the loss on debt extinguishment of $18,935 noted above, tax deductions recognized for certain qualifying infrastructure improvements for Aqua Pennsylvania, and the amortization of certain tax benefits associated with the Tax Cuts and Jobs Act. Our effective income tax rate decreased due to the decrease in our income before income taxes of $53,445, which results primarily from the change in fair value of interest rate swap agreements, transaction expenses for our planned acquisition of Peoples, and the loss on debt extinguishment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Net income decreased by $45,602 or 38.8%, primarily as a result of the factors described above.</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9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18,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We are subject to market risks in the normal course of business, including changes in interest rates and equity prices. There have been no significant changes in our exposure to market risks since December 31, 2018. Refer to Item 7A of the Company’s Annual Report on Form 10-K for the year ended December 31, 2018, filed February 26, 2019,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0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ind w:right="100"/>
        <w:spacing w:after="0" w:line="313"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w:t>
      </w:r>
    </w:p>
    <w:p>
      <w:pPr>
        <w:sectPr>
          <w:pgSz w:w="11900" w:h="16838" w:orient="portrait"/>
          <w:cols w:equalWidth="0" w:num="1">
            <w:col w:w="11340"/>
          </w:cols>
          <w:pgMar w:left="240" w:top="118" w:right="319" w:bottom="0" w:gutter="0" w:footer="0" w:header="0"/>
        </w:sectPr>
      </w:pPr>
    </w:p>
    <w:bookmarkStart w:id="29" w:name="page30"/>
    <w:bookmarkEnd w:id="29"/>
    <w:p>
      <w:pPr>
        <w:ind w:right="240"/>
        <w:spacing w:after="0" w:line="267" w:lineRule="auto"/>
        <w:rPr>
          <w:sz w:val="20"/>
          <w:szCs w:val="20"/>
          <w:color w:val="auto"/>
        </w:rPr>
      </w:pPr>
      <w:r>
        <w:rPr>
          <w:rFonts w:ascii="Arial" w:cs="Arial" w:eastAsia="Arial" w:hAnsi="Arial"/>
          <w:sz w:val="19"/>
          <w:szCs w:val="19"/>
          <w:color w:val="auto"/>
        </w:rPr>
        <w:t>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6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ind w:right="780"/>
        <w:spacing w:after="0" w:line="239" w:lineRule="auto"/>
        <w:rPr>
          <w:sz w:val="20"/>
          <w:szCs w:val="20"/>
          <w:color w:val="auto"/>
        </w:rPr>
      </w:pPr>
      <w:r>
        <w:rPr>
          <w:rFonts w:ascii="Arial" w:cs="Arial" w:eastAsia="Arial" w:hAnsi="Arial"/>
          <w:sz w:val="22"/>
          <w:szCs w:val="22"/>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jc w:val="both"/>
        <w:ind w:right="40"/>
        <w:spacing w:after="0" w:line="228"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2018, filed with the SEC on February 26, 2019, under “Part 1, Item 1A – Risk Factors.” For a discussion of specific risks related to the business of the pending Peoples Gas Acquisition, please see “Risk Factors related to Peoples” in our Current Report on Form 8-K/A filed with the SEC on April 15, 2019. In addition, we provide the following risk factors:</w:t>
      </w:r>
    </w:p>
    <w:p>
      <w:pPr>
        <w:spacing w:after="0" w:line="187"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b w:val="1"/>
          <w:bCs w:val="1"/>
          <w:i w:val="1"/>
          <w:iCs w:val="1"/>
          <w:color w:val="auto"/>
        </w:rPr>
        <w:t>Our water supply, including water provided to our customers, is subject to various contaminants which may result in disruption in our services, additional costs, fines, laws and/or regulations, and litigation which could harm our business, reputation,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Our water supplies, including water provided to our customers, are subject to possible contaminants, including those from: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naturally occurring compounds or man-made substances;</w:t>
      </w:r>
    </w:p>
    <w:p>
      <w:pPr>
        <w:ind w:left="660"/>
        <w:spacing w:after="0" w:line="217" w:lineRule="auto"/>
        <w:rPr>
          <w:sz w:val="20"/>
          <w:szCs w:val="20"/>
          <w:color w:val="auto"/>
        </w:rPr>
      </w:pPr>
      <w:r>
        <w:rPr>
          <w:rFonts w:ascii="Arial" w:cs="Arial" w:eastAsia="Arial" w:hAnsi="Arial"/>
          <w:sz w:val="22"/>
          <w:szCs w:val="22"/>
          <w:color w:val="auto"/>
        </w:rPr>
        <w:t>chemicals and other hazardous materials;</w:t>
      </w:r>
    </w:p>
    <w:p>
      <w:pPr>
        <w:ind w:left="660"/>
        <w:spacing w:after="0" w:line="218" w:lineRule="auto"/>
        <w:rPr>
          <w:sz w:val="20"/>
          <w:szCs w:val="20"/>
          <w:color w:val="auto"/>
        </w:rPr>
      </w:pPr>
      <w:r>
        <w:rPr>
          <w:rFonts w:ascii="Arial" w:cs="Arial" w:eastAsia="Arial" w:hAnsi="Arial"/>
          <w:sz w:val="22"/>
          <w:szCs w:val="22"/>
          <w:color w:val="auto"/>
        </w:rPr>
        <w:t>lead and other materials;</w:t>
      </w:r>
    </w:p>
    <w:p>
      <w:pPr>
        <w:ind w:left="660"/>
        <w:spacing w:after="0" w:line="218" w:lineRule="auto"/>
        <w:rPr>
          <w:sz w:val="20"/>
          <w:szCs w:val="20"/>
          <w:color w:val="auto"/>
        </w:rPr>
      </w:pPr>
      <w:r>
        <w:rPr>
          <w:rFonts w:ascii="Arial" w:cs="Arial" w:eastAsia="Arial" w:hAnsi="Arial"/>
          <w:sz w:val="22"/>
          <w:szCs w:val="22"/>
          <w:color w:val="auto"/>
        </w:rPr>
        <w:t>pharmaceuticals and personal care products; and</w:t>
      </w:r>
    </w:p>
    <w:p>
      <w:pPr>
        <w:ind w:left="660"/>
        <w:spacing w:after="0"/>
        <w:rPr>
          <w:sz w:val="20"/>
          <w:szCs w:val="20"/>
          <w:color w:val="auto"/>
        </w:rPr>
      </w:pPr>
      <w:r>
        <w:rPr>
          <w:rFonts w:ascii="Arial" w:cs="Arial" w:eastAsia="Arial" w:hAnsi="Arial"/>
          <w:sz w:val="22"/>
          <w:szCs w:val="22"/>
          <w:color w:val="auto"/>
        </w:rPr>
        <w:t>possible deliberate or terrorist attacks.</w:t>
      </w:r>
    </w:p>
    <w:p>
      <w:pPr>
        <w:spacing w:after="0" w:line="296"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incur significant costs, including, but not limited to, costs for water quality testing and monitoring, do not consume expenses and loss of revenue, treatment of the contaminated source through modification of our current treatment facilities or development of new treatment methods, or the purchase of alternative water supplies. In addition, the costs we could incur to decontaminate a water source or our water distribution system and dispose of waste could also be significant. The costs resulting from the contamination may not be recoverable in rates we charge our customer, or may not be recoverable in a timely manner. Further, we may incur a loss of revenue in the event we elect to waive customer’s water and wastewater charges. If we are unable to adequately treat the contaminated water supply or substitute a water supply from an uncontaminated water source in a timely or cost-effective manner, there may be an adverse effect on our business, financial condition, and results of operations. We could also be subject to:</w:t>
      </w:r>
    </w:p>
    <w:p>
      <w:pPr>
        <w:spacing w:after="0" w:line="177" w:lineRule="exact"/>
        <w:rPr>
          <w:sz w:val="20"/>
          <w:szCs w:val="20"/>
          <w:color w:val="auto"/>
        </w:rPr>
      </w:pPr>
    </w:p>
    <w:p>
      <w:pPr>
        <w:ind w:left="660" w:right="20"/>
        <w:spacing w:after="0" w:line="226" w:lineRule="auto"/>
        <w:rPr>
          <w:sz w:val="20"/>
          <w:szCs w:val="20"/>
          <w:color w:val="auto"/>
        </w:rPr>
      </w:pPr>
      <w:r>
        <w:rPr>
          <w:rFonts w:ascii="Arial" w:cs="Arial" w:eastAsia="Arial" w:hAnsi="Arial"/>
          <w:sz w:val="22"/>
          <w:szCs w:val="22"/>
          <w:color w:val="auto"/>
        </w:rPr>
        <w:t>claims for consequences arising out of human exposure to contamination and/or hazardous substances in our water supplies, including toxic torts;</w:t>
      </w:r>
    </w:p>
    <w:p>
      <w:pPr>
        <w:ind w:left="660"/>
        <w:spacing w:after="0" w:line="218" w:lineRule="auto"/>
        <w:rPr>
          <w:sz w:val="20"/>
          <w:szCs w:val="20"/>
          <w:color w:val="auto"/>
        </w:rPr>
      </w:pPr>
      <w:r>
        <w:rPr>
          <w:rFonts w:ascii="Arial" w:cs="Arial" w:eastAsia="Arial" w:hAnsi="Arial"/>
          <w:sz w:val="22"/>
          <w:szCs w:val="22"/>
          <w:color w:val="auto"/>
        </w:rPr>
        <w:t>claims for other environmental damage;</w:t>
      </w:r>
    </w:p>
    <w:p>
      <w:pPr>
        <w:ind w:left="660"/>
        <w:spacing w:after="0" w:line="218" w:lineRule="auto"/>
        <w:rPr>
          <w:sz w:val="20"/>
          <w:szCs w:val="20"/>
          <w:color w:val="auto"/>
        </w:rPr>
      </w:pPr>
      <w:r>
        <w:rPr>
          <w:rFonts w:ascii="Arial" w:cs="Arial" w:eastAsia="Arial" w:hAnsi="Arial"/>
          <w:sz w:val="22"/>
          <w:szCs w:val="22"/>
          <w:color w:val="auto"/>
        </w:rPr>
        <w:t>claims for customers’ business interruption as a result of an interruption in water service;</w:t>
      </w:r>
    </w:p>
    <w:p>
      <w:pPr>
        <w:ind w:left="660"/>
        <w:spacing w:after="0" w:line="218" w:lineRule="auto"/>
        <w:rPr>
          <w:sz w:val="20"/>
          <w:szCs w:val="20"/>
          <w:color w:val="auto"/>
        </w:rPr>
      </w:pPr>
      <w:r>
        <w:rPr>
          <w:rFonts w:ascii="Arial" w:cs="Arial" w:eastAsia="Arial" w:hAnsi="Arial"/>
          <w:sz w:val="22"/>
          <w:szCs w:val="22"/>
          <w:color w:val="auto"/>
        </w:rPr>
        <w:t>claims for breach of contract;</w:t>
      </w:r>
    </w:p>
    <w:p>
      <w:pPr>
        <w:ind w:left="660"/>
        <w:spacing w:after="0" w:line="218" w:lineRule="auto"/>
        <w:rPr>
          <w:sz w:val="20"/>
          <w:szCs w:val="20"/>
          <w:color w:val="auto"/>
        </w:rPr>
      </w:pPr>
      <w:r>
        <w:rPr>
          <w:rFonts w:ascii="Arial" w:cs="Arial" w:eastAsia="Arial" w:hAnsi="Arial"/>
          <w:sz w:val="22"/>
          <w:szCs w:val="22"/>
          <w:color w:val="auto"/>
        </w:rPr>
        <w:t>criminal enforcement actions;</w:t>
      </w:r>
    </w:p>
    <w:p>
      <w:pPr>
        <w:ind w:left="660"/>
        <w:spacing w:after="0" w:line="217" w:lineRule="auto"/>
        <w:rPr>
          <w:sz w:val="20"/>
          <w:szCs w:val="20"/>
          <w:color w:val="auto"/>
        </w:rPr>
      </w:pPr>
      <w:r>
        <w:rPr>
          <w:rFonts w:ascii="Arial" w:cs="Arial" w:eastAsia="Arial" w:hAnsi="Arial"/>
          <w:sz w:val="22"/>
          <w:szCs w:val="22"/>
          <w:color w:val="auto"/>
        </w:rPr>
        <w:t>regulatory fines; 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claims.</w:t>
      </w:r>
    </w:p>
    <w:p>
      <w:pPr>
        <w:sectPr>
          <w:pgSz w:w="11900" w:h="16838" w:orient="portrait"/>
          <w:cols w:equalWidth="0" w:num="1">
            <w:col w:w="11420"/>
          </w:cols>
          <w:pgMar w:left="240" w:top="118" w:right="239" w:bottom="406" w:gutter="0" w:footer="0" w:header="0"/>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406" w:gutter="0" w:footer="0" w:header="0"/>
          <w:type w:val="continuous"/>
        </w:sectPr>
      </w:pPr>
    </w:p>
    <w:bookmarkStart w:id="30" w:name="page31"/>
    <w:bookmarkEnd w:id="30"/>
    <w:p>
      <w:pPr>
        <w:spacing w:after="0" w:line="11"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60"/>
        <w:spacing w:after="0" w:line="232" w:lineRule="auto"/>
        <w:rPr>
          <w:sz w:val="20"/>
          <w:szCs w:val="20"/>
          <w:color w:val="auto"/>
        </w:rPr>
      </w:pPr>
      <w:r>
        <w:rPr>
          <w:rFonts w:ascii="Arial" w:cs="Arial" w:eastAsia="Arial" w:hAnsi="Arial"/>
          <w:sz w:val="22"/>
          <w:szCs w:val="22"/>
          <w:color w:val="auto"/>
        </w:rPr>
        <w:t>We incur substantial costs on an ongoing basis to comply with all laws and regulations. New or stricter laws and/or regulations could increase our costs. Although we may seek to recover these costs through customer rates, there is no guarantee that the various state regulators would approve the increase in costs.</w:t>
      </w:r>
    </w:p>
    <w:p>
      <w:pPr>
        <w:spacing w:after="0" w:line="185"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We are devoting our attention to various emerging contaminants, including the Per- and Polyfluoroalkyl Substances (PFAS) family of chemicals and other chemicals and substances that do not have any regulatory standard in drinking water. We rely on governmental agencies to establish the standard of protection from these unregulated contaminants and we meet or exceed these standards, when established. There is no guarantee that the various state regulators would approve the costs associated with the treatment in our system of the emerging contaminants without the establishment of treatment standards by the appropriate governmental entities.</w:t>
      </w:r>
    </w:p>
    <w:p>
      <w:pPr>
        <w:spacing w:after="0" w:line="164"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We may incur costs to defend our position and/or incur reputational damage even if we are not liable for consequences arising out of human exposure to contamination and/or hazardous substances in our water supplies or other environmental damage. Our insurance policies may not be sufficient to cover the costs of these claims, and losses incurred may make it difficult for us to secure insurance in the future at acceptable rates. Such claims or actions could harm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our earnings may differ from changes in our rate base</w:t>
      </w:r>
      <w:r>
        <w:rPr>
          <w:rFonts w:ascii="Arial" w:cs="Arial" w:eastAsia="Arial" w:hAnsi="Arial"/>
          <w:sz w:val="22"/>
          <w:szCs w:val="22"/>
          <w:b w:val="1"/>
          <w:bCs w:val="1"/>
          <w:color w:val="auto"/>
        </w:rPr>
        <w:t>.</w:t>
      </w:r>
    </w:p>
    <w:p>
      <w:pPr>
        <w:spacing w:after="0" w:line="226" w:lineRule="exact"/>
        <w:rPr>
          <w:sz w:val="20"/>
          <w:szCs w:val="20"/>
          <w:color w:val="auto"/>
        </w:rPr>
      </w:pPr>
    </w:p>
    <w:p>
      <w:pPr>
        <w:ind w:right="100"/>
        <w:spacing w:after="0" w:line="233" w:lineRule="auto"/>
        <w:rPr>
          <w:sz w:val="20"/>
          <w:szCs w:val="20"/>
          <w:color w:val="auto"/>
        </w:rPr>
      </w:pPr>
      <w:r>
        <w:rPr>
          <w:rFonts w:ascii="Arial" w:cs="Arial" w:eastAsia="Arial" w:hAnsi="Arial"/>
          <w:sz w:val="21"/>
          <w:szCs w:val="21"/>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however, may differ from changes in our 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 a Distribution System Improvement Charge between rate cases; and acquisitions which have not yet been included in rate base. We anticipate that we may experience periods in which growth in earnings is less than growth in rate base; such differences may be significant and may persist over multiple reporting periods.</w:t>
      </w:r>
    </w:p>
    <w:p>
      <w:pPr>
        <w:spacing w:after="0" w:line="186" w:lineRule="exact"/>
        <w:rPr>
          <w:sz w:val="20"/>
          <w:szCs w:val="20"/>
          <w:color w:val="auto"/>
        </w:rPr>
      </w:pPr>
    </w:p>
    <w:p>
      <w:pPr>
        <w:jc w:val="both"/>
        <w:ind w:right="160"/>
        <w:spacing w:after="0" w:line="232" w:lineRule="auto"/>
        <w:rPr>
          <w:sz w:val="20"/>
          <w:szCs w:val="20"/>
          <w:color w:val="auto"/>
        </w:rPr>
      </w:pPr>
      <w:r>
        <w:rPr>
          <w:rFonts w:ascii="Arial" w:cs="Arial" w:eastAsia="Arial" w:hAnsi="Arial"/>
          <w:sz w:val="22"/>
          <w:szCs w:val="22"/>
          <w:b w:val="1"/>
          <w:bCs w:val="1"/>
          <w:i w:val="1"/>
          <w:iCs w:val="1"/>
          <w:color w:val="auto"/>
        </w:rPr>
        <w:t>The Company has incurred significant additional indebtedness in connection with the pending Peoples Gas Acquisition. As a result, it may be more difficult for the Company to pay or refinance its debts or take other actions, and the Company may need to divert cash to fund debt service payments.</w:t>
      </w:r>
    </w:p>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The Company has incurred significant additional indebtedness to finance the proposed Peoples Gas Acquisition and to fund the debt refinancing of the Company’s outstanding debt (the “Company Debt Refinancing”). Additionally, in connection with the proposed Peoples Gas Acquisition, the Company currently intends to assume approximately $1,370 million of Peoples’ indebtedness. The increase in the Company’s debt service obligations resulting from additional indebtedness could have a material adverse effect on the results of operations, financial condition and prospects of the combined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The Company’s increased indebtedness could also:</w:t>
      </w:r>
    </w:p>
    <w:p>
      <w:pPr>
        <w:spacing w:after="0" w:line="193" w:lineRule="exact"/>
        <w:rPr>
          <w:sz w:val="20"/>
          <w:szCs w:val="20"/>
          <w:color w:val="auto"/>
        </w:rPr>
      </w:pPr>
    </w:p>
    <w:p>
      <w:pPr>
        <w:jc w:val="both"/>
        <w:ind w:left="660" w:right="160"/>
        <w:spacing w:after="0" w:line="223" w:lineRule="auto"/>
        <w:rPr>
          <w:sz w:val="20"/>
          <w:szCs w:val="20"/>
          <w:color w:val="auto"/>
        </w:rPr>
      </w:pPr>
      <w:r>
        <w:rPr>
          <w:rFonts w:ascii="Arial" w:cs="Arial" w:eastAsia="Arial" w:hAnsi="Arial"/>
          <w:sz w:val="22"/>
          <w:szCs w:val="22"/>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spacing w:after="0" w:line="2" w:lineRule="exact"/>
        <w:rPr>
          <w:sz w:val="20"/>
          <w:szCs w:val="20"/>
          <w:color w:val="auto"/>
        </w:rPr>
      </w:pPr>
    </w:p>
    <w:p>
      <w:pPr>
        <w:ind w:left="660" w:right="160"/>
        <w:spacing w:after="0" w:line="217" w:lineRule="auto"/>
        <w:rPr>
          <w:sz w:val="20"/>
          <w:szCs w:val="20"/>
          <w:color w:val="auto"/>
        </w:rPr>
      </w:pPr>
      <w:r>
        <w:rPr>
          <w:rFonts w:ascii="Arial" w:cs="Arial" w:eastAsia="Arial" w:hAnsi="Arial"/>
          <w:sz w:val="22"/>
          <w:szCs w:val="22"/>
          <w:color w:val="auto"/>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spacing w:after="0" w:line="3" w:lineRule="exact"/>
        <w:rPr>
          <w:sz w:val="20"/>
          <w:szCs w:val="20"/>
          <w:color w:val="auto"/>
        </w:rPr>
      </w:pPr>
    </w:p>
    <w:p>
      <w:pPr>
        <w:ind w:left="660" w:right="60"/>
        <w:spacing w:after="0" w:line="252" w:lineRule="auto"/>
        <w:rPr>
          <w:sz w:val="20"/>
          <w:szCs w:val="20"/>
          <w:color w:val="auto"/>
        </w:rPr>
      </w:pPr>
      <w:r>
        <w:rPr>
          <w:rFonts w:ascii="Arial" w:cs="Arial" w:eastAsia="Arial" w:hAnsi="Arial"/>
          <w:sz w:val="19"/>
          <w:szCs w:val="19"/>
          <w:color w:val="auto"/>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spacing w:after="0" w:line="1" w:lineRule="exact"/>
        <w:rPr>
          <w:sz w:val="20"/>
          <w:szCs w:val="20"/>
          <w:color w:val="auto"/>
        </w:rPr>
      </w:pPr>
    </w:p>
    <w:p>
      <w:pPr>
        <w:ind w:left="660" w:right="140"/>
        <w:spacing w:after="0" w:line="217" w:lineRule="auto"/>
        <w:rPr>
          <w:sz w:val="20"/>
          <w:szCs w:val="20"/>
          <w:color w:val="auto"/>
        </w:rPr>
      </w:pPr>
      <w:r>
        <w:rPr>
          <w:rFonts w:ascii="Arial" w:cs="Arial" w:eastAsia="Arial" w:hAnsi="Arial"/>
          <w:sz w:val="22"/>
          <w:szCs w:val="22"/>
          <w:color w:val="auto"/>
        </w:rPr>
        <w:t>result in a downgrade in the credit ratings on the Company’s indebtedness, which could limit the Company’s ability to borrow additional funds on favorable terms or at all (including in order to refinance the Bridge Commitment (if drawn) and/or its other debt), increase the interest rates under its credit facilities and under any new indebtedness it may incur; make it more difficult for the Company to raise capital to fund working capital, make capital expenditures, pay dividends, pursue strategic initiatives or for other purposes;</w:t>
      </w:r>
    </w:p>
    <w:p>
      <w:pPr>
        <w:spacing w:after="0" w:line="4" w:lineRule="exact"/>
        <w:rPr>
          <w:sz w:val="20"/>
          <w:szCs w:val="20"/>
          <w:color w:val="auto"/>
        </w:rPr>
      </w:pPr>
    </w:p>
    <w:p>
      <w:pPr>
        <w:ind w:left="660" w:right="940"/>
        <w:spacing w:after="0" w:line="217" w:lineRule="auto"/>
        <w:rPr>
          <w:sz w:val="20"/>
          <w:szCs w:val="20"/>
          <w:color w:val="auto"/>
        </w:rPr>
      </w:pPr>
      <w:r>
        <w:rPr>
          <w:rFonts w:ascii="Arial" w:cs="Arial" w:eastAsia="Arial" w:hAnsi="Arial"/>
          <w:sz w:val="22"/>
          <w:szCs w:val="22"/>
          <w:color w:val="auto"/>
        </w:rPr>
        <w:t>result in higher interest expense, which could be further increased in the event of increases in interest rates on the Company’s current or future borrowings subject to variable rates of interest; and</w:t>
      </w:r>
    </w:p>
    <w:p>
      <w:pPr>
        <w:spacing w:after="0" w:line="2" w:lineRule="exact"/>
        <w:rPr>
          <w:sz w:val="20"/>
          <w:szCs w:val="20"/>
          <w:color w:val="auto"/>
        </w:rPr>
      </w:pPr>
    </w:p>
    <w:p>
      <w:pPr>
        <w:ind w:left="660"/>
        <w:spacing w:after="0" w:line="266" w:lineRule="auto"/>
        <w:rPr>
          <w:sz w:val="20"/>
          <w:szCs w:val="20"/>
          <w:color w:val="auto"/>
        </w:rPr>
      </w:pPr>
      <w:r>
        <w:rPr>
          <w:rFonts w:ascii="Arial" w:cs="Arial" w:eastAsia="Arial" w:hAnsi="Arial"/>
          <w:sz w:val="19"/>
          <w:szCs w:val="19"/>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w:t>
      </w:r>
    </w:p>
    <w:p>
      <w:pPr>
        <w:sectPr>
          <w:pgSz w:w="11900" w:h="16850" w:orient="portrait"/>
          <w:cols w:equalWidth="0" w:num="1">
            <w:col w:w="11380"/>
          </w:cols>
          <w:pgMar w:left="240" w:top="118" w:right="279" w:bottom="0" w:gutter="0" w:footer="0" w:header="0"/>
        </w:sectPr>
      </w:pPr>
    </w:p>
    <w:bookmarkStart w:id="31" w:name="page32"/>
    <w:bookmarkEnd w:id="31"/>
    <w:p>
      <w:pPr>
        <w:ind w:left="660" w:right="40"/>
        <w:spacing w:after="0" w:line="314" w:lineRule="auto"/>
        <w:rPr>
          <w:sz w:val="20"/>
          <w:szCs w:val="20"/>
          <w:color w:val="auto"/>
        </w:rPr>
      </w:pPr>
      <w:r>
        <w:rPr>
          <w:rFonts w:ascii="Arial" w:cs="Arial" w:eastAsia="Arial" w:hAnsi="Arial"/>
          <w:sz w:val="19"/>
          <w:szCs w:val="19"/>
          <w:color w:val="auto"/>
        </w:rPr>
        <w:t>and limit or delay its ability to carry out its capital expenditure program or otherwise limit its flexibility in the conduct of its business and make it more vulnerable to economic downturns and adverse competitive and industry conditions.</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 increased indebtedness in connection with the proposed Peoples Gas Acquisition could cause us to place more reliance on cash flow from operations to pay principal and interest on debt and to satisfy our other obligations. Based on the current and expected results of operations and financial condition of the Company and the currently anticipated financing structure for the Peoples Gas Acquisition, the Company believes that its cash flow from operations, together with the proceeds from borrowings, issuances of equity and debt securities in the capital markets, and equity sales will generate sufficient cash on a consolidated basis to make all of the principal and interest payments when such payments are due under the Company’s and its current subsidiaries’ existing credit facilities, indentures and other instruments governing their outstanding indebtedness, under the indebtedness incurred to fund the Peoples Gas Acquisition and the Company Debt Refinancing and under the indebtedness of Peoples anticipated to be assumed as a result of the Peoples Gas Acquisition. However, the Company’s expectation is based upon numerous estimates and assumptions and is subject to numerous uncertainties. LDC and its subsidiaries will not guarantee any indebtedness of the Company or any of its other subsidiaries, nor will any of them have any obligation to provide funds (nor will we have any ability to require them to provide funds), whether in the form of dividends, loans or otherwise, to enable the Company to pay dividends on its common stock or to enable the Company and its other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6" w:lineRule="exact"/>
        <w:rPr>
          <w:sz w:val="20"/>
          <w:szCs w:val="20"/>
          <w:color w:val="auto"/>
        </w:rPr>
      </w:pPr>
    </w:p>
    <w:p>
      <w:pPr>
        <w:ind w:right="280"/>
        <w:spacing w:after="0" w:line="228" w:lineRule="auto"/>
        <w:rPr>
          <w:sz w:val="20"/>
          <w:szCs w:val="20"/>
          <w:color w:val="auto"/>
        </w:rPr>
      </w:pPr>
      <w:r>
        <w:rPr>
          <w:rFonts w:ascii="Arial" w:cs="Arial" w:eastAsia="Arial" w:hAnsi="Arial"/>
          <w:sz w:val="22"/>
          <w:szCs w:val="22"/>
          <w:color w:val="auto"/>
        </w:rPr>
        <w:t>subsidiaries to make required debt service payments or meet its other cash needs. As a result, the Company may substantially increase its debt services obligations in anticipation of the Peoples Gas Acquisition without any assurance that the Company will receive any cash from LDC or any of its subsidiaries to assist the Company in servicing its indebtedness, paying dividends on its common stock or meetings its other cash needs.</w:t>
      </w:r>
    </w:p>
    <w:p>
      <w:pPr>
        <w:spacing w:after="0" w:line="173" w:lineRule="exact"/>
        <w:rPr>
          <w:sz w:val="20"/>
          <w:szCs w:val="20"/>
          <w:color w:val="auto"/>
        </w:rPr>
      </w:pPr>
    </w:p>
    <w:p>
      <w:pPr>
        <w:ind w:right="20"/>
        <w:spacing w:after="0" w:line="344" w:lineRule="auto"/>
        <w:rPr>
          <w:sz w:val="20"/>
          <w:szCs w:val="20"/>
          <w:color w:val="auto"/>
        </w:rPr>
      </w:pPr>
      <w:r>
        <w:rPr>
          <w:rFonts w:ascii="Arial" w:cs="Arial" w:eastAsia="Arial" w:hAnsi="Arial"/>
          <w:sz w:val="18"/>
          <w:szCs w:val="18"/>
          <w:b w:val="1"/>
          <w:bCs w:val="1"/>
          <w:i w:val="1"/>
          <w:iCs w:val="1"/>
          <w:color w:val="auto"/>
        </w:rPr>
        <w:t>The price of our common stock may be volatile. This volatility may affect the price at which you could sell our common stock, and the sale or resale of substantial amounts of our common stock could adversely affect the market price of our common stock.</w:t>
      </w:r>
    </w:p>
    <w:p>
      <w:pPr>
        <w:spacing w:after="0" w:line="82"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sale or issuance of substantial amounts of our common stock in the completed offerings, or the perception that additional sales or issuances could occur, could adversely affect the market price of our common stock. In addition, the availability for sale of substantial amounts of our common stock could adversely impact its market price. Shares of our common stock will be issuable upon settlement or redemption of the purchase contracts and the number of shares may be substantial. The settlement rates for the purchase contracts will be subject to certain anti-dilution adjustments that could increase, potentially significantly, the number of shares of our common stock issuable upon such settlement. The issuance or sale of shares, or the perception that such issuances or sales could occur, could adversely affect the market price of our common stock, even if our business is doing well. Any of the foregoing may also impair our ability to raise additional capital through the sale of our equity securities.</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Company’s purchases of its common stock for the quarter ended June 30,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240" w:type="dxa"/>
            <w:vAlign w:val="bottom"/>
            <w:gridSpan w:val="7"/>
          </w:tcPr>
          <w:p>
            <w:pPr>
              <w:spacing w:after="0"/>
              <w:rPr>
                <w:sz w:val="20"/>
                <w:szCs w:val="20"/>
                <w:color w:val="auto"/>
              </w:rPr>
            </w:pPr>
            <w:r>
              <w:rPr>
                <w:rFonts w:ascii="Arial" w:cs="Arial" w:eastAsia="Arial" w:hAnsi="Arial"/>
                <w:sz w:val="22"/>
                <w:szCs w:val="22"/>
                <w:color w:val="auto"/>
              </w:rPr>
              <w:t>Issuer Purchases of Equity Securities</w:t>
            </w:r>
          </w:p>
        </w:tc>
        <w:tc>
          <w:tcPr>
            <w:tcW w:w="188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4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2"/>
          </w:tcPr>
          <w:p>
            <w:pPr>
              <w:jc w:val="right"/>
              <w:ind w:right="140"/>
              <w:spacing w:after="0" w:line="229" w:lineRule="exact"/>
              <w:rPr>
                <w:sz w:val="20"/>
                <w:szCs w:val="20"/>
                <w:color w:val="auto"/>
              </w:rPr>
            </w:pPr>
            <w:r>
              <w:rPr>
                <w:rFonts w:ascii="Arial" w:cs="Arial" w:eastAsia="Arial" w:hAnsi="Arial"/>
                <w:sz w:val="22"/>
                <w:szCs w:val="22"/>
                <w:color w:val="auto"/>
              </w:rPr>
              <w:t>Total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2"/>
          </w:tcPr>
          <w:p>
            <w:pPr>
              <w:jc w:val="right"/>
              <w:ind w:right="140"/>
              <w:spacing w:after="0" w:line="229" w:lineRule="exact"/>
              <w:rPr>
                <w:sz w:val="20"/>
                <w:szCs w:val="20"/>
                <w:color w:val="auto"/>
              </w:rPr>
            </w:pPr>
            <w:r>
              <w:rPr>
                <w:rFonts w:ascii="Arial" w:cs="Arial" w:eastAsia="Arial" w:hAnsi="Arial"/>
                <w:sz w:val="22"/>
                <w:szCs w:val="22"/>
                <w:color w:val="auto"/>
              </w:rPr>
              <w:t>Number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w w:val="92"/>
              </w:rPr>
              <w:t>Average</w:t>
            </w: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2"/>
          </w:tcPr>
          <w:p>
            <w:pPr>
              <w:jc w:val="right"/>
              <w:ind w:right="140"/>
              <w:spacing w:after="0" w:line="229" w:lineRule="exact"/>
              <w:rPr>
                <w:sz w:val="20"/>
                <w:szCs w:val="20"/>
                <w:color w:val="auto"/>
              </w:rPr>
            </w:pPr>
            <w:r>
              <w:rPr>
                <w:rFonts w:ascii="Arial" w:cs="Arial" w:eastAsia="Arial" w:hAnsi="Arial"/>
                <w:sz w:val="22"/>
                <w:szCs w:val="22"/>
                <w:color w:val="auto"/>
              </w:rPr>
              <w:t>of Shares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Price Paid</w:t>
            </w: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6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120" w:type="dxa"/>
            <w:vAlign w:val="bottom"/>
            <w:gridSpan w:val="2"/>
          </w:tcPr>
          <w:p>
            <w:pPr>
              <w:jc w:val="right"/>
              <w:ind w:right="140"/>
              <w:spacing w:after="0" w:line="224" w:lineRule="exact"/>
              <w:rPr>
                <w:sz w:val="20"/>
                <w:szCs w:val="20"/>
                <w:color w:val="auto"/>
              </w:rPr>
            </w:pPr>
            <w:r>
              <w:rPr>
                <w:rFonts w:ascii="Arial" w:cs="Arial" w:eastAsia="Arial" w:hAnsi="Arial"/>
                <w:sz w:val="22"/>
                <w:szCs w:val="22"/>
                <w:color w:val="auto"/>
              </w:rPr>
              <w:t>Purchased (1)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rPr>
              <w:t>per Share</w:t>
            </w:r>
          </w:p>
        </w:tc>
        <w:tc>
          <w:tcPr>
            <w:tcW w:w="188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4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60" w:type="dxa"/>
            <w:vAlign w:val="bottom"/>
            <w:gridSpan w:val="2"/>
            <w:shd w:val="clear" w:color="auto" w:fill="CCEEFF"/>
          </w:tcPr>
          <w:p>
            <w:pPr>
              <w:spacing w:after="0" w:line="250" w:lineRule="exact"/>
              <w:rPr>
                <w:sz w:val="20"/>
                <w:szCs w:val="20"/>
                <w:color w:val="auto"/>
              </w:rPr>
            </w:pPr>
            <w:r>
              <w:rPr>
                <w:rFonts w:ascii="Arial" w:cs="Arial" w:eastAsia="Arial" w:hAnsi="Arial"/>
                <w:sz w:val="22"/>
                <w:szCs w:val="22"/>
                <w:color w:val="auto"/>
              </w:rPr>
              <w:t>April 1 - 30, 2019</w:t>
            </w:r>
          </w:p>
        </w:tc>
        <w:tc>
          <w:tcPr>
            <w:tcW w:w="2120" w:type="dxa"/>
            <w:vAlign w:val="bottom"/>
            <w:gridSpan w:val="2"/>
            <w:shd w:val="clear" w:color="auto" w:fill="CCEEFF"/>
          </w:tcPr>
          <w:p>
            <w:pPr>
              <w:jc w:val="right"/>
              <w:ind w:right="140"/>
              <w:spacing w:after="0" w:line="250" w:lineRule="exact"/>
              <w:rPr>
                <w:sz w:val="20"/>
                <w:szCs w:val="20"/>
                <w:color w:val="auto"/>
              </w:rPr>
            </w:pPr>
            <w:r>
              <w:rPr>
                <w:rFonts w:ascii="Arial" w:cs="Arial" w:eastAsia="Arial" w:hAnsi="Arial"/>
                <w:sz w:val="22"/>
                <w:szCs w:val="22"/>
                <w:color w:val="auto"/>
              </w:rPr>
              <w:t>1</w:t>
            </w:r>
          </w:p>
        </w:tc>
        <w:tc>
          <w:tcPr>
            <w:tcW w:w="600" w:type="dxa"/>
            <w:vAlign w:val="bottom"/>
            <w:gridSpan w:val="2"/>
            <w:shd w:val="clear" w:color="auto" w:fill="CCEEFF"/>
          </w:tcPr>
          <w:p>
            <w:pPr>
              <w:jc w:val="right"/>
              <w:ind w:right="252"/>
              <w:spacing w:after="0" w:line="250" w:lineRule="exact"/>
              <w:rPr>
                <w:sz w:val="20"/>
                <w:szCs w:val="20"/>
                <w:color w:val="auto"/>
              </w:rPr>
            </w:pPr>
            <w:r>
              <w:rPr>
                <w:rFonts w:ascii="Arial" w:cs="Arial" w:eastAsia="Arial" w:hAnsi="Arial"/>
                <w:sz w:val="22"/>
                <w:szCs w:val="22"/>
                <w:color w:val="auto"/>
              </w:rPr>
              <w:t>$</w:t>
            </w:r>
          </w:p>
        </w:tc>
        <w:tc>
          <w:tcPr>
            <w:tcW w:w="1520" w:type="dxa"/>
            <w:vAlign w:val="bottom"/>
            <w:gridSpan w:val="3"/>
            <w:shd w:val="clear" w:color="auto" w:fill="CCEEFF"/>
          </w:tcPr>
          <w:p>
            <w:pPr>
              <w:jc w:val="right"/>
              <w:ind w:right="260"/>
              <w:spacing w:after="0" w:line="250" w:lineRule="exact"/>
              <w:rPr>
                <w:sz w:val="20"/>
                <w:szCs w:val="20"/>
                <w:color w:val="auto"/>
              </w:rPr>
            </w:pPr>
            <w:r>
              <w:rPr>
                <w:rFonts w:ascii="Arial" w:cs="Arial" w:eastAsia="Arial" w:hAnsi="Arial"/>
                <w:sz w:val="22"/>
                <w:szCs w:val="22"/>
                <w:color w:val="auto"/>
              </w:rPr>
              <w:t>37.25</w:t>
            </w:r>
          </w:p>
        </w:tc>
        <w:tc>
          <w:tcPr>
            <w:tcW w:w="162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4"/>
        </w:trPr>
        <w:tc>
          <w:tcPr>
            <w:tcW w:w="3460" w:type="dxa"/>
            <w:vAlign w:val="bottom"/>
            <w:gridSpan w:val="2"/>
          </w:tcPr>
          <w:p>
            <w:pPr>
              <w:spacing w:after="0"/>
              <w:rPr>
                <w:sz w:val="20"/>
                <w:szCs w:val="20"/>
                <w:color w:val="auto"/>
              </w:rPr>
            </w:pPr>
            <w:r>
              <w:rPr>
                <w:rFonts w:ascii="Arial" w:cs="Arial" w:eastAsia="Arial" w:hAnsi="Arial"/>
                <w:sz w:val="22"/>
                <w:szCs w:val="22"/>
                <w:color w:val="auto"/>
              </w:rPr>
              <w:t>May 1 -31, 2019</w:t>
            </w:r>
          </w:p>
        </w:tc>
        <w:tc>
          <w:tcPr>
            <w:tcW w:w="2120" w:type="dxa"/>
            <w:vAlign w:val="bottom"/>
            <w:gridSpan w:val="2"/>
          </w:tcPr>
          <w:p>
            <w:pPr>
              <w:jc w:val="right"/>
              <w:ind w:right="140"/>
              <w:spacing w:after="0"/>
              <w:rPr>
                <w:sz w:val="20"/>
                <w:szCs w:val="20"/>
                <w:color w:val="auto"/>
              </w:rPr>
            </w:pPr>
            <w:r>
              <w:rPr>
                <w:rFonts w:ascii="Arial" w:cs="Arial" w:eastAsia="Arial" w:hAnsi="Arial"/>
                <w:sz w:val="22"/>
                <w:szCs w:val="22"/>
                <w:color w:val="auto"/>
              </w:rPr>
              <w:t>45</w:t>
            </w:r>
          </w:p>
        </w:tc>
        <w:tc>
          <w:tcPr>
            <w:tcW w:w="600" w:type="dxa"/>
            <w:vAlign w:val="bottom"/>
            <w:gridSpan w:val="2"/>
          </w:tcPr>
          <w:p>
            <w:pPr>
              <w:jc w:val="right"/>
              <w:ind w:right="252"/>
              <w:spacing w:after="0"/>
              <w:rPr>
                <w:sz w:val="20"/>
                <w:szCs w:val="20"/>
                <w:color w:val="auto"/>
              </w:rPr>
            </w:pPr>
            <w:r>
              <w:rPr>
                <w:rFonts w:ascii="Arial" w:cs="Arial" w:eastAsia="Arial" w:hAnsi="Arial"/>
                <w:sz w:val="22"/>
                <w:szCs w:val="22"/>
                <w:color w:val="auto"/>
              </w:rPr>
              <w:t>$</w:t>
            </w:r>
          </w:p>
        </w:tc>
        <w:tc>
          <w:tcPr>
            <w:tcW w:w="1520" w:type="dxa"/>
            <w:vAlign w:val="bottom"/>
            <w:gridSpan w:val="3"/>
          </w:tcPr>
          <w:p>
            <w:pPr>
              <w:jc w:val="right"/>
              <w:ind w:right="260"/>
              <w:spacing w:after="0"/>
              <w:rPr>
                <w:sz w:val="20"/>
                <w:szCs w:val="20"/>
                <w:color w:val="auto"/>
              </w:rPr>
            </w:pPr>
            <w:r>
              <w:rPr>
                <w:rFonts w:ascii="Arial" w:cs="Arial" w:eastAsia="Arial" w:hAnsi="Arial"/>
                <w:sz w:val="22"/>
                <w:szCs w:val="22"/>
                <w:color w:val="auto"/>
              </w:rPr>
              <w:t>39.56</w:t>
            </w:r>
          </w:p>
        </w:tc>
        <w:tc>
          <w:tcPr>
            <w:tcW w:w="1620" w:type="dxa"/>
            <w:vAlign w:val="bottom"/>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4"/>
        </w:trPr>
        <w:tc>
          <w:tcPr>
            <w:tcW w:w="346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June 1 - 30, 2019</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0"/>
        </w:trPr>
        <w:tc>
          <w:tcPr>
            <w:tcW w:w="3460" w:type="dxa"/>
            <w:vAlign w:val="bottom"/>
            <w:gridSpan w:val="2"/>
          </w:tcPr>
          <w:p>
            <w:pPr>
              <w:spacing w:after="0" w:line="250" w:lineRule="exact"/>
              <w:rPr>
                <w:sz w:val="20"/>
                <w:szCs w:val="20"/>
                <w:color w:val="auto"/>
              </w:rPr>
            </w:pPr>
            <w:r>
              <w:rPr>
                <w:rFonts w:ascii="Arial" w:cs="Arial" w:eastAsia="Arial" w:hAnsi="Arial"/>
                <w:sz w:val="22"/>
                <w:szCs w:val="22"/>
                <w:color w:val="auto"/>
              </w:rPr>
              <w:t>Total</w:t>
            </w:r>
          </w:p>
        </w:tc>
        <w:tc>
          <w:tcPr>
            <w:tcW w:w="1980" w:type="dxa"/>
            <w:vAlign w:val="bottom"/>
          </w:tcPr>
          <w:p>
            <w:pPr>
              <w:jc w:val="right"/>
              <w:spacing w:after="0" w:line="250" w:lineRule="exact"/>
              <w:rPr>
                <w:sz w:val="20"/>
                <w:szCs w:val="20"/>
                <w:color w:val="auto"/>
              </w:rPr>
            </w:pPr>
            <w:r>
              <w:rPr>
                <w:rFonts w:ascii="Arial" w:cs="Arial" w:eastAsia="Arial" w:hAnsi="Arial"/>
                <w:sz w:val="22"/>
                <w:szCs w:val="22"/>
                <w:color w:val="auto"/>
              </w:rPr>
              <w:t>46</w:t>
            </w:r>
          </w:p>
        </w:tc>
        <w:tc>
          <w:tcPr>
            <w:tcW w:w="140" w:type="dxa"/>
            <w:vAlign w:val="bottom"/>
          </w:tcPr>
          <w:p>
            <w:pPr>
              <w:spacing w:after="0"/>
              <w:rPr>
                <w:sz w:val="21"/>
                <w:szCs w:val="21"/>
                <w:color w:val="auto"/>
              </w:rPr>
            </w:pPr>
          </w:p>
        </w:tc>
        <w:tc>
          <w:tcPr>
            <w:tcW w:w="600" w:type="dxa"/>
            <w:vAlign w:val="bottom"/>
            <w:gridSpan w:val="2"/>
          </w:tcPr>
          <w:p>
            <w:pPr>
              <w:jc w:val="right"/>
              <w:ind w:right="252"/>
              <w:spacing w:after="0" w:line="250" w:lineRule="exact"/>
              <w:rPr>
                <w:sz w:val="20"/>
                <w:szCs w:val="20"/>
                <w:color w:val="auto"/>
              </w:rPr>
            </w:pPr>
            <w:r>
              <w:rPr>
                <w:rFonts w:ascii="Arial" w:cs="Arial" w:eastAsia="Arial" w:hAnsi="Arial"/>
                <w:sz w:val="22"/>
                <w:szCs w:val="22"/>
                <w:color w:val="auto"/>
              </w:rPr>
              <w:t>$</w:t>
            </w:r>
          </w:p>
        </w:tc>
        <w:tc>
          <w:tcPr>
            <w:tcW w:w="1520" w:type="dxa"/>
            <w:vAlign w:val="bottom"/>
            <w:gridSpan w:val="3"/>
          </w:tcPr>
          <w:p>
            <w:pPr>
              <w:jc w:val="right"/>
              <w:ind w:right="260"/>
              <w:spacing w:after="0" w:line="250" w:lineRule="exact"/>
              <w:rPr>
                <w:sz w:val="20"/>
                <w:szCs w:val="20"/>
                <w:color w:val="auto"/>
              </w:rPr>
            </w:pPr>
            <w:r>
              <w:rPr>
                <w:rFonts w:ascii="Arial" w:cs="Arial" w:eastAsia="Arial" w:hAnsi="Arial"/>
                <w:sz w:val="22"/>
                <w:szCs w:val="22"/>
                <w:color w:val="auto"/>
              </w:rPr>
              <w:t>39.51</w:t>
            </w:r>
          </w:p>
        </w:tc>
        <w:tc>
          <w:tcPr>
            <w:tcW w:w="162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184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40" w:firstLine="8"/>
        <w:spacing w:after="0" w:line="239"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These amounts include 46 shares we acquired from employees associated with the withholding of shares to pay certain withholding taxes upon the vesting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ectPr>
          <w:pgSz w:w="11900" w:h="16838" w:orient="portrait"/>
          <w:cols w:equalWidth="0" w:num="1">
            <w:col w:w="11420"/>
          </w:cols>
          <w:pgMar w:left="240" w:top="118" w:right="2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75"/>
        </w:trPr>
        <w:tc>
          <w:tcPr>
            <w:tcW w:w="2180" w:type="dxa"/>
            <w:vAlign w:val="bottom"/>
            <w:gridSpan w:val="4"/>
          </w:tcPr>
          <w:p>
            <w:pPr>
              <w:spacing w:after="0"/>
              <w:rPr>
                <w:sz w:val="20"/>
                <w:szCs w:val="20"/>
                <w:color w:val="auto"/>
              </w:rPr>
            </w:pPr>
            <w:r>
              <w:rPr>
                <w:rFonts w:ascii="Arial" w:cs="Arial" w:eastAsia="Arial" w:hAnsi="Arial"/>
                <w:sz w:val="22"/>
                <w:szCs w:val="22"/>
                <w:color w:val="auto"/>
              </w:rPr>
              <w:t>Item 6 – Exhibits</w:t>
            </w:r>
          </w:p>
        </w:tc>
        <w:tc>
          <w:tcPr>
            <w:tcW w:w="2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b w:val="1"/>
                <w:bCs w:val="1"/>
                <w:color w:val="auto"/>
              </w:rPr>
              <w:t>Exhibit No.</w:t>
            </w:r>
          </w:p>
        </w:tc>
        <w:tc>
          <w:tcPr>
            <w:tcW w:w="9300" w:type="dxa"/>
            <w:vAlign w:val="bottom"/>
            <w:gridSpan w:val="29"/>
          </w:tcPr>
          <w:p>
            <w:pPr>
              <w:ind w:left="40"/>
              <w:spacing w:after="0"/>
              <w:rPr>
                <w:sz w:val="20"/>
                <w:szCs w:val="20"/>
                <w:color w:val="auto"/>
              </w:rPr>
            </w:pPr>
            <w:r>
              <w:rPr>
                <w:rFonts w:ascii="Arial" w:cs="Arial" w:eastAsia="Arial" w:hAnsi="Arial"/>
                <w:sz w:val="22"/>
                <w:szCs w:val="22"/>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Borders>
              <w:top w:val="single" w:sz="8" w:color="auto"/>
            </w:tcBorders>
          </w:tcPr>
          <w:p>
            <w:pPr>
              <w:spacing w:after="0" w:line="197" w:lineRule="exact"/>
              <w:rPr>
                <w:sz w:val="20"/>
                <w:szCs w:val="20"/>
                <w:color w:val="auto"/>
              </w:rPr>
            </w:pPr>
            <w:r>
              <w:rPr>
                <w:rFonts w:ascii="Arial" w:cs="Arial" w:eastAsia="Arial" w:hAnsi="Arial"/>
                <w:sz w:val="22"/>
                <w:szCs w:val="22"/>
                <w:color w:val="auto"/>
              </w:rPr>
              <w:t>1.1</w:t>
            </w:r>
          </w:p>
        </w:tc>
        <w:tc>
          <w:tcPr>
            <w:tcW w:w="1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9300" w:type="dxa"/>
            <w:vAlign w:val="bottom"/>
            <w:tcBorders>
              <w:top w:val="single" w:sz="8" w:color="auto"/>
            </w:tcBorders>
            <w:gridSpan w:val="29"/>
          </w:tcPr>
          <w:p>
            <w:pPr>
              <w:spacing w:after="0" w:line="197" w:lineRule="exact"/>
              <w:rPr>
                <w:rFonts w:ascii="Arial" w:cs="Arial" w:eastAsia="Arial" w:hAnsi="Arial"/>
                <w:sz w:val="22"/>
                <w:szCs w:val="22"/>
                <w:color w:val="0563C1"/>
                <w:w w:val="91"/>
              </w:rPr>
            </w:pPr>
            <w:hyperlink r:id="rId68">
              <w:r>
                <w:rPr>
                  <w:rFonts w:ascii="Arial" w:cs="Arial" w:eastAsia="Arial" w:hAnsi="Arial"/>
                  <w:sz w:val="22"/>
                  <w:szCs w:val="22"/>
                  <w:color w:val="0563C1"/>
                  <w:w w:val="91"/>
                </w:rPr>
                <w:t>Common Stock Underwriting Agreement, dated April 17, 2019, among Aqua America, Inc. and Goldman</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40" w:type="dxa"/>
            <w:vAlign w:val="bottom"/>
            <w:tcBorders>
              <w:top w:val="single" w:sz="8" w:color="0563C1"/>
              <w:bottom w:val="single" w:sz="8" w:color="0563C1"/>
            </w:tcBorders>
            <w:gridSpan w:val="26"/>
          </w:tcPr>
          <w:p>
            <w:pPr>
              <w:spacing w:after="0" w:line="209" w:lineRule="exact"/>
              <w:rPr>
                <w:rFonts w:ascii="Arial" w:cs="Arial" w:eastAsia="Arial" w:hAnsi="Arial"/>
                <w:sz w:val="22"/>
                <w:szCs w:val="22"/>
                <w:color w:val="0563C1"/>
                <w:w w:val="89"/>
              </w:rPr>
            </w:pPr>
            <w:hyperlink r:id="rId68">
              <w:r>
                <w:rPr>
                  <w:rFonts w:ascii="Arial" w:cs="Arial" w:eastAsia="Arial" w:hAnsi="Arial"/>
                  <w:sz w:val="22"/>
                  <w:szCs w:val="22"/>
                  <w:color w:val="0563C1"/>
                  <w:w w:val="89"/>
                </w:rPr>
                <w:t>Sachs &amp; Co. LLC and RBC Capital Markets, LLC, as representatives of the several underwriters named in</w:t>
              </w:r>
            </w:hyperlink>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tcBorders>
              <w:bottom w:val="single" w:sz="8" w:color="0563C1"/>
            </w:tcBorders>
            <w:gridSpan w:val="20"/>
          </w:tcPr>
          <w:p>
            <w:pPr>
              <w:spacing w:after="0" w:line="209" w:lineRule="exact"/>
              <w:rPr>
                <w:rFonts w:ascii="Arial" w:cs="Arial" w:eastAsia="Arial" w:hAnsi="Arial"/>
                <w:sz w:val="22"/>
                <w:szCs w:val="22"/>
                <w:color w:val="0563C1"/>
                <w:w w:val="89"/>
              </w:rPr>
            </w:pPr>
            <w:hyperlink r:id="rId68">
              <w:r>
                <w:rPr>
                  <w:rFonts w:ascii="Arial" w:cs="Arial" w:eastAsia="Arial" w:hAnsi="Arial"/>
                  <w:sz w:val="22"/>
                  <w:szCs w:val="22"/>
                  <w:color w:val="0563C1"/>
                  <w:w w:val="89"/>
                </w:rPr>
                <w:t>Schedule I thereto (incorporated by reference to Exhibit 1.1 to the Company’s Current Report on Form 8-</w:t>
              </w:r>
            </w:hyperlink>
          </w:p>
        </w:tc>
        <w:tc>
          <w:tcPr>
            <w:tcW w:w="160" w:type="dxa"/>
            <w:vAlign w:val="bottom"/>
            <w:gridSpan w:val="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0"/>
          </w:tcPr>
          <w:p>
            <w:pPr>
              <w:spacing w:after="0" w:line="209" w:lineRule="exact"/>
              <w:rPr>
                <w:rFonts w:ascii="Arial" w:cs="Arial" w:eastAsia="Arial" w:hAnsi="Arial"/>
                <w:sz w:val="22"/>
                <w:szCs w:val="22"/>
                <w:color w:val="0563C1"/>
              </w:rPr>
            </w:pPr>
            <w:hyperlink r:id="rId68">
              <w:r>
                <w:rPr>
                  <w:rFonts w:ascii="Arial" w:cs="Arial" w:eastAsia="Arial" w:hAnsi="Arial"/>
                  <w:sz w:val="22"/>
                  <w:szCs w:val="22"/>
                  <w:color w:val="0563C1"/>
                </w:rPr>
                <w:t>K, filed with the SEC on April 23, 2019)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1.2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8"/>
              </w:rPr>
            </w:pPr>
            <w:hyperlink r:id="rId69">
              <w:r>
                <w:rPr>
                  <w:rFonts w:ascii="Arial" w:cs="Arial" w:eastAsia="Arial" w:hAnsi="Arial"/>
                  <w:sz w:val="22"/>
                  <w:szCs w:val="22"/>
                  <w:color w:val="0563C1"/>
                  <w:w w:val="98"/>
                </w:rPr>
                <w:t>Units Underwriting Agreement, dated April 17, 2019, among Aqua America, Inc. and RBC Capital</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20" w:type="dxa"/>
            <w:vAlign w:val="bottom"/>
            <w:tcBorders>
              <w:top w:val="single" w:sz="8" w:color="0563C1"/>
            </w:tcBorders>
            <w:gridSpan w:val="9"/>
          </w:tcPr>
          <w:p>
            <w:pPr>
              <w:spacing w:after="0" w:line="209" w:lineRule="exact"/>
              <w:rPr>
                <w:rFonts w:ascii="Arial" w:cs="Arial" w:eastAsia="Arial" w:hAnsi="Arial"/>
                <w:sz w:val="22"/>
                <w:szCs w:val="22"/>
                <w:color w:val="0563C1"/>
                <w:w w:val="88"/>
              </w:rPr>
            </w:pPr>
            <w:hyperlink r:id="rId69">
              <w:r>
                <w:rPr>
                  <w:rFonts w:ascii="Arial" w:cs="Arial" w:eastAsia="Arial" w:hAnsi="Arial"/>
                  <w:sz w:val="22"/>
                  <w:szCs w:val="22"/>
                  <w:color w:val="0563C1"/>
                  <w:w w:val="88"/>
                </w:rPr>
                <w:t>Markets LLC and Goldman Sachs &amp; Co. LLC, as representatives of the several underwriters named</w:t>
              </w:r>
            </w:hyperlink>
          </w:p>
        </w:tc>
        <w:tc>
          <w:tcPr>
            <w:tcW w:w="680" w:type="dxa"/>
            <w:vAlign w:val="bottom"/>
            <w:gridSpan w:val="20"/>
          </w:tcPr>
          <w:p>
            <w:pPr>
              <w:jc w:val="center"/>
              <w:ind w:right="400"/>
              <w:spacing w:after="0" w:line="209" w:lineRule="exact"/>
              <w:rPr>
                <w:rFonts w:ascii="Arial" w:cs="Arial" w:eastAsia="Arial" w:hAnsi="Arial"/>
                <w:sz w:val="22"/>
                <w:szCs w:val="22"/>
                <w:color w:val="0563C1"/>
                <w:w w:val="93"/>
              </w:rPr>
            </w:pPr>
            <w:hyperlink r:id="rId69">
              <w:r>
                <w:rPr>
                  <w:rFonts w:ascii="Arial" w:cs="Arial" w:eastAsia="Arial" w:hAnsi="Arial"/>
                  <w:sz w:val="22"/>
                  <w:szCs w:val="22"/>
                  <w:color w:val="0563C1"/>
                  <w:w w:val="93"/>
                </w:rPr>
                <w:t>in</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900" w:type="dxa"/>
            <w:vAlign w:val="bottom"/>
            <w:tcBorders>
              <w:top w:val="single" w:sz="8" w:color="0563C1"/>
              <w:bottom w:val="single" w:sz="8" w:color="0563C1"/>
            </w:tcBorders>
            <w:gridSpan w:val="11"/>
          </w:tcPr>
          <w:p>
            <w:pPr>
              <w:spacing w:after="0" w:line="209" w:lineRule="exact"/>
              <w:rPr>
                <w:rFonts w:ascii="Arial" w:cs="Arial" w:eastAsia="Arial" w:hAnsi="Arial"/>
                <w:sz w:val="22"/>
                <w:szCs w:val="22"/>
                <w:color w:val="0563C1"/>
                <w:w w:val="89"/>
              </w:rPr>
            </w:pPr>
            <w:hyperlink r:id="rId69">
              <w:r>
                <w:rPr>
                  <w:rFonts w:ascii="Arial" w:cs="Arial" w:eastAsia="Arial" w:hAnsi="Arial"/>
                  <w:sz w:val="22"/>
                  <w:szCs w:val="22"/>
                  <w:color w:val="0563C1"/>
                  <w:w w:val="89"/>
                </w:rPr>
                <w:t>Schedule I thereto (incorporated by reference to Exhibit 1.2 to the Company’s Current Report on Form</w:t>
              </w:r>
            </w:hyperlink>
          </w:p>
        </w:tc>
        <w:tc>
          <w:tcPr>
            <w:tcW w:w="220" w:type="dxa"/>
            <w:vAlign w:val="bottom"/>
            <w:tcBorders>
              <w:bottom w:val="single" w:sz="8" w:color="0563C1"/>
            </w:tcBorders>
            <w:gridSpan w:val="9"/>
          </w:tcPr>
          <w:p>
            <w:pPr>
              <w:jc w:val="center"/>
              <w:spacing w:after="0" w:line="209" w:lineRule="exact"/>
              <w:rPr>
                <w:rFonts w:ascii="Arial" w:cs="Arial" w:eastAsia="Arial" w:hAnsi="Arial"/>
                <w:sz w:val="22"/>
                <w:szCs w:val="22"/>
                <w:color w:val="0563C1"/>
                <w:w w:val="91"/>
              </w:rPr>
            </w:pPr>
            <w:hyperlink r:id="rId69">
              <w:r>
                <w:rPr>
                  <w:rFonts w:ascii="Arial" w:cs="Arial" w:eastAsia="Arial" w:hAnsi="Arial"/>
                  <w:sz w:val="22"/>
                  <w:szCs w:val="22"/>
                  <w:color w:val="0563C1"/>
                  <w:w w:val="91"/>
                </w:rPr>
                <w:t>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gridSpan w:val="20"/>
          </w:tcPr>
          <w:p>
            <w:pPr>
              <w:spacing w:after="0" w:line="209" w:lineRule="exact"/>
              <w:rPr>
                <w:rFonts w:ascii="Arial" w:cs="Arial" w:eastAsia="Arial" w:hAnsi="Arial"/>
                <w:sz w:val="22"/>
                <w:szCs w:val="22"/>
                <w:color w:val="0563C1"/>
              </w:rPr>
            </w:pPr>
            <w:hyperlink r:id="rId69">
              <w:r>
                <w:rPr>
                  <w:rFonts w:ascii="Arial" w:cs="Arial" w:eastAsia="Arial" w:hAnsi="Arial"/>
                  <w:sz w:val="22"/>
                  <w:szCs w:val="22"/>
                  <w:color w:val="0563C1"/>
                </w:rPr>
                <w:t>K, filed with the SEC on April 23, 2019)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1.3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4"/>
              </w:rPr>
            </w:pPr>
            <w:hyperlink r:id="rId70">
              <w:r>
                <w:rPr>
                  <w:rFonts w:ascii="Arial" w:cs="Arial" w:eastAsia="Arial" w:hAnsi="Arial"/>
                  <w:sz w:val="22"/>
                  <w:szCs w:val="22"/>
                  <w:color w:val="0563C1"/>
                  <w:w w:val="94"/>
                </w:rPr>
                <w:t>Underwriting Agreement, dated April 24, 2019, among Aqua America, Inc. and RBC Capital Markets,</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940" w:type="dxa"/>
            <w:vAlign w:val="bottom"/>
            <w:tcBorders>
              <w:top w:val="single" w:sz="8" w:color="0563C1"/>
            </w:tcBorders>
            <w:gridSpan w:val="13"/>
          </w:tcPr>
          <w:p>
            <w:pPr>
              <w:spacing w:after="0" w:line="209" w:lineRule="exact"/>
              <w:rPr>
                <w:rFonts w:ascii="Arial" w:cs="Arial" w:eastAsia="Arial" w:hAnsi="Arial"/>
                <w:sz w:val="22"/>
                <w:szCs w:val="22"/>
                <w:color w:val="0563C1"/>
                <w:w w:val="88"/>
              </w:rPr>
            </w:pPr>
            <w:hyperlink r:id="rId70">
              <w:r>
                <w:rPr>
                  <w:rFonts w:ascii="Arial" w:cs="Arial" w:eastAsia="Arial" w:hAnsi="Arial"/>
                  <w:sz w:val="22"/>
                  <w:szCs w:val="22"/>
                  <w:color w:val="0563C1"/>
                  <w:w w:val="88"/>
                </w:rPr>
                <w:t>LLC and Goldman Sachs &amp; Co. LLC, as representatives of the several underwriters named in Schedule</w:t>
              </w:r>
            </w:hyperlink>
          </w:p>
        </w:tc>
        <w:tc>
          <w:tcPr>
            <w:tcW w:w="20" w:type="dxa"/>
            <w:vAlign w:val="bottom"/>
          </w:tcPr>
          <w:p>
            <w:pPr>
              <w:spacing w:after="0"/>
              <w:rPr>
                <w:sz w:val="18"/>
                <w:szCs w:val="18"/>
                <w:color w:val="auto"/>
              </w:rPr>
            </w:pPr>
          </w:p>
        </w:tc>
        <w:tc>
          <w:tcPr>
            <w:tcW w:w="340" w:type="dxa"/>
            <w:vAlign w:val="bottom"/>
            <w:gridSpan w:val="15"/>
          </w:tcPr>
          <w:p>
            <w:pPr>
              <w:jc w:val="center"/>
              <w:ind w:right="220"/>
              <w:spacing w:after="0" w:line="209" w:lineRule="exact"/>
              <w:rPr>
                <w:rFonts w:ascii="Arial" w:cs="Arial" w:eastAsia="Arial" w:hAnsi="Arial"/>
                <w:sz w:val="22"/>
                <w:szCs w:val="22"/>
                <w:color w:val="0563C1"/>
              </w:rPr>
            </w:pPr>
            <w:hyperlink r:id="rId70">
              <w:r>
                <w:rPr>
                  <w:rFonts w:ascii="Arial" w:cs="Arial" w:eastAsia="Arial" w:hAnsi="Arial"/>
                  <w:sz w:val="22"/>
                  <w:szCs w:val="22"/>
                  <w:color w:val="0563C1"/>
                </w:rPr>
                <w:t>I</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tcBorders>
              <w:top w:val="single" w:sz="8" w:color="0563C1"/>
              <w:bottom w:val="single" w:sz="8" w:color="0563C1"/>
            </w:tcBorders>
            <w:gridSpan w:val="20"/>
          </w:tcPr>
          <w:p>
            <w:pPr>
              <w:spacing w:after="0" w:line="209" w:lineRule="exact"/>
              <w:rPr>
                <w:rFonts w:ascii="Arial" w:cs="Arial" w:eastAsia="Arial" w:hAnsi="Arial"/>
                <w:sz w:val="22"/>
                <w:szCs w:val="22"/>
                <w:color w:val="0563C1"/>
                <w:w w:val="90"/>
              </w:rPr>
            </w:pPr>
            <w:hyperlink r:id="rId70">
              <w:r>
                <w:rPr>
                  <w:rFonts w:ascii="Arial" w:cs="Arial" w:eastAsia="Arial" w:hAnsi="Arial"/>
                  <w:sz w:val="22"/>
                  <w:szCs w:val="22"/>
                  <w:color w:val="0563C1"/>
                  <w:w w:val="90"/>
                </w:rPr>
                <w:t>thereto (incorporated by reference to Exhibit 1.1 to the Company’ Current Report on Form 8-K, filed with</w:t>
              </w:r>
            </w:hyperlink>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40" w:type="dxa"/>
            <w:vAlign w:val="bottom"/>
            <w:tcBorders>
              <w:bottom w:val="single" w:sz="8" w:color="0563C1"/>
            </w:tcBorders>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60" w:type="dxa"/>
            <w:vAlign w:val="bottom"/>
            <w:gridSpan w:val="27"/>
          </w:tcPr>
          <w:p>
            <w:pPr>
              <w:spacing w:after="0" w:line="209" w:lineRule="exact"/>
              <w:rPr>
                <w:rFonts w:ascii="Arial" w:cs="Arial" w:eastAsia="Arial" w:hAnsi="Arial"/>
                <w:sz w:val="22"/>
                <w:szCs w:val="22"/>
                <w:color w:val="0563C1"/>
              </w:rPr>
            </w:pPr>
            <w:hyperlink r:id="rId70">
              <w:r>
                <w:rPr>
                  <w:rFonts w:ascii="Arial" w:cs="Arial" w:eastAsia="Arial" w:hAnsi="Arial"/>
                  <w:sz w:val="22"/>
                  <w:szCs w:val="22"/>
                  <w:color w:val="0563C1"/>
                </w:rPr>
                <w:t>the SEC on April 26, 2019)</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1"/>
              </w:rPr>
            </w:pPr>
            <w:hyperlink r:id="rId71">
              <w:r>
                <w:rPr>
                  <w:rFonts w:ascii="Arial" w:cs="Arial" w:eastAsia="Arial" w:hAnsi="Arial"/>
                  <w:sz w:val="22"/>
                  <w:szCs w:val="22"/>
                  <w:color w:val="0563C1"/>
                  <w:w w:val="91"/>
                </w:rPr>
                <w:t>Purchase Contract Agreement, dated April 23, 2019, between Aqua America, Inc. and U.S. Bank N.A, as</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80" w:type="dxa"/>
            <w:vAlign w:val="bottom"/>
            <w:tcBorders>
              <w:top w:val="single" w:sz="8" w:color="0563C1"/>
            </w:tcBorders>
            <w:gridSpan w:val="23"/>
          </w:tcPr>
          <w:p>
            <w:pPr>
              <w:spacing w:after="0" w:line="209" w:lineRule="exact"/>
              <w:rPr>
                <w:rFonts w:ascii="Arial" w:cs="Arial" w:eastAsia="Arial" w:hAnsi="Arial"/>
                <w:sz w:val="22"/>
                <w:szCs w:val="22"/>
                <w:color w:val="0563C1"/>
                <w:w w:val="90"/>
              </w:rPr>
            </w:pPr>
            <w:hyperlink r:id="rId71">
              <w:r>
                <w:rPr>
                  <w:rFonts w:ascii="Arial" w:cs="Arial" w:eastAsia="Arial" w:hAnsi="Arial"/>
                  <w:sz w:val="22"/>
                  <w:szCs w:val="22"/>
                  <w:color w:val="0563C1"/>
                  <w:w w:val="90"/>
                </w:rPr>
                <w:t>purchase contract agent, as attorney-in-fact for the Holders from time to time as provided therein and as</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20" w:type="dxa"/>
            <w:vAlign w:val="bottom"/>
            <w:tcBorders>
              <w:top w:val="single" w:sz="8" w:color="0563C1"/>
              <w:bottom w:val="single" w:sz="8" w:color="0563C1"/>
            </w:tcBorders>
            <w:gridSpan w:val="15"/>
          </w:tcPr>
          <w:p>
            <w:pPr>
              <w:spacing w:after="0" w:line="209" w:lineRule="exact"/>
              <w:rPr>
                <w:rFonts w:ascii="Arial" w:cs="Arial" w:eastAsia="Arial" w:hAnsi="Arial"/>
                <w:sz w:val="22"/>
                <w:szCs w:val="22"/>
                <w:color w:val="0563C1"/>
                <w:w w:val="88"/>
              </w:rPr>
            </w:pPr>
            <w:hyperlink r:id="rId71">
              <w:r>
                <w:rPr>
                  <w:rFonts w:ascii="Arial" w:cs="Arial" w:eastAsia="Arial" w:hAnsi="Arial"/>
                  <w:sz w:val="22"/>
                  <w:szCs w:val="22"/>
                  <w:color w:val="0563C1"/>
                  <w:w w:val="88"/>
                </w:rPr>
                <w:t>trustee under the indenture referred to therein (incorporated by reference to Exhibit 4.1 to the Company’s</w:t>
              </w:r>
            </w:hyperlink>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40" w:type="dxa"/>
            <w:vAlign w:val="bottom"/>
            <w:tcBorders>
              <w:bottom w:val="single" w:sz="8" w:color="0563C1"/>
            </w:tcBorders>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40" w:type="dxa"/>
            <w:vAlign w:val="bottom"/>
            <w:gridSpan w:val="21"/>
          </w:tcPr>
          <w:p>
            <w:pPr>
              <w:spacing w:after="0" w:line="209" w:lineRule="exact"/>
              <w:rPr>
                <w:rFonts w:ascii="Arial" w:cs="Arial" w:eastAsia="Arial" w:hAnsi="Arial"/>
                <w:sz w:val="22"/>
                <w:szCs w:val="22"/>
                <w:color w:val="0563C1"/>
              </w:rPr>
            </w:pPr>
            <w:hyperlink r:id="rId71">
              <w:r>
                <w:rPr>
                  <w:rFonts w:ascii="Arial" w:cs="Arial" w:eastAsia="Arial" w:hAnsi="Arial"/>
                  <w:sz w:val="22"/>
                  <w:szCs w:val="22"/>
                  <w:color w:val="0563C1"/>
                </w:rPr>
                <w:t>Current Report on Form 8-K, filed with the SEC on April 23, 2019)</w:t>
              </w:r>
            </w:hyperlink>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2580" w:type="dxa"/>
            <w:vAlign w:val="bottom"/>
            <w:gridSpan w:val="2"/>
            <w:shd w:val="clear" w:color="auto" w:fill="0563C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3"/>
              </w:rPr>
            </w:pPr>
            <w:hyperlink r:id="rId71">
              <w:r>
                <w:rPr>
                  <w:rFonts w:ascii="Arial" w:cs="Arial" w:eastAsia="Arial" w:hAnsi="Arial"/>
                  <w:sz w:val="22"/>
                  <w:szCs w:val="22"/>
                  <w:color w:val="0563C1"/>
                  <w:w w:val="93"/>
                </w:rPr>
                <w:t>Form of Unit (included in Exhibit 4.1 above) (incorporated by reference to Exhibit 4.2 to the Company’s</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00" w:type="dxa"/>
            <w:vAlign w:val="bottom"/>
            <w:tcBorders>
              <w:top w:val="single" w:sz="8" w:color="0563C1"/>
            </w:tcBorders>
            <w:gridSpan w:val="19"/>
          </w:tcPr>
          <w:p>
            <w:pPr>
              <w:spacing w:after="0" w:line="209" w:lineRule="exact"/>
              <w:rPr>
                <w:rFonts w:ascii="Arial" w:cs="Arial" w:eastAsia="Arial" w:hAnsi="Arial"/>
                <w:sz w:val="22"/>
                <w:szCs w:val="22"/>
                <w:color w:val="0563C1"/>
              </w:rPr>
            </w:pPr>
            <w:hyperlink r:id="rId71">
              <w:r>
                <w:rPr>
                  <w:rFonts w:ascii="Arial" w:cs="Arial" w:eastAsia="Arial" w:hAnsi="Arial"/>
                  <w:sz w:val="22"/>
                  <w:szCs w:val="22"/>
                  <w:color w:val="0563C1"/>
                </w:rPr>
                <w:t>Current Report on Form 8-K, filed with the SEC on April 23, 2019)</w:t>
              </w:r>
            </w:hyperlink>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2580" w:type="dxa"/>
            <w:vAlign w:val="bottom"/>
            <w:gridSpan w:val="2"/>
            <w:shd w:val="clear" w:color="auto" w:fill="0563C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1"/>
              </w:rPr>
            </w:pPr>
            <w:hyperlink r:id="rId71">
              <w:r>
                <w:rPr>
                  <w:rFonts w:ascii="Arial" w:cs="Arial" w:eastAsia="Arial" w:hAnsi="Arial"/>
                  <w:sz w:val="22"/>
                  <w:szCs w:val="22"/>
                  <w:color w:val="0563C1"/>
                  <w:w w:val="91"/>
                </w:rPr>
                <w:t>Form of Purchase Contract (included with Exhibit 4.1 above) (incorporated by reference to Exhibit 4.3 to</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0" w:type="dxa"/>
            <w:vAlign w:val="bottom"/>
            <w:tcBorders>
              <w:top w:val="single" w:sz="8" w:color="0563C1"/>
            </w:tcBorders>
            <w:gridSpan w:val="24"/>
          </w:tcPr>
          <w:p>
            <w:pPr>
              <w:spacing w:after="0" w:line="209" w:lineRule="exact"/>
              <w:rPr>
                <w:rFonts w:ascii="Arial" w:cs="Arial" w:eastAsia="Arial" w:hAnsi="Arial"/>
                <w:sz w:val="22"/>
                <w:szCs w:val="22"/>
                <w:color w:val="0563C1"/>
              </w:rPr>
            </w:pPr>
            <w:hyperlink r:id="rId71">
              <w:r>
                <w:rPr>
                  <w:rFonts w:ascii="Arial" w:cs="Arial" w:eastAsia="Arial" w:hAnsi="Arial"/>
                  <w:sz w:val="22"/>
                  <w:szCs w:val="22"/>
                  <w:color w:val="0563C1"/>
                </w:rPr>
                <w:t>the Company’s Current Report on Form 8-K, filed with the SEC on April 23, 2019)</w:t>
              </w:r>
            </w:hyperlink>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3940" w:type="dxa"/>
            <w:vAlign w:val="bottom"/>
            <w:gridSpan w:val="3"/>
            <w:shd w:val="clear" w:color="auto" w:fill="0563C1"/>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7"/>
              </w:rPr>
            </w:pPr>
            <w:hyperlink r:id="rId72">
              <w:r>
                <w:rPr>
                  <w:rFonts w:ascii="Arial" w:cs="Arial" w:eastAsia="Arial" w:hAnsi="Arial"/>
                  <w:sz w:val="22"/>
                  <w:szCs w:val="22"/>
                  <w:color w:val="0563C1"/>
                  <w:w w:val="97"/>
                </w:rPr>
                <w:t>Indenture, dated as of April 23, 2019, between Aqua America, Inc. and U.S. Bank N.A., as trustee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5180" w:type="dxa"/>
            <w:vAlign w:val="bottom"/>
            <w:gridSpan w:val="4"/>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gridSpan w:val="20"/>
            <w:vMerge w:val="restart"/>
          </w:tcPr>
          <w:p>
            <w:pPr>
              <w:jc w:val="center"/>
              <w:ind w:right="380"/>
              <w:spacing w:after="0" w:line="229" w:lineRule="exact"/>
              <w:rPr>
                <w:rFonts w:ascii="Arial" w:cs="Arial" w:eastAsia="Arial" w:hAnsi="Arial"/>
                <w:sz w:val="22"/>
                <w:szCs w:val="22"/>
                <w:color w:val="0563C1"/>
                <w:w w:val="84"/>
              </w:rPr>
            </w:pPr>
            <w:hyperlink r:id="rId72">
              <w:r>
                <w:rPr>
                  <w:rFonts w:ascii="Arial" w:cs="Arial" w:eastAsia="Arial" w:hAnsi="Arial"/>
                  <w:sz w:val="22"/>
                  <w:szCs w:val="22"/>
                  <w:color w:val="0563C1"/>
                  <w:w w:val="84"/>
                </w:rPr>
                <w:t>the</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80" w:type="dxa"/>
            <w:vAlign w:val="bottom"/>
            <w:gridSpan w:val="8"/>
          </w:tcPr>
          <w:p>
            <w:pPr>
              <w:spacing w:after="0" w:line="209" w:lineRule="exact"/>
              <w:rPr>
                <w:rFonts w:ascii="Arial" w:cs="Arial" w:eastAsia="Arial" w:hAnsi="Arial"/>
                <w:sz w:val="22"/>
                <w:szCs w:val="22"/>
                <w:color w:val="0563C1"/>
                <w:w w:val="90"/>
              </w:rPr>
            </w:pPr>
            <w:hyperlink r:id="rId72">
              <w:r>
                <w:rPr>
                  <w:rFonts w:ascii="Arial" w:cs="Arial" w:eastAsia="Arial" w:hAnsi="Arial"/>
                  <w:sz w:val="22"/>
                  <w:szCs w:val="22"/>
                  <w:color w:val="0563C1"/>
                  <w:w w:val="90"/>
                </w:rPr>
                <w:t>(incorporated by reference to Exhibit 4.4 to the Company’s Current Report on Form 8-K, filed with</w:t>
              </w:r>
            </w:hyperlink>
          </w:p>
        </w:tc>
        <w:tc>
          <w:tcPr>
            <w:tcW w:w="40" w:type="dxa"/>
            <w:vAlign w:val="bottom"/>
            <w:vMerge w:val="continue"/>
          </w:tcPr>
          <w:p>
            <w:pPr>
              <w:spacing w:after="0"/>
              <w:rPr>
                <w:sz w:val="18"/>
                <w:szCs w:val="18"/>
                <w:color w:val="auto"/>
              </w:rPr>
            </w:pPr>
          </w:p>
        </w:tc>
        <w:tc>
          <w:tcPr>
            <w:tcW w:w="680" w:type="dxa"/>
            <w:vAlign w:val="bottom"/>
            <w:gridSpan w:val="2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960" w:type="dxa"/>
            <w:vAlign w:val="bottom"/>
            <w:tcBorders>
              <w:top w:val="single" w:sz="8" w:color="0563C1"/>
            </w:tcBorders>
            <w:gridSpan w:val="14"/>
          </w:tcPr>
          <w:p>
            <w:pPr>
              <w:spacing w:after="0" w:line="209" w:lineRule="exact"/>
              <w:rPr>
                <w:rFonts w:ascii="Arial" w:cs="Arial" w:eastAsia="Arial" w:hAnsi="Arial"/>
                <w:sz w:val="22"/>
                <w:szCs w:val="22"/>
                <w:color w:val="0563C1"/>
              </w:rPr>
            </w:pPr>
            <w:hyperlink r:id="rId72">
              <w:r>
                <w:rPr>
                  <w:rFonts w:ascii="Arial" w:cs="Arial" w:eastAsia="Arial" w:hAnsi="Arial"/>
                  <w:sz w:val="22"/>
                  <w:szCs w:val="22"/>
                  <w:color w:val="0563C1"/>
                </w:rPr>
                <w:t>SEC on April 23, 2019)</w:t>
              </w:r>
            </w:hyperlink>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4"/>
              </w:rPr>
            </w:pPr>
            <w:hyperlink r:id="rId73">
              <w:r>
                <w:rPr>
                  <w:rFonts w:ascii="Arial" w:cs="Arial" w:eastAsia="Arial" w:hAnsi="Arial"/>
                  <w:sz w:val="22"/>
                  <w:szCs w:val="22"/>
                  <w:color w:val="0563C1"/>
                  <w:w w:val="94"/>
                </w:rPr>
                <w:t>First Supplemental Indenture, dated as of April 23, 2019, between Aqua America, Inc. and U.S. Bank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gridSpan w:val="3"/>
            <w:shd w:val="clear" w:color="auto" w:fill="0563C1"/>
          </w:tcPr>
          <w:p>
            <w:pPr>
              <w:spacing w:after="0" w:line="20" w:lineRule="exact"/>
              <w:rPr>
                <w:sz w:val="1"/>
                <w:szCs w:val="1"/>
                <w:color w:val="auto"/>
              </w:rPr>
            </w:pPr>
          </w:p>
        </w:tc>
        <w:tc>
          <w:tcPr>
            <w:tcW w:w="5180" w:type="dxa"/>
            <w:vAlign w:val="bottom"/>
            <w:gridSpan w:val="4"/>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300" w:type="dxa"/>
            <w:vAlign w:val="bottom"/>
            <w:gridSpan w:val="29"/>
          </w:tcPr>
          <w:p>
            <w:pPr>
              <w:spacing w:after="0" w:line="209" w:lineRule="exact"/>
              <w:rPr>
                <w:rFonts w:ascii="Arial" w:cs="Arial" w:eastAsia="Arial" w:hAnsi="Arial"/>
                <w:sz w:val="22"/>
                <w:szCs w:val="22"/>
                <w:color w:val="0563C1"/>
                <w:w w:val="91"/>
              </w:rPr>
            </w:pPr>
            <w:hyperlink r:id="rId73">
              <w:r>
                <w:rPr>
                  <w:rFonts w:ascii="Arial" w:cs="Arial" w:eastAsia="Arial" w:hAnsi="Arial"/>
                  <w:sz w:val="22"/>
                  <w:szCs w:val="22"/>
                  <w:color w:val="0563C1"/>
                  <w:w w:val="91"/>
                </w:rPr>
                <w:t>N.A., as trustee (incorporated by reference to Exhibit 4.5 to the Company’s Current Report on Form 8-K,</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tcBorders>
              <w:top w:val="single" w:sz="8" w:color="0563C1"/>
              <w:bottom w:val="single" w:sz="8" w:color="0563C1"/>
            </w:tcBorders>
            <w:gridSpan w:val="3"/>
          </w:tcPr>
          <w:p>
            <w:pPr>
              <w:spacing w:after="0" w:line="209" w:lineRule="exact"/>
              <w:rPr>
                <w:rFonts w:ascii="Arial" w:cs="Arial" w:eastAsia="Arial" w:hAnsi="Arial"/>
                <w:sz w:val="22"/>
                <w:szCs w:val="22"/>
                <w:color w:val="0563C1"/>
                <w:w w:val="91"/>
              </w:rPr>
            </w:pPr>
            <w:hyperlink r:id="rId73">
              <w:r>
                <w:rPr>
                  <w:rFonts w:ascii="Arial" w:cs="Arial" w:eastAsia="Arial" w:hAnsi="Arial"/>
                  <w:sz w:val="22"/>
                  <w:szCs w:val="22"/>
                  <w:color w:val="0563C1"/>
                  <w:w w:val="91"/>
                </w:rPr>
                <w:t>filed with the SEC on April 23, 2019)</w:t>
              </w:r>
            </w:hyperlink>
          </w:p>
        </w:tc>
        <w:tc>
          <w:tcPr>
            <w:tcW w:w="5900" w:type="dxa"/>
            <w:vAlign w:val="bottom"/>
            <w:tcBorders>
              <w:top w:val="single" w:sz="8" w:color="0563C1"/>
            </w:tcBorders>
            <w:gridSpan w:val="19"/>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1"/>
              </w:rPr>
            </w:pPr>
            <w:hyperlink r:id="rId74">
              <w:r>
                <w:rPr>
                  <w:rFonts w:ascii="Arial" w:cs="Arial" w:eastAsia="Arial" w:hAnsi="Arial"/>
                  <w:sz w:val="22"/>
                  <w:szCs w:val="22"/>
                  <w:color w:val="0563C1"/>
                  <w:w w:val="91"/>
                </w:rPr>
                <w:t>Second Supplemental Indenture, dated as of April 23, 2019, between Aqua America, Inc. and U.S. Bank</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80" w:type="dxa"/>
            <w:vAlign w:val="bottom"/>
            <w:tcBorders>
              <w:top w:val="single" w:sz="8" w:color="0563C1"/>
            </w:tcBorders>
            <w:gridSpan w:val="18"/>
          </w:tcPr>
          <w:p>
            <w:pPr>
              <w:spacing w:after="0" w:line="209" w:lineRule="exact"/>
              <w:rPr>
                <w:rFonts w:ascii="Arial" w:cs="Arial" w:eastAsia="Arial" w:hAnsi="Arial"/>
                <w:sz w:val="22"/>
                <w:szCs w:val="22"/>
                <w:color w:val="0563C1"/>
                <w:w w:val="89"/>
              </w:rPr>
            </w:pPr>
            <w:hyperlink r:id="rId74">
              <w:r>
                <w:rPr>
                  <w:rFonts w:ascii="Arial" w:cs="Arial" w:eastAsia="Arial" w:hAnsi="Arial"/>
                  <w:sz w:val="22"/>
                  <w:szCs w:val="22"/>
                  <w:color w:val="0563C1"/>
                  <w:w w:val="89"/>
                </w:rPr>
                <w:t>N.A., as trustee (incorporated by reference to Exhibit 4.6 to the Company’s Current Report on Form 8-K,</w:t>
              </w:r>
            </w:hyperlink>
          </w:p>
        </w:tc>
        <w:tc>
          <w:tcPr>
            <w:tcW w:w="140" w:type="dxa"/>
            <w:vAlign w:val="bottom"/>
            <w:gridSpan w:val="7"/>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tcBorders>
              <w:top w:val="single" w:sz="8" w:color="0563C1"/>
              <w:bottom w:val="single" w:sz="8" w:color="0563C1"/>
            </w:tcBorders>
            <w:gridSpan w:val="3"/>
          </w:tcPr>
          <w:p>
            <w:pPr>
              <w:spacing w:after="0" w:line="209" w:lineRule="exact"/>
              <w:rPr>
                <w:rFonts w:ascii="Arial" w:cs="Arial" w:eastAsia="Arial" w:hAnsi="Arial"/>
                <w:sz w:val="22"/>
                <w:szCs w:val="22"/>
                <w:color w:val="0563C1"/>
                <w:w w:val="91"/>
              </w:rPr>
            </w:pPr>
            <w:hyperlink r:id="rId74">
              <w:r>
                <w:rPr>
                  <w:rFonts w:ascii="Arial" w:cs="Arial" w:eastAsia="Arial" w:hAnsi="Arial"/>
                  <w:sz w:val="22"/>
                  <w:szCs w:val="22"/>
                  <w:color w:val="0563C1"/>
                  <w:w w:val="91"/>
                </w:rPr>
                <w:t>filed with the SEC on April 23, 2019)</w:t>
              </w:r>
            </w:hyperlink>
          </w:p>
        </w:tc>
        <w:tc>
          <w:tcPr>
            <w:tcW w:w="5900" w:type="dxa"/>
            <w:vAlign w:val="bottom"/>
            <w:tcBorders>
              <w:top w:val="single" w:sz="8" w:color="0563C1"/>
            </w:tcBorders>
            <w:gridSpan w:val="19"/>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4"/>
              </w:rPr>
            </w:pPr>
            <w:hyperlink r:id="rId74">
              <w:r>
                <w:rPr>
                  <w:rFonts w:ascii="Arial" w:cs="Arial" w:eastAsia="Arial" w:hAnsi="Arial"/>
                  <w:sz w:val="22"/>
                  <w:szCs w:val="22"/>
                  <w:color w:val="0563C1"/>
                  <w:w w:val="94"/>
                </w:rPr>
                <w:t>Form of Amortizing Note (included with Exhibit 4.6 above) (incorporated by reference to Exhibit 4.7 to</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60" w:type="dxa"/>
            <w:vAlign w:val="bottom"/>
            <w:tcBorders>
              <w:top w:val="single" w:sz="8" w:color="0563C1"/>
            </w:tcBorders>
            <w:gridSpan w:val="17"/>
          </w:tcPr>
          <w:p>
            <w:pPr>
              <w:spacing w:after="0" w:line="209" w:lineRule="exact"/>
              <w:rPr>
                <w:rFonts w:ascii="Arial" w:cs="Arial" w:eastAsia="Arial" w:hAnsi="Arial"/>
                <w:sz w:val="22"/>
                <w:szCs w:val="22"/>
                <w:color w:val="0563C1"/>
              </w:rPr>
            </w:pPr>
            <w:hyperlink r:id="rId74">
              <w:r>
                <w:rPr>
                  <w:rFonts w:ascii="Arial" w:cs="Arial" w:eastAsia="Arial" w:hAnsi="Arial"/>
                  <w:sz w:val="22"/>
                  <w:szCs w:val="22"/>
                  <w:color w:val="0563C1"/>
                </w:rPr>
                <w:t>the Company’s Current Report on Form 8-K, filed with the SEC on April 23, 2019)</w:t>
              </w:r>
            </w:hyperlink>
          </w:p>
        </w:tc>
        <w:tc>
          <w:tcPr>
            <w:tcW w:w="160" w:type="dxa"/>
            <w:vAlign w:val="bottom"/>
            <w:gridSpan w:val="8"/>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40" w:type="dxa"/>
            <w:vAlign w:val="bottom"/>
            <w:tcBorders>
              <w:top w:val="single" w:sz="8" w:color="0563C1"/>
            </w:tcBorders>
            <w:gridSpan w:val="5"/>
          </w:tcPr>
          <w:p>
            <w:pPr>
              <w:jc w:val="right"/>
              <w:ind w:right="2200"/>
              <w:spacing w:after="0"/>
              <w:rPr>
                <w:sz w:val="20"/>
                <w:szCs w:val="20"/>
                <w:color w:val="auto"/>
              </w:rPr>
            </w:pPr>
            <w:r>
              <w:rPr>
                <w:rFonts w:ascii="Arial" w:cs="Arial" w:eastAsia="Arial" w:hAnsi="Arial"/>
                <w:sz w:val="22"/>
                <w:szCs w:val="22"/>
                <w:color w:val="auto"/>
              </w:rPr>
              <w:t>48</w:t>
            </w:r>
          </w:p>
        </w:tc>
        <w:tc>
          <w:tcPr>
            <w:tcW w:w="1360" w:type="dxa"/>
            <w:vAlign w:val="bottom"/>
            <w:tcBorders>
              <w:top w:val="single" w:sz="8" w:color="0563C1"/>
            </w:tcBorders>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gridSpan w:val="2"/>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180" w:type="dxa"/>
            <w:vAlign w:val="bottom"/>
            <w:gridSpan w:val="4"/>
          </w:tcPr>
          <w:p>
            <w:pPr>
              <w:spacing w:after="0"/>
              <w:rPr>
                <w:rFonts w:ascii="Arial" w:cs="Arial" w:eastAsia="Arial" w:hAnsi="Arial"/>
                <w:sz w:val="22"/>
                <w:szCs w:val="22"/>
                <w:color w:val="0563C1"/>
              </w:rPr>
            </w:pPr>
            <w:hyperlink w:anchor="page1">
              <w:r>
                <w:rPr>
                  <w:rFonts w:ascii="Arial" w:cs="Arial" w:eastAsia="Arial" w:hAnsi="Arial"/>
                  <w:sz w:val="22"/>
                  <w:szCs w:val="22"/>
                  <w:color w:val="0563C1"/>
                </w:rPr>
                <w:t>Table of Contents</w:t>
              </w:r>
            </w:hyperlink>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520" w:type="dxa"/>
            <w:vAlign w:val="bottom"/>
            <w:tcBorders>
              <w:top w:val="single" w:sz="8" w:color="0563C1"/>
            </w:tcBorders>
          </w:tcPr>
          <w:p>
            <w:pPr>
              <w:spacing w:after="0"/>
              <w:rPr>
                <w:sz w:val="20"/>
                <w:szCs w:val="20"/>
                <w:color w:val="auto"/>
              </w:rPr>
            </w:pPr>
            <w:r>
              <w:rPr>
                <w:rFonts w:ascii="Arial" w:cs="Arial" w:eastAsia="Arial" w:hAnsi="Arial"/>
                <w:sz w:val="22"/>
                <w:szCs w:val="22"/>
                <w:color w:val="auto"/>
              </w:rPr>
              <w:t>4.8</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3"/>
              </w:rPr>
            </w:pPr>
            <w:hyperlink r:id="rId75">
              <w:r>
                <w:rPr>
                  <w:rFonts w:ascii="Arial" w:cs="Arial" w:eastAsia="Arial" w:hAnsi="Arial"/>
                  <w:sz w:val="22"/>
                  <w:szCs w:val="22"/>
                  <w:color w:val="0563C1"/>
                  <w:w w:val="93"/>
                </w:rPr>
                <w:t>Third Supplemental Indenture, dated as of April 26, 2019, between Aqua America, Inc. and U.S. Bank</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920" w:type="dxa"/>
            <w:vAlign w:val="bottom"/>
            <w:tcBorders>
              <w:top w:val="single" w:sz="8" w:color="0563C1"/>
            </w:tcBorders>
            <w:gridSpan w:val="12"/>
          </w:tcPr>
          <w:p>
            <w:pPr>
              <w:spacing w:after="0" w:line="209" w:lineRule="exact"/>
              <w:rPr>
                <w:rFonts w:ascii="Arial" w:cs="Arial" w:eastAsia="Arial" w:hAnsi="Arial"/>
                <w:sz w:val="22"/>
                <w:szCs w:val="22"/>
                <w:color w:val="0563C1"/>
                <w:w w:val="89"/>
              </w:rPr>
            </w:pPr>
            <w:hyperlink r:id="rId75">
              <w:r>
                <w:rPr>
                  <w:rFonts w:ascii="Arial" w:cs="Arial" w:eastAsia="Arial" w:hAnsi="Arial"/>
                  <w:sz w:val="22"/>
                  <w:szCs w:val="22"/>
                  <w:color w:val="0563C1"/>
                  <w:w w:val="89"/>
                </w:rPr>
                <w:t>N.A., as trustee (incorporated by reference to Exhibit 4.3 to the Company’s Current Report on Form 8-</w:t>
              </w:r>
            </w:hyperlink>
          </w:p>
        </w:tc>
        <w:tc>
          <w:tcPr>
            <w:tcW w:w="380" w:type="dxa"/>
            <w:vAlign w:val="bottom"/>
            <w:gridSpan w:val="17"/>
          </w:tcPr>
          <w:p>
            <w:pPr>
              <w:jc w:val="center"/>
              <w:ind w:right="220"/>
              <w:spacing w:after="0" w:line="209" w:lineRule="exact"/>
              <w:rPr>
                <w:rFonts w:ascii="Arial" w:cs="Arial" w:eastAsia="Arial" w:hAnsi="Arial"/>
                <w:sz w:val="22"/>
                <w:szCs w:val="22"/>
                <w:color w:val="0563C1"/>
                <w:w w:val="76"/>
              </w:rPr>
            </w:pPr>
            <w:hyperlink r:id="rId75">
              <w:r>
                <w:rPr>
                  <w:rFonts w:ascii="Arial" w:cs="Arial" w:eastAsia="Arial" w:hAnsi="Arial"/>
                  <w:sz w:val="22"/>
                  <w:szCs w:val="22"/>
                  <w:color w:val="0563C1"/>
                  <w:w w:val="76"/>
                </w:rPr>
                <w:t>K,</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tcBorders>
              <w:top w:val="single" w:sz="8" w:color="0563C1"/>
              <w:bottom w:val="single" w:sz="8" w:color="0563C1"/>
            </w:tcBorders>
            <w:gridSpan w:val="3"/>
          </w:tcPr>
          <w:p>
            <w:pPr>
              <w:spacing w:after="0" w:line="209" w:lineRule="exact"/>
              <w:rPr>
                <w:rFonts w:ascii="Arial" w:cs="Arial" w:eastAsia="Arial" w:hAnsi="Arial"/>
                <w:sz w:val="22"/>
                <w:szCs w:val="22"/>
                <w:color w:val="0563C1"/>
                <w:w w:val="91"/>
              </w:rPr>
            </w:pPr>
            <w:hyperlink r:id="rId75">
              <w:r>
                <w:rPr>
                  <w:rFonts w:ascii="Arial" w:cs="Arial" w:eastAsia="Arial" w:hAnsi="Arial"/>
                  <w:sz w:val="22"/>
                  <w:szCs w:val="22"/>
                  <w:color w:val="0563C1"/>
                  <w:w w:val="91"/>
                </w:rPr>
                <w:t>filed with the SEC on April 26, 2019)</w:t>
              </w:r>
            </w:hyperlink>
          </w:p>
        </w:tc>
        <w:tc>
          <w:tcPr>
            <w:tcW w:w="5900" w:type="dxa"/>
            <w:vAlign w:val="bottom"/>
            <w:tcBorders>
              <w:top w:val="single" w:sz="8" w:color="0563C1"/>
            </w:tcBorders>
            <w:gridSpan w:val="19"/>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4.9</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5"/>
              </w:rPr>
            </w:pPr>
            <w:hyperlink r:id="rId75">
              <w:r>
                <w:rPr>
                  <w:rFonts w:ascii="Arial" w:cs="Arial" w:eastAsia="Arial" w:hAnsi="Arial"/>
                  <w:sz w:val="22"/>
                  <w:szCs w:val="22"/>
                  <w:color w:val="0563C1"/>
                  <w:w w:val="95"/>
                </w:rPr>
                <w:t>Form of Global Note for the 2029 Notes (included in Exhibit 4.8 above) (incorporated by reference to</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40" w:type="dxa"/>
            <w:vAlign w:val="bottom"/>
            <w:tcBorders>
              <w:top w:val="single" w:sz="8" w:color="0563C1"/>
              <w:bottom w:val="single" w:sz="8" w:color="0563C1"/>
            </w:tcBorders>
            <w:gridSpan w:val="7"/>
          </w:tcPr>
          <w:p>
            <w:pPr>
              <w:spacing w:after="0" w:line="209" w:lineRule="exact"/>
              <w:rPr>
                <w:rFonts w:ascii="Arial" w:cs="Arial" w:eastAsia="Arial" w:hAnsi="Arial"/>
                <w:sz w:val="22"/>
                <w:szCs w:val="22"/>
                <w:color w:val="0563C1"/>
                <w:w w:val="90"/>
              </w:rPr>
            </w:pPr>
            <w:hyperlink r:id="rId75">
              <w:r>
                <w:rPr>
                  <w:rFonts w:ascii="Arial" w:cs="Arial" w:eastAsia="Arial" w:hAnsi="Arial"/>
                  <w:sz w:val="22"/>
                  <w:szCs w:val="22"/>
                  <w:color w:val="0563C1"/>
                  <w:w w:val="90"/>
                </w:rPr>
                <w:t>Exhibit 4.4 to the Company’s Current Report on Form 8-K, filed with the SEC on April 26, 2019)</w:t>
              </w:r>
            </w:hyperlink>
          </w:p>
        </w:tc>
        <w:tc>
          <w:tcPr>
            <w:tcW w:w="400" w:type="dxa"/>
            <w:vAlign w:val="bottom"/>
            <w:tcBorders>
              <w:top w:val="single" w:sz="8" w:color="0563C1"/>
            </w:tcBorders>
            <w:gridSpan w:val="3"/>
          </w:tcPr>
          <w:p>
            <w:pPr>
              <w:spacing w:after="0"/>
              <w:rPr>
                <w:sz w:val="18"/>
                <w:szCs w:val="18"/>
                <w:color w:val="auto"/>
              </w:rPr>
            </w:pPr>
          </w:p>
        </w:tc>
        <w:tc>
          <w:tcPr>
            <w:tcW w:w="200" w:type="dxa"/>
            <w:vAlign w:val="bottom"/>
            <w:gridSpan w:val="6"/>
          </w:tcPr>
          <w:p>
            <w:pPr>
              <w:spacing w:after="0"/>
              <w:rPr>
                <w:sz w:val="18"/>
                <w:szCs w:val="18"/>
                <w:color w:val="auto"/>
              </w:rPr>
            </w:pPr>
          </w:p>
        </w:tc>
        <w:tc>
          <w:tcPr>
            <w:tcW w:w="180" w:type="dxa"/>
            <w:vAlign w:val="bottom"/>
            <w:gridSpan w:val="9"/>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4.10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5"/>
              </w:rPr>
            </w:pPr>
            <w:hyperlink r:id="rId75">
              <w:r>
                <w:rPr>
                  <w:rFonts w:ascii="Arial" w:cs="Arial" w:eastAsia="Arial" w:hAnsi="Arial"/>
                  <w:sz w:val="22"/>
                  <w:szCs w:val="22"/>
                  <w:color w:val="0563C1"/>
                  <w:w w:val="95"/>
                </w:rPr>
                <w:t>Form of Global Note for the 2049 Notes (included in Exhibit 4.8 above) (incorporated by reference to</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40" w:type="dxa"/>
            <w:vAlign w:val="bottom"/>
            <w:tcBorders>
              <w:top w:val="single" w:sz="8" w:color="0563C1"/>
              <w:bottom w:val="single" w:sz="8" w:color="0563C1"/>
            </w:tcBorders>
            <w:gridSpan w:val="7"/>
          </w:tcPr>
          <w:p>
            <w:pPr>
              <w:spacing w:after="0" w:line="209" w:lineRule="exact"/>
              <w:rPr>
                <w:rFonts w:ascii="Arial" w:cs="Arial" w:eastAsia="Arial" w:hAnsi="Arial"/>
                <w:sz w:val="22"/>
                <w:szCs w:val="22"/>
                <w:color w:val="0563C1"/>
                <w:w w:val="90"/>
              </w:rPr>
            </w:pPr>
            <w:hyperlink r:id="rId75">
              <w:r>
                <w:rPr>
                  <w:rFonts w:ascii="Arial" w:cs="Arial" w:eastAsia="Arial" w:hAnsi="Arial"/>
                  <w:sz w:val="22"/>
                  <w:szCs w:val="22"/>
                  <w:color w:val="0563C1"/>
                  <w:w w:val="90"/>
                </w:rPr>
                <w:t>Exhibit 4.5 to the Company’s Current Report on Form 8-K, filed with the SEC on April 26, 2019)</w:t>
              </w:r>
            </w:hyperlink>
          </w:p>
        </w:tc>
        <w:tc>
          <w:tcPr>
            <w:tcW w:w="400" w:type="dxa"/>
            <w:vAlign w:val="bottom"/>
            <w:tcBorders>
              <w:top w:val="single" w:sz="8" w:color="0563C1"/>
            </w:tcBorders>
            <w:gridSpan w:val="3"/>
          </w:tcPr>
          <w:p>
            <w:pPr>
              <w:spacing w:after="0"/>
              <w:rPr>
                <w:sz w:val="18"/>
                <w:szCs w:val="18"/>
                <w:color w:val="auto"/>
              </w:rPr>
            </w:pPr>
          </w:p>
        </w:tc>
        <w:tc>
          <w:tcPr>
            <w:tcW w:w="200" w:type="dxa"/>
            <w:vAlign w:val="bottom"/>
            <w:gridSpan w:val="6"/>
          </w:tcPr>
          <w:p>
            <w:pPr>
              <w:spacing w:after="0"/>
              <w:rPr>
                <w:sz w:val="18"/>
                <w:szCs w:val="18"/>
                <w:color w:val="auto"/>
              </w:rPr>
            </w:pPr>
          </w:p>
        </w:tc>
        <w:tc>
          <w:tcPr>
            <w:tcW w:w="180" w:type="dxa"/>
            <w:vAlign w:val="bottom"/>
            <w:gridSpan w:val="9"/>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4.11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gridSpan w:val="29"/>
          </w:tcPr>
          <w:p>
            <w:pPr>
              <w:spacing w:after="0"/>
              <w:rPr>
                <w:rFonts w:ascii="Arial" w:cs="Arial" w:eastAsia="Arial" w:hAnsi="Arial"/>
                <w:sz w:val="22"/>
                <w:szCs w:val="22"/>
                <w:color w:val="0563C1"/>
                <w:w w:val="90"/>
              </w:rPr>
            </w:pPr>
            <w:hyperlink w:anchor="page36">
              <w:r>
                <w:rPr>
                  <w:rFonts w:ascii="Arial" w:cs="Arial" w:eastAsia="Arial" w:hAnsi="Arial"/>
                  <w:sz w:val="22"/>
                  <w:szCs w:val="22"/>
                  <w:color w:val="0563C1"/>
                  <w:w w:val="90"/>
                </w:rPr>
                <w:t>Bond Purchase Agreement, dated May 31, 2019, by and among Aqua Pennsylvania, Inc., Athene Annuity</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20" w:type="dxa"/>
            <w:vAlign w:val="bottom"/>
            <w:tcBorders>
              <w:top w:val="single" w:sz="8" w:color="0563C1"/>
            </w:tcBorders>
            <w:gridSpan w:val="25"/>
          </w:tcPr>
          <w:p>
            <w:pPr>
              <w:spacing w:after="0" w:line="209" w:lineRule="exact"/>
              <w:rPr>
                <w:rFonts w:ascii="Arial" w:cs="Arial" w:eastAsia="Arial" w:hAnsi="Arial"/>
                <w:sz w:val="22"/>
                <w:szCs w:val="22"/>
                <w:color w:val="0563C1"/>
                <w:w w:val="93"/>
              </w:rPr>
            </w:pPr>
            <w:hyperlink w:anchor="page36">
              <w:r>
                <w:rPr>
                  <w:rFonts w:ascii="Arial" w:cs="Arial" w:eastAsia="Arial" w:hAnsi="Arial"/>
                  <w:sz w:val="22"/>
                  <w:szCs w:val="22"/>
                  <w:color w:val="0563C1"/>
                  <w:w w:val="93"/>
                </w:rPr>
                <w:t>and Life Company, Athene Annuity &amp; Life Assurance Company, Genworth Life and Annuity Insurance</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40" w:type="dxa"/>
            <w:vAlign w:val="bottom"/>
            <w:tcBorders>
              <w:top w:val="single" w:sz="8" w:color="0563C1"/>
            </w:tcBorders>
            <w:gridSpan w:val="16"/>
          </w:tcPr>
          <w:p>
            <w:pPr>
              <w:spacing w:after="0" w:line="209" w:lineRule="exact"/>
              <w:rPr>
                <w:rFonts w:ascii="Arial" w:cs="Arial" w:eastAsia="Arial" w:hAnsi="Arial"/>
                <w:sz w:val="22"/>
                <w:szCs w:val="22"/>
                <w:color w:val="0563C1"/>
                <w:w w:val="91"/>
              </w:rPr>
            </w:pPr>
            <w:hyperlink w:anchor="page36">
              <w:r>
                <w:rPr>
                  <w:rFonts w:ascii="Arial" w:cs="Arial" w:eastAsia="Arial" w:hAnsi="Arial"/>
                  <w:sz w:val="22"/>
                  <w:szCs w:val="22"/>
                  <w:color w:val="0563C1"/>
                  <w:w w:val="91"/>
                </w:rPr>
                <w:t>Company, Genworth Life Insurance Company, John Hancock Life Insurance Company (U.S.A), John</w:t>
              </w:r>
            </w:hyperlink>
          </w:p>
        </w:tc>
        <w:tc>
          <w:tcPr>
            <w:tcW w:w="2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20" w:type="dxa"/>
            <w:vAlign w:val="bottom"/>
            <w:tcBorders>
              <w:top w:val="single" w:sz="8" w:color="0563C1"/>
              <w:bottom w:val="single" w:sz="8" w:color="0563C1"/>
            </w:tcBorders>
            <w:gridSpan w:val="9"/>
          </w:tcPr>
          <w:p>
            <w:pPr>
              <w:spacing w:after="0" w:line="209" w:lineRule="exact"/>
              <w:rPr>
                <w:rFonts w:ascii="Arial" w:cs="Arial" w:eastAsia="Arial" w:hAnsi="Arial"/>
                <w:sz w:val="22"/>
                <w:szCs w:val="22"/>
                <w:color w:val="0563C1"/>
                <w:w w:val="90"/>
              </w:rPr>
            </w:pPr>
            <w:hyperlink w:anchor="page36">
              <w:r>
                <w:rPr>
                  <w:rFonts w:ascii="Arial" w:cs="Arial" w:eastAsia="Arial" w:hAnsi="Arial"/>
                  <w:sz w:val="22"/>
                  <w:szCs w:val="22"/>
                  <w:color w:val="0563C1"/>
                  <w:w w:val="90"/>
                </w:rPr>
                <w:t>Hancock Life Insurance Company of New York, John Hancock Life &amp; Health Insurance Company,</w:t>
              </w:r>
            </w:hyperlink>
          </w:p>
        </w:tc>
        <w:tc>
          <w:tcPr>
            <w:tcW w:w="220" w:type="dxa"/>
            <w:vAlign w:val="bottom"/>
            <w:tcBorders>
              <w:top w:val="single" w:sz="8" w:color="0563C1"/>
            </w:tcBorders>
          </w:tcPr>
          <w:p>
            <w:pPr>
              <w:spacing w:after="0"/>
              <w:rPr>
                <w:sz w:val="18"/>
                <w:szCs w:val="18"/>
                <w:color w:val="auto"/>
              </w:rPr>
            </w:pPr>
          </w:p>
        </w:tc>
        <w:tc>
          <w:tcPr>
            <w:tcW w:w="46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-2705100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-2705100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left="2160" w:right="120"/>
        <w:spacing w:after="0" w:line="269" w:lineRule="auto"/>
        <w:rPr>
          <w:rFonts w:ascii="Arial" w:cs="Arial" w:eastAsia="Arial" w:hAnsi="Arial"/>
          <w:sz w:val="19"/>
          <w:szCs w:val="19"/>
          <w:u w:val="single" w:color="auto"/>
          <w:color w:val="0563C1"/>
        </w:rPr>
      </w:pPr>
      <w:hyperlink w:anchor="page36">
        <w:r>
          <w:rPr>
            <w:rFonts w:ascii="Arial" w:cs="Arial" w:eastAsia="Arial" w:hAnsi="Arial"/>
            <w:sz w:val="19"/>
            <w:szCs w:val="19"/>
            <w:u w:val="single" w:color="auto"/>
            <w:color w:val="0563C1"/>
          </w:rPr>
          <w:t>Metropolitan Life Insurance Company, Metropolitan Tower Life Insurance Company, MetLife Insurance</w:t>
        </w:r>
      </w:hyperlink>
      <w:r>
        <w:rPr>
          <w:rFonts w:ascii="Arial" w:cs="Arial" w:eastAsia="Arial" w:hAnsi="Arial"/>
          <w:sz w:val="19"/>
          <w:szCs w:val="19"/>
          <w:u w:val="single" w:color="auto"/>
          <w:color w:val="0563C1"/>
        </w:rPr>
        <w:t xml:space="preserve"> </w:t>
      </w:r>
      <w:hyperlink w:anchor="page36">
        <w:r>
          <w:rPr>
            <w:rFonts w:ascii="Arial" w:cs="Arial" w:eastAsia="Arial" w:hAnsi="Arial"/>
            <w:sz w:val="19"/>
            <w:szCs w:val="19"/>
            <w:u w:val="single" w:color="auto"/>
            <w:color w:val="0563C1"/>
          </w:rPr>
          <w:t>K.K., Brighthouse Life Insurance Company, United of Omaha Life Insurance Company, New York Life</w:t>
        </w:r>
      </w:hyperlink>
      <w:r>
        <w:rPr>
          <w:rFonts w:ascii="Arial" w:cs="Arial" w:eastAsia="Arial" w:hAnsi="Arial"/>
          <w:sz w:val="19"/>
          <w:szCs w:val="19"/>
          <w:u w:val="single" w:color="auto"/>
          <w:color w:val="0563C1"/>
        </w:rPr>
        <w:t xml:space="preserve"> </w:t>
      </w:r>
      <w:hyperlink w:anchor="page36">
        <w:r>
          <w:rPr>
            <w:rFonts w:ascii="Arial" w:cs="Arial" w:eastAsia="Arial" w:hAnsi="Arial"/>
            <w:sz w:val="19"/>
            <w:szCs w:val="19"/>
            <w:u w:val="single" w:color="auto"/>
            <w:color w:val="0563C1"/>
          </w:rPr>
          <w:t>Insurance Company, New York Life Insurance and Annuity Corporation, New York Life Insurance and</w:t>
        </w:r>
      </w:hyperlink>
      <w:r>
        <w:rPr>
          <w:rFonts w:ascii="Arial" w:cs="Arial" w:eastAsia="Arial" w:hAnsi="Arial"/>
          <w:sz w:val="19"/>
          <w:szCs w:val="19"/>
          <w:u w:val="single" w:color="auto"/>
          <w:color w:val="0563C1"/>
        </w:rPr>
        <w:t xml:space="preserve"> </w:t>
      </w:r>
      <w:hyperlink w:anchor="page36">
        <w:r>
          <w:rPr>
            <w:rFonts w:ascii="Arial" w:cs="Arial" w:eastAsia="Arial" w:hAnsi="Arial"/>
            <w:sz w:val="19"/>
            <w:szCs w:val="19"/>
            <w:u w:val="single" w:color="auto"/>
            <w:color w:val="0563C1"/>
          </w:rPr>
          <w:t>Annuity Corporation Institutionally Owned Life Insurance Separate Accounts (BOLI 30C, 30E, 3-2), The</w:t>
        </w:r>
      </w:hyperlink>
    </w:p>
    <w:p>
      <w:pPr>
        <w:spacing w:after="0" w:line="20" w:lineRule="exact"/>
        <w:rPr>
          <w:rFonts w:ascii="Arial" w:cs="Arial" w:eastAsia="Arial" w:hAnsi="Arial"/>
          <w:sz w:val="19"/>
          <w:szCs w:val="19"/>
          <w:u w:val="single" w:color="auto"/>
          <w:color w:val="0563C1"/>
        </w:rPr>
      </w:pPr>
      <w:r>
        <w:rPr>
          <w:rFonts w:ascii="Arial" w:cs="Arial" w:eastAsia="Arial" w:hAnsi="Arial"/>
          <w:sz w:val="19"/>
          <w:szCs w:val="19"/>
          <w:u w:val="single" w:color="auto"/>
          <w:color w:val="0563C1"/>
        </w:rPr>
        <w:drawing>
          <wp:anchor simplePos="0" relativeHeight="251657728" behindDoc="1" locked="0" layoutInCell="0" allowOverlap="1">
            <wp:simplePos x="0" y="0"/>
            <wp:positionH relativeFrom="column">
              <wp:posOffset>1377315</wp:posOffset>
            </wp:positionH>
            <wp:positionV relativeFrom="paragraph">
              <wp:posOffset>-483870</wp:posOffset>
            </wp:positionV>
            <wp:extent cx="57829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78294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-338455</wp:posOffset>
            </wp:positionV>
            <wp:extent cx="57334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73341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-192405</wp:posOffset>
            </wp:positionV>
            <wp:extent cx="5694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69404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-46990</wp:posOffset>
            </wp:positionV>
            <wp:extent cx="58375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ectPr>
          <w:pgSz w:w="11900" w:h="16838" w:orient="portrait"/>
          <w:cols w:equalWidth="0" w:num="1">
            <w:col w:w="11420"/>
          </w:cols>
          <w:pgMar w:left="240" w:top="631"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3"/>
        </w:trPr>
        <w:tc>
          <w:tcPr>
            <w:tcW w:w="1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40" w:type="dxa"/>
            <w:vAlign w:val="bottom"/>
            <w:gridSpan w:val="13"/>
          </w:tcPr>
          <w:p>
            <w:pPr>
              <w:spacing w:after="0"/>
              <w:rPr>
                <w:rFonts w:ascii="Arial" w:cs="Arial" w:eastAsia="Arial" w:hAnsi="Arial"/>
                <w:sz w:val="22"/>
                <w:szCs w:val="22"/>
                <w:color w:val="0563C1"/>
                <w:w w:val="92"/>
              </w:rPr>
            </w:pPr>
            <w:hyperlink w:anchor="page36">
              <w:r>
                <w:rPr>
                  <w:rFonts w:ascii="Arial" w:cs="Arial" w:eastAsia="Arial" w:hAnsi="Arial"/>
                  <w:sz w:val="22"/>
                  <w:szCs w:val="22"/>
                  <w:color w:val="0563C1"/>
                  <w:w w:val="92"/>
                </w:rPr>
                <w:t>Northwestern Mutual Life Insurance Company, The Northwestern Mutual Life Insurance Company, and</w:t>
              </w:r>
            </w:hyperlink>
          </w:p>
        </w:tc>
      </w:tr>
      <w:tr>
        <w:trPr>
          <w:trHeight w:val="210"/>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40" w:type="dxa"/>
            <w:vAlign w:val="bottom"/>
            <w:tcBorders>
              <w:top w:val="single" w:sz="8" w:color="0563C1"/>
            </w:tcBorders>
            <w:gridSpan w:val="10"/>
          </w:tcPr>
          <w:p>
            <w:pPr>
              <w:spacing w:after="0" w:line="209" w:lineRule="exact"/>
              <w:rPr>
                <w:rFonts w:ascii="Arial" w:cs="Arial" w:eastAsia="Arial" w:hAnsi="Arial"/>
                <w:sz w:val="22"/>
                <w:szCs w:val="22"/>
                <w:color w:val="0563C1"/>
              </w:rPr>
            </w:pPr>
            <w:hyperlink w:anchor="page36">
              <w:r>
                <w:rPr>
                  <w:rFonts w:ascii="Arial" w:cs="Arial" w:eastAsia="Arial" w:hAnsi="Arial"/>
                  <w:sz w:val="22"/>
                  <w:szCs w:val="22"/>
                  <w:color w:val="0563C1"/>
                </w:rPr>
                <w:t>Life Insurance Company of the Southwest</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620" w:type="dxa"/>
            <w:vAlign w:val="bottom"/>
            <w:shd w:val="clear" w:color="auto" w:fill="0563C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540" w:type="dxa"/>
            <w:vAlign w:val="bottom"/>
          </w:tcPr>
          <w:p>
            <w:pPr>
              <w:ind w:left="20"/>
              <w:spacing w:after="0"/>
              <w:rPr>
                <w:sz w:val="20"/>
                <w:szCs w:val="20"/>
                <w:color w:val="auto"/>
              </w:rPr>
            </w:pPr>
            <w:r>
              <w:rPr>
                <w:rFonts w:ascii="Arial" w:cs="Arial" w:eastAsia="Arial" w:hAnsi="Arial"/>
                <w:sz w:val="22"/>
                <w:szCs w:val="22"/>
                <w:color w:val="auto"/>
              </w:rPr>
              <w:t>10.1</w:t>
            </w:r>
          </w:p>
        </w:tc>
        <w:tc>
          <w:tcPr>
            <w:tcW w:w="64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22"/>
                <w:szCs w:val="22"/>
                <w:color w:val="0563C1"/>
                <w:w w:val="89"/>
              </w:rPr>
            </w:pPr>
            <w:hyperlink r:id="rId82">
              <w:r>
                <w:rPr>
                  <w:rFonts w:ascii="Arial" w:cs="Arial" w:eastAsia="Arial" w:hAnsi="Arial"/>
                  <w:sz w:val="22"/>
                  <w:szCs w:val="22"/>
                  <w:color w:val="0563C1"/>
                  <w:w w:val="89"/>
                </w:rPr>
                <w:t>Stock Purchase Agreement, dated as of March 29, 2019, by and between Aqua America, Inc. and Canada</w:t>
              </w:r>
            </w:hyperlink>
          </w:p>
        </w:tc>
      </w:tr>
      <w:tr>
        <w:trPr>
          <w:trHeight w:val="210"/>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140" w:type="dxa"/>
            <w:vAlign w:val="bottom"/>
            <w:tcBorders>
              <w:top w:val="single" w:sz="8" w:color="0563C1"/>
            </w:tcBorders>
            <w:gridSpan w:val="11"/>
          </w:tcPr>
          <w:p>
            <w:pPr>
              <w:spacing w:after="0" w:line="209" w:lineRule="exact"/>
              <w:rPr>
                <w:rFonts w:ascii="Arial" w:cs="Arial" w:eastAsia="Arial" w:hAnsi="Arial"/>
                <w:sz w:val="22"/>
                <w:szCs w:val="22"/>
                <w:color w:val="0563C1"/>
                <w:w w:val="93"/>
              </w:rPr>
            </w:pPr>
            <w:hyperlink r:id="rId82">
              <w:r>
                <w:rPr>
                  <w:rFonts w:ascii="Arial" w:cs="Arial" w:eastAsia="Arial" w:hAnsi="Arial"/>
                  <w:sz w:val="22"/>
                  <w:szCs w:val="22"/>
                  <w:color w:val="0563C1"/>
                  <w:w w:val="93"/>
                </w:rPr>
                <w:t>Pension Plan Investment Board (incorporated by reference to Exhibit 10.1 to the Company’s Current</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40" w:type="dxa"/>
            <w:vAlign w:val="bottom"/>
            <w:tcBorders>
              <w:top w:val="single" w:sz="8" w:color="0563C1"/>
            </w:tcBorders>
            <w:gridSpan w:val="8"/>
          </w:tcPr>
          <w:p>
            <w:pPr>
              <w:spacing w:after="0" w:line="209" w:lineRule="exact"/>
              <w:rPr>
                <w:rFonts w:ascii="Arial" w:cs="Arial" w:eastAsia="Arial" w:hAnsi="Arial"/>
                <w:sz w:val="22"/>
                <w:szCs w:val="22"/>
                <w:color w:val="0563C1"/>
              </w:rPr>
            </w:pPr>
            <w:hyperlink r:id="rId82">
              <w:r>
                <w:rPr>
                  <w:rFonts w:ascii="Arial" w:cs="Arial" w:eastAsia="Arial" w:hAnsi="Arial"/>
                  <w:sz w:val="22"/>
                  <w:szCs w:val="22"/>
                  <w:color w:val="0563C1"/>
                </w:rPr>
                <w:t>Report on Form 8-K, filed with the SEC on March 29, 2019)</w:t>
              </w:r>
            </w:hyperlink>
          </w:p>
        </w:tc>
        <w:tc>
          <w:tcPr>
            <w:tcW w:w="22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4220" w:type="dxa"/>
            <w:vAlign w:val="bottom"/>
            <w:gridSpan w:val="2"/>
            <w:shd w:val="clear" w:color="auto" w:fill="0563C1"/>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540" w:type="dxa"/>
            <w:vAlign w:val="bottom"/>
          </w:tcPr>
          <w:p>
            <w:pPr>
              <w:ind w:left="20"/>
              <w:spacing w:after="0"/>
              <w:rPr>
                <w:sz w:val="20"/>
                <w:szCs w:val="20"/>
                <w:color w:val="auto"/>
              </w:rPr>
            </w:pPr>
            <w:r>
              <w:rPr>
                <w:rFonts w:ascii="Arial" w:cs="Arial" w:eastAsia="Arial" w:hAnsi="Arial"/>
                <w:sz w:val="22"/>
                <w:szCs w:val="22"/>
                <w:color w:val="auto"/>
              </w:rPr>
              <w:t>10.2</w:t>
            </w:r>
          </w:p>
        </w:tc>
        <w:tc>
          <w:tcPr>
            <w:tcW w:w="64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22"/>
                <w:szCs w:val="22"/>
                <w:color w:val="0563C1"/>
                <w:w w:val="97"/>
              </w:rPr>
            </w:pPr>
            <w:hyperlink r:id="rId83">
              <w:r>
                <w:rPr>
                  <w:rFonts w:ascii="Arial" w:cs="Arial" w:eastAsia="Arial" w:hAnsi="Arial"/>
                  <w:sz w:val="22"/>
                  <w:szCs w:val="22"/>
                  <w:color w:val="0563C1"/>
                  <w:w w:val="97"/>
                </w:rPr>
                <w:t>Aqua America, Inc. Amended and Restated Omnibus Equity Compensation Plan (incorporated by</w:t>
              </w:r>
            </w:hyperlink>
          </w:p>
        </w:tc>
      </w:tr>
      <w:tr>
        <w:trPr>
          <w:trHeight w:val="20"/>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5520" w:type="dxa"/>
            <w:vAlign w:val="bottom"/>
            <w:gridSpan w:val="3"/>
            <w:shd w:val="clear" w:color="auto" w:fill="0563C1"/>
          </w:tcPr>
          <w:p>
            <w:pPr>
              <w:spacing w:after="0" w:line="20" w:lineRule="exact"/>
              <w:rPr>
                <w:sz w:val="1"/>
                <w:szCs w:val="1"/>
                <w:color w:val="auto"/>
              </w:rPr>
            </w:pPr>
          </w:p>
        </w:tc>
        <w:tc>
          <w:tcPr>
            <w:tcW w:w="1980" w:type="dxa"/>
            <w:vAlign w:val="bottom"/>
            <w:tcBorders>
              <w:left w:val="single" w:sz="8" w:color="0563C1"/>
            </w:tcBorders>
            <w:shd w:val="clear" w:color="auto" w:fill="0563C1"/>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40" w:type="dxa"/>
            <w:vAlign w:val="bottom"/>
            <w:gridSpan w:val="13"/>
          </w:tcPr>
          <w:p>
            <w:pPr>
              <w:spacing w:after="0" w:line="209" w:lineRule="exact"/>
              <w:rPr>
                <w:rFonts w:ascii="Arial" w:cs="Arial" w:eastAsia="Arial" w:hAnsi="Arial"/>
                <w:sz w:val="22"/>
                <w:szCs w:val="22"/>
                <w:color w:val="0563C1"/>
                <w:w w:val="93"/>
              </w:rPr>
            </w:pPr>
            <w:hyperlink r:id="rId83">
              <w:r>
                <w:rPr>
                  <w:rFonts w:ascii="Arial" w:cs="Arial" w:eastAsia="Arial" w:hAnsi="Arial"/>
                  <w:sz w:val="22"/>
                  <w:szCs w:val="22"/>
                  <w:color w:val="0563C1"/>
                  <w:w w:val="93"/>
                </w:rPr>
                <w:t>reference to Exhibit 10.1 to the Company’s Current Report on Form 8-K, filed with the SEC on May 3,</w:t>
              </w:r>
            </w:hyperlink>
          </w:p>
        </w:tc>
      </w:tr>
      <w:tr>
        <w:trPr>
          <w:trHeight w:val="210"/>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Borders>
              <w:top w:val="single" w:sz="8" w:color="0563C1"/>
              <w:bottom w:val="single" w:sz="8" w:color="0563C1"/>
            </w:tcBorders>
          </w:tcPr>
          <w:p>
            <w:pPr>
              <w:spacing w:after="0" w:line="209" w:lineRule="exact"/>
              <w:rPr>
                <w:rFonts w:ascii="Arial" w:cs="Arial" w:eastAsia="Arial" w:hAnsi="Arial"/>
                <w:sz w:val="22"/>
                <w:szCs w:val="22"/>
                <w:color w:val="0563C1"/>
                <w:w w:val="85"/>
              </w:rPr>
            </w:pPr>
            <w:hyperlink r:id="rId83">
              <w:r>
                <w:rPr>
                  <w:rFonts w:ascii="Arial" w:cs="Arial" w:eastAsia="Arial" w:hAnsi="Arial"/>
                  <w:sz w:val="22"/>
                  <w:szCs w:val="22"/>
                  <w:color w:val="0563C1"/>
                  <w:w w:val="85"/>
                </w:rPr>
                <w:t>2019)</w:t>
              </w:r>
            </w:hyperlink>
          </w:p>
        </w:tc>
        <w:tc>
          <w:tcPr>
            <w:tcW w:w="160" w:type="dxa"/>
            <w:vAlign w:val="bottom"/>
            <w:tcBorders>
              <w:top w:val="single" w:sz="8" w:color="0563C1"/>
            </w:tcBorders>
          </w:tcPr>
          <w:p>
            <w:pPr>
              <w:spacing w:after="0"/>
              <w:rPr>
                <w:sz w:val="18"/>
                <w:szCs w:val="18"/>
                <w:color w:val="auto"/>
              </w:rPr>
            </w:pPr>
          </w:p>
        </w:tc>
        <w:tc>
          <w:tcPr>
            <w:tcW w:w="360" w:type="dxa"/>
            <w:vAlign w:val="bottom"/>
            <w:tcBorders>
              <w:top w:val="single" w:sz="8" w:color="0563C1"/>
            </w:tcBorders>
          </w:tcPr>
          <w:p>
            <w:pPr>
              <w:spacing w:after="0"/>
              <w:rPr>
                <w:sz w:val="18"/>
                <w:szCs w:val="18"/>
                <w:color w:val="auto"/>
              </w:rPr>
            </w:pPr>
          </w:p>
        </w:tc>
        <w:tc>
          <w:tcPr>
            <w:tcW w:w="2620" w:type="dxa"/>
            <w:vAlign w:val="bottom"/>
            <w:tcBorders>
              <w:top w:val="single" w:sz="8" w:color="0563C1"/>
            </w:tcBorders>
          </w:tcPr>
          <w:p>
            <w:pPr>
              <w:spacing w:after="0"/>
              <w:rPr>
                <w:sz w:val="18"/>
                <w:szCs w:val="18"/>
                <w:color w:val="auto"/>
              </w:rPr>
            </w:pPr>
          </w:p>
        </w:tc>
        <w:tc>
          <w:tcPr>
            <w:tcW w:w="1600" w:type="dxa"/>
            <w:vAlign w:val="bottom"/>
            <w:tcBorders>
              <w:top w:val="single" w:sz="8" w:color="0563C1"/>
            </w:tcBorders>
          </w:tcPr>
          <w:p>
            <w:pPr>
              <w:spacing w:after="0"/>
              <w:rPr>
                <w:sz w:val="18"/>
                <w:szCs w:val="18"/>
                <w:color w:val="auto"/>
              </w:rPr>
            </w:pPr>
          </w:p>
        </w:tc>
        <w:tc>
          <w:tcPr>
            <w:tcW w:w="1300" w:type="dxa"/>
            <w:vAlign w:val="bottom"/>
            <w:tcBorders>
              <w:top w:val="single" w:sz="8" w:color="0563C1"/>
            </w:tcBorders>
          </w:tcPr>
          <w:p>
            <w:pPr>
              <w:spacing w:after="0"/>
              <w:rPr>
                <w:sz w:val="18"/>
                <w:szCs w:val="18"/>
                <w:color w:val="auto"/>
              </w:rPr>
            </w:pPr>
          </w:p>
        </w:tc>
        <w:tc>
          <w:tcPr>
            <w:tcW w:w="1980" w:type="dxa"/>
            <w:vAlign w:val="bottom"/>
            <w:tcBorders>
              <w:top w:val="single" w:sz="8" w:color="0563C1"/>
            </w:tcBorders>
          </w:tcPr>
          <w:p>
            <w:pPr>
              <w:spacing w:after="0"/>
              <w:rPr>
                <w:sz w:val="18"/>
                <w:szCs w:val="18"/>
                <w:color w:val="auto"/>
              </w:rPr>
            </w:pPr>
          </w:p>
        </w:tc>
        <w:tc>
          <w:tcPr>
            <w:tcW w:w="220" w:type="dxa"/>
            <w:vAlign w:val="bottom"/>
            <w:tcBorders>
              <w:top w:val="single" w:sz="8" w:color="0563C1"/>
            </w:tcBorders>
          </w:tcPr>
          <w:p>
            <w:pPr>
              <w:spacing w:after="0"/>
              <w:rPr>
                <w:sz w:val="18"/>
                <w:szCs w:val="18"/>
                <w:color w:val="auto"/>
              </w:rPr>
            </w:pPr>
          </w:p>
        </w:tc>
        <w:tc>
          <w:tcPr>
            <w:tcW w:w="220" w:type="dxa"/>
            <w:vAlign w:val="bottom"/>
            <w:tcBorders>
              <w:top w:val="single" w:sz="8" w:color="0563C1"/>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1540" w:type="dxa"/>
            <w:vAlign w:val="bottom"/>
          </w:tcPr>
          <w:p>
            <w:pPr>
              <w:ind w:left="20"/>
              <w:spacing w:after="0"/>
              <w:rPr>
                <w:sz w:val="20"/>
                <w:szCs w:val="20"/>
                <w:color w:val="auto"/>
              </w:rPr>
            </w:pPr>
            <w:r>
              <w:rPr>
                <w:rFonts w:ascii="Arial" w:cs="Arial" w:eastAsia="Arial" w:hAnsi="Arial"/>
                <w:sz w:val="22"/>
                <w:szCs w:val="22"/>
                <w:color w:val="auto"/>
              </w:rPr>
              <w:t>31.1</w:t>
            </w:r>
          </w:p>
        </w:tc>
        <w:tc>
          <w:tcPr>
            <w:tcW w:w="64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22"/>
                <w:szCs w:val="22"/>
                <w:color w:val="0563C1"/>
                <w:w w:val="92"/>
              </w:rPr>
            </w:pPr>
            <w:hyperlink w:anchor="page99">
              <w:r>
                <w:rPr>
                  <w:rFonts w:ascii="Arial" w:cs="Arial" w:eastAsia="Arial" w:hAnsi="Arial"/>
                  <w:sz w:val="22"/>
                  <w:szCs w:val="22"/>
                  <w:color w:val="0563C1"/>
                  <w:w w:val="92"/>
                </w:rPr>
                <w:t>Certification of Chief Executive Officer, pursuant to Rule 13a-14(a) under the Securities and Exchange</w:t>
              </w:r>
            </w:hyperlink>
          </w:p>
        </w:tc>
      </w:tr>
      <w:tr>
        <w:trPr>
          <w:trHeight w:val="210"/>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60" w:type="dxa"/>
            <w:vAlign w:val="bottom"/>
            <w:tcBorders>
              <w:top w:val="single" w:sz="8" w:color="0563C1"/>
            </w:tcBorders>
            <w:gridSpan w:val="9"/>
          </w:tcPr>
          <w:p>
            <w:pPr>
              <w:spacing w:after="0" w:line="209" w:lineRule="exact"/>
              <w:rPr>
                <w:rFonts w:ascii="Arial" w:cs="Arial" w:eastAsia="Arial" w:hAnsi="Arial"/>
                <w:sz w:val="22"/>
                <w:szCs w:val="22"/>
                <w:color w:val="0563C1"/>
              </w:rPr>
            </w:pPr>
            <w:hyperlink w:anchor="page99">
              <w:r>
                <w:rPr>
                  <w:rFonts w:ascii="Arial" w:cs="Arial" w:eastAsia="Arial" w:hAnsi="Arial"/>
                  <w:sz w:val="22"/>
                  <w:szCs w:val="22"/>
                  <w:color w:val="0563C1"/>
                </w:rPr>
                <w:t>Act of 1934</w:t>
              </w:r>
            </w:hyperlink>
          </w:p>
        </w:tc>
        <w:tc>
          <w:tcPr>
            <w:tcW w:w="2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540" w:type="dxa"/>
            <w:vAlign w:val="bottom"/>
          </w:tcPr>
          <w:p>
            <w:pPr>
              <w:ind w:left="20"/>
              <w:spacing w:after="0"/>
              <w:rPr>
                <w:sz w:val="20"/>
                <w:szCs w:val="20"/>
                <w:color w:val="auto"/>
              </w:rPr>
            </w:pPr>
            <w:r>
              <w:rPr>
                <w:rFonts w:ascii="Arial" w:cs="Arial" w:eastAsia="Arial" w:hAnsi="Arial"/>
                <w:sz w:val="22"/>
                <w:szCs w:val="22"/>
                <w:color w:val="auto"/>
              </w:rPr>
              <w:t>31.2</w:t>
            </w:r>
          </w:p>
        </w:tc>
        <w:tc>
          <w:tcPr>
            <w:tcW w:w="64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22"/>
                <w:szCs w:val="22"/>
                <w:color w:val="0563C1"/>
                <w:w w:val="89"/>
              </w:rPr>
            </w:pPr>
            <w:hyperlink w:anchor="page100">
              <w:r>
                <w:rPr>
                  <w:rFonts w:ascii="Arial" w:cs="Arial" w:eastAsia="Arial" w:hAnsi="Arial"/>
                  <w:sz w:val="22"/>
                  <w:szCs w:val="22"/>
                  <w:color w:val="0563C1"/>
                  <w:w w:val="89"/>
                </w:rPr>
                <w:t>Certification of Chief Financial Officer, pursuant to Rule 13a-14(a) under the Securities and Exchange Act</w:t>
              </w:r>
            </w:hyperlink>
          </w:p>
        </w:tc>
      </w:tr>
      <w:tr>
        <w:trPr>
          <w:trHeight w:val="210"/>
        </w:trPr>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top w:val="single" w:sz="8" w:color="0563C1"/>
              <w:bottom w:val="single" w:sz="8" w:color="0563C1"/>
            </w:tcBorders>
            <w:gridSpan w:val="2"/>
          </w:tcPr>
          <w:p>
            <w:pPr>
              <w:spacing w:after="0" w:line="209" w:lineRule="exact"/>
              <w:rPr>
                <w:rFonts w:ascii="Arial" w:cs="Arial" w:eastAsia="Arial" w:hAnsi="Arial"/>
                <w:sz w:val="22"/>
                <w:szCs w:val="22"/>
                <w:color w:val="0563C1"/>
                <w:w w:val="87"/>
              </w:rPr>
            </w:pPr>
            <w:hyperlink w:anchor="page100">
              <w:r>
                <w:rPr>
                  <w:rFonts w:ascii="Arial" w:cs="Arial" w:eastAsia="Arial" w:hAnsi="Arial"/>
                  <w:sz w:val="22"/>
                  <w:szCs w:val="22"/>
                  <w:color w:val="0563C1"/>
                  <w:w w:val="87"/>
                </w:rPr>
                <w:t>of 1934</w:t>
              </w:r>
            </w:hyperlink>
          </w:p>
        </w:tc>
        <w:tc>
          <w:tcPr>
            <w:tcW w:w="8560" w:type="dxa"/>
            <w:vAlign w:val="bottom"/>
            <w:tcBorders>
              <w:top w:val="single" w:sz="8" w:color="0563C1"/>
            </w:tcBorders>
            <w:gridSpan w:val="10"/>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1540" w:type="dxa"/>
            <w:vAlign w:val="bottom"/>
          </w:tcPr>
          <w:p>
            <w:pPr>
              <w:ind w:left="20"/>
              <w:spacing w:after="0"/>
              <w:rPr>
                <w:sz w:val="20"/>
                <w:szCs w:val="20"/>
                <w:color w:val="auto"/>
              </w:rPr>
            </w:pPr>
            <w:r>
              <w:rPr>
                <w:rFonts w:ascii="Arial" w:cs="Arial" w:eastAsia="Arial" w:hAnsi="Arial"/>
                <w:sz w:val="22"/>
                <w:szCs w:val="22"/>
                <w:color w:val="auto"/>
              </w:rPr>
              <w:t>32.1</w:t>
            </w:r>
          </w:p>
        </w:tc>
        <w:tc>
          <w:tcPr>
            <w:tcW w:w="64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22"/>
                <w:szCs w:val="22"/>
                <w:color w:val="0563C1"/>
              </w:rPr>
            </w:pPr>
            <w:hyperlink w:anchor="page101">
              <w:r>
                <w:rPr>
                  <w:rFonts w:ascii="Arial" w:cs="Arial" w:eastAsia="Arial" w:hAnsi="Arial"/>
                  <w:sz w:val="22"/>
                  <w:szCs w:val="22"/>
                  <w:color w:val="0563C1"/>
                </w:rPr>
                <w:t>Certification of Chief Executive Officer, pursuant to 18 U.S.C. Section 1350</w:t>
              </w:r>
            </w:hyperlink>
          </w:p>
        </w:tc>
      </w:tr>
      <w:tr>
        <w:trPr>
          <w:trHeight w:val="20"/>
        </w:trPr>
        <w:tc>
          <w:tcPr>
            <w:tcW w:w="15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540" w:type="dxa"/>
            <w:vAlign w:val="bottom"/>
            <w:gridSpan w:val="6"/>
            <w:shd w:val="clear" w:color="auto" w:fill="0563C1"/>
          </w:tcPr>
          <w:p>
            <w:pPr>
              <w:spacing w:after="0" w:line="20" w:lineRule="exact"/>
              <w:rPr>
                <w:sz w:val="1"/>
                <w:szCs w:val="1"/>
                <w:color w:val="auto"/>
              </w:rPr>
            </w:pPr>
          </w:p>
        </w:tc>
        <w:tc>
          <w:tcPr>
            <w:tcW w:w="2700" w:type="dxa"/>
            <w:vAlign w:val="bottom"/>
            <w:tcBorders>
              <w:left w:val="single" w:sz="8" w:color="0563C1"/>
            </w:tcBorders>
            <w:gridSpan w:val="7"/>
          </w:tcPr>
          <w:p>
            <w:pPr>
              <w:spacing w:after="0" w:line="20" w:lineRule="exact"/>
              <w:rPr>
                <w:sz w:val="1"/>
                <w:szCs w:val="1"/>
                <w:color w:val="auto"/>
              </w:rPr>
            </w:pPr>
          </w:p>
        </w:tc>
      </w:tr>
      <w:tr>
        <w:trPr>
          <w:trHeight w:val="439"/>
        </w:trPr>
        <w:tc>
          <w:tcPr>
            <w:tcW w:w="1540" w:type="dxa"/>
            <w:vAlign w:val="bottom"/>
          </w:tcPr>
          <w:p>
            <w:pPr>
              <w:ind w:left="20"/>
              <w:spacing w:after="0"/>
              <w:rPr>
                <w:sz w:val="20"/>
                <w:szCs w:val="20"/>
                <w:color w:val="auto"/>
              </w:rPr>
            </w:pPr>
            <w:r>
              <w:rPr>
                <w:rFonts w:ascii="Arial" w:cs="Arial" w:eastAsia="Arial" w:hAnsi="Arial"/>
                <w:sz w:val="22"/>
                <w:szCs w:val="22"/>
                <w:color w:val="auto"/>
              </w:rPr>
              <w:t>32.2</w:t>
            </w:r>
          </w:p>
        </w:tc>
        <w:tc>
          <w:tcPr>
            <w:tcW w:w="64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22"/>
                <w:szCs w:val="22"/>
                <w:color w:val="0563C1"/>
              </w:rPr>
            </w:pPr>
            <w:hyperlink w:anchor="page102">
              <w:r>
                <w:rPr>
                  <w:rFonts w:ascii="Arial" w:cs="Arial" w:eastAsia="Arial" w:hAnsi="Arial"/>
                  <w:sz w:val="22"/>
                  <w:szCs w:val="22"/>
                  <w:color w:val="0563C1"/>
                </w:rPr>
                <w:t>Certification of Chief Financial Officer, pursuant to 18 U.S.C. Section 1350</w:t>
              </w:r>
            </w:hyperlink>
          </w:p>
        </w:tc>
      </w:tr>
      <w:tr>
        <w:trPr>
          <w:trHeight w:val="20"/>
        </w:trPr>
        <w:tc>
          <w:tcPr>
            <w:tcW w:w="15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540" w:type="dxa"/>
            <w:vAlign w:val="bottom"/>
            <w:gridSpan w:val="6"/>
            <w:shd w:val="clear" w:color="auto" w:fill="0563C1"/>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r>
      <w:tr>
        <w:trPr>
          <w:trHeight w:val="445"/>
        </w:trPr>
        <w:tc>
          <w:tcPr>
            <w:tcW w:w="2180" w:type="dxa"/>
            <w:vAlign w:val="bottom"/>
            <w:gridSpan w:val="2"/>
          </w:tcPr>
          <w:p>
            <w:pPr>
              <w:ind w:left="20"/>
              <w:spacing w:after="0"/>
              <w:rPr>
                <w:sz w:val="20"/>
                <w:szCs w:val="20"/>
                <w:color w:val="auto"/>
              </w:rPr>
            </w:pPr>
            <w:r>
              <w:rPr>
                <w:rFonts w:ascii="Arial" w:cs="Arial" w:eastAsia="Arial" w:hAnsi="Arial"/>
                <w:sz w:val="22"/>
                <w:szCs w:val="22"/>
                <w:color w:val="auto"/>
              </w:rPr>
              <w:t>101.INS</w:t>
            </w:r>
          </w:p>
        </w:tc>
        <w:tc>
          <w:tcPr>
            <w:tcW w:w="9240" w:type="dxa"/>
            <w:vAlign w:val="bottom"/>
            <w:gridSpan w:val="13"/>
          </w:tcPr>
          <w:p>
            <w:pPr>
              <w:spacing w:after="0"/>
              <w:rPr>
                <w:sz w:val="20"/>
                <w:szCs w:val="20"/>
                <w:color w:val="auto"/>
              </w:rPr>
            </w:pPr>
            <w:r>
              <w:rPr>
                <w:rFonts w:ascii="Arial" w:cs="Arial" w:eastAsia="Arial" w:hAnsi="Arial"/>
                <w:sz w:val="22"/>
                <w:szCs w:val="22"/>
                <w:color w:val="auto"/>
                <w:w w:val="92"/>
              </w:rPr>
              <w:t>Inline XBRL Instance Document – The instance document does not appear in the Interactive Data File</w:t>
            </w:r>
          </w:p>
        </w:tc>
      </w:tr>
      <w:tr>
        <w:trPr>
          <w:trHeight w:val="275"/>
        </w:trPr>
        <w:tc>
          <w:tcPr>
            <w:tcW w:w="1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40" w:type="dxa"/>
            <w:vAlign w:val="bottom"/>
            <w:gridSpan w:val="13"/>
          </w:tcPr>
          <w:p>
            <w:pPr>
              <w:spacing w:after="0"/>
              <w:rPr>
                <w:sz w:val="20"/>
                <w:szCs w:val="20"/>
                <w:color w:val="auto"/>
              </w:rPr>
            </w:pPr>
            <w:r>
              <w:rPr>
                <w:rFonts w:ascii="Arial" w:cs="Arial" w:eastAsia="Arial" w:hAnsi="Arial"/>
                <w:sz w:val="22"/>
                <w:szCs w:val="22"/>
                <w:color w:val="auto"/>
              </w:rPr>
              <w:t>because its XBRL tags are embedded within the Inline XBRL document.</w:t>
            </w:r>
          </w:p>
        </w:tc>
      </w:tr>
      <w:tr>
        <w:trPr>
          <w:trHeight w:val="459"/>
        </w:trPr>
        <w:tc>
          <w:tcPr>
            <w:tcW w:w="2180" w:type="dxa"/>
            <w:vAlign w:val="bottom"/>
            <w:gridSpan w:val="2"/>
          </w:tcPr>
          <w:p>
            <w:pPr>
              <w:ind w:left="20"/>
              <w:spacing w:after="0"/>
              <w:rPr>
                <w:sz w:val="20"/>
                <w:szCs w:val="20"/>
                <w:color w:val="auto"/>
              </w:rPr>
            </w:pPr>
            <w:r>
              <w:rPr>
                <w:rFonts w:ascii="Arial" w:cs="Arial" w:eastAsia="Arial" w:hAnsi="Arial"/>
                <w:sz w:val="22"/>
                <w:szCs w:val="22"/>
                <w:color w:val="auto"/>
              </w:rPr>
              <w:t>101.SCH</w:t>
            </w:r>
          </w:p>
        </w:tc>
        <w:tc>
          <w:tcPr>
            <w:tcW w:w="9240" w:type="dxa"/>
            <w:vAlign w:val="bottom"/>
            <w:gridSpan w:val="13"/>
          </w:tcPr>
          <w:p>
            <w:pPr>
              <w:spacing w:after="0"/>
              <w:rPr>
                <w:sz w:val="20"/>
                <w:szCs w:val="20"/>
                <w:color w:val="auto"/>
              </w:rPr>
            </w:pPr>
            <w:r>
              <w:rPr>
                <w:rFonts w:ascii="Arial" w:cs="Arial" w:eastAsia="Arial" w:hAnsi="Arial"/>
                <w:sz w:val="22"/>
                <w:szCs w:val="22"/>
                <w:color w:val="auto"/>
              </w:rPr>
              <w:t>Inline XBRL Taxonomy Extension Schema Document</w:t>
            </w:r>
          </w:p>
        </w:tc>
      </w:tr>
      <w:tr>
        <w:trPr>
          <w:trHeight w:val="459"/>
        </w:trPr>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gridSpan w:val="4"/>
          </w:tcPr>
          <w:p>
            <w:pPr>
              <w:jc w:val="right"/>
              <w:spacing w:after="0"/>
              <w:rPr>
                <w:sz w:val="20"/>
                <w:szCs w:val="20"/>
                <w:color w:val="auto"/>
              </w:rPr>
            </w:pPr>
            <w:r>
              <w:rPr>
                <w:rFonts w:ascii="Arial" w:cs="Arial" w:eastAsia="Arial" w:hAnsi="Arial"/>
                <w:sz w:val="22"/>
                <w:szCs w:val="22"/>
                <w:color w:val="auto"/>
              </w:rPr>
              <w:t>49</w:t>
            </w: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1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527"/>
        </w:trPr>
        <w:tc>
          <w:tcPr>
            <w:tcW w:w="2180" w:type="dxa"/>
            <w:vAlign w:val="bottom"/>
            <w:gridSpan w:val="2"/>
          </w:tcPr>
          <w:p>
            <w:pPr>
              <w:spacing w:after="0"/>
              <w:rPr>
                <w:rFonts w:ascii="Arial" w:cs="Arial" w:eastAsia="Arial" w:hAnsi="Arial"/>
                <w:sz w:val="22"/>
                <w:szCs w:val="22"/>
                <w:color w:val="0563C1"/>
              </w:rPr>
            </w:pPr>
            <w:hyperlink w:anchor="page1">
              <w:r>
                <w:rPr>
                  <w:rFonts w:ascii="Arial" w:cs="Arial" w:eastAsia="Arial" w:hAnsi="Arial"/>
                  <w:sz w:val="22"/>
                  <w:szCs w:val="22"/>
                  <w:color w:val="0563C1"/>
                </w:rPr>
                <w:t>Table of Contents</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0"/>
        </w:trPr>
        <w:tc>
          <w:tcPr>
            <w:tcW w:w="1540" w:type="dxa"/>
            <w:vAlign w:val="bottom"/>
            <w:tcBorders>
              <w:top w:val="single" w:sz="8" w:color="0563C1"/>
            </w:tcBorders>
          </w:tcPr>
          <w:p>
            <w:pPr>
              <w:ind w:left="20"/>
              <w:spacing w:after="0"/>
              <w:rPr>
                <w:sz w:val="20"/>
                <w:szCs w:val="20"/>
                <w:color w:val="auto"/>
              </w:rPr>
            </w:pPr>
            <w:r>
              <w:rPr>
                <w:rFonts w:ascii="Arial" w:cs="Arial" w:eastAsia="Arial" w:hAnsi="Arial"/>
                <w:sz w:val="22"/>
                <w:szCs w:val="22"/>
                <w:color w:val="auto"/>
              </w:rPr>
              <w:t>101.CAL</w:t>
            </w:r>
          </w:p>
        </w:tc>
        <w:tc>
          <w:tcPr>
            <w:tcW w:w="64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22"/>
                <w:szCs w:val="22"/>
                <w:color w:val="auto"/>
              </w:rPr>
              <w:t>Inline XBRL Taxonomy Extension Calculation Linkbase Document</w:t>
            </w:r>
          </w:p>
        </w:tc>
      </w:tr>
      <w:tr>
        <w:trPr>
          <w:trHeight w:val="459"/>
        </w:trPr>
        <w:tc>
          <w:tcPr>
            <w:tcW w:w="2180" w:type="dxa"/>
            <w:vAlign w:val="bottom"/>
            <w:gridSpan w:val="2"/>
          </w:tcPr>
          <w:p>
            <w:pPr>
              <w:ind w:left="20"/>
              <w:spacing w:after="0"/>
              <w:rPr>
                <w:sz w:val="20"/>
                <w:szCs w:val="20"/>
                <w:color w:val="auto"/>
              </w:rPr>
            </w:pPr>
            <w:r>
              <w:rPr>
                <w:rFonts w:ascii="Arial" w:cs="Arial" w:eastAsia="Arial" w:hAnsi="Arial"/>
                <w:sz w:val="22"/>
                <w:szCs w:val="22"/>
                <w:color w:val="auto"/>
              </w:rPr>
              <w:t>101.DEF</w:t>
            </w:r>
          </w:p>
        </w:tc>
        <w:tc>
          <w:tcPr>
            <w:tcW w:w="9240" w:type="dxa"/>
            <w:vAlign w:val="bottom"/>
            <w:gridSpan w:val="13"/>
          </w:tcPr>
          <w:p>
            <w:pPr>
              <w:spacing w:after="0"/>
              <w:rPr>
                <w:sz w:val="20"/>
                <w:szCs w:val="20"/>
                <w:color w:val="auto"/>
              </w:rPr>
            </w:pPr>
            <w:r>
              <w:rPr>
                <w:rFonts w:ascii="Arial" w:cs="Arial" w:eastAsia="Arial" w:hAnsi="Arial"/>
                <w:sz w:val="22"/>
                <w:szCs w:val="22"/>
                <w:color w:val="auto"/>
              </w:rPr>
              <w:t>Inline XBRL Taxonomy Extension Definition Linkbase Document</w:t>
            </w:r>
          </w:p>
        </w:tc>
      </w:tr>
      <w:tr>
        <w:trPr>
          <w:trHeight w:val="459"/>
        </w:trPr>
        <w:tc>
          <w:tcPr>
            <w:tcW w:w="2180" w:type="dxa"/>
            <w:vAlign w:val="bottom"/>
            <w:gridSpan w:val="2"/>
          </w:tcPr>
          <w:p>
            <w:pPr>
              <w:ind w:left="20"/>
              <w:spacing w:after="0"/>
              <w:rPr>
                <w:sz w:val="20"/>
                <w:szCs w:val="20"/>
                <w:color w:val="auto"/>
              </w:rPr>
            </w:pPr>
            <w:r>
              <w:rPr>
                <w:rFonts w:ascii="Arial" w:cs="Arial" w:eastAsia="Arial" w:hAnsi="Arial"/>
                <w:sz w:val="22"/>
                <w:szCs w:val="22"/>
                <w:color w:val="auto"/>
              </w:rPr>
              <w:t>101.LAB</w:t>
            </w:r>
          </w:p>
        </w:tc>
        <w:tc>
          <w:tcPr>
            <w:tcW w:w="9240" w:type="dxa"/>
            <w:vAlign w:val="bottom"/>
            <w:gridSpan w:val="13"/>
          </w:tcPr>
          <w:p>
            <w:pPr>
              <w:spacing w:after="0"/>
              <w:rPr>
                <w:sz w:val="20"/>
                <w:szCs w:val="20"/>
                <w:color w:val="auto"/>
              </w:rPr>
            </w:pPr>
            <w:r>
              <w:rPr>
                <w:rFonts w:ascii="Arial" w:cs="Arial" w:eastAsia="Arial" w:hAnsi="Arial"/>
                <w:sz w:val="22"/>
                <w:szCs w:val="22"/>
                <w:color w:val="auto"/>
              </w:rPr>
              <w:t>Inline XBRL Taxonomy Extension Label Linkbase Document</w:t>
            </w:r>
          </w:p>
        </w:tc>
      </w:tr>
      <w:tr>
        <w:trPr>
          <w:trHeight w:val="459"/>
        </w:trPr>
        <w:tc>
          <w:tcPr>
            <w:tcW w:w="2180" w:type="dxa"/>
            <w:vAlign w:val="bottom"/>
            <w:gridSpan w:val="2"/>
          </w:tcPr>
          <w:p>
            <w:pPr>
              <w:ind w:left="20"/>
              <w:spacing w:after="0"/>
              <w:rPr>
                <w:sz w:val="20"/>
                <w:szCs w:val="20"/>
                <w:color w:val="auto"/>
              </w:rPr>
            </w:pPr>
            <w:r>
              <w:rPr>
                <w:rFonts w:ascii="Arial" w:cs="Arial" w:eastAsia="Arial" w:hAnsi="Arial"/>
                <w:sz w:val="22"/>
                <w:szCs w:val="22"/>
                <w:color w:val="auto"/>
              </w:rPr>
              <w:t>101.PRES</w:t>
            </w:r>
          </w:p>
        </w:tc>
        <w:tc>
          <w:tcPr>
            <w:tcW w:w="9240" w:type="dxa"/>
            <w:vAlign w:val="bottom"/>
            <w:gridSpan w:val="13"/>
          </w:tcPr>
          <w:p>
            <w:pPr>
              <w:spacing w:after="0"/>
              <w:rPr>
                <w:sz w:val="20"/>
                <w:szCs w:val="20"/>
                <w:color w:val="auto"/>
              </w:rPr>
            </w:pPr>
            <w:r>
              <w:rPr>
                <w:rFonts w:ascii="Arial" w:cs="Arial" w:eastAsia="Arial" w:hAnsi="Arial"/>
                <w:sz w:val="22"/>
                <w:szCs w:val="22"/>
                <w:color w:val="auto"/>
              </w:rPr>
              <w:t>Inline XBRL Taxonomy Extension Presentation Linkbase Document</w:t>
            </w:r>
          </w:p>
        </w:tc>
      </w:tr>
      <w:tr>
        <w:trPr>
          <w:trHeight w:val="414"/>
        </w:trPr>
        <w:tc>
          <w:tcPr>
            <w:tcW w:w="1540" w:type="dxa"/>
            <w:vAlign w:val="bottom"/>
          </w:tcPr>
          <w:p>
            <w:pPr>
              <w:ind w:left="20"/>
              <w:spacing w:after="0"/>
              <w:rPr>
                <w:sz w:val="20"/>
                <w:szCs w:val="20"/>
                <w:color w:val="auto"/>
              </w:rPr>
            </w:pPr>
            <w:r>
              <w:rPr>
                <w:rFonts w:ascii="Arial" w:cs="Arial" w:eastAsia="Arial" w:hAnsi="Arial"/>
                <w:sz w:val="22"/>
                <w:szCs w:val="22"/>
                <w:color w:val="auto"/>
              </w:rPr>
              <w:t>104</w:t>
            </w:r>
          </w:p>
        </w:tc>
        <w:tc>
          <w:tcPr>
            <w:tcW w:w="64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22"/>
                <w:szCs w:val="22"/>
                <w:color w:val="auto"/>
                <w:w w:val="89"/>
              </w:rPr>
              <w:t>The cover page from the Company’s Quarterly Report on Form 10-Q for the quarter ended June 30, 2019,</w:t>
            </w:r>
          </w:p>
        </w:tc>
      </w:tr>
      <w:tr>
        <w:trPr>
          <w:trHeight w:val="275"/>
        </w:trPr>
        <w:tc>
          <w:tcPr>
            <w:tcW w:w="1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40" w:type="dxa"/>
            <w:vAlign w:val="bottom"/>
            <w:gridSpan w:val="13"/>
          </w:tcPr>
          <w:p>
            <w:pPr>
              <w:spacing w:after="0"/>
              <w:rPr>
                <w:sz w:val="20"/>
                <w:szCs w:val="20"/>
                <w:color w:val="auto"/>
              </w:rPr>
            </w:pPr>
            <w:r>
              <w:rPr>
                <w:rFonts w:ascii="Arial" w:cs="Arial" w:eastAsia="Arial" w:hAnsi="Arial"/>
                <w:sz w:val="22"/>
                <w:szCs w:val="22"/>
                <w:color w:val="auto"/>
              </w:rPr>
              <w:t>formatted in Inline XBRL (included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-1999615</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-1999615</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22"/>
          <w:szCs w:val="22"/>
          <w:u w:val="single" w:color="auto"/>
          <w:color w:val="0563C1"/>
        </w:rPr>
      </w:pPr>
      <w:hyperlink w:anchor="page1">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SIGNATURES</w:t>
      </w:r>
    </w:p>
    <w:p>
      <w:pPr>
        <w:spacing w:after="0" w:line="98" w:lineRule="exact"/>
        <w:rPr>
          <w:sz w:val="20"/>
          <w:szCs w:val="20"/>
          <w:color w:val="auto"/>
        </w:rPr>
      </w:pPr>
    </w:p>
    <w:p>
      <w:pPr>
        <w:ind w:right="60"/>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August 8, 2019</w:t>
      </w:r>
    </w:p>
    <w:p>
      <w:pPr>
        <w:ind w:left="6420"/>
        <w:spacing w:after="0" w:line="238" w:lineRule="auto"/>
        <w:rPr>
          <w:sz w:val="20"/>
          <w:szCs w:val="20"/>
          <w:color w:val="auto"/>
        </w:rPr>
      </w:pPr>
      <w:r>
        <w:rPr>
          <w:rFonts w:ascii="Arial" w:cs="Arial" w:eastAsia="Arial" w:hAnsi="Arial"/>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-5715</wp:posOffset>
            </wp:positionV>
            <wp:extent cx="31730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66"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-635</wp:posOffset>
            </wp:positionV>
            <wp:extent cx="31730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6420"/>
        <w:spacing w:after="0" w:line="225" w:lineRule="auto"/>
        <w:rPr>
          <w:sz w:val="20"/>
          <w:szCs w:val="20"/>
          <w:color w:val="auto"/>
        </w:rPr>
      </w:pPr>
      <w:r>
        <w:rPr>
          <w:rFonts w:ascii="Arial" w:cs="Arial" w:eastAsia="Arial" w:hAnsi="Arial"/>
          <w:sz w:val="22"/>
          <w:szCs w:val="22"/>
          <w:color w:val="auto"/>
        </w:rPr>
        <w:t>Christopher H. Franklin</w:t>
      </w:r>
    </w:p>
    <w:p>
      <w:pPr>
        <w:ind w:left="6420"/>
        <w:spacing w:after="0" w:line="218" w:lineRule="auto"/>
        <w:rPr>
          <w:sz w:val="20"/>
          <w:szCs w:val="20"/>
          <w:color w:val="auto"/>
        </w:rPr>
      </w:pPr>
      <w:r>
        <w:rPr>
          <w:rFonts w:ascii="Arial" w:cs="Arial" w:eastAsia="Arial" w:hAnsi="Arial"/>
          <w:sz w:val="22"/>
          <w:szCs w:val="22"/>
          <w:color w:val="auto"/>
        </w:rPr>
        <w:t>Chairman, President and</w:t>
      </w:r>
    </w:p>
    <w:p>
      <w:pPr>
        <w:ind w:left="64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66"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-635</wp:posOffset>
            </wp:positionV>
            <wp:extent cx="31730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22"/>
          <w:szCs w:val="22"/>
          <w:color w:val="auto"/>
        </w:rPr>
        <w:t>Daniel J. Schuller</w:t>
      </w:r>
    </w:p>
    <w:p>
      <w:pPr>
        <w:sectPr>
          <w:pgSz w:w="11900" w:h="16838" w:orient="portrait"/>
          <w:cols w:equalWidth="0" w:num="1">
            <w:col w:w="11420"/>
          </w:cols>
          <w:pgMar w:left="240" w:top="89" w:right="239" w:bottom="0" w:gutter="0" w:footer="0" w:header="0"/>
        </w:sectPr>
      </w:pPr>
    </w:p>
    <w:bookmarkStart w:id="34" w:name="page35"/>
    <w:bookmarkEnd w:id="34"/>
    <w:p>
      <w:pPr>
        <w:ind w:left="5220"/>
        <w:spacing w:after="0"/>
        <w:rPr>
          <w:sz w:val="20"/>
          <w:szCs w:val="20"/>
          <w:color w:val="auto"/>
        </w:rPr>
      </w:pPr>
      <w:r>
        <w:rPr>
          <w:rFonts w:ascii="Arial" w:cs="Arial" w:eastAsia="Arial" w:hAnsi="Arial"/>
          <w:sz w:val="19"/>
          <w:szCs w:val="19"/>
          <w:color w:val="auto"/>
        </w:rPr>
        <w:t>Executive Vice President and</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Chief Financial Officer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9019"/>
          </w:cols>
          <w:pgMar w:left="1440" w:top="118"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Exhibit 4.11</w:t>
      </w:r>
    </w:p>
    <w:p>
      <w:pP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XECUTION</w:t>
      </w:r>
      <w:r>
        <w:rPr>
          <w:rFonts w:ascii="Arial" w:cs="Arial" w:eastAsia="Arial" w:hAnsi="Arial"/>
          <w:sz w:val="22"/>
          <w:szCs w:val="22"/>
          <w:color w:val="auto"/>
        </w:rPr>
        <w:t xml:space="preserve"> V</w:t>
      </w:r>
      <w:r>
        <w:rPr>
          <w:rFonts w:ascii="Arial" w:cs="Arial" w:eastAsia="Arial" w:hAnsi="Arial"/>
          <w:sz w:val="18"/>
          <w:szCs w:val="18"/>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42302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P</w:t>
      </w:r>
      <w:r>
        <w:rPr>
          <w:rFonts w:ascii="Arial" w:cs="Arial" w:eastAsia="Arial" w:hAnsi="Arial"/>
          <w:sz w:val="18"/>
          <w:szCs w:val="18"/>
          <w:color w:val="auto"/>
        </w:rPr>
        <w:t>ENNSYLVANIA</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$300,000,000</w:t>
      </w:r>
    </w:p>
    <w:p>
      <w:pPr>
        <w:spacing w:after="0" w:line="200" w:lineRule="exact"/>
        <w:rPr>
          <w:sz w:val="20"/>
          <w:szCs w:val="20"/>
          <w:color w:val="auto"/>
        </w:rPr>
      </w:pPr>
    </w:p>
    <w:p>
      <w:pPr>
        <w:spacing w:after="0" w:line="330" w:lineRule="exact"/>
        <w:rPr>
          <w:sz w:val="20"/>
          <w:szCs w:val="20"/>
          <w:color w:val="auto"/>
        </w:rPr>
      </w:pPr>
    </w:p>
    <w:p>
      <w:pPr>
        <w:jc w:val="center"/>
        <w:spacing w:after="0" w:line="487" w:lineRule="auto"/>
        <w:rPr>
          <w:sz w:val="20"/>
          <w:szCs w:val="20"/>
          <w:color w:val="auto"/>
        </w:rPr>
      </w:pPr>
      <w:r>
        <w:rPr>
          <w:rFonts w:ascii="Arial" w:cs="Arial" w:eastAsia="Arial" w:hAnsi="Arial"/>
          <w:sz w:val="19"/>
          <w:szCs w:val="19"/>
          <w:color w:val="auto"/>
        </w:rPr>
        <w:t>$75,000,000 First Mortgage Bonds, 4.02% Series due May 31, 2049 $25,000,000 First Mortgage Bonds, 4.07% Series due May 31, 2054 $25,000,000 First Mortgage Bonds, 4.12% Series due May 31, 2059 $50,000,000 First Mortgage Bonds, 4.09% Series due September 26, 2054 $75,000,000 First Mortgage Bonds, 4.13% Series due September 26, 2058 $50,000,000 First Mortgage Bonds, 4.14% Series due September 26, 2059</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_____________</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w:t>
      </w:r>
      <w:r>
        <w:rPr>
          <w:rFonts w:ascii="Arial" w:cs="Arial" w:eastAsia="Arial" w:hAnsi="Arial"/>
          <w:sz w:val="18"/>
          <w:szCs w:val="18"/>
          <w:color w:val="auto"/>
        </w:rPr>
        <w:t>OND</w:t>
      </w:r>
      <w:r>
        <w:rPr>
          <w:rFonts w:ascii="Arial" w:cs="Arial" w:eastAsia="Arial" w:hAnsi="Arial"/>
          <w:sz w:val="22"/>
          <w:szCs w:val="22"/>
          <w:color w:val="auto"/>
        </w:rPr>
        <w:t xml:space="preserve"> P</w:t>
      </w:r>
      <w:r>
        <w:rPr>
          <w:rFonts w:ascii="Arial" w:cs="Arial" w:eastAsia="Arial" w:hAnsi="Arial"/>
          <w:sz w:val="18"/>
          <w:szCs w:val="18"/>
          <w:color w:val="auto"/>
        </w:rPr>
        <w:t>URCHASE</w:t>
      </w:r>
      <w:r>
        <w:rPr>
          <w:rFonts w:ascii="Arial" w:cs="Arial" w:eastAsia="Arial" w:hAnsi="Arial"/>
          <w:sz w:val="22"/>
          <w:szCs w:val="22"/>
          <w:color w:val="auto"/>
        </w:rPr>
        <w:t xml:space="preserve"> A</w:t>
      </w:r>
      <w:r>
        <w:rPr>
          <w:rFonts w:ascii="Arial" w:cs="Arial" w:eastAsia="Arial" w:hAnsi="Arial"/>
          <w:sz w:val="18"/>
          <w:szCs w:val="18"/>
          <w:color w:val="auto"/>
        </w:rPr>
        <w:t>GREEMENT</w:t>
      </w:r>
    </w:p>
    <w:p>
      <w:pPr>
        <w:spacing w:after="0" w:line="30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_____________</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779145</wp:posOffset>
            </wp:positionV>
            <wp:extent cx="642302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6423025" cy="260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1701165</wp:posOffset>
            </wp:positionV>
            <wp:extent cx="646557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3" w:right="8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81"/>
        </w:trPr>
        <w:tc>
          <w:tcPr>
            <w:tcW w:w="1640" w:type="dxa"/>
            <w:vAlign w:val="bottom"/>
          </w:tcPr>
          <w:p>
            <w:pPr>
              <w:spacing w:after="0"/>
              <w:rPr>
                <w:sz w:val="24"/>
                <w:szCs w:val="24"/>
                <w:color w:val="auto"/>
              </w:rPr>
            </w:pPr>
          </w:p>
        </w:tc>
        <w:tc>
          <w:tcPr>
            <w:tcW w:w="7240" w:type="dxa"/>
            <w:vAlign w:val="bottom"/>
          </w:tcPr>
          <w:p>
            <w:pPr>
              <w:ind w:left="23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8"/>
                <w:szCs w:val="18"/>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ONTENTS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p>
        </w:tc>
        <w:tc>
          <w:tcPr>
            <w:tcW w:w="7240" w:type="dxa"/>
            <w:vAlign w:val="bottom"/>
          </w:tcPr>
          <w:p>
            <w:pPr>
              <w:ind w:left="280"/>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EADING</w:t>
            </w:r>
          </w:p>
        </w:tc>
        <w:tc>
          <w:tcPr>
            <w:tcW w:w="126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w:t>
            </w:r>
          </w:p>
        </w:tc>
        <w:tc>
          <w:tcPr>
            <w:tcW w:w="7240" w:type="dxa"/>
            <w:vAlign w:val="bottom"/>
          </w:tcPr>
          <w:p>
            <w:pPr>
              <w:ind w:left="28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UTHORIZATION OF</w:t>
            </w:r>
            <w:r>
              <w:rPr>
                <w:rFonts w:ascii="Arial" w:cs="Arial" w:eastAsia="Arial" w:hAnsi="Arial"/>
                <w:sz w:val="22"/>
                <w:szCs w:val="22"/>
                <w:color w:val="auto"/>
              </w:rPr>
              <w:t xml:space="preserve"> B</w:t>
            </w:r>
            <w:r>
              <w:rPr>
                <w:rFonts w:ascii="Arial" w:cs="Arial" w:eastAsia="Arial" w:hAnsi="Arial"/>
                <w:sz w:val="18"/>
                <w:szCs w:val="18"/>
                <w:color w:val="auto"/>
              </w:rPr>
              <w:t>ONDS</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2.</w:t>
            </w:r>
          </w:p>
        </w:tc>
        <w:tc>
          <w:tcPr>
            <w:tcW w:w="7240" w:type="dxa"/>
            <w:vAlign w:val="bottom"/>
          </w:tcPr>
          <w:p>
            <w:pPr>
              <w:ind w:left="28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ALE AND</w:t>
            </w:r>
            <w:r>
              <w:rPr>
                <w:rFonts w:ascii="Arial" w:cs="Arial" w:eastAsia="Arial" w:hAnsi="Arial"/>
                <w:sz w:val="22"/>
                <w:szCs w:val="22"/>
                <w:color w:val="auto"/>
              </w:rPr>
              <w:t xml:space="preserve"> P</w:t>
            </w:r>
            <w:r>
              <w:rPr>
                <w:rFonts w:ascii="Arial" w:cs="Arial" w:eastAsia="Arial" w:hAnsi="Arial"/>
                <w:sz w:val="18"/>
                <w:szCs w:val="18"/>
                <w:color w:val="auto"/>
              </w:rPr>
              <w:t>URCHASE OF</w:t>
            </w:r>
            <w:r>
              <w:rPr>
                <w:rFonts w:ascii="Arial" w:cs="Arial" w:eastAsia="Arial" w:hAnsi="Arial"/>
                <w:sz w:val="22"/>
                <w:szCs w:val="22"/>
                <w:color w:val="auto"/>
              </w:rPr>
              <w:t xml:space="preserve"> B</w:t>
            </w:r>
            <w:r>
              <w:rPr>
                <w:rFonts w:ascii="Arial" w:cs="Arial" w:eastAsia="Arial" w:hAnsi="Arial"/>
                <w:sz w:val="18"/>
                <w:szCs w:val="18"/>
                <w:color w:val="auto"/>
              </w:rPr>
              <w:t>ONDS</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3.</w:t>
            </w:r>
          </w:p>
        </w:tc>
        <w:tc>
          <w:tcPr>
            <w:tcW w:w="7240" w:type="dxa"/>
            <w:vAlign w:val="bottom"/>
          </w:tcPr>
          <w:p>
            <w:pPr>
              <w:ind w:left="280"/>
              <w:spacing w:after="0"/>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LOSINGS</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4.</w:t>
            </w:r>
          </w:p>
        </w:tc>
        <w:tc>
          <w:tcPr>
            <w:tcW w:w="7240" w:type="dxa"/>
            <w:vAlign w:val="bottom"/>
          </w:tcPr>
          <w:p>
            <w:pPr>
              <w:ind w:left="280"/>
              <w:spacing w:after="0"/>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ONDITIONS TO</w:t>
            </w:r>
            <w:r>
              <w:rPr>
                <w:rFonts w:ascii="Arial" w:cs="Arial" w:eastAsia="Arial" w:hAnsi="Arial"/>
                <w:sz w:val="22"/>
                <w:szCs w:val="22"/>
                <w:color w:val="auto"/>
              </w:rPr>
              <w:t xml:space="preserve"> C</w:t>
            </w:r>
            <w:r>
              <w:rPr>
                <w:rFonts w:ascii="Arial" w:cs="Arial" w:eastAsia="Arial" w:hAnsi="Arial"/>
                <w:sz w:val="19"/>
                <w:szCs w:val="19"/>
                <w:color w:val="auto"/>
              </w:rPr>
              <w:t>LOSING</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77"/>
        </w:trPr>
        <w:tc>
          <w:tcPr>
            <w:tcW w:w="1640" w:type="dxa"/>
            <w:vAlign w:val="bottom"/>
          </w:tcPr>
          <w:p>
            <w:pPr>
              <w:spacing w:after="0"/>
              <w:rPr>
                <w:sz w:val="6"/>
                <w:szCs w:val="6"/>
                <w:color w:val="auto"/>
              </w:rPr>
            </w:pPr>
          </w:p>
        </w:tc>
        <w:tc>
          <w:tcPr>
            <w:tcW w:w="7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4.1.</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Representations and Warranties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4.2.</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Performance; No Default</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4.3.</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Compliance Certificates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4.4.</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Opinions of Counsel</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4.5.</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Purchase Permitted by Applicable Law, Etc</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4.6.</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Sale of Bonds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4.7.</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Payment of Special Counsel Fees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4.8.</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Private Placement Number</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4.9.</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Changes in Corporate Structure</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4.10.</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Funding Instructions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4.11.</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Proceedings and Documents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4.12.</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Execution and Delivery and Filing and Recording of the Supplements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75"/>
        </w:trPr>
        <w:tc>
          <w:tcPr>
            <w:tcW w:w="1640" w:type="dxa"/>
            <w:vAlign w:val="bottom"/>
          </w:tcPr>
          <w:p>
            <w:pPr>
              <w:ind w:left="220"/>
              <w:spacing w:after="0"/>
              <w:rPr>
                <w:sz w:val="20"/>
                <w:szCs w:val="20"/>
                <w:color w:val="auto"/>
              </w:rPr>
            </w:pPr>
            <w:r>
              <w:rPr>
                <w:rFonts w:ascii="Arial" w:cs="Arial" w:eastAsia="Arial" w:hAnsi="Arial"/>
                <w:sz w:val="22"/>
                <w:szCs w:val="22"/>
                <w:color w:val="auto"/>
              </w:rPr>
              <w:t>Section 4.13.</w:t>
            </w:r>
          </w:p>
        </w:tc>
        <w:tc>
          <w:tcPr>
            <w:tcW w:w="7240" w:type="dxa"/>
            <w:vAlign w:val="bottom"/>
          </w:tcPr>
          <w:p>
            <w:pPr>
              <w:ind w:left="500"/>
              <w:spacing w:after="0"/>
              <w:rPr>
                <w:sz w:val="20"/>
                <w:szCs w:val="20"/>
                <w:color w:val="auto"/>
              </w:rPr>
            </w:pPr>
            <w:r>
              <w:rPr>
                <w:rFonts w:ascii="Arial" w:cs="Arial" w:eastAsia="Arial" w:hAnsi="Arial"/>
                <w:sz w:val="22"/>
                <w:szCs w:val="22"/>
                <w:color w:val="auto"/>
              </w:rPr>
              <w:t>Regulatory Approvals</w:t>
            </w:r>
          </w:p>
        </w:tc>
        <w:tc>
          <w:tcPr>
            <w:tcW w:w="126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5.</w:t>
            </w:r>
          </w:p>
        </w:tc>
        <w:tc>
          <w:tcPr>
            <w:tcW w:w="7240" w:type="dxa"/>
            <w:vAlign w:val="bottom"/>
          </w:tcPr>
          <w:p>
            <w:pPr>
              <w:ind w:left="280"/>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EPRESENTATIONS AND</w:t>
            </w:r>
            <w:r>
              <w:rPr>
                <w:rFonts w:ascii="Arial" w:cs="Arial" w:eastAsia="Arial" w:hAnsi="Arial"/>
                <w:sz w:val="22"/>
                <w:szCs w:val="22"/>
                <w:color w:val="auto"/>
              </w:rPr>
              <w:t xml:space="preserve"> W</w:t>
            </w:r>
            <w:r>
              <w:rPr>
                <w:rFonts w:ascii="Arial" w:cs="Arial" w:eastAsia="Arial" w:hAnsi="Arial"/>
                <w:sz w:val="18"/>
                <w:szCs w:val="18"/>
                <w:color w:val="auto"/>
              </w:rPr>
              <w:t>ARRANTIES OF THE</w:t>
            </w:r>
            <w:r>
              <w:rPr>
                <w:rFonts w:ascii="Arial" w:cs="Arial" w:eastAsia="Arial" w:hAnsi="Arial"/>
                <w:sz w:val="22"/>
                <w:szCs w:val="22"/>
                <w:color w:val="auto"/>
              </w:rPr>
              <w:t xml:space="preserve"> C</w:t>
            </w:r>
            <w:r>
              <w:rPr>
                <w:rFonts w:ascii="Arial" w:cs="Arial" w:eastAsia="Arial" w:hAnsi="Arial"/>
                <w:sz w:val="18"/>
                <w:szCs w:val="18"/>
                <w:color w:val="auto"/>
              </w:rPr>
              <w:t>OMPANY</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77"/>
        </w:trPr>
        <w:tc>
          <w:tcPr>
            <w:tcW w:w="1640" w:type="dxa"/>
            <w:vAlign w:val="bottom"/>
          </w:tcPr>
          <w:p>
            <w:pPr>
              <w:spacing w:after="0"/>
              <w:rPr>
                <w:sz w:val="6"/>
                <w:szCs w:val="6"/>
                <w:color w:val="auto"/>
              </w:rPr>
            </w:pPr>
          </w:p>
        </w:tc>
        <w:tc>
          <w:tcPr>
            <w:tcW w:w="7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Organization; Power and Authority</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5.2.</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Authorization, Etc</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5.3.</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Disclosure</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5.4.</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Organization and Ownership of Shares of Subsidiaries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5.5.</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Financial Statements; Material Liabilities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5.6.</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Compliance with Laws, Other Instruments, Etc</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5.7.</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Governmental Authorizations, Etc</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5.8.</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Litigation; Observance of Statutes and Orders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5.9.</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Taxes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5.10.</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Title to Property; Leases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5.11.</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Licenses, Permits, Etc</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5.12.</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Compliance with Employee Benefit Plans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5.13.</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Private Offering by the Company</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5.14.</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Use of Proceeds; Margin Regulations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5.15.</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Existing Debt</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5.16.</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Foreign Assets Control Regulations, Etc</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5.17.</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Status under Certain Statutes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1640" w:type="dxa"/>
            <w:vAlign w:val="bottom"/>
          </w:tcPr>
          <w:p>
            <w:pPr>
              <w:ind w:left="220"/>
              <w:spacing w:after="0" w:line="243" w:lineRule="exact"/>
              <w:rPr>
                <w:sz w:val="20"/>
                <w:szCs w:val="20"/>
                <w:color w:val="auto"/>
              </w:rPr>
            </w:pPr>
            <w:r>
              <w:rPr>
                <w:rFonts w:ascii="Arial" w:cs="Arial" w:eastAsia="Arial" w:hAnsi="Arial"/>
                <w:sz w:val="22"/>
                <w:szCs w:val="22"/>
                <w:color w:val="auto"/>
              </w:rPr>
              <w:t>Section 5.18.</w:t>
            </w:r>
          </w:p>
        </w:tc>
        <w:tc>
          <w:tcPr>
            <w:tcW w:w="7240" w:type="dxa"/>
            <w:vAlign w:val="bottom"/>
          </w:tcPr>
          <w:p>
            <w:pPr>
              <w:ind w:left="500"/>
              <w:spacing w:after="0" w:line="243" w:lineRule="exact"/>
              <w:rPr>
                <w:sz w:val="20"/>
                <w:szCs w:val="20"/>
                <w:color w:val="auto"/>
              </w:rPr>
            </w:pPr>
            <w:r>
              <w:rPr>
                <w:rFonts w:ascii="Arial" w:cs="Arial" w:eastAsia="Arial" w:hAnsi="Arial"/>
                <w:sz w:val="22"/>
                <w:szCs w:val="22"/>
                <w:color w:val="auto"/>
              </w:rPr>
              <w:t>Environmental Matters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5"/>
        </w:trPr>
        <w:tc>
          <w:tcPr>
            <w:tcW w:w="1640" w:type="dxa"/>
            <w:vAlign w:val="bottom"/>
          </w:tcPr>
          <w:p>
            <w:pPr>
              <w:spacing w:after="0"/>
              <w:rPr>
                <w:sz w:val="23"/>
                <w:szCs w:val="23"/>
                <w:color w:val="auto"/>
              </w:rPr>
            </w:pPr>
          </w:p>
        </w:tc>
        <w:tc>
          <w:tcPr>
            <w:tcW w:w="7240" w:type="dxa"/>
            <w:vAlign w:val="bottom"/>
          </w:tcPr>
          <w:p>
            <w:pPr>
              <w:ind w:left="3320"/>
              <w:spacing w:after="0"/>
              <w:rPr>
                <w:sz w:val="20"/>
                <w:szCs w:val="20"/>
                <w:color w:val="auto"/>
              </w:rPr>
            </w:pPr>
            <w:r>
              <w:rPr>
                <w:rFonts w:ascii="Arial" w:cs="Arial" w:eastAsia="Arial" w:hAnsi="Arial"/>
                <w:sz w:val="22"/>
                <w:szCs w:val="22"/>
                <w:color w:val="auto"/>
              </w:rPr>
              <w:t>-i-</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7"/>
        </w:trPr>
        <w:tc>
          <w:tcPr>
            <w:tcW w:w="164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EEEEEE"/>
            </w:tcBorders>
          </w:tcPr>
          <w:p>
            <w:pPr>
              <w:spacing w:after="0" w:line="20" w:lineRule="exact"/>
              <w:rPr>
                <w:sz w:val="1"/>
                <w:szCs w:val="1"/>
                <w:color w:val="auto"/>
              </w:rPr>
            </w:pPr>
          </w:p>
        </w:tc>
        <w:tc>
          <w:tcPr>
            <w:tcW w:w="72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42" w:right="859" w:bottom="1440" w:gutter="0" w:footer="0" w:header="0"/>
        </w:sectPr>
      </w:pPr>
    </w:p>
    <w:bookmarkStart w:id="37" w:name="page38"/>
    <w:bookmarkEnd w:id="37"/>
    <w:p>
      <w:pPr>
        <w:ind w:left="220"/>
        <w:spacing w:after="0"/>
        <w:tabs>
          <w:tab w:leader="none" w:pos="2160" w:val="left"/>
        </w:tabs>
        <w:rPr>
          <w:sz w:val="20"/>
          <w:szCs w:val="20"/>
          <w:color w:val="auto"/>
        </w:rPr>
      </w:pPr>
      <w:r>
        <w:rPr>
          <w:rFonts w:ascii="Arial" w:cs="Arial" w:eastAsia="Arial" w:hAnsi="Arial"/>
          <w:sz w:val="22"/>
          <w:szCs w:val="22"/>
          <w:color w:val="auto"/>
        </w:rPr>
        <w:t>Section 5.19.</w:t>
      </w:r>
      <w:r>
        <w:rPr>
          <w:sz w:val="20"/>
          <w:szCs w:val="20"/>
          <w:color w:val="auto"/>
        </w:rPr>
        <w:tab/>
      </w:r>
      <w:r>
        <w:rPr>
          <w:rFonts w:ascii="Arial" w:cs="Arial" w:eastAsia="Arial" w:hAnsi="Arial"/>
          <w:sz w:val="19"/>
          <w:szCs w:val="19"/>
          <w:color w:val="auto"/>
        </w:rPr>
        <w:t>Lien of Indenture</w:t>
      </w:r>
    </w:p>
    <w:p>
      <w:pPr>
        <w:spacing w:after="0" w:line="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5.20.</w:t>
      </w:r>
      <w:r>
        <w:rPr>
          <w:sz w:val="20"/>
          <w:szCs w:val="20"/>
          <w:color w:val="auto"/>
        </w:rPr>
        <w:tab/>
      </w:r>
      <w:r>
        <w:rPr>
          <w:rFonts w:ascii="Arial" w:cs="Arial" w:eastAsia="Arial" w:hAnsi="Arial"/>
          <w:sz w:val="19"/>
          <w:szCs w:val="19"/>
          <w:color w:val="auto"/>
        </w:rPr>
        <w:t>Filings</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6.</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EPRESENTATIONS OF THE</w:t>
      </w:r>
      <w:r>
        <w:rPr>
          <w:rFonts w:ascii="Arial" w:cs="Arial" w:eastAsia="Arial" w:hAnsi="Arial"/>
          <w:sz w:val="21"/>
          <w:szCs w:val="21"/>
          <w:color w:val="auto"/>
        </w:rPr>
        <w:t xml:space="preserve"> P</w:t>
      </w:r>
      <w:r>
        <w:rPr>
          <w:rFonts w:ascii="Arial" w:cs="Arial" w:eastAsia="Arial" w:hAnsi="Arial"/>
          <w:sz w:val="17"/>
          <w:szCs w:val="17"/>
          <w:color w:val="auto"/>
        </w:rPr>
        <w:t>URCHASERS</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color w:val="auto"/>
        </w:rPr>
        <w:t>Purchase for Investment</w:t>
      </w:r>
    </w:p>
    <w:p>
      <w:pPr>
        <w:spacing w:after="0" w:line="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color w:val="auto"/>
        </w:rPr>
        <w:t>Source of Funds</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7.</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NFORMATION AS TO</w:t>
      </w:r>
      <w:r>
        <w:rPr>
          <w:rFonts w:ascii="Arial" w:cs="Arial" w:eastAsia="Arial" w:hAnsi="Arial"/>
          <w:sz w:val="21"/>
          <w:szCs w:val="21"/>
          <w:color w:val="auto"/>
        </w:rPr>
        <w:t xml:space="preserve"> C</w:t>
      </w:r>
      <w:r>
        <w:rPr>
          <w:rFonts w:ascii="Arial" w:cs="Arial" w:eastAsia="Arial" w:hAnsi="Arial"/>
          <w:sz w:val="17"/>
          <w:szCs w:val="17"/>
          <w:color w:val="auto"/>
        </w:rPr>
        <w:t>OMPANY</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color w:val="auto"/>
        </w:rPr>
        <w:t>Financial and Business Information</w:t>
      </w:r>
    </w:p>
    <w:p>
      <w:pPr>
        <w:ind w:left="220"/>
        <w:spacing w:after="0"/>
        <w:tabs>
          <w:tab w:leader="none" w:pos="216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color w:val="auto"/>
        </w:rPr>
        <w:t>Officer’s Certificate</w:t>
      </w:r>
    </w:p>
    <w:p>
      <w:pPr>
        <w:ind w:left="220"/>
        <w:spacing w:after="0"/>
        <w:tabs>
          <w:tab w:leader="none" w:pos="216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color w:val="auto"/>
        </w:rPr>
        <w:t>Visitation</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8.</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31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9.</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FFIRMATIVE</w:t>
      </w:r>
      <w:r>
        <w:rPr>
          <w:rFonts w:ascii="Arial" w:cs="Arial" w:eastAsia="Arial" w:hAnsi="Arial"/>
          <w:sz w:val="22"/>
          <w:szCs w:val="22"/>
          <w:color w:val="auto"/>
        </w:rPr>
        <w:t xml:space="preserve"> C</w:t>
      </w:r>
      <w:r>
        <w:rPr>
          <w:rFonts w:ascii="Arial" w:cs="Arial" w:eastAsia="Arial" w:hAnsi="Arial"/>
          <w:sz w:val="18"/>
          <w:szCs w:val="18"/>
          <w:color w:val="auto"/>
        </w:rPr>
        <w:t>OVENANTS</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color w:val="auto"/>
        </w:rPr>
        <w:t>Compliance with Law</w:t>
      </w:r>
    </w:p>
    <w:p>
      <w:pPr>
        <w:ind w:left="220"/>
        <w:spacing w:after="0"/>
        <w:tabs>
          <w:tab w:leader="none" w:pos="216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color w:val="auto"/>
        </w:rPr>
        <w:t>Insurance</w:t>
      </w:r>
    </w:p>
    <w:p>
      <w:pPr>
        <w:ind w:left="220"/>
        <w:spacing w:after="0"/>
        <w:tabs>
          <w:tab w:leader="none" w:pos="216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color w:val="auto"/>
        </w:rPr>
        <w:t>Maintenance of Properties</w:t>
      </w:r>
    </w:p>
    <w:p>
      <w:pPr>
        <w:ind w:left="220"/>
        <w:spacing w:after="0"/>
        <w:tabs>
          <w:tab w:leader="none" w:pos="2160" w:val="left"/>
        </w:tabs>
        <w:rPr>
          <w:sz w:val="20"/>
          <w:szCs w:val="20"/>
          <w:color w:val="auto"/>
        </w:rPr>
      </w:pPr>
      <w:r>
        <w:rPr>
          <w:rFonts w:ascii="Arial" w:cs="Arial" w:eastAsia="Arial" w:hAnsi="Arial"/>
          <w:sz w:val="22"/>
          <w:szCs w:val="22"/>
          <w:color w:val="auto"/>
        </w:rPr>
        <w:t>Section 9.4.</w:t>
      </w:r>
      <w:r>
        <w:rPr>
          <w:sz w:val="20"/>
          <w:szCs w:val="20"/>
          <w:color w:val="auto"/>
        </w:rPr>
        <w:tab/>
      </w:r>
      <w:r>
        <w:rPr>
          <w:rFonts w:ascii="Arial" w:cs="Arial" w:eastAsia="Arial" w:hAnsi="Arial"/>
          <w:sz w:val="19"/>
          <w:szCs w:val="19"/>
          <w:color w:val="auto"/>
        </w:rPr>
        <w:t>Payment of Taxes</w:t>
      </w:r>
    </w:p>
    <w:p>
      <w:pPr>
        <w:ind w:left="220"/>
        <w:spacing w:after="0"/>
        <w:tabs>
          <w:tab w:leader="none" w:pos="216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color w:val="auto"/>
        </w:rPr>
        <w:t>Corporate Existence, Etc</w:t>
      </w:r>
    </w:p>
    <w:p>
      <w:pPr>
        <w:ind w:left="220"/>
        <w:spacing w:after="0"/>
        <w:tabs>
          <w:tab w:leader="none" w:pos="216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color w:val="auto"/>
        </w:rPr>
        <w:t>Books and Records</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10.</w:t>
      </w:r>
      <w:r>
        <w:rPr>
          <w:sz w:val="20"/>
          <w:szCs w:val="20"/>
          <w:color w:val="auto"/>
        </w:rPr>
        <w:tab/>
      </w:r>
      <w:r>
        <w:rPr>
          <w:rFonts w:ascii="Arial" w:cs="Arial" w:eastAsia="Arial" w:hAnsi="Arial"/>
          <w:sz w:val="21"/>
          <w:szCs w:val="21"/>
          <w:color w:val="auto"/>
        </w:rPr>
        <w:t>N</w:t>
      </w:r>
      <w:r>
        <w:rPr>
          <w:rFonts w:ascii="Arial" w:cs="Arial" w:eastAsia="Arial" w:hAnsi="Arial"/>
          <w:sz w:val="17"/>
          <w:szCs w:val="17"/>
          <w:color w:val="auto"/>
        </w:rPr>
        <w:t>EGATIVE</w:t>
      </w:r>
      <w:r>
        <w:rPr>
          <w:rFonts w:ascii="Arial" w:cs="Arial" w:eastAsia="Arial" w:hAnsi="Arial"/>
          <w:sz w:val="21"/>
          <w:szCs w:val="21"/>
          <w:color w:val="auto"/>
        </w:rPr>
        <w:t xml:space="preserve"> C</w:t>
      </w:r>
      <w:r>
        <w:rPr>
          <w:rFonts w:ascii="Arial" w:cs="Arial" w:eastAsia="Arial" w:hAnsi="Arial"/>
          <w:sz w:val="17"/>
          <w:szCs w:val="17"/>
          <w:color w:val="auto"/>
        </w:rPr>
        <w:t>OVENANTS</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color w:val="auto"/>
        </w:rPr>
        <w:t>Transactions with Affiliates</w:t>
      </w:r>
    </w:p>
    <w:p>
      <w:pPr>
        <w:ind w:left="220"/>
        <w:spacing w:after="0"/>
        <w:tabs>
          <w:tab w:leader="none" w:pos="21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color w:val="auto"/>
        </w:rPr>
        <w:t>Merger, Consolidation, Etc</w:t>
      </w:r>
    </w:p>
    <w:p>
      <w:pPr>
        <w:ind w:left="220"/>
        <w:spacing w:after="0"/>
        <w:tabs>
          <w:tab w:leader="none" w:pos="216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color w:val="auto"/>
        </w:rPr>
        <w:t>Line of Business</w:t>
      </w:r>
    </w:p>
    <w:p>
      <w:pPr>
        <w:spacing w:after="0" w:line="1"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color w:val="auto"/>
        </w:rPr>
        <w:t>Economic Sanctions, Etc.</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11.</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AYMENTS ON</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color w:val="auto"/>
        </w:rPr>
        <w:t>Payment by Wire Transfer</w:t>
      </w:r>
    </w:p>
    <w:p>
      <w:pPr>
        <w:spacing w:after="0" w:line="206"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12.</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EGISTRATION</w:t>
      </w:r>
      <w:r>
        <w:rPr>
          <w:rFonts w:ascii="Arial" w:cs="Arial" w:eastAsia="Arial" w:hAnsi="Arial"/>
          <w:sz w:val="19"/>
          <w:szCs w:val="19"/>
          <w:color w:val="auto"/>
        </w:rPr>
        <w:t>; E</w:t>
      </w:r>
      <w:r>
        <w:rPr>
          <w:rFonts w:ascii="Arial" w:cs="Arial" w:eastAsia="Arial" w:hAnsi="Arial"/>
          <w:sz w:val="16"/>
          <w:szCs w:val="16"/>
          <w:color w:val="auto"/>
        </w:rPr>
        <w:t>XCHANGE</w:t>
      </w:r>
      <w:r>
        <w:rPr>
          <w:rFonts w:ascii="Arial" w:cs="Arial" w:eastAsia="Arial" w:hAnsi="Arial"/>
          <w:sz w:val="19"/>
          <w:szCs w:val="19"/>
          <w:color w:val="auto"/>
        </w:rPr>
        <w:t>; E</w:t>
      </w:r>
      <w:r>
        <w:rPr>
          <w:rFonts w:ascii="Arial" w:cs="Arial" w:eastAsia="Arial" w:hAnsi="Arial"/>
          <w:sz w:val="16"/>
          <w:szCs w:val="16"/>
          <w:color w:val="auto"/>
        </w:rPr>
        <w:t>XPENSES</w:t>
      </w:r>
      <w:r>
        <w:rPr>
          <w:rFonts w:ascii="Arial" w:cs="Arial" w:eastAsia="Arial" w:hAnsi="Arial"/>
          <w:sz w:val="19"/>
          <w:szCs w:val="19"/>
          <w:color w:val="auto"/>
        </w:rPr>
        <w:t>, ETC</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color w:val="auto"/>
        </w:rPr>
        <w:t>Registration of Bonds</w:t>
      </w:r>
    </w:p>
    <w:p>
      <w:pPr>
        <w:ind w:left="220"/>
        <w:spacing w:after="0"/>
        <w:tabs>
          <w:tab w:leader="none" w:pos="216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8"/>
          <w:szCs w:val="18"/>
          <w:color w:val="auto"/>
        </w:rPr>
        <w:t>Transaction Expenses</w:t>
      </w:r>
    </w:p>
    <w:p>
      <w:pPr>
        <w:ind w:left="220"/>
        <w:spacing w:after="0"/>
        <w:tabs>
          <w:tab w:leader="none" w:pos="216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color w:val="auto"/>
        </w:rPr>
        <w:t>Survival</w:t>
      </w:r>
    </w:p>
    <w:p>
      <w:pPr>
        <w:spacing w:after="0" w:line="1"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12.4.</w:t>
      </w:r>
      <w:r>
        <w:rPr>
          <w:sz w:val="20"/>
          <w:szCs w:val="20"/>
          <w:color w:val="auto"/>
        </w:rPr>
        <w:tab/>
      </w:r>
      <w:r>
        <w:rPr>
          <w:rFonts w:ascii="Arial" w:cs="Arial" w:eastAsia="Arial" w:hAnsi="Arial"/>
          <w:sz w:val="19"/>
          <w:szCs w:val="19"/>
          <w:color w:val="auto"/>
        </w:rPr>
        <w:t>Tax Withholding</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13.</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URVIVAL OF</w:t>
      </w:r>
      <w:r>
        <w:rPr>
          <w:rFonts w:ascii="Arial" w:cs="Arial" w:eastAsia="Arial" w:hAnsi="Arial"/>
          <w:sz w:val="21"/>
          <w:szCs w:val="21"/>
          <w:color w:val="auto"/>
        </w:rPr>
        <w:t xml:space="preserve"> 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w:t>
      </w:r>
      <w:r>
        <w:rPr>
          <w:rFonts w:ascii="Arial" w:cs="Arial" w:eastAsia="Arial" w:hAnsi="Arial"/>
          <w:sz w:val="21"/>
          <w:szCs w:val="21"/>
          <w:color w:val="auto"/>
        </w:rPr>
        <w:t>; E</w:t>
      </w:r>
      <w:r>
        <w:rPr>
          <w:rFonts w:ascii="Arial" w:cs="Arial" w:eastAsia="Arial" w:hAnsi="Arial"/>
          <w:sz w:val="17"/>
          <w:szCs w:val="17"/>
          <w:color w:val="auto"/>
        </w:rPr>
        <w:t>NTIRE</w:t>
      </w:r>
      <w:r>
        <w:rPr>
          <w:rFonts w:ascii="Arial" w:cs="Arial" w:eastAsia="Arial" w:hAnsi="Arial"/>
          <w:sz w:val="21"/>
          <w:szCs w:val="21"/>
          <w:color w:val="auto"/>
        </w:rPr>
        <w:t xml:space="preserve"> A</w:t>
      </w:r>
      <w:r>
        <w:rPr>
          <w:rFonts w:ascii="Arial" w:cs="Arial" w:eastAsia="Arial" w:hAnsi="Arial"/>
          <w:sz w:val="17"/>
          <w:szCs w:val="17"/>
          <w:color w:val="auto"/>
        </w:rPr>
        <w:t>GREEMENT</w:t>
      </w:r>
    </w:p>
    <w:p>
      <w:pPr>
        <w:spacing w:after="0" w:line="31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14.</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MENDMENT AND</w:t>
      </w:r>
      <w:r>
        <w:rPr>
          <w:rFonts w:ascii="Arial" w:cs="Arial" w:eastAsia="Arial" w:hAnsi="Arial"/>
          <w:sz w:val="22"/>
          <w:szCs w:val="22"/>
          <w:color w:val="auto"/>
        </w:rPr>
        <w:t xml:space="preserve"> W</w:t>
      </w:r>
      <w:r>
        <w:rPr>
          <w:rFonts w:ascii="Arial" w:cs="Arial" w:eastAsia="Arial" w:hAnsi="Arial"/>
          <w:sz w:val="18"/>
          <w:szCs w:val="18"/>
          <w:color w:val="auto"/>
        </w:rPr>
        <w:t>AIVER</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14.1.</w:t>
      </w:r>
      <w:r>
        <w:rPr>
          <w:sz w:val="20"/>
          <w:szCs w:val="20"/>
          <w:color w:val="auto"/>
        </w:rPr>
        <w:tab/>
      </w:r>
      <w:r>
        <w:rPr>
          <w:rFonts w:ascii="Arial" w:cs="Arial" w:eastAsia="Arial" w:hAnsi="Arial"/>
          <w:sz w:val="19"/>
          <w:szCs w:val="19"/>
          <w:color w:val="auto"/>
        </w:rPr>
        <w:t>Requirements</w:t>
      </w:r>
    </w:p>
    <w:p>
      <w:pPr>
        <w:ind w:left="220"/>
        <w:spacing w:after="0"/>
        <w:tabs>
          <w:tab w:leader="none" w:pos="2160" w:val="left"/>
        </w:tabs>
        <w:rPr>
          <w:sz w:val="20"/>
          <w:szCs w:val="20"/>
          <w:color w:val="auto"/>
        </w:rPr>
      </w:pPr>
      <w:r>
        <w:rPr>
          <w:rFonts w:ascii="Arial" w:cs="Arial" w:eastAsia="Arial" w:hAnsi="Arial"/>
          <w:sz w:val="22"/>
          <w:szCs w:val="22"/>
          <w:color w:val="auto"/>
        </w:rPr>
        <w:t>Section 14.2.</w:t>
      </w:r>
      <w:r>
        <w:rPr>
          <w:sz w:val="20"/>
          <w:szCs w:val="20"/>
          <w:color w:val="auto"/>
        </w:rPr>
        <w:tab/>
      </w:r>
      <w:r>
        <w:rPr>
          <w:rFonts w:ascii="Arial" w:cs="Arial" w:eastAsia="Arial" w:hAnsi="Arial"/>
          <w:sz w:val="19"/>
          <w:szCs w:val="19"/>
          <w:color w:val="auto"/>
        </w:rPr>
        <w:t>Solicitation of Holders of Bonds</w:t>
      </w:r>
    </w:p>
    <w:p>
      <w:pPr>
        <w:jc w:val="center"/>
        <w:ind w:left="98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343535</wp:posOffset>
            </wp:positionV>
            <wp:extent cx="646557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15</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15</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ectPr>
          <w:pgSz w:w="11900" w:h="16838" w:orient="portrait"/>
          <w:cols w:equalWidth="0" w:num="2">
            <w:col w:w="9120" w:space="720"/>
            <w:col w:w="220"/>
          </w:cols>
          <w:pgMar w:left="900" w:top="361" w:right="939" w:bottom="1440" w:gutter="0" w:footer="0" w:header="0"/>
        </w:sectPr>
      </w:pPr>
    </w:p>
    <w:bookmarkStart w:id="38" w:name="page39"/>
    <w:bookmarkEnd w:id="38"/>
    <w:p>
      <w:pPr>
        <w:ind w:left="220"/>
        <w:spacing w:after="0"/>
        <w:tabs>
          <w:tab w:leader="none" w:pos="2160" w:val="left"/>
        </w:tabs>
        <w:rPr>
          <w:sz w:val="20"/>
          <w:szCs w:val="20"/>
          <w:color w:val="auto"/>
        </w:rPr>
      </w:pPr>
      <w:r>
        <w:rPr>
          <w:rFonts w:ascii="Arial" w:cs="Arial" w:eastAsia="Arial" w:hAnsi="Arial"/>
          <w:sz w:val="22"/>
          <w:szCs w:val="22"/>
          <w:color w:val="auto"/>
        </w:rPr>
        <w:t>Section 14.3.</w:t>
      </w:r>
      <w:r>
        <w:rPr>
          <w:sz w:val="20"/>
          <w:szCs w:val="20"/>
          <w:color w:val="auto"/>
        </w:rPr>
        <w:tab/>
      </w:r>
      <w:r>
        <w:rPr>
          <w:rFonts w:ascii="Arial" w:cs="Arial" w:eastAsia="Arial" w:hAnsi="Arial"/>
          <w:sz w:val="19"/>
          <w:szCs w:val="19"/>
          <w:color w:val="auto"/>
        </w:rPr>
        <w:t>Binding Effect, Etc</w:t>
      </w:r>
    </w:p>
    <w:p>
      <w:pPr>
        <w:spacing w:after="0" w:line="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14.4.</w:t>
      </w:r>
      <w:r>
        <w:rPr>
          <w:sz w:val="20"/>
          <w:szCs w:val="20"/>
          <w:color w:val="auto"/>
        </w:rPr>
        <w:tab/>
      </w:r>
      <w:r>
        <w:rPr>
          <w:rFonts w:ascii="Arial" w:cs="Arial" w:eastAsia="Arial" w:hAnsi="Arial"/>
          <w:sz w:val="19"/>
          <w:szCs w:val="19"/>
          <w:color w:val="auto"/>
        </w:rPr>
        <w:t>Bonds Held by Company, Etc</w:t>
      </w:r>
    </w:p>
    <w:p>
      <w:pPr>
        <w:spacing w:after="0" w:line="18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15.</w:t>
      </w:r>
      <w:r>
        <w:rPr>
          <w:sz w:val="20"/>
          <w:szCs w:val="20"/>
          <w:color w:val="auto"/>
        </w:rPr>
        <w:tab/>
      </w:r>
      <w:r>
        <w:rPr>
          <w:rFonts w:ascii="Arial" w:cs="Arial" w:eastAsia="Arial" w:hAnsi="Arial"/>
          <w:sz w:val="19"/>
          <w:szCs w:val="19"/>
          <w:color w:val="auto"/>
        </w:rPr>
        <w:t>N</w:t>
      </w:r>
      <w:r>
        <w:rPr>
          <w:rFonts w:ascii="Arial" w:cs="Arial" w:eastAsia="Arial" w:hAnsi="Arial"/>
          <w:sz w:val="16"/>
          <w:szCs w:val="16"/>
          <w:color w:val="auto"/>
        </w:rPr>
        <w:t>OTICES</w:t>
      </w:r>
    </w:p>
    <w:p>
      <w:pPr>
        <w:spacing w:after="0" w:line="31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16.</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NDEMNIFICATION</w:t>
      </w:r>
    </w:p>
    <w:p>
      <w:pPr>
        <w:spacing w:after="0" w:line="31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17.</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EPRODUCTION OF</w:t>
      </w:r>
      <w:r>
        <w:rPr>
          <w:rFonts w:ascii="Arial" w:cs="Arial" w:eastAsia="Arial" w:hAnsi="Arial"/>
          <w:sz w:val="21"/>
          <w:szCs w:val="21"/>
          <w:color w:val="auto"/>
        </w:rPr>
        <w:t xml:space="preserve"> D</w:t>
      </w:r>
      <w:r>
        <w:rPr>
          <w:rFonts w:ascii="Arial" w:cs="Arial" w:eastAsia="Arial" w:hAnsi="Arial"/>
          <w:sz w:val="17"/>
          <w:szCs w:val="17"/>
          <w:color w:val="auto"/>
        </w:rPr>
        <w:t>OCUMENTS</w:t>
      </w:r>
    </w:p>
    <w:p>
      <w:pPr>
        <w:spacing w:after="0" w:line="31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18.</w:t>
      </w:r>
      <w:r>
        <w:rPr>
          <w:sz w:val="20"/>
          <w:szCs w:val="20"/>
          <w:color w:val="auto"/>
        </w:rPr>
        <w:tab/>
      </w:r>
      <w:r>
        <w:rPr>
          <w:rFonts w:ascii="Arial" w:cs="Arial" w:eastAsia="Arial" w:hAnsi="Arial"/>
          <w:sz w:val="22"/>
          <w:szCs w:val="22"/>
          <w:color w:val="auto"/>
        </w:rPr>
        <w:t>C</w:t>
      </w:r>
      <w:r>
        <w:rPr>
          <w:rFonts w:ascii="Arial" w:cs="Arial" w:eastAsia="Arial" w:hAnsi="Arial"/>
          <w:sz w:val="18"/>
          <w:szCs w:val="18"/>
          <w:color w:val="auto"/>
        </w:rPr>
        <w:t>ONFIDENTIAL</w:t>
      </w:r>
      <w:r>
        <w:rPr>
          <w:rFonts w:ascii="Arial" w:cs="Arial" w:eastAsia="Arial" w:hAnsi="Arial"/>
          <w:sz w:val="22"/>
          <w:szCs w:val="22"/>
          <w:color w:val="auto"/>
        </w:rPr>
        <w:t xml:space="preserve"> I</w:t>
      </w:r>
      <w:r>
        <w:rPr>
          <w:rFonts w:ascii="Arial" w:cs="Arial" w:eastAsia="Arial" w:hAnsi="Arial"/>
          <w:sz w:val="18"/>
          <w:szCs w:val="18"/>
          <w:color w:val="auto"/>
        </w:rPr>
        <w:t>NFORMATION</w:t>
      </w:r>
    </w:p>
    <w:p>
      <w:pPr>
        <w:spacing w:after="0" w:line="31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19.</w:t>
      </w:r>
      <w:r>
        <w:rPr>
          <w:sz w:val="20"/>
          <w:szCs w:val="20"/>
          <w:color w:val="auto"/>
        </w:rPr>
        <w:tab/>
      </w:r>
      <w:r>
        <w:rPr>
          <w:rFonts w:ascii="Arial" w:cs="Arial" w:eastAsia="Arial" w:hAnsi="Arial"/>
          <w:sz w:val="21"/>
          <w:szCs w:val="21"/>
          <w:color w:val="auto"/>
        </w:rPr>
        <w:t>M</w:t>
      </w:r>
      <w:r>
        <w:rPr>
          <w:rFonts w:ascii="Arial" w:cs="Arial" w:eastAsia="Arial" w:hAnsi="Arial"/>
          <w:sz w:val="17"/>
          <w:szCs w:val="17"/>
          <w:color w:val="auto"/>
        </w:rPr>
        <w:t>ISCELLANEOUS</w:t>
      </w:r>
    </w:p>
    <w:p>
      <w:pPr>
        <w:spacing w:after="0" w:line="9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19.1.</w:t>
      </w:r>
      <w:r>
        <w:rPr>
          <w:sz w:val="20"/>
          <w:szCs w:val="20"/>
          <w:color w:val="auto"/>
        </w:rPr>
        <w:tab/>
      </w:r>
      <w:r>
        <w:rPr>
          <w:rFonts w:ascii="Arial" w:cs="Arial" w:eastAsia="Arial" w:hAnsi="Arial"/>
          <w:sz w:val="18"/>
          <w:szCs w:val="18"/>
          <w:color w:val="auto"/>
        </w:rPr>
        <w:t>Successors and Assigns</w:t>
      </w:r>
    </w:p>
    <w:p>
      <w:pPr>
        <w:ind w:left="220"/>
        <w:spacing w:after="0"/>
        <w:tabs>
          <w:tab w:leader="none" w:pos="2160" w:val="left"/>
        </w:tabs>
        <w:rPr>
          <w:sz w:val="20"/>
          <w:szCs w:val="20"/>
          <w:color w:val="auto"/>
        </w:rPr>
      </w:pPr>
      <w:r>
        <w:rPr>
          <w:rFonts w:ascii="Arial" w:cs="Arial" w:eastAsia="Arial" w:hAnsi="Arial"/>
          <w:sz w:val="22"/>
          <w:szCs w:val="22"/>
          <w:color w:val="auto"/>
        </w:rPr>
        <w:t>Section 19.2.</w:t>
      </w:r>
      <w:r>
        <w:rPr>
          <w:sz w:val="20"/>
          <w:szCs w:val="20"/>
          <w:color w:val="auto"/>
        </w:rPr>
        <w:tab/>
      </w:r>
      <w:r>
        <w:rPr>
          <w:rFonts w:ascii="Arial" w:cs="Arial" w:eastAsia="Arial" w:hAnsi="Arial"/>
          <w:sz w:val="19"/>
          <w:szCs w:val="19"/>
          <w:color w:val="auto"/>
        </w:rPr>
        <w:t>Accounting Terms</w:t>
      </w:r>
    </w:p>
    <w:p>
      <w:pPr>
        <w:ind w:left="220"/>
        <w:spacing w:after="0"/>
        <w:tabs>
          <w:tab w:leader="none" w:pos="2160" w:val="left"/>
        </w:tabs>
        <w:rPr>
          <w:sz w:val="20"/>
          <w:szCs w:val="20"/>
          <w:color w:val="auto"/>
        </w:rPr>
      </w:pPr>
      <w:r>
        <w:rPr>
          <w:rFonts w:ascii="Arial" w:cs="Arial" w:eastAsia="Arial" w:hAnsi="Arial"/>
          <w:sz w:val="22"/>
          <w:szCs w:val="22"/>
          <w:color w:val="auto"/>
        </w:rPr>
        <w:t>Section 19.3.</w:t>
      </w:r>
      <w:r>
        <w:rPr>
          <w:sz w:val="20"/>
          <w:szCs w:val="20"/>
          <w:color w:val="auto"/>
        </w:rPr>
        <w:tab/>
      </w:r>
      <w:r>
        <w:rPr>
          <w:rFonts w:ascii="Arial" w:cs="Arial" w:eastAsia="Arial" w:hAnsi="Arial"/>
          <w:sz w:val="19"/>
          <w:szCs w:val="19"/>
          <w:color w:val="auto"/>
        </w:rPr>
        <w:t>Severability</w:t>
      </w:r>
    </w:p>
    <w:p>
      <w:pPr>
        <w:ind w:left="220"/>
        <w:spacing w:after="0"/>
        <w:tabs>
          <w:tab w:leader="none" w:pos="2160" w:val="left"/>
        </w:tabs>
        <w:rPr>
          <w:sz w:val="20"/>
          <w:szCs w:val="20"/>
          <w:color w:val="auto"/>
        </w:rPr>
      </w:pPr>
      <w:r>
        <w:rPr>
          <w:rFonts w:ascii="Arial" w:cs="Arial" w:eastAsia="Arial" w:hAnsi="Arial"/>
          <w:sz w:val="22"/>
          <w:szCs w:val="22"/>
          <w:color w:val="auto"/>
        </w:rPr>
        <w:t>Section 19.4.</w:t>
      </w:r>
      <w:r>
        <w:rPr>
          <w:sz w:val="20"/>
          <w:szCs w:val="20"/>
          <w:color w:val="auto"/>
        </w:rPr>
        <w:tab/>
      </w:r>
      <w:r>
        <w:rPr>
          <w:rFonts w:ascii="Arial" w:cs="Arial" w:eastAsia="Arial" w:hAnsi="Arial"/>
          <w:sz w:val="19"/>
          <w:szCs w:val="19"/>
          <w:color w:val="auto"/>
        </w:rPr>
        <w:t>Construction, Etc</w:t>
      </w:r>
    </w:p>
    <w:p>
      <w:pPr>
        <w:ind w:left="220"/>
        <w:spacing w:after="0"/>
        <w:tabs>
          <w:tab w:leader="none" w:pos="2160" w:val="left"/>
        </w:tabs>
        <w:rPr>
          <w:sz w:val="20"/>
          <w:szCs w:val="20"/>
          <w:color w:val="auto"/>
        </w:rPr>
      </w:pPr>
      <w:r>
        <w:rPr>
          <w:rFonts w:ascii="Arial" w:cs="Arial" w:eastAsia="Arial" w:hAnsi="Arial"/>
          <w:sz w:val="22"/>
          <w:szCs w:val="22"/>
          <w:color w:val="auto"/>
        </w:rPr>
        <w:t>Section 19.5.</w:t>
      </w:r>
      <w:r>
        <w:rPr>
          <w:sz w:val="20"/>
          <w:szCs w:val="20"/>
          <w:color w:val="auto"/>
        </w:rPr>
        <w:tab/>
      </w:r>
      <w:r>
        <w:rPr>
          <w:rFonts w:ascii="Arial" w:cs="Arial" w:eastAsia="Arial" w:hAnsi="Arial"/>
          <w:sz w:val="19"/>
          <w:szCs w:val="19"/>
          <w:color w:val="auto"/>
        </w:rPr>
        <w:t>Counterparts</w:t>
      </w:r>
    </w:p>
    <w:p>
      <w:pPr>
        <w:ind w:left="220"/>
        <w:spacing w:after="0"/>
        <w:tabs>
          <w:tab w:leader="none" w:pos="2160" w:val="left"/>
        </w:tabs>
        <w:rPr>
          <w:sz w:val="20"/>
          <w:szCs w:val="20"/>
          <w:color w:val="auto"/>
        </w:rPr>
      </w:pPr>
      <w:r>
        <w:rPr>
          <w:rFonts w:ascii="Arial" w:cs="Arial" w:eastAsia="Arial" w:hAnsi="Arial"/>
          <w:sz w:val="22"/>
          <w:szCs w:val="22"/>
          <w:color w:val="auto"/>
        </w:rPr>
        <w:t>Section 19.6.</w:t>
      </w:r>
      <w:r>
        <w:rPr>
          <w:sz w:val="20"/>
          <w:szCs w:val="20"/>
          <w:color w:val="auto"/>
        </w:rPr>
        <w:tab/>
      </w:r>
      <w:r>
        <w:rPr>
          <w:rFonts w:ascii="Arial" w:cs="Arial" w:eastAsia="Arial" w:hAnsi="Arial"/>
          <w:sz w:val="19"/>
          <w:szCs w:val="19"/>
          <w:color w:val="auto"/>
        </w:rPr>
        <w:t>Governing Law</w:t>
      </w:r>
    </w:p>
    <w:p>
      <w:pPr>
        <w:ind w:left="220"/>
        <w:spacing w:after="0"/>
        <w:tabs>
          <w:tab w:leader="none" w:pos="2160" w:val="left"/>
        </w:tabs>
        <w:rPr>
          <w:sz w:val="20"/>
          <w:szCs w:val="20"/>
          <w:color w:val="auto"/>
        </w:rPr>
      </w:pPr>
      <w:r>
        <w:rPr>
          <w:rFonts w:ascii="Arial" w:cs="Arial" w:eastAsia="Arial" w:hAnsi="Arial"/>
          <w:sz w:val="22"/>
          <w:szCs w:val="22"/>
          <w:color w:val="auto"/>
        </w:rPr>
        <w:t>Section 19.7.</w:t>
      </w:r>
      <w:r>
        <w:rPr>
          <w:sz w:val="20"/>
          <w:szCs w:val="20"/>
          <w:color w:val="auto"/>
        </w:rPr>
        <w:tab/>
      </w:r>
      <w:r>
        <w:rPr>
          <w:rFonts w:ascii="Arial" w:cs="Arial" w:eastAsia="Arial" w:hAnsi="Arial"/>
          <w:sz w:val="19"/>
          <w:szCs w:val="19"/>
          <w:color w:val="auto"/>
        </w:rPr>
        <w:t>Jurisdiction and Process; Waiver of Jury Trial</w:t>
      </w:r>
    </w:p>
    <w:p>
      <w:pPr>
        <w:spacing w:after="0" w:line="1"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22"/>
          <w:szCs w:val="22"/>
          <w:color w:val="auto"/>
        </w:rPr>
        <w:t>Section 19.8.</w:t>
      </w:r>
      <w:r>
        <w:rPr>
          <w:sz w:val="20"/>
          <w:szCs w:val="20"/>
          <w:color w:val="auto"/>
        </w:rPr>
        <w:tab/>
      </w:r>
      <w:r>
        <w:rPr>
          <w:rFonts w:ascii="Arial" w:cs="Arial" w:eastAsia="Arial" w:hAnsi="Arial"/>
          <w:sz w:val="19"/>
          <w:szCs w:val="19"/>
          <w:color w:val="auto"/>
        </w:rPr>
        <w:t>Payments Due on Non-Business Days</w:t>
      </w:r>
    </w:p>
    <w:p>
      <w:pPr>
        <w:spacing w:after="0" w:line="215" w:lineRule="exact"/>
        <w:rPr>
          <w:sz w:val="20"/>
          <w:szCs w:val="20"/>
          <w:color w:val="auto"/>
        </w:rPr>
      </w:pPr>
    </w:p>
    <w:p>
      <w:pPr>
        <w:jc w:val="center"/>
        <w:ind w:left="98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24</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28</w:t>
      </w:r>
    </w:p>
    <w:p>
      <w:pPr>
        <w:sectPr>
          <w:pgSz w:w="11900" w:h="16838" w:orient="portrait"/>
          <w:cols w:equalWidth="0" w:num="2">
            <w:col w:w="9120" w:space="720"/>
            <w:col w:w="220"/>
          </w:cols>
          <w:pgMar w:left="900" w:top="361" w:right="9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0"/>
                <w:szCs w:val="20"/>
                <w:color w:val="auto"/>
              </w:rPr>
            </w:pPr>
            <w:r>
              <w:rPr>
                <w:rFonts w:ascii="Arial" w:cs="Arial" w:eastAsia="Arial" w:hAnsi="Arial"/>
                <w:sz w:val="22"/>
                <w:szCs w:val="22"/>
                <w:color w:val="auto"/>
              </w:rPr>
              <w:t>Schedule A</w:t>
            </w:r>
          </w:p>
        </w:tc>
        <w:tc>
          <w:tcPr>
            <w:tcW w:w="700" w:type="dxa"/>
            <w:vAlign w:val="bottom"/>
          </w:tcPr>
          <w:p>
            <w:pPr>
              <w:ind w:left="380"/>
              <w:spacing w:after="0"/>
              <w:rPr>
                <w:sz w:val="20"/>
                <w:szCs w:val="20"/>
                <w:color w:val="auto"/>
              </w:rPr>
            </w:pPr>
            <w:r>
              <w:rPr>
                <w:rFonts w:ascii="Arial" w:cs="Arial" w:eastAsia="Arial" w:hAnsi="Arial"/>
                <w:sz w:val="22"/>
                <w:szCs w:val="22"/>
                <w:color w:val="auto"/>
              </w:rPr>
              <w:t>—</w:t>
            </w:r>
          </w:p>
        </w:tc>
        <w:tc>
          <w:tcPr>
            <w:tcW w:w="7660" w:type="dxa"/>
            <w:vAlign w:val="bottom"/>
          </w:tcPr>
          <w:p>
            <w:pPr>
              <w:ind w:left="100"/>
              <w:spacing w:after="0"/>
              <w:rPr>
                <w:sz w:val="20"/>
                <w:szCs w:val="20"/>
                <w:color w:val="auto"/>
              </w:rPr>
            </w:pPr>
            <w:r>
              <w:rPr>
                <w:rFonts w:ascii="Arial" w:cs="Arial" w:eastAsia="Arial" w:hAnsi="Arial"/>
                <w:sz w:val="22"/>
                <w:szCs w:val="22"/>
                <w:color w:val="auto"/>
              </w:rPr>
              <w:t>Information Relating to Purchasers</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Schedule B</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Defined Terms</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Schedule 5.4</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Subsidiaries of the Company and Ownership of Subsidiary Stock</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Schedule 5.5</w:t>
            </w:r>
          </w:p>
        </w:tc>
        <w:tc>
          <w:tcPr>
            <w:tcW w:w="700" w:type="dxa"/>
            <w:vAlign w:val="bottom"/>
          </w:tcPr>
          <w:p>
            <w:pPr>
              <w:ind w:left="32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Financial Statements</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Schedule 5.15(a)</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Existing Debt</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Schedule 5.15(b)</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Debt Instruments</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Exhibit A</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Form of Fifty-fifth Supplemental Indenture</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Form of Fifty-sixth Supplemental Indenture</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Exhibit 4.4(a)</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Form of Opinion of Counsel for the Company</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Exhibit 4.4(b)</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Form of Opinion of Special Counsel for the Company</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Exhibit 4.4(c)</w:t>
            </w:r>
          </w:p>
        </w:tc>
        <w:tc>
          <w:tcPr>
            <w:tcW w:w="700" w:type="dxa"/>
            <w:vAlign w:val="bottom"/>
          </w:tcPr>
          <w:p>
            <w:pPr>
              <w:ind w:left="380"/>
              <w:spacing w:after="0" w:line="243" w:lineRule="exact"/>
              <w:rPr>
                <w:sz w:val="20"/>
                <w:szCs w:val="20"/>
                <w:color w:val="auto"/>
              </w:rPr>
            </w:pPr>
            <w:r>
              <w:rPr>
                <w:rFonts w:ascii="Arial" w:cs="Arial" w:eastAsia="Arial" w:hAnsi="Arial"/>
                <w:sz w:val="22"/>
                <w:szCs w:val="22"/>
                <w:color w:val="auto"/>
              </w:rPr>
              <w:t>—</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Form of Opinion of Special Counsel for the Purchasers</w:t>
            </w:r>
          </w:p>
        </w:tc>
      </w:tr>
      <w:tr>
        <w:trPr>
          <w:trHeight w:val="275"/>
        </w:trPr>
        <w:tc>
          <w:tcPr>
            <w:tcW w:w="1780" w:type="dxa"/>
            <w:vAlign w:val="bottom"/>
          </w:tcPr>
          <w:p>
            <w:pPr>
              <w:spacing w:after="0"/>
              <w:rPr>
                <w:sz w:val="20"/>
                <w:szCs w:val="20"/>
                <w:color w:val="auto"/>
              </w:rPr>
            </w:pPr>
            <w:r>
              <w:rPr>
                <w:rFonts w:ascii="Arial" w:cs="Arial" w:eastAsia="Arial" w:hAnsi="Arial"/>
                <w:sz w:val="22"/>
                <w:szCs w:val="22"/>
                <w:color w:val="auto"/>
              </w:rPr>
              <w:t>Exhibit 12.4</w:t>
            </w:r>
          </w:p>
        </w:tc>
        <w:tc>
          <w:tcPr>
            <w:tcW w:w="700" w:type="dxa"/>
            <w:vAlign w:val="bottom"/>
          </w:tcPr>
          <w:p>
            <w:pPr>
              <w:ind w:left="380"/>
              <w:spacing w:after="0"/>
              <w:rPr>
                <w:sz w:val="20"/>
                <w:szCs w:val="20"/>
                <w:color w:val="auto"/>
              </w:rPr>
            </w:pPr>
            <w:r>
              <w:rPr>
                <w:rFonts w:ascii="Arial" w:cs="Arial" w:eastAsia="Arial" w:hAnsi="Arial"/>
                <w:sz w:val="22"/>
                <w:szCs w:val="22"/>
                <w:color w:val="auto"/>
              </w:rPr>
              <w:t>—</w:t>
            </w:r>
          </w:p>
        </w:tc>
        <w:tc>
          <w:tcPr>
            <w:tcW w:w="7660" w:type="dxa"/>
            <w:vAlign w:val="bottom"/>
          </w:tcPr>
          <w:p>
            <w:pPr>
              <w:ind w:left="100"/>
              <w:spacing w:after="0"/>
              <w:rPr>
                <w:sz w:val="20"/>
                <w:szCs w:val="20"/>
                <w:color w:val="auto"/>
              </w:rPr>
            </w:pPr>
            <w:r>
              <w:rPr>
                <w:rFonts w:ascii="Arial" w:cs="Arial" w:eastAsia="Arial" w:hAnsi="Arial"/>
                <w:sz w:val="22"/>
                <w:szCs w:val="22"/>
                <w:color w:val="auto"/>
              </w:rPr>
              <w:t>Form of US Tax Compliance Certificate</w:t>
            </w:r>
          </w:p>
        </w:tc>
      </w:tr>
      <w:tr>
        <w:trPr>
          <w:trHeight w:val="473"/>
        </w:trPr>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60" w:type="dxa"/>
            <w:vAlign w:val="bottom"/>
          </w:tcPr>
          <w:p>
            <w:pPr>
              <w:ind w:left="2420"/>
              <w:spacing w:after="0"/>
              <w:rPr>
                <w:sz w:val="20"/>
                <w:szCs w:val="20"/>
                <w:color w:val="auto"/>
              </w:rPr>
            </w:pPr>
            <w:r>
              <w:rPr>
                <w:rFonts w:ascii="Arial" w:cs="Arial" w:eastAsia="Arial" w:hAnsi="Arial"/>
                <w:sz w:val="22"/>
                <w:szCs w:val="22"/>
                <w:color w:val="auto"/>
              </w:rPr>
              <w:t>-iv-</w:t>
            </w:r>
          </w:p>
        </w:tc>
      </w:tr>
      <w:tr>
        <w:trPr>
          <w:trHeight w:val="976"/>
        </w:trPr>
        <w:tc>
          <w:tcPr>
            <w:tcW w:w="1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r>
        <w:trPr>
          <w:trHeight w:val="20"/>
        </w:trPr>
        <w:tc>
          <w:tcPr>
            <w:tcW w:w="17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76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878" w:right="859"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jc w:val="center"/>
        <w:ind w:right="-3"/>
        <w:spacing w:after="0" w:line="205" w:lineRule="auto"/>
        <w:rPr>
          <w:sz w:val="20"/>
          <w:szCs w:val="20"/>
          <w:color w:val="auto"/>
        </w:rPr>
      </w:pPr>
      <w:r>
        <w:rPr>
          <w:rFonts w:ascii="Arial" w:cs="Arial" w:eastAsia="Arial" w:hAnsi="Arial"/>
          <w:sz w:val="22"/>
          <w:szCs w:val="22"/>
          <w:color w:val="auto"/>
        </w:rPr>
        <w:t>762 West Lancaster Avenue</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Bryn Mawr, Pennsylvania 19010-3489</w:t>
      </w:r>
    </w:p>
    <w:p>
      <w:pPr>
        <w:spacing w:after="0" w:line="26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$300,000,000</w:t>
      </w:r>
    </w:p>
    <w:p>
      <w:pPr>
        <w:spacing w:after="0" w:line="287" w:lineRule="exact"/>
        <w:rPr>
          <w:sz w:val="20"/>
          <w:szCs w:val="20"/>
          <w:color w:val="auto"/>
        </w:rPr>
      </w:pPr>
    </w:p>
    <w:p>
      <w:pPr>
        <w:jc w:val="center"/>
        <w:ind w:left="900" w:right="1840"/>
        <w:spacing w:after="0" w:line="249" w:lineRule="auto"/>
        <w:rPr>
          <w:sz w:val="20"/>
          <w:szCs w:val="20"/>
          <w:color w:val="auto"/>
        </w:rPr>
      </w:pPr>
      <w:r>
        <w:rPr>
          <w:rFonts w:ascii="Arial" w:cs="Arial" w:eastAsia="Arial" w:hAnsi="Arial"/>
          <w:sz w:val="19"/>
          <w:szCs w:val="19"/>
          <w:color w:val="auto"/>
        </w:rPr>
        <w:t>$75,000,000 First Mortgage Bonds, 4.02% Series due May 31, 2049 $25,000,000 First Mortgage Bonds, 4.07% Series due May 31, 2054 $25,000,000 First Mortgage Bonds, 4.12% Series due May 31, 2059 $50,000,000 First Mortgage Bonds, 4.09% Series due September 26, 2054 $75,000,000 First Mortgage Bonds, 4.13% Series due September 26, 2058 $50,000,000 First Mortgage Bonds, 4.14% Series due September 26, 2059</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of May 31, 2019</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22"/>
          <w:szCs w:val="22"/>
          <w:color w:val="auto"/>
        </w:rPr>
        <w:t>To Each of the Purchasers Listed in</w:t>
      </w:r>
    </w:p>
    <w:p>
      <w:pPr>
        <w:ind w:left="4"/>
        <w:spacing w:after="0"/>
        <w:rPr>
          <w:sz w:val="20"/>
          <w:szCs w:val="20"/>
          <w:color w:val="auto"/>
        </w:rPr>
      </w:pPr>
      <w:r>
        <w:rPr>
          <w:rFonts w:ascii="Arial" w:cs="Arial" w:eastAsia="Arial" w:hAnsi="Arial"/>
          <w:sz w:val="22"/>
          <w:szCs w:val="22"/>
          <w:color w:val="auto"/>
        </w:rPr>
        <w:t>Schedule A Hereto:</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left="4" w:firstLine="648"/>
        <w:spacing w:after="0" w:line="223" w:lineRule="auto"/>
        <w:rPr>
          <w:sz w:val="20"/>
          <w:szCs w:val="20"/>
          <w:color w:val="auto"/>
        </w:rPr>
      </w:pPr>
      <w:r>
        <w:rPr>
          <w:rFonts w:ascii="Arial" w:cs="Arial" w:eastAsia="Arial" w:hAnsi="Arial"/>
          <w:sz w:val="22"/>
          <w:szCs w:val="22"/>
          <w:color w:val="auto"/>
        </w:rPr>
        <w:t xml:space="preserve">Aqua Pennsylvania, Inc., a corporation organized under the laws of the Commonwealth of Pennsylvania (the </w:t>
      </w:r>
      <w:r>
        <w:rPr>
          <w:rFonts w:ascii="Arial" w:cs="Arial" w:eastAsia="Arial" w:hAnsi="Arial"/>
          <w:sz w:val="22"/>
          <w:szCs w:val="22"/>
          <w:i w:val="1"/>
          <w:iCs w:val="1"/>
          <w:color w:val="auto"/>
        </w:rPr>
        <w:t>“Company”</w:t>
      </w:r>
      <w:r>
        <w:rPr>
          <w:rFonts w:ascii="Arial" w:cs="Arial" w:eastAsia="Arial" w:hAnsi="Arial"/>
          <w:sz w:val="22"/>
          <w:szCs w:val="22"/>
          <w:color w:val="auto"/>
        </w:rPr>
        <w:t>), agrees with each of the purchasers whose names appear at the end hereof (each, a</w:t>
      </w:r>
      <w:r>
        <w:rPr>
          <w:rFonts w:ascii="Arial" w:cs="Arial" w:eastAsia="Arial" w:hAnsi="Arial"/>
          <w:sz w:val="22"/>
          <w:szCs w:val="22"/>
          <w:i w:val="1"/>
          <w:iCs w:val="1"/>
          <w:color w:val="auto"/>
        </w:rPr>
        <w:t xml:space="preserve"> “Purchaser”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collectively, the </w:t>
      </w:r>
      <w:r>
        <w:rPr>
          <w:rFonts w:ascii="Arial" w:cs="Arial" w:eastAsia="Arial" w:hAnsi="Arial"/>
          <w:sz w:val="22"/>
          <w:szCs w:val="22"/>
          <w:i w:val="1"/>
          <w:iCs w:val="1"/>
          <w:color w:val="auto"/>
        </w:rPr>
        <w:t>“Purchasers”</w:t>
      </w:r>
      <w:r>
        <w:rPr>
          <w:rFonts w:ascii="Arial" w:cs="Arial" w:eastAsia="Arial" w:hAnsi="Arial"/>
          <w:sz w:val="22"/>
          <w:szCs w:val="22"/>
          <w:color w:val="auto"/>
        </w:rPr>
        <w:t>) as follows:</w:t>
      </w:r>
    </w:p>
    <w:p>
      <w:pPr>
        <w:spacing w:after="0" w:line="227" w:lineRule="exact"/>
        <w:rPr>
          <w:sz w:val="20"/>
          <w:szCs w:val="20"/>
          <w:color w:val="auto"/>
        </w:rPr>
      </w:pPr>
    </w:p>
    <w:p>
      <w:pPr>
        <w:ind w:left="4"/>
        <w:spacing w:after="0"/>
        <w:tabs>
          <w:tab w:leader="none" w:pos="1183"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w:t>
      </w:r>
      <w:r>
        <w:rPr>
          <w:sz w:val="20"/>
          <w:szCs w:val="20"/>
          <w:color w:val="auto"/>
        </w:rPr>
        <w:tab/>
      </w:r>
      <w:r>
        <w:rPr>
          <w:rFonts w:ascii="Arial" w:cs="Arial" w:eastAsia="Arial" w:hAnsi="Arial"/>
          <w:sz w:val="21"/>
          <w:szCs w:val="21"/>
          <w:color w:val="auto"/>
        </w:rPr>
        <w:t>A</w:t>
      </w:r>
      <w:r>
        <w:rPr>
          <w:rFonts w:ascii="Arial" w:cs="Arial" w:eastAsia="Arial" w:hAnsi="Arial"/>
          <w:sz w:val="17"/>
          <w:szCs w:val="17"/>
          <w:color w:val="auto"/>
        </w:rPr>
        <w:t>UTHORIZATION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33" w:lineRule="exact"/>
        <w:rPr>
          <w:sz w:val="20"/>
          <w:szCs w:val="20"/>
          <w:color w:val="auto"/>
        </w:rPr>
      </w:pPr>
    </w:p>
    <w:p>
      <w:pPr>
        <w:jc w:val="both"/>
        <w:ind w:left="4" w:right="20" w:firstLine="648"/>
        <w:spacing w:after="0" w:line="239" w:lineRule="auto"/>
        <w:rPr>
          <w:sz w:val="20"/>
          <w:szCs w:val="20"/>
          <w:color w:val="auto"/>
        </w:rPr>
      </w:pPr>
      <w:r>
        <w:rPr>
          <w:rFonts w:ascii="Arial" w:cs="Arial" w:eastAsia="Arial" w:hAnsi="Arial"/>
          <w:sz w:val="19"/>
          <w:szCs w:val="19"/>
          <w:color w:val="auto"/>
        </w:rPr>
        <w:t xml:space="preserve">The Company will authorize the issue and sale of (i) First Mortgage Bonds, 4.02% Series due May 31, 2049 in an aggregate principal amount of $75,000,000, to bear interest at the rate of 4.02% per annum, and to mature on May 31, 2049 (herein referred to as the </w:t>
      </w:r>
      <w:r>
        <w:rPr>
          <w:rFonts w:ascii="Arial" w:cs="Arial" w:eastAsia="Arial" w:hAnsi="Arial"/>
          <w:sz w:val="19"/>
          <w:szCs w:val="19"/>
          <w:i w:val="1"/>
          <w:iCs w:val="1"/>
          <w:color w:val="auto"/>
        </w:rPr>
        <w:t>“4.02% Series due 2049 Bonds”</w:t>
      </w:r>
      <w:r>
        <w:rPr>
          <w:rFonts w:ascii="Arial" w:cs="Arial" w:eastAsia="Arial" w:hAnsi="Arial"/>
          <w:sz w:val="19"/>
          <w:szCs w:val="19"/>
          <w:color w:val="auto"/>
        </w:rPr>
        <w:t xml:space="preserve">), (ii) First Mortgage Bonds, 4.07% Series due May 31, 2054 in an aggregate principal amount of $25,000,000, to bear interest at the rate of 4.07% per annum, and to mature on May 31, 2054 (herein referred to as the </w:t>
      </w:r>
      <w:r>
        <w:rPr>
          <w:rFonts w:ascii="Arial" w:cs="Arial" w:eastAsia="Arial" w:hAnsi="Arial"/>
          <w:sz w:val="19"/>
          <w:szCs w:val="19"/>
          <w:i w:val="1"/>
          <w:iCs w:val="1"/>
          <w:color w:val="auto"/>
        </w:rPr>
        <w:t>“4.07% Series due 2054 Bonds”</w:t>
      </w:r>
      <w:r>
        <w:rPr>
          <w:rFonts w:ascii="Arial" w:cs="Arial" w:eastAsia="Arial" w:hAnsi="Arial"/>
          <w:sz w:val="19"/>
          <w:szCs w:val="19"/>
          <w:color w:val="auto"/>
        </w:rPr>
        <w:t xml:space="preserve">), (iii) First Mortgage Bonds, 4.12% Series due May 31, 2059 in an aggregate principal amount of $25,000,000, to bear interest at the rate of 4.12% per annum, and to mature on May 31, 2059 (herein referred to as the </w:t>
      </w:r>
      <w:r>
        <w:rPr>
          <w:rFonts w:ascii="Arial" w:cs="Arial" w:eastAsia="Arial" w:hAnsi="Arial"/>
          <w:sz w:val="19"/>
          <w:szCs w:val="19"/>
          <w:i w:val="1"/>
          <w:iCs w:val="1"/>
          <w:color w:val="auto"/>
        </w:rPr>
        <w:t>“4.12% Series due 2059 Bonds”</w:t>
      </w:r>
      <w:r>
        <w:rPr>
          <w:rFonts w:ascii="Arial" w:cs="Arial" w:eastAsia="Arial" w:hAnsi="Arial"/>
          <w:sz w:val="19"/>
          <w:szCs w:val="19"/>
          <w:color w:val="auto"/>
        </w:rPr>
        <w:t xml:space="preserve">; and together with the 4.02% Series due 2049 Bonds and the 4.07% Series due 2054 Bonds, the </w:t>
      </w:r>
      <w:r>
        <w:rPr>
          <w:rFonts w:ascii="Arial" w:cs="Arial" w:eastAsia="Arial" w:hAnsi="Arial"/>
          <w:sz w:val="19"/>
          <w:szCs w:val="19"/>
          <w:i w:val="1"/>
          <w:iCs w:val="1"/>
          <w:color w:val="auto"/>
        </w:rPr>
        <w:t>“First Closing Bonds”</w:t>
      </w:r>
      <w:r>
        <w:rPr>
          <w:rFonts w:ascii="Arial" w:cs="Arial" w:eastAsia="Arial" w:hAnsi="Arial"/>
          <w:sz w:val="19"/>
          <w:szCs w:val="19"/>
          <w:color w:val="auto"/>
        </w:rPr>
        <w:t>),</w:t>
      </w:r>
    </w:p>
    <w:p>
      <w:pPr>
        <w:spacing w:after="0" w:line="6" w:lineRule="exact"/>
        <w:rPr>
          <w:sz w:val="20"/>
          <w:szCs w:val="20"/>
          <w:color w:val="auto"/>
        </w:rPr>
      </w:pPr>
    </w:p>
    <w:p>
      <w:pPr>
        <w:jc w:val="both"/>
        <w:ind w:left="4" w:right="20" w:hanging="4"/>
        <w:spacing w:after="0" w:line="210" w:lineRule="auto"/>
        <w:tabs>
          <w:tab w:leader="none" w:pos="378"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First Mortgage Bonds, 4.09% Series due September 26, 2054 in an aggregate principal amount of $50,000,000, to bear interest at the rate of 4.09% per annum, and to mature on September 26, 2054 (herein referred to as the </w:t>
      </w:r>
      <w:r>
        <w:rPr>
          <w:rFonts w:ascii="Arial" w:cs="Arial" w:eastAsia="Arial" w:hAnsi="Arial"/>
          <w:sz w:val="22"/>
          <w:szCs w:val="22"/>
          <w:i w:val="1"/>
          <w:iCs w:val="1"/>
          <w:color w:val="auto"/>
        </w:rPr>
        <w:t>“4.09% Series due 2054 Bonds”</w:t>
      </w:r>
      <w:r>
        <w:rPr>
          <w:rFonts w:ascii="Arial" w:cs="Arial" w:eastAsia="Arial" w:hAnsi="Arial"/>
          <w:sz w:val="22"/>
          <w:szCs w:val="22"/>
          <w:color w:val="auto"/>
        </w:rPr>
        <w:t>), (v) First Mortgage Bonds, 4.13% Series due September 26, 2058 in an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principal amount of $75,000,000, to bear interest at the rate of 4.13% per annum, and to mature on September 26, 2058 (herein referred to as the </w:t>
      </w:r>
      <w:r>
        <w:rPr>
          <w:rFonts w:ascii="Arial" w:cs="Arial" w:eastAsia="Arial" w:hAnsi="Arial"/>
          <w:sz w:val="22"/>
          <w:szCs w:val="22"/>
          <w:i w:val="1"/>
          <w:iCs w:val="1"/>
          <w:color w:val="auto"/>
        </w:rPr>
        <w:t>“4.13% Series due 2058 Bonds”</w:t>
      </w:r>
      <w:r>
        <w:rPr>
          <w:rFonts w:ascii="Arial" w:cs="Arial" w:eastAsia="Arial" w:hAnsi="Arial"/>
          <w:sz w:val="22"/>
          <w:szCs w:val="22"/>
          <w:color w:val="auto"/>
        </w:rPr>
        <w:t>), and (vi) First Mortgage Bonds, 4.14% Series due September 26, 2059 in an aggregate principal amount of $50,000,000, to bear interest at the rate of 4.14% per annum, and to mature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646557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42" w:right="879" w:bottom="1440" w:gutter="0" w:footer="0" w:header="0"/>
        </w:sectPr>
      </w:pPr>
    </w:p>
    <w:bookmarkStart w:id="41" w:name="page42"/>
    <w:bookmarkEnd w:id="41"/>
    <w:p>
      <w:pPr>
        <w:jc w:val="both"/>
        <w:spacing w:after="0"/>
        <w:rPr>
          <w:sz w:val="20"/>
          <w:szCs w:val="20"/>
          <w:color w:val="auto"/>
        </w:rPr>
      </w:pPr>
      <w:r>
        <w:rPr>
          <w:rFonts w:ascii="Arial" w:cs="Arial" w:eastAsia="Arial" w:hAnsi="Arial"/>
          <w:sz w:val="19"/>
          <w:szCs w:val="19"/>
          <w:color w:val="auto"/>
        </w:rPr>
        <w:t xml:space="preserve">September 26, 2059 (herein referred to as the </w:t>
      </w:r>
      <w:r>
        <w:rPr>
          <w:rFonts w:ascii="Arial" w:cs="Arial" w:eastAsia="Arial" w:hAnsi="Arial"/>
          <w:sz w:val="19"/>
          <w:szCs w:val="19"/>
          <w:i w:val="1"/>
          <w:iCs w:val="1"/>
          <w:color w:val="auto"/>
        </w:rPr>
        <w:t>“4.14% Series due 2059 Bonds”</w:t>
      </w:r>
      <w:r>
        <w:rPr>
          <w:rFonts w:ascii="Arial" w:cs="Arial" w:eastAsia="Arial" w:hAnsi="Arial"/>
          <w:sz w:val="19"/>
          <w:szCs w:val="19"/>
          <w:color w:val="auto"/>
        </w:rPr>
        <w:t xml:space="preserve">; and together with the 4.09% Series due 2054 Bonds and the 4.13% Series due 2058 Bonds, the </w:t>
      </w:r>
      <w:r>
        <w:rPr>
          <w:rFonts w:ascii="Arial" w:cs="Arial" w:eastAsia="Arial" w:hAnsi="Arial"/>
          <w:sz w:val="19"/>
          <w:szCs w:val="19"/>
          <w:i w:val="1"/>
          <w:iCs w:val="1"/>
          <w:color w:val="auto"/>
        </w:rPr>
        <w:t>“Second Closing Bonds”</w:t>
      </w:r>
      <w:r>
        <w:rPr>
          <w:rFonts w:ascii="Arial" w:cs="Arial" w:eastAsia="Arial" w:hAnsi="Arial"/>
          <w:sz w:val="19"/>
          <w:szCs w:val="19"/>
          <w:color w:val="auto"/>
        </w:rPr>
        <w:t xml:space="preserve">; the First Closing Bonds and the Second Closing Bonds are collectively referred to as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“Original</w:t>
      </w:r>
      <w:r>
        <w:rPr>
          <w:rFonts w:ascii="Arial" w:cs="Arial" w:eastAsia="Arial" w:hAnsi="Arial"/>
          <w:sz w:val="19"/>
          <w:szCs w:val="19"/>
          <w:color w:val="auto"/>
        </w:rPr>
        <w:t xml:space="preserve"> </w:t>
      </w:r>
      <w:r>
        <w:rPr>
          <w:rFonts w:ascii="Arial" w:cs="Arial" w:eastAsia="Arial" w:hAnsi="Arial"/>
          <w:sz w:val="19"/>
          <w:szCs w:val="19"/>
          <w:i w:val="1"/>
          <w:iCs w:val="1"/>
          <w:color w:val="auto"/>
        </w:rPr>
        <w:t>Indenture”</w:t>
      </w:r>
      <w:r>
        <w:rPr>
          <w:rFonts w:ascii="Arial" w:cs="Arial" w:eastAsia="Arial" w:hAnsi="Arial"/>
          <w:sz w:val="19"/>
          <w:szCs w:val="19"/>
          <w:color w:val="auto"/>
        </w:rPr>
        <w:t>), and (A) with respect to the First Closing Bonds, as previously amended and supplemented by fifty-four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supplemental indentures and as further supplemented by the Fifty-fifth Supplemental Indenture dated as of May 1, 2019 (such Fifty-fifth Supplemental Indenture being referred to herein as the </w:t>
      </w:r>
      <w:r>
        <w:rPr>
          <w:rFonts w:ascii="Arial" w:cs="Arial" w:eastAsia="Arial" w:hAnsi="Arial"/>
          <w:sz w:val="19"/>
          <w:szCs w:val="19"/>
          <w:i w:val="1"/>
          <w:iCs w:val="1"/>
          <w:color w:val="auto"/>
        </w:rPr>
        <w:t>“55th Supplement”</w:t>
      </w:r>
      <w:r>
        <w:rPr>
          <w:rFonts w:ascii="Arial" w:cs="Arial" w:eastAsia="Arial" w:hAnsi="Arial"/>
          <w:sz w:val="19"/>
          <w:szCs w:val="19"/>
          <w:color w:val="auto"/>
        </w:rPr>
        <w:t xml:space="preserve">) which will be substantially in the form attached hereto as Exhibit A, with such changes therein, if any, as shall be approved by the Purchasers and the Company; and (B) with respect to the Second Closing Bonds, as previously amended and supplemented by fifty-five supplemental indentures and as further supplemented by the Fifty-sixth Supplemental Indenture dated as of September 1, 2019 (such Fifty-sixth Supplemental Indenture being referred to herein as the </w:t>
      </w:r>
      <w:r>
        <w:rPr>
          <w:rFonts w:ascii="Arial" w:cs="Arial" w:eastAsia="Arial" w:hAnsi="Arial"/>
          <w:sz w:val="19"/>
          <w:szCs w:val="19"/>
          <w:i w:val="1"/>
          <w:iCs w:val="1"/>
          <w:color w:val="auto"/>
        </w:rPr>
        <w:t>“56th Supplement</w:t>
      </w:r>
      <w:r>
        <w:rPr>
          <w:rFonts w:ascii="Arial" w:cs="Arial" w:eastAsia="Arial" w:hAnsi="Arial"/>
          <w:sz w:val="19"/>
          <w:szCs w:val="19"/>
          <w:color w:val="auto"/>
        </w:rPr>
        <w:t>”) which will be substantially in the form attached hereto as Exhibit B, with such changes therein,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if any, as shall be approved by the Purchasers and the Company. The 56th Supplement together with the 55th Supplement are each individually referred to herein as a </w:t>
      </w:r>
      <w:r>
        <w:rPr>
          <w:rFonts w:ascii="Arial" w:cs="Arial" w:eastAsia="Arial" w:hAnsi="Arial"/>
          <w:sz w:val="19"/>
          <w:szCs w:val="19"/>
          <w:i w:val="1"/>
          <w:iCs w:val="1"/>
          <w:color w:val="auto"/>
        </w:rPr>
        <w:t>“Supplement”</w:t>
      </w:r>
      <w:r>
        <w:rPr>
          <w:rFonts w:ascii="Arial" w:cs="Arial" w:eastAsia="Arial" w:hAnsi="Arial"/>
          <w:sz w:val="19"/>
          <w:szCs w:val="19"/>
          <w:color w:val="auto"/>
        </w:rPr>
        <w:t xml:space="preserve"> and, collectively, the </w:t>
      </w:r>
      <w:r>
        <w:rPr>
          <w:rFonts w:ascii="Arial" w:cs="Arial" w:eastAsia="Arial" w:hAnsi="Arial"/>
          <w:sz w:val="19"/>
          <w:szCs w:val="19"/>
          <w:i w:val="1"/>
          <w:iCs w:val="1"/>
          <w:color w:val="auto"/>
        </w:rPr>
        <w:t>“Supplements”</w:t>
      </w:r>
      <w:r>
        <w:rPr>
          <w:rFonts w:ascii="Arial" w:cs="Arial" w:eastAsia="Arial" w:hAnsi="Arial"/>
          <w:sz w:val="19"/>
          <w:szCs w:val="19"/>
          <w:color w:val="auto"/>
        </w:rPr>
        <w:t>). The Original Indenture, as supplemented and amended by the aforementioned fifty-four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supplemental indentures and the Supplements, and as further supplemented or amended according to its terms, is hereinafter referred to as the </w:t>
      </w:r>
      <w:r>
        <w:rPr>
          <w:rFonts w:ascii="Arial" w:cs="Arial" w:eastAsia="Arial" w:hAnsi="Arial"/>
          <w:sz w:val="19"/>
          <w:szCs w:val="19"/>
          <w:i w:val="1"/>
          <w:iCs w:val="1"/>
          <w:color w:val="auto"/>
        </w:rPr>
        <w:t>“Indenture”.</w:t>
      </w:r>
      <w:r>
        <w:rPr>
          <w:rFonts w:ascii="Arial" w:cs="Arial" w:eastAsia="Arial" w:hAnsi="Arial"/>
          <w:sz w:val="19"/>
          <w:szCs w:val="19"/>
          <w:color w:val="auto"/>
        </w:rPr>
        <w:t xml:space="preserve"> Certain capitalized and other terms used in this Agreement are defined in Schedule B; and references to a </w:t>
      </w:r>
      <w:r>
        <w:rPr>
          <w:rFonts w:ascii="Arial" w:cs="Arial" w:eastAsia="Arial" w:hAnsi="Arial"/>
          <w:sz w:val="19"/>
          <w:szCs w:val="19"/>
          <w:i w:val="1"/>
          <w:iCs w:val="1"/>
          <w:color w:val="auto"/>
        </w:rPr>
        <w:t>“Schedule”</w:t>
      </w:r>
      <w:r>
        <w:rPr>
          <w:rFonts w:ascii="Arial" w:cs="Arial" w:eastAsia="Arial" w:hAnsi="Arial"/>
          <w:sz w:val="19"/>
          <w:szCs w:val="19"/>
          <w:color w:val="auto"/>
        </w:rPr>
        <w:t xml:space="preserve"> or an </w:t>
      </w:r>
      <w:r>
        <w:rPr>
          <w:rFonts w:ascii="Arial" w:cs="Arial" w:eastAsia="Arial" w:hAnsi="Arial"/>
          <w:sz w:val="19"/>
          <w:szCs w:val="19"/>
          <w:i w:val="1"/>
          <w:iCs w:val="1"/>
          <w:color w:val="auto"/>
        </w:rPr>
        <w:t>“Exhibit”</w:t>
      </w:r>
      <w:r>
        <w:rPr>
          <w:rFonts w:ascii="Arial" w:cs="Arial" w:eastAsia="Arial" w:hAnsi="Arial"/>
          <w:sz w:val="19"/>
          <w:szCs w:val="19"/>
          <w:color w:val="auto"/>
        </w:rPr>
        <w:t xml:space="preserve"> are, unless otherwise specified, to a Schedule or an Exhibit attached to this Agreement. Terms used herein but not defined herein shall have the meanings set forth in the Indenture.</w:t>
      </w:r>
    </w:p>
    <w:p>
      <w:pPr>
        <w:spacing w:after="0" w:line="200" w:lineRule="exact"/>
        <w:rPr>
          <w:sz w:val="20"/>
          <w:szCs w:val="20"/>
          <w:color w:val="auto"/>
        </w:rPr>
      </w:pPr>
    </w:p>
    <w:p>
      <w:pPr>
        <w:spacing w:after="0" w:line="24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ALE AND</w:t>
      </w:r>
      <w:r>
        <w:rPr>
          <w:rFonts w:ascii="Arial" w:cs="Arial" w:eastAsia="Arial" w:hAnsi="Arial"/>
          <w:sz w:val="21"/>
          <w:szCs w:val="21"/>
          <w:color w:val="auto"/>
        </w:rPr>
        <w:t xml:space="preserve"> 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22"/>
          <w:szCs w:val="22"/>
          <w:color w:val="auto"/>
        </w:rPr>
        <w:t>Subject to the terms and conditions of this Agreement, the Company will issue and sell to each Purchaser and each Purchaser will purchase from the Company, at each Closing provided for in Section 3, Bonds in the principal amount and in the series specified opposite such Purchaser’s name in Schedule A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3.</w:t>
      </w:r>
      <w:r>
        <w:rPr>
          <w:sz w:val="20"/>
          <w:szCs w:val="20"/>
          <w:color w:val="auto"/>
        </w:rPr>
        <w:tab/>
      </w:r>
      <w:r>
        <w:rPr>
          <w:rFonts w:ascii="Arial" w:cs="Arial" w:eastAsia="Arial" w:hAnsi="Arial"/>
          <w:sz w:val="19"/>
          <w:szCs w:val="19"/>
          <w:color w:val="auto"/>
        </w:rPr>
        <w:t>C</w:t>
      </w:r>
      <w:r>
        <w:rPr>
          <w:rFonts w:ascii="Arial" w:cs="Arial" w:eastAsia="Arial" w:hAnsi="Arial"/>
          <w:sz w:val="16"/>
          <w:szCs w:val="16"/>
          <w:color w:val="auto"/>
        </w:rPr>
        <w:t>LOSINGS</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The execution and delivery of this Agreement will occur on the First Closing (referred to below) and the sale and purchase of the Bonds to be purchased by each Purchaser shall occur at the offices of Chapman and Cutler LLP, 111 West Monroe Street, Chicago, Illinois 60603, at 10:00 a.m., Chicago time, at two separate closings (each a </w:t>
      </w:r>
      <w:r>
        <w:rPr>
          <w:rFonts w:ascii="Arial" w:cs="Arial" w:eastAsia="Arial" w:hAnsi="Arial"/>
          <w:sz w:val="19"/>
          <w:szCs w:val="19"/>
          <w:i w:val="1"/>
          <w:iCs w:val="1"/>
          <w:color w:val="auto"/>
        </w:rPr>
        <w:t>“Closing”</w:t>
      </w:r>
      <w:r>
        <w:rPr>
          <w:rFonts w:ascii="Arial" w:cs="Arial" w:eastAsia="Arial" w:hAnsi="Arial"/>
          <w:sz w:val="19"/>
          <w:szCs w:val="19"/>
          <w:color w:val="auto"/>
        </w:rPr>
        <w:t>), the first of which the Company will issue and sell the First Closing Bonds on May 31, 2019 or on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 Business Day thereafter on or prior to June 15, 2019 as may be agreed upon by the Company and the Purchasers (the </w:t>
      </w:r>
      <w:r>
        <w:rPr>
          <w:rFonts w:ascii="Arial" w:cs="Arial" w:eastAsia="Arial" w:hAnsi="Arial"/>
          <w:sz w:val="19"/>
          <w:szCs w:val="19"/>
          <w:i w:val="1"/>
          <w:iCs w:val="1"/>
          <w:color w:val="auto"/>
        </w:rPr>
        <w:t>“First Closing”</w:t>
      </w:r>
      <w:r>
        <w:rPr>
          <w:rFonts w:ascii="Arial" w:cs="Arial" w:eastAsia="Arial" w:hAnsi="Arial"/>
          <w:sz w:val="19"/>
          <w:szCs w:val="19"/>
          <w:color w:val="auto"/>
        </w:rPr>
        <w:t>), and the second of which the Company will issue and sell the Second Closing Bonds on September 26, 2019, or on such other Business Day thereafter on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2" w:name="page43"/>
    <w:bookmarkEnd w:id="42"/>
    <w:p>
      <w:pPr>
        <w:jc w:val="both"/>
        <w:spacing w:after="0" w:line="221" w:lineRule="exact"/>
        <w:rPr>
          <w:sz w:val="20"/>
          <w:szCs w:val="20"/>
          <w:color w:val="auto"/>
        </w:rPr>
      </w:pPr>
      <w:r>
        <w:rPr>
          <w:rFonts w:ascii="Arial" w:cs="Arial" w:eastAsia="Arial" w:hAnsi="Arial"/>
          <w:sz w:val="19"/>
          <w:szCs w:val="19"/>
          <w:color w:val="auto"/>
        </w:rPr>
        <w:t xml:space="preserve">prior to October 15, 2019 as may be agreed upon by the Company and the Purchasers (the </w:t>
      </w:r>
      <w:r>
        <w:rPr>
          <w:rFonts w:ascii="Arial" w:cs="Arial" w:eastAsia="Arial" w:hAnsi="Arial"/>
          <w:sz w:val="19"/>
          <w:szCs w:val="19"/>
          <w:i w:val="1"/>
          <w:iCs w:val="1"/>
          <w:color w:val="auto"/>
        </w:rPr>
        <w:t>“Second Closing”</w:t>
      </w:r>
      <w:r>
        <w:rPr>
          <w:rFonts w:ascii="Arial" w:cs="Arial" w:eastAsia="Arial" w:hAnsi="Arial"/>
          <w:sz w:val="19"/>
          <w:szCs w:val="19"/>
          <w:color w:val="auto"/>
        </w:rPr>
        <w:t>). At each such Closing the Company will deliver to each Purchaser the Bonds of the series to be purchased by such Purchaser in the form of one or more Bonds of such series to be purchased by such Purchaser, as applicable, in such denominations as such Purchaser may request (with a minimum denomination of $100,000 for each Bond), dated the date of such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000053. If at either Closing the Company shall fail to tender such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Section 4 not having been fulfilled to such Purchaser’s satisfaction.</w:t>
      </w: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4.</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ONDITIONS TO</w:t>
      </w:r>
      <w:r>
        <w:rPr>
          <w:rFonts w:ascii="Arial" w:cs="Arial" w:eastAsia="Arial" w:hAnsi="Arial"/>
          <w:sz w:val="21"/>
          <w:szCs w:val="21"/>
          <w:color w:val="auto"/>
        </w:rPr>
        <w:t xml:space="preserve"> C</w:t>
      </w:r>
      <w:r>
        <w:rPr>
          <w:rFonts w:ascii="Arial" w:cs="Arial" w:eastAsia="Arial" w:hAnsi="Arial"/>
          <w:sz w:val="17"/>
          <w:szCs w:val="17"/>
          <w:color w:val="auto"/>
        </w:rPr>
        <w:t>LOSING</w:t>
      </w:r>
      <w:r>
        <w:rPr>
          <w:rFonts w:ascii="Arial" w:cs="Arial" w:eastAsia="Arial" w:hAnsi="Arial"/>
          <w:sz w:val="21"/>
          <w:szCs w:val="21"/>
          <w:color w:val="auto"/>
        </w:rPr>
        <w:t>.</w:t>
      </w:r>
    </w:p>
    <w:p>
      <w:pPr>
        <w:spacing w:after="0" w:line="233"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Each Purchaser’s obligation to execute and deliver this Agreement and to purchase and pay for the Bonds to be sold to such Purchaser at the applicable Closing is subject to the fulfillment to such Purchaser’s satisfaction prior to or at such Closing of the following conditions:</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Section 4.1. Representations and Warranties</w:t>
      </w:r>
      <w:r>
        <w:rPr>
          <w:rFonts w:ascii="Arial" w:cs="Arial" w:eastAsia="Arial" w:hAnsi="Arial"/>
          <w:sz w:val="22"/>
          <w:szCs w:val="22"/>
          <w:color w:val="auto"/>
        </w:rPr>
        <w:t>. The representations and warranties of the Company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shall be correct when made and at the time of such Closing.</w:t>
      </w:r>
    </w:p>
    <w:p>
      <w:pPr>
        <w:spacing w:after="0" w:line="200"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i w:val="1"/>
          <w:iCs w:val="1"/>
          <w:color w:val="auto"/>
        </w:rPr>
        <w:t>Section 4.2. Performance; No Default</w:t>
      </w:r>
      <w:r>
        <w:rPr>
          <w:rFonts w:ascii="Arial" w:cs="Arial" w:eastAsia="Arial" w:hAnsi="Arial"/>
          <w:sz w:val="22"/>
          <w:szCs w:val="22"/>
          <w:color w:val="auto"/>
        </w:rPr>
        <w:t>. The Company shall have performed and complied with all</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conditions contained in each Financing Agreement required to be performed or complied with by the Company prior to or at such Closing, and after giving effect to the issue and sale of the Bonds (and the application of the proceeds thereof as contemplated by Section 5.14), no Default or Event of Default shall have occurred and be continuing.</w:t>
      </w:r>
    </w:p>
    <w:p>
      <w:pPr>
        <w:spacing w:after="0" w:line="19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Section 4.3. Compliance Certificates</w:t>
      </w:r>
      <w:r>
        <w:rPr>
          <w:rFonts w:ascii="Arial" w:cs="Arial" w:eastAsia="Arial" w:hAnsi="Arial"/>
          <w:sz w:val="22"/>
          <w:szCs w:val="22"/>
          <w:color w:val="auto"/>
        </w:rPr>
        <w:t>. The Company shall have performed and complied with all</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conditions contained in the Indenture which are required to be performed or complied with by the Company for the issuance of the Bonds at such Closing. In addition, the Company shall have delivered the following certificates:</w:t>
      </w:r>
    </w:p>
    <w:p>
      <w:pPr>
        <w:spacing w:after="0" w:line="188" w:lineRule="exact"/>
        <w:rPr>
          <w:sz w:val="20"/>
          <w:szCs w:val="20"/>
          <w:color w:val="auto"/>
        </w:rPr>
      </w:pPr>
    </w:p>
    <w:p>
      <w:pPr>
        <w:jc w:val="both"/>
        <w:ind w:left="640" w:right="20" w:firstLine="653"/>
        <w:spacing w:after="0" w:line="216" w:lineRule="auto"/>
        <w:tabs>
          <w:tab w:leader="none" w:pos="1866" w:val="left"/>
        </w:tabs>
        <w:numPr>
          <w:ilvl w:val="0"/>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Officer’s Certificate. </w:t>
      </w:r>
      <w:r>
        <w:rPr>
          <w:rFonts w:ascii="Arial" w:cs="Arial" w:eastAsia="Arial" w:hAnsi="Arial"/>
          <w:sz w:val="22"/>
          <w:szCs w:val="22"/>
          <w:color w:val="auto"/>
        </w:rPr>
        <w:t>The Company shall have delivered to such Purchaser (i) an Officer’s</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dated the date of such Closing, certifying that the conditions specified in Section 4 of this Agreement have been fulfilled, and (ii) copies of all certificates and opinions required to be delivered to the Trustee under the Indenture in connection with the issuance of the Bonds, in each case, dated the date of such Closing.</w:t>
      </w:r>
    </w:p>
    <w:p>
      <w:pPr>
        <w:spacing w:after="0" w:line="198" w:lineRule="exact"/>
        <w:rPr>
          <w:rFonts w:ascii="Arial" w:cs="Arial" w:eastAsia="Arial" w:hAnsi="Arial"/>
          <w:sz w:val="22"/>
          <w:szCs w:val="22"/>
          <w:color w:val="auto"/>
        </w:rPr>
      </w:pPr>
    </w:p>
    <w:p>
      <w:pPr>
        <w:jc w:val="both"/>
        <w:ind w:left="640" w:right="20" w:firstLine="653"/>
        <w:spacing w:after="0" w:line="223" w:lineRule="auto"/>
        <w:tabs>
          <w:tab w:leader="none" w:pos="1770" w:val="left"/>
        </w:tabs>
        <w:numPr>
          <w:ilvl w:val="0"/>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Secretary’s Certificate. </w:t>
      </w:r>
      <w:r>
        <w:rPr>
          <w:rFonts w:ascii="Arial" w:cs="Arial" w:eastAsia="Arial" w:hAnsi="Arial"/>
          <w:sz w:val="22"/>
          <w:szCs w:val="22"/>
          <w:color w:val="auto"/>
        </w:rPr>
        <w:t>The Company shall have delivered to such Purchaser a certificate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Secretary or Assistant Secretary, dated the date of such Closing, certifying as to the resolutions attached thereto and other corporate proceedings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3" w:name="page44"/>
    <w:bookmarkEnd w:id="43"/>
    <w:p>
      <w:pPr>
        <w:ind w:left="644" w:right="20"/>
        <w:spacing w:after="0" w:line="232" w:lineRule="auto"/>
        <w:rPr>
          <w:sz w:val="20"/>
          <w:szCs w:val="20"/>
          <w:color w:val="auto"/>
        </w:rPr>
      </w:pPr>
      <w:r>
        <w:rPr>
          <w:rFonts w:ascii="Arial" w:cs="Arial" w:eastAsia="Arial" w:hAnsi="Arial"/>
          <w:sz w:val="22"/>
          <w:szCs w:val="22"/>
          <w:color w:val="auto"/>
        </w:rPr>
        <w:t>relating to the authorization, execution and delivery of this Agreement, the Bonds, under the Indenture, and the Supplements.</w:t>
      </w:r>
    </w:p>
    <w:p>
      <w:pPr>
        <w:spacing w:after="0" w:line="186" w:lineRule="exact"/>
        <w:rPr>
          <w:sz w:val="20"/>
          <w:szCs w:val="20"/>
          <w:color w:val="auto"/>
        </w:rPr>
      </w:pPr>
    </w:p>
    <w:p>
      <w:pPr>
        <w:jc w:val="both"/>
        <w:ind w:left="644" w:right="20" w:firstLine="653"/>
        <w:spacing w:after="0" w:line="223" w:lineRule="auto"/>
        <w:tabs>
          <w:tab w:leader="none" w:pos="1937" w:val="left"/>
        </w:tabs>
        <w:numPr>
          <w:ilvl w:val="0"/>
          <w:numId w:val="7"/>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Indenture. </w:t>
      </w:r>
      <w:r>
        <w:rPr>
          <w:rFonts w:ascii="Arial" w:cs="Arial" w:eastAsia="Arial" w:hAnsi="Arial"/>
          <w:sz w:val="22"/>
          <w:szCs w:val="22"/>
          <w:color w:val="auto"/>
        </w:rPr>
        <w:t>Such Purchaser shall have received a composite copy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(together with all amendments and supplements thereto), certified by the Company as of the date of such Closing, exclusive of property exhibits, recording information and the like.</w:t>
      </w:r>
    </w:p>
    <w:p>
      <w:pPr>
        <w:spacing w:after="0" w:line="200" w:lineRule="exact"/>
        <w:rPr>
          <w:sz w:val="20"/>
          <w:szCs w:val="20"/>
          <w:color w:val="auto"/>
        </w:rPr>
      </w:pPr>
    </w:p>
    <w:p>
      <w:pPr>
        <w:jc w:val="both"/>
        <w:ind w:left="4" w:firstLine="648"/>
        <w:spacing w:after="0" w:line="242" w:lineRule="auto"/>
        <w:rPr>
          <w:sz w:val="20"/>
          <w:szCs w:val="20"/>
          <w:color w:val="auto"/>
        </w:rPr>
      </w:pPr>
      <w:r>
        <w:rPr>
          <w:rFonts w:ascii="Arial" w:cs="Arial" w:eastAsia="Arial" w:hAnsi="Arial"/>
          <w:sz w:val="19"/>
          <w:szCs w:val="19"/>
          <w:i w:val="1"/>
          <w:iCs w:val="1"/>
          <w:color w:val="auto"/>
        </w:rPr>
        <w:t>Section 4.4. Opinions of Counsel</w:t>
      </w:r>
      <w:r>
        <w:rPr>
          <w:rFonts w:ascii="Arial" w:cs="Arial" w:eastAsia="Arial" w:hAnsi="Arial"/>
          <w:sz w:val="19"/>
          <w:szCs w:val="19"/>
          <w:color w:val="auto"/>
        </w:rPr>
        <w:t>. Such Purchaser shall have received opinions in form and substance</w:t>
      </w:r>
      <w:r>
        <w:rPr>
          <w:rFonts w:ascii="Arial" w:cs="Arial" w:eastAsia="Arial" w:hAnsi="Arial"/>
          <w:sz w:val="19"/>
          <w:szCs w:val="19"/>
          <w:i w:val="1"/>
          <w:iCs w:val="1"/>
          <w:color w:val="auto"/>
        </w:rPr>
        <w:t xml:space="preserve"> </w:t>
      </w:r>
      <w:r>
        <w:rPr>
          <w:rFonts w:ascii="Arial" w:cs="Arial" w:eastAsia="Arial" w:hAnsi="Arial"/>
          <w:sz w:val="19"/>
          <w:szCs w:val="19"/>
          <w:color w:val="auto"/>
        </w:rPr>
        <w:t>satisfactory to such Purchaser, dated the date of such Closing (a) from Christopher P. Luning, counsel for the Company, covering the matters set forth in Exhibit 4.4(a)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Exhibit 4.4(b)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Exhibit 4.4(c) and covering such other matters incident to such transactions as such Purchaser may reasonably request. The Company hereby directs its counsel to deliver the opinions required by this Section 4.4 and understands and agrees that each Purchaser will and hereby is authorized to rely on such opinions.</w:t>
      </w:r>
    </w:p>
    <w:p>
      <w:pPr>
        <w:spacing w:after="0" w:line="206" w:lineRule="exact"/>
        <w:rPr>
          <w:sz w:val="20"/>
          <w:szCs w:val="20"/>
          <w:color w:val="auto"/>
        </w:rPr>
      </w:pPr>
    </w:p>
    <w:p>
      <w:pPr>
        <w:jc w:val="both"/>
        <w:ind w:left="4" w:right="20" w:firstLine="648"/>
        <w:spacing w:after="0" w:line="242" w:lineRule="auto"/>
        <w:rPr>
          <w:sz w:val="20"/>
          <w:szCs w:val="20"/>
          <w:color w:val="auto"/>
        </w:rPr>
      </w:pPr>
      <w:r>
        <w:rPr>
          <w:rFonts w:ascii="Arial" w:cs="Arial" w:eastAsia="Arial" w:hAnsi="Arial"/>
          <w:sz w:val="19"/>
          <w:szCs w:val="19"/>
          <w:i w:val="1"/>
          <w:iCs w:val="1"/>
          <w:color w:val="auto"/>
        </w:rPr>
        <w:t>Section 4.5. Purchase Permitted by Applicable Law, Etc</w:t>
      </w:r>
      <w:r>
        <w:rPr>
          <w:rFonts w:ascii="Arial" w:cs="Arial" w:eastAsia="Arial" w:hAnsi="Arial"/>
          <w:sz w:val="19"/>
          <w:szCs w:val="19"/>
          <w:color w:val="auto"/>
        </w:rPr>
        <w:t>. On the date of such Closing such Purchaser’s</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w:t>
      </w:r>
    </w:p>
    <w:p>
      <w:pPr>
        <w:spacing w:after="0" w:line="1" w:lineRule="exact"/>
        <w:rPr>
          <w:sz w:val="20"/>
          <w:szCs w:val="20"/>
          <w:color w:val="auto"/>
        </w:rPr>
      </w:pPr>
    </w:p>
    <w:p>
      <w:pPr>
        <w:jc w:val="both"/>
        <w:ind w:left="4" w:hanging="4"/>
        <w:spacing w:after="0" w:line="211" w:lineRule="auto"/>
        <w:tabs>
          <w:tab w:leader="none" w:pos="315" w:val="left"/>
        </w:tabs>
        <w:numPr>
          <w:ilvl w:val="0"/>
          <w:numId w:val="8"/>
        </w:numPr>
        <w:rPr>
          <w:rFonts w:ascii="Arial" w:cs="Arial" w:eastAsia="Arial" w:hAnsi="Arial"/>
          <w:sz w:val="22"/>
          <w:szCs w:val="22"/>
          <w:color w:val="auto"/>
        </w:rPr>
      </w:pPr>
      <w:r>
        <w:rPr>
          <w:rFonts w:ascii="Arial" w:cs="Arial" w:eastAsia="Arial" w:hAnsi="Arial"/>
          <w:sz w:val="22"/>
          <w:szCs w:val="22"/>
          <w:color w:val="auto"/>
        </w:rPr>
        <w:t>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either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87" w:lineRule="exact"/>
        <w:rPr>
          <w:sz w:val="20"/>
          <w:szCs w:val="20"/>
          <w:color w:val="auto"/>
        </w:rPr>
      </w:pPr>
    </w:p>
    <w:p>
      <w:pPr>
        <w:jc w:val="both"/>
        <w:ind w:left="4" w:firstLine="648"/>
        <w:spacing w:after="0" w:line="216" w:lineRule="auto"/>
        <w:rPr>
          <w:sz w:val="20"/>
          <w:szCs w:val="20"/>
          <w:color w:val="auto"/>
        </w:rPr>
      </w:pPr>
      <w:r>
        <w:rPr>
          <w:rFonts w:ascii="Arial" w:cs="Arial" w:eastAsia="Arial" w:hAnsi="Arial"/>
          <w:sz w:val="22"/>
          <w:szCs w:val="22"/>
          <w:i w:val="1"/>
          <w:iCs w:val="1"/>
          <w:color w:val="auto"/>
        </w:rPr>
        <w:t>Section 4.6. Sale of Bonds</w:t>
      </w:r>
      <w:r>
        <w:rPr>
          <w:rFonts w:ascii="Arial" w:cs="Arial" w:eastAsia="Arial" w:hAnsi="Arial"/>
          <w:sz w:val="22"/>
          <w:szCs w:val="22"/>
          <w:color w:val="auto"/>
        </w:rPr>
        <w:t>. Contemporaneously with such Closing, the Company shall sell to each</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Purchaser and each Purchaser shall purchase the Bonds of the series to be purchased by it at such Closing as specified in Schedule A. In the case of the Second Closing, the entire aggregate principal amount of the First Closing Bonds scheduled to be issued on the First Closing shall have been consummated in accordance with the terms hereof.</w:t>
      </w:r>
    </w:p>
    <w:p>
      <w:pPr>
        <w:spacing w:after="0" w:line="199"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9"/>
          <w:szCs w:val="19"/>
          <w:i w:val="1"/>
          <w:iCs w:val="1"/>
          <w:color w:val="auto"/>
        </w:rPr>
        <w:t>Section 4.7. Payment of Special Counsel Fees</w:t>
      </w:r>
      <w:r>
        <w:rPr>
          <w:rFonts w:ascii="Arial" w:cs="Arial" w:eastAsia="Arial" w:hAnsi="Arial"/>
          <w:sz w:val="19"/>
          <w:szCs w:val="19"/>
          <w:color w:val="auto"/>
        </w:rPr>
        <w:t>. Without limiting the provisions of Section 12.2,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shall have paid on or before each such Closing the reasonable fees, reasonable charges and reasonable disbursements of the Purchasers’ special counsel referred to in Section 4.4(c) to the extent reflected in a statement of such counsel rendered to the Company at least one Business Day prior to the Closing.</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604" w:right="879" w:bottom="1440" w:gutter="0" w:footer="0" w:header="0"/>
        </w:sectPr>
      </w:pPr>
    </w:p>
    <w:bookmarkStart w:id="44" w:name="page45"/>
    <w:bookmarkEnd w:id="44"/>
    <w:p>
      <w:pPr>
        <w:jc w:val="both"/>
        <w:ind w:right="20" w:firstLine="648"/>
        <w:spacing w:after="0" w:line="223" w:lineRule="auto"/>
        <w:rPr>
          <w:sz w:val="20"/>
          <w:szCs w:val="20"/>
          <w:color w:val="auto"/>
        </w:rPr>
      </w:pPr>
      <w:r>
        <w:rPr>
          <w:rFonts w:ascii="Arial" w:cs="Arial" w:eastAsia="Arial" w:hAnsi="Arial"/>
          <w:sz w:val="22"/>
          <w:szCs w:val="22"/>
          <w:i w:val="1"/>
          <w:iCs w:val="1"/>
          <w:color w:val="auto"/>
        </w:rPr>
        <w:t>Section 4.8. Private Placement Number</w:t>
      </w:r>
      <w:r>
        <w:rPr>
          <w:rFonts w:ascii="Arial" w:cs="Arial" w:eastAsia="Arial" w:hAnsi="Arial"/>
          <w:sz w:val="22"/>
          <w:szCs w:val="22"/>
          <w:color w:val="auto"/>
        </w:rPr>
        <w:t>. A Private Placement Number issued by Standard &amp; Poor’s CUSIP</w:t>
      </w:r>
      <w:r>
        <w:rPr>
          <w:rFonts w:ascii="Arial" w:cs="Arial" w:eastAsia="Arial" w:hAnsi="Arial"/>
          <w:sz w:val="22"/>
          <w:szCs w:val="22"/>
          <w:i w:val="1"/>
          <w:iCs w:val="1"/>
          <w:color w:val="auto"/>
        </w:rPr>
        <w:t xml:space="preserve"> </w:t>
      </w:r>
      <w:r>
        <w:rPr>
          <w:rFonts w:ascii="Arial" w:cs="Arial" w:eastAsia="Arial" w:hAnsi="Arial"/>
          <w:sz w:val="22"/>
          <w:szCs w:val="22"/>
          <w:color w:val="auto"/>
        </w:rPr>
        <w:t>Service Bureau (in cooperation with the SVO) shall have been obtained for each series of Bonds issued at such Closing.</w:t>
      </w:r>
    </w:p>
    <w:p>
      <w:pPr>
        <w:spacing w:after="0" w:line="186"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i w:val="1"/>
          <w:iCs w:val="1"/>
          <w:color w:val="auto"/>
        </w:rPr>
        <w:t>Section 4.9. Changes in Corporate Structure</w:t>
      </w:r>
      <w:r>
        <w:rPr>
          <w:rFonts w:ascii="Arial" w:cs="Arial" w:eastAsia="Arial" w:hAnsi="Arial"/>
          <w:sz w:val="22"/>
          <w:szCs w:val="22"/>
          <w:color w:val="auto"/>
        </w:rPr>
        <w:t>. The Company shall not have changed its jurisdiction of</w:t>
      </w:r>
      <w:r>
        <w:rPr>
          <w:rFonts w:ascii="Arial" w:cs="Arial" w:eastAsia="Arial" w:hAnsi="Arial"/>
          <w:sz w:val="22"/>
          <w:szCs w:val="22"/>
          <w:i w:val="1"/>
          <w:iCs w:val="1"/>
          <w:color w:val="auto"/>
        </w:rPr>
        <w:t xml:space="preserve"> </w:t>
      </w:r>
      <w:r>
        <w:rPr>
          <w:rFonts w:ascii="Arial" w:cs="Arial" w:eastAsia="Arial" w:hAnsi="Arial"/>
          <w:sz w:val="22"/>
          <w:szCs w:val="22"/>
          <w:color w:val="auto"/>
        </w:rPr>
        <w:t>incorporation or organization, as applicable, or been a party to any merger or consolidation or succeeded to all or any substantial part of the liabilities of any other entity, at any time following the date of the most recent financial statements referred to in Schedule 5.5.</w:t>
      </w:r>
    </w:p>
    <w:p>
      <w:pPr>
        <w:spacing w:after="0" w:line="20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i w:val="1"/>
          <w:iCs w:val="1"/>
          <w:color w:val="auto"/>
        </w:rPr>
        <w:t>Section 4.10. Funding Instructions</w:t>
      </w:r>
      <w:r>
        <w:rPr>
          <w:rFonts w:ascii="Arial" w:cs="Arial" w:eastAsia="Arial" w:hAnsi="Arial"/>
          <w:sz w:val="22"/>
          <w:szCs w:val="22"/>
          <w:color w:val="auto"/>
        </w:rPr>
        <w:t>. At least three Business Days prior to the date of such Closing, such</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Purchaser shall have received written instructions signed by a Responsible Officer on letterhead of the Company confirming the information specified in Section 3 including (a) the name and address of the transferee bank, (b) such transferee bank’s ABA number (c) the account name and number into which the purchase price for the Bonds is to be deposited, and (d) the name and telephone number and/or email address for an appropriate contact person at such transferee bank.</w:t>
      </w:r>
    </w:p>
    <w:p>
      <w:pPr>
        <w:spacing w:after="0" w:line="20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i w:val="1"/>
          <w:iCs w:val="1"/>
          <w:color w:val="auto"/>
        </w:rPr>
        <w:t>Section 4.11. Proceedings and Documents</w:t>
      </w:r>
      <w:r>
        <w:rPr>
          <w:rFonts w:ascii="Arial" w:cs="Arial" w:eastAsia="Arial" w:hAnsi="Arial"/>
          <w:sz w:val="22"/>
          <w:szCs w:val="22"/>
          <w:color w:val="auto"/>
        </w:rPr>
        <w:t>. All corporate and other proceedings in connection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i w:val="1"/>
          <w:iCs w:val="1"/>
          <w:color w:val="auto"/>
        </w:rPr>
        <w:t>Section 4.12. Execution and Delivery and Filing and Recording of the Supplements</w:t>
      </w:r>
      <w:r>
        <w:rPr>
          <w:rFonts w:ascii="Arial" w:cs="Arial" w:eastAsia="Arial" w:hAnsi="Arial"/>
          <w:sz w:val="19"/>
          <w:szCs w:val="19"/>
          <w:color w:val="auto"/>
        </w:rPr>
        <w:t>. (a) Prior to or at the</w:t>
      </w:r>
      <w:r>
        <w:rPr>
          <w:rFonts w:ascii="Arial" w:cs="Arial" w:eastAsia="Arial" w:hAnsi="Arial"/>
          <w:sz w:val="19"/>
          <w:szCs w:val="19"/>
          <w:i w:val="1"/>
          <w:iCs w:val="1"/>
          <w:color w:val="auto"/>
        </w:rPr>
        <w:t xml:space="preserve"> </w:t>
      </w:r>
      <w:r>
        <w:rPr>
          <w:rFonts w:ascii="Arial" w:cs="Arial" w:eastAsia="Arial" w:hAnsi="Arial"/>
          <w:sz w:val="19"/>
          <w:szCs w:val="19"/>
          <w:color w:val="auto"/>
        </w:rPr>
        <w:t>First Closing, the 55th Supplement shall have been duly executed and delivered by the Company, and the Company shall have filed, or delivered for recordation, the 55th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94" w:lineRule="exact"/>
        <w:rPr>
          <w:sz w:val="20"/>
          <w:szCs w:val="20"/>
          <w:color w:val="auto"/>
        </w:rPr>
      </w:pPr>
    </w:p>
    <w:p>
      <w:pPr>
        <w:ind w:left="1880" w:hanging="587"/>
        <w:spacing w:after="0"/>
        <w:tabs>
          <w:tab w:leader="none" w:pos="188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Prior to or at the Second Closing, the 56th Supplement shall have been duly executed and</w:t>
      </w:r>
    </w:p>
    <w:p>
      <w:pPr>
        <w:spacing w:after="0" w:line="16" w:lineRule="exact"/>
        <w:rPr>
          <w:sz w:val="20"/>
          <w:szCs w:val="20"/>
          <w:color w:val="auto"/>
        </w:rPr>
      </w:pPr>
    </w:p>
    <w:p>
      <w:pPr>
        <w:jc w:val="both"/>
        <w:ind w:left="640"/>
        <w:spacing w:after="0" w:line="244" w:lineRule="auto"/>
        <w:rPr>
          <w:sz w:val="20"/>
          <w:szCs w:val="20"/>
          <w:color w:val="auto"/>
        </w:rPr>
      </w:pPr>
      <w:r>
        <w:rPr>
          <w:rFonts w:ascii="Arial" w:cs="Arial" w:eastAsia="Arial" w:hAnsi="Arial"/>
          <w:sz w:val="19"/>
          <w:szCs w:val="19"/>
          <w:color w:val="auto"/>
        </w:rPr>
        <w:t>delivered by the Company, and the Company shall have filed, or delivered for recordation, the 56th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5" w:name="page46"/>
    <w:bookmarkEnd w:id="45"/>
    <w:p>
      <w:pPr>
        <w:jc w:val="both"/>
        <w:ind w:right="20" w:firstLine="648"/>
        <w:spacing w:after="0" w:line="247" w:lineRule="auto"/>
        <w:rPr>
          <w:sz w:val="20"/>
          <w:szCs w:val="20"/>
          <w:color w:val="auto"/>
        </w:rPr>
      </w:pPr>
      <w:r>
        <w:rPr>
          <w:rFonts w:ascii="Arial" w:cs="Arial" w:eastAsia="Arial" w:hAnsi="Arial"/>
          <w:sz w:val="19"/>
          <w:szCs w:val="19"/>
          <w:i w:val="1"/>
          <w:iCs w:val="1"/>
          <w:color w:val="auto"/>
        </w:rPr>
        <w:t xml:space="preserve">Section 4.13. Regulatory Approvals. </w:t>
      </w:r>
      <w:r>
        <w:rPr>
          <w:rFonts w:ascii="Arial" w:cs="Arial" w:eastAsia="Arial" w:hAnsi="Arial"/>
          <w:sz w:val="19"/>
          <w:szCs w:val="19"/>
          <w:color w:val="auto"/>
        </w:rPr>
        <w:t>(a) Prior to the First Closing, the issue and sale of the First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Bonds shall have been duly authorized by an order of the Pennsylvania Public Utility Commission and such order shall be in full force and effect on the date of the First Closing and all appeal periods, if any, applicable to such order shall have expired. The Company shall deliver satisfactory evidence that orders have been obtained approving the issuance of the First Closing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182" w:lineRule="exact"/>
        <w:rPr>
          <w:sz w:val="20"/>
          <w:szCs w:val="20"/>
          <w:color w:val="auto"/>
        </w:rPr>
      </w:pPr>
    </w:p>
    <w:p>
      <w:pPr>
        <w:jc w:val="both"/>
        <w:ind w:left="640" w:firstLine="653"/>
        <w:spacing w:after="0" w:line="222" w:lineRule="auto"/>
        <w:tabs>
          <w:tab w:leader="none" w:pos="16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Prior to the Second Closing, the issue and sale of the Second Closing Bonds shall have been duly authorized by an order of the Pennsylvania Public Utility Commission and such order shall be in full force and effect on the date of the Second Closing and all appeal periods, if any, applicable to such order shall have expired. The Company shall deliver satisfactory evidence that orders have been obtained approving the issuance of the Second Closing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3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5.</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 OF THE</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Company represents and warrants to each Purchaser at each Closing that:</w:t>
      </w:r>
    </w:p>
    <w:p>
      <w:pPr>
        <w:spacing w:after="0" w:line="220" w:lineRule="exact"/>
        <w:rPr>
          <w:sz w:val="20"/>
          <w:szCs w:val="20"/>
          <w:color w:val="auto"/>
        </w:rPr>
      </w:pPr>
    </w:p>
    <w:p>
      <w:pPr>
        <w:jc w:val="both"/>
        <w:ind w:right="20" w:firstLine="648"/>
        <w:spacing w:after="0" w:line="245" w:lineRule="auto"/>
        <w:rPr>
          <w:sz w:val="20"/>
          <w:szCs w:val="20"/>
          <w:color w:val="auto"/>
        </w:rPr>
      </w:pPr>
      <w:r>
        <w:rPr>
          <w:rFonts w:ascii="Arial" w:cs="Arial" w:eastAsia="Arial" w:hAnsi="Arial"/>
          <w:sz w:val="19"/>
          <w:szCs w:val="19"/>
          <w:i w:val="1"/>
          <w:iCs w:val="1"/>
          <w:color w:val="auto"/>
        </w:rPr>
        <w:t>Section 5.1. Organization; Power and Authority</w:t>
      </w:r>
      <w:r>
        <w:rPr>
          <w:rFonts w:ascii="Arial" w:cs="Arial" w:eastAsia="Arial" w:hAnsi="Arial"/>
          <w:sz w:val="19"/>
          <w:szCs w:val="19"/>
          <w:color w:val="auto"/>
        </w:rPr>
        <w:t>. The Company is a corporation duly organized, validly</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Supplements (and had the corporate power and authority to execute and deliver the Indenture at the time of execution and delivery thereof) and to perform the provisions of the Financing Agreements.</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i w:val="1"/>
          <w:iCs w:val="1"/>
          <w:color w:val="auto"/>
        </w:rPr>
        <w:t>Section 5.2. Authorization, Etc</w:t>
      </w:r>
      <w:r>
        <w:rPr>
          <w:rFonts w:ascii="Arial" w:cs="Arial" w:eastAsia="Arial" w:hAnsi="Arial"/>
          <w:sz w:val="19"/>
          <w:szCs w:val="19"/>
          <w:color w:val="auto"/>
        </w:rPr>
        <w:t>. At such Closing, each Financing Agreement has been duly authorized by</w:t>
      </w:r>
      <w:r>
        <w:rPr>
          <w:rFonts w:ascii="Arial" w:cs="Arial" w:eastAsia="Arial" w:hAnsi="Arial"/>
          <w:sz w:val="19"/>
          <w:szCs w:val="19"/>
          <w:i w:val="1"/>
          <w:iCs w:val="1"/>
          <w:color w:val="auto"/>
        </w:rPr>
        <w:t xml:space="preserve"> </w:t>
      </w:r>
      <w:r>
        <w:rPr>
          <w:rFonts w:ascii="Arial" w:cs="Arial" w:eastAsia="Arial" w:hAnsi="Arial"/>
          <w:sz w:val="19"/>
          <w:szCs w:val="19"/>
          <w:color w:val="auto"/>
        </w:rPr>
        <w:t>all necessary corporate action on the part of the Company, and each Financing Agreement (other than the Supplements and the Bonds) constitutes, and when each Supplement is executed and delivered by the Company and the Trustee and when the Bonds are executed, issued and delivered by the Company, authenticated by the Trustee and paid for by the Purchasers, such Supplement and each Bond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6" w:name="page47"/>
    <w:bookmarkEnd w:id="46"/>
    <w:p>
      <w:pPr>
        <w:jc w:val="both"/>
        <w:ind w:firstLine="648"/>
        <w:spacing w:after="0" w:line="242" w:lineRule="auto"/>
        <w:rPr>
          <w:sz w:val="20"/>
          <w:szCs w:val="20"/>
          <w:color w:val="auto"/>
        </w:rPr>
      </w:pPr>
      <w:r>
        <w:rPr>
          <w:rFonts w:ascii="Arial" w:cs="Arial" w:eastAsia="Arial" w:hAnsi="Arial"/>
          <w:sz w:val="19"/>
          <w:szCs w:val="19"/>
          <w:i w:val="1"/>
          <w:iCs w:val="1"/>
          <w:color w:val="auto"/>
        </w:rPr>
        <w:t>Section 5.3. Disclosure</w:t>
      </w:r>
      <w:r>
        <w:rPr>
          <w:rFonts w:ascii="Arial" w:cs="Arial" w:eastAsia="Arial" w:hAnsi="Arial"/>
          <w:sz w:val="19"/>
          <w:szCs w:val="19"/>
          <w:color w:val="auto"/>
        </w:rPr>
        <w:t>. This Agreement and the documents, certificates or other writings delivered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Purchasers by or on behalf of the Company in connection with the transactions contemplated hereby, including the Offering Memorandum (including the documents incorporated therein by reference) dated May 2019, and the financial statements listed in Schedule 5.5 (collectively, the </w:t>
      </w:r>
      <w:r>
        <w:rPr>
          <w:rFonts w:ascii="Arial" w:cs="Arial" w:eastAsia="Arial" w:hAnsi="Arial"/>
          <w:sz w:val="19"/>
          <w:szCs w:val="19"/>
          <w:i w:val="1"/>
          <w:iCs w:val="1"/>
          <w:color w:val="auto"/>
        </w:rPr>
        <w:t>“Disclosure Documents”</w:t>
      </w:r>
      <w:r>
        <w:rPr>
          <w:rFonts w:ascii="Arial" w:cs="Arial" w:eastAsia="Arial" w:hAnsi="Arial"/>
          <w:sz w:val="19"/>
          <w:szCs w:val="19"/>
          <w:color w:val="auto"/>
        </w:rPr>
        <w:t>), taken as a whole, do not contain any untrue statement of a material fact or omit to state any material fact necessary to make the statements therein not misleading in light of the circumstances under which they were made. Since March 31, 2019,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192"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i w:val="1"/>
          <w:iCs w:val="1"/>
          <w:color w:val="auto"/>
        </w:rPr>
        <w:t>Section 5.4. Organization and Ownership of Shares of Subsidiaries</w:t>
      </w:r>
      <w:r>
        <w:rPr>
          <w:rFonts w:ascii="Arial" w:cs="Arial" w:eastAsia="Arial" w:hAnsi="Arial"/>
          <w:sz w:val="22"/>
          <w:szCs w:val="22"/>
          <w:color w:val="auto"/>
        </w:rPr>
        <w:t>. (a) Schedule 5.4 contains a complete</w:t>
      </w:r>
      <w:r>
        <w:rPr>
          <w:rFonts w:ascii="Arial" w:cs="Arial" w:eastAsia="Arial" w:hAnsi="Arial"/>
          <w:sz w:val="22"/>
          <w:szCs w:val="22"/>
          <w:i w:val="1"/>
          <w:iCs w:val="1"/>
          <w:color w:val="auto"/>
        </w:rPr>
        <w:t xml:space="preserve"> </w:t>
      </w:r>
      <w:r>
        <w:rPr>
          <w:rFonts w:ascii="Arial" w:cs="Arial" w:eastAsia="Arial" w:hAnsi="Arial"/>
          <w:sz w:val="22"/>
          <w:szCs w:val="22"/>
          <w:color w:val="auto"/>
        </w:rPr>
        <w:t>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202" w:lineRule="exact"/>
        <w:rPr>
          <w:sz w:val="20"/>
          <w:szCs w:val="20"/>
          <w:color w:val="auto"/>
        </w:rPr>
      </w:pPr>
    </w:p>
    <w:p>
      <w:pPr>
        <w:jc w:val="both"/>
        <w:ind w:left="640" w:firstLine="653"/>
        <w:spacing w:after="0" w:line="218" w:lineRule="auto"/>
        <w:tabs>
          <w:tab w:leader="none" w:pos="1873" w:val="left"/>
        </w:tabs>
        <w:numPr>
          <w:ilvl w:val="0"/>
          <w:numId w:val="11"/>
        </w:numPr>
        <w:rPr>
          <w:rFonts w:ascii="Arial" w:cs="Arial" w:eastAsia="Arial" w:hAnsi="Arial"/>
          <w:sz w:val="22"/>
          <w:szCs w:val="22"/>
          <w:color w:val="auto"/>
        </w:rPr>
      </w:pPr>
      <w:r>
        <w:rPr>
          <w:rFonts w:ascii="Arial" w:cs="Arial" w:eastAsia="Arial" w:hAnsi="Arial"/>
          <w:sz w:val="22"/>
          <w:szCs w:val="22"/>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w:t>
      </w:r>
    </w:p>
    <w:p>
      <w:pPr>
        <w:spacing w:after="0" w:line="201" w:lineRule="exact"/>
        <w:rPr>
          <w:rFonts w:ascii="Arial" w:cs="Arial" w:eastAsia="Arial" w:hAnsi="Arial"/>
          <w:sz w:val="22"/>
          <w:szCs w:val="22"/>
          <w:color w:val="auto"/>
        </w:rPr>
      </w:pPr>
    </w:p>
    <w:p>
      <w:pPr>
        <w:jc w:val="both"/>
        <w:ind w:left="640" w:firstLine="653"/>
        <w:spacing w:after="0" w:line="247" w:lineRule="auto"/>
        <w:tabs>
          <w:tab w:leader="none" w:pos="1825" w:val="left"/>
        </w:tabs>
        <w:numPr>
          <w:ilvl w:val="0"/>
          <w:numId w:val="11"/>
        </w:numPr>
        <w:rPr>
          <w:rFonts w:ascii="Arial" w:cs="Arial" w:eastAsia="Arial" w:hAnsi="Arial"/>
          <w:sz w:val="19"/>
          <w:szCs w:val="19"/>
          <w:color w:val="auto"/>
        </w:rPr>
      </w:pPr>
      <w:r>
        <w:rPr>
          <w:rFonts w:ascii="Arial" w:cs="Arial" w:eastAsia="Arial" w:hAnsi="Arial"/>
          <w:sz w:val="19"/>
          <w:szCs w:val="19"/>
          <w:color w:val="auto"/>
        </w:rPr>
        <w:t>Each Subsidiary identified in Schedule 5.4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82"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21"/>
          <w:szCs w:val="21"/>
          <w:i w:val="1"/>
          <w:iCs w:val="1"/>
          <w:color w:val="auto"/>
        </w:rPr>
        <w:t>Section 5.5. Financial Statements; Material Liabilities</w:t>
      </w:r>
      <w:r>
        <w:rPr>
          <w:rFonts w:ascii="Arial" w:cs="Arial" w:eastAsia="Arial" w:hAnsi="Arial"/>
          <w:sz w:val="21"/>
          <w:szCs w:val="21"/>
          <w:color w:val="auto"/>
        </w:rPr>
        <w:t>. The Company has delivered to each Purchaser</w:t>
      </w:r>
      <w:r>
        <w:rPr>
          <w:rFonts w:ascii="Arial" w:cs="Arial" w:eastAsia="Arial" w:hAnsi="Arial"/>
          <w:sz w:val="21"/>
          <w:szCs w:val="21"/>
          <w:i w:val="1"/>
          <w:iCs w:val="1"/>
          <w:color w:val="auto"/>
        </w:rPr>
        <w:t xml:space="preserve"> </w:t>
      </w:r>
      <w:r>
        <w:rPr>
          <w:rFonts w:ascii="Arial" w:cs="Arial" w:eastAsia="Arial" w:hAnsi="Arial"/>
          <w:sz w:val="21"/>
          <w:szCs w:val="21"/>
          <w:color w:val="auto"/>
        </w:rPr>
        <w:t>copies of the financial statements of the Company and its Subsidiaries listed on Schedule 5.5. All of said financial statements (including in each case the related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1"/>
          <w:szCs w:val="21"/>
          <w:color w:val="auto"/>
        </w:rPr>
        <w:t>‑</w:t>
      </w:r>
      <w:r>
        <w:rPr>
          <w:rFonts w:ascii="Arial" w:cs="Arial" w:eastAsia="Arial" w:hAnsi="Arial"/>
          <w:sz w:val="21"/>
          <w:szCs w:val="21"/>
          <w:color w:val="auto"/>
        </w:rPr>
        <w:t>end adjustments). The Company does not have any Material liabilities that are not disclosed on such financial statements or otherwise disclosed in the Disclosure Documents.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7" w:name="page48"/>
    <w:bookmarkEnd w:id="47"/>
    <w:p>
      <w:pPr>
        <w:ind w:left="4" w:right="20" w:firstLine="648"/>
        <w:spacing w:after="0" w:line="247" w:lineRule="auto"/>
        <w:rPr>
          <w:sz w:val="20"/>
          <w:szCs w:val="20"/>
          <w:color w:val="auto"/>
        </w:rPr>
      </w:pPr>
      <w:r>
        <w:rPr>
          <w:rFonts w:ascii="Arial" w:cs="Arial" w:eastAsia="Arial" w:hAnsi="Arial"/>
          <w:sz w:val="19"/>
          <w:szCs w:val="19"/>
          <w:i w:val="1"/>
          <w:iCs w:val="1"/>
          <w:color w:val="auto"/>
        </w:rPr>
        <w:t>Section 5.6. Compliance with Laws, Other Instruments, Etc</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of each Financing Agreement (including the prior execution and delivery of the Indenture), will not</w:t>
      </w:r>
    </w:p>
    <w:p>
      <w:pPr>
        <w:jc w:val="both"/>
        <w:ind w:left="4" w:hanging="4"/>
        <w:spacing w:after="0" w:line="218" w:lineRule="auto"/>
        <w:tabs>
          <w:tab w:leader="none" w:pos="305" w:val="left"/>
        </w:tabs>
        <w:numPr>
          <w:ilvl w:val="0"/>
          <w:numId w:val="12"/>
        </w:numPr>
        <w:rPr>
          <w:rFonts w:ascii="Arial" w:cs="Arial" w:eastAsia="Arial" w:hAnsi="Arial"/>
          <w:sz w:val="21"/>
          <w:szCs w:val="21"/>
          <w:color w:val="auto"/>
        </w:rPr>
      </w:pPr>
      <w:r>
        <w:rPr>
          <w:rFonts w:ascii="Arial" w:cs="Arial" w:eastAsia="Arial" w:hAnsi="Arial"/>
          <w:sz w:val="21"/>
          <w:szCs w:val="21"/>
          <w:color w:val="auto"/>
        </w:rPr>
        <w:t>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192" w:lineRule="exact"/>
        <w:rPr>
          <w:sz w:val="20"/>
          <w:szCs w:val="20"/>
          <w:color w:val="auto"/>
        </w:rPr>
      </w:pPr>
    </w:p>
    <w:p>
      <w:pPr>
        <w:jc w:val="both"/>
        <w:ind w:left="4" w:firstLine="648"/>
        <w:spacing w:after="0" w:line="247" w:lineRule="auto"/>
        <w:rPr>
          <w:sz w:val="20"/>
          <w:szCs w:val="20"/>
          <w:color w:val="auto"/>
        </w:rPr>
      </w:pPr>
      <w:r>
        <w:rPr>
          <w:rFonts w:ascii="Arial" w:cs="Arial" w:eastAsia="Arial" w:hAnsi="Arial"/>
          <w:sz w:val="19"/>
          <w:szCs w:val="19"/>
          <w:i w:val="1"/>
          <w:iCs w:val="1"/>
          <w:color w:val="auto"/>
        </w:rPr>
        <w:t>Section 5.7. Governmental Authorizations, Etc</w:t>
      </w:r>
      <w:r>
        <w:rPr>
          <w:rFonts w:ascii="Arial" w:cs="Arial" w:eastAsia="Arial" w:hAnsi="Arial"/>
          <w:sz w:val="19"/>
          <w:szCs w:val="19"/>
          <w:color w:val="auto"/>
        </w:rPr>
        <w:t>. No consent, approval or authorization of, or registration,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filing or declaration with, any Governmental Authority is required in connection with the execution, delivery or performance by the Company of this Agreement, the Bonds, and the Supplements, other than approval of the Pennsylvania Public Utility Commission, which has been obtained with respect to the First Closing, the 55</w:t>
      </w:r>
      <w:r>
        <w:rPr>
          <w:rFonts w:ascii="Arial" w:cs="Arial" w:eastAsia="Arial" w:hAnsi="Arial"/>
          <w:sz w:val="9"/>
          <w:szCs w:val="9"/>
          <w:color w:val="auto"/>
        </w:rPr>
        <w:t>th</w:t>
      </w:r>
      <w:r>
        <w:rPr>
          <w:rFonts w:ascii="Arial" w:cs="Arial" w:eastAsia="Arial" w:hAnsi="Arial"/>
          <w:sz w:val="19"/>
          <w:szCs w:val="19"/>
          <w:color w:val="auto"/>
        </w:rPr>
        <w:t xml:space="preserve"> Supplement and the First Closing Bonds and is in full force and effect and final and is non-appealable and, with respect to the Second Closing the 56</w:t>
      </w:r>
      <w:r>
        <w:rPr>
          <w:rFonts w:ascii="Arial" w:cs="Arial" w:eastAsia="Arial" w:hAnsi="Arial"/>
          <w:sz w:val="9"/>
          <w:szCs w:val="9"/>
          <w:color w:val="auto"/>
        </w:rPr>
        <w:t>th</w:t>
      </w:r>
      <w:r>
        <w:rPr>
          <w:rFonts w:ascii="Arial" w:cs="Arial" w:eastAsia="Arial" w:hAnsi="Arial"/>
          <w:sz w:val="19"/>
          <w:szCs w:val="19"/>
          <w:color w:val="auto"/>
        </w:rPr>
        <w:t xml:space="preserve"> Supplement and the Second Closing, will be obtained prior to the Second Closing and at the time of the Second Closing will be in full force and effect and final and is non-appealable.</w:t>
      </w:r>
    </w:p>
    <w:p>
      <w:pPr>
        <w:spacing w:after="0" w:line="195" w:lineRule="exact"/>
        <w:rPr>
          <w:sz w:val="20"/>
          <w:szCs w:val="20"/>
          <w:color w:val="auto"/>
        </w:rPr>
      </w:pPr>
    </w:p>
    <w:p>
      <w:pPr>
        <w:jc w:val="both"/>
        <w:ind w:left="4" w:right="20" w:firstLine="648"/>
        <w:spacing w:after="0" w:line="216" w:lineRule="auto"/>
        <w:rPr>
          <w:sz w:val="20"/>
          <w:szCs w:val="20"/>
          <w:color w:val="auto"/>
        </w:rPr>
      </w:pPr>
      <w:r>
        <w:rPr>
          <w:rFonts w:ascii="Arial" w:cs="Arial" w:eastAsia="Arial" w:hAnsi="Arial"/>
          <w:sz w:val="22"/>
          <w:szCs w:val="22"/>
          <w:i w:val="1"/>
          <w:iCs w:val="1"/>
          <w:color w:val="auto"/>
        </w:rPr>
        <w:t>Section 5.8. Litigation; Observance of Statutes and Orders</w:t>
      </w:r>
      <w:r>
        <w:rPr>
          <w:rFonts w:ascii="Arial" w:cs="Arial" w:eastAsia="Arial" w:hAnsi="Arial"/>
          <w:sz w:val="22"/>
          <w:szCs w:val="22"/>
          <w:color w:val="auto"/>
        </w:rPr>
        <w:t>. (a) There are no actions, suits, investigations</w:t>
      </w:r>
      <w:r>
        <w:rPr>
          <w:rFonts w:ascii="Arial" w:cs="Arial" w:eastAsia="Arial" w:hAnsi="Arial"/>
          <w:sz w:val="22"/>
          <w:szCs w:val="22"/>
          <w:i w:val="1"/>
          <w:iCs w:val="1"/>
          <w:color w:val="auto"/>
        </w:rPr>
        <w:t xml:space="preserve"> </w:t>
      </w:r>
      <w:r>
        <w:rPr>
          <w:rFonts w:ascii="Arial" w:cs="Arial" w:eastAsia="Arial" w:hAnsi="Arial"/>
          <w:sz w:val="22"/>
          <w:szCs w:val="22"/>
          <w:color w:val="auto"/>
        </w:rPr>
        <w:t>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99" w:lineRule="exact"/>
        <w:rPr>
          <w:sz w:val="20"/>
          <w:szCs w:val="20"/>
          <w:color w:val="auto"/>
        </w:rPr>
      </w:pPr>
    </w:p>
    <w:p>
      <w:pPr>
        <w:jc w:val="both"/>
        <w:ind w:left="644" w:firstLine="653"/>
        <w:spacing w:after="0" w:line="211" w:lineRule="auto"/>
        <w:tabs>
          <w:tab w:leader="none" w:pos="1824"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Section 5.16), which default or violation, individually or in the aggregate, could reasonably be expected to have a Material Adverse Effect.</w:t>
      </w:r>
    </w:p>
    <w:p>
      <w:pPr>
        <w:spacing w:after="0" w:line="193" w:lineRule="exact"/>
        <w:rPr>
          <w:sz w:val="20"/>
          <w:szCs w:val="20"/>
          <w:color w:val="auto"/>
        </w:rPr>
      </w:pPr>
    </w:p>
    <w:p>
      <w:pPr>
        <w:jc w:val="both"/>
        <w:ind w:left="4" w:firstLine="648"/>
        <w:spacing w:after="0" w:line="216" w:lineRule="auto"/>
        <w:rPr>
          <w:sz w:val="20"/>
          <w:szCs w:val="20"/>
          <w:color w:val="auto"/>
        </w:rPr>
      </w:pPr>
      <w:r>
        <w:rPr>
          <w:rFonts w:ascii="Arial" w:cs="Arial" w:eastAsia="Arial" w:hAnsi="Arial"/>
          <w:sz w:val="22"/>
          <w:szCs w:val="22"/>
          <w:i w:val="1"/>
          <w:iCs w:val="1"/>
          <w:color w:val="auto"/>
        </w:rPr>
        <w:t>Section 5.9. Taxes</w:t>
      </w:r>
      <w:r>
        <w:rPr>
          <w:rFonts w:ascii="Arial" w:cs="Arial" w:eastAsia="Arial" w:hAnsi="Arial"/>
          <w:sz w:val="22"/>
          <w:szCs w:val="22"/>
          <w:color w:val="auto"/>
        </w:rPr>
        <w:t>. The Company and its Subsidiaries have filed all income tax returns that are required to</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w:t>
      </w:r>
    </w:p>
    <w:p>
      <w:pPr>
        <w:spacing w:after="0" w:line="200" w:lineRule="exact"/>
        <w:rPr>
          <w:sz w:val="20"/>
          <w:szCs w:val="20"/>
          <w:color w:val="auto"/>
        </w:rPr>
      </w:pPr>
    </w:p>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46557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604" w:right="87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9"/>
          <w:szCs w:val="19"/>
          <w:color w:val="auto"/>
        </w:rPr>
        <w:t>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8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i w:val="1"/>
          <w:iCs w:val="1"/>
          <w:color w:val="auto"/>
        </w:rPr>
        <w:t>Section 5.10. Title to Property; Leases</w:t>
      </w:r>
      <w:r>
        <w:rPr>
          <w:rFonts w:ascii="Arial" w:cs="Arial" w:eastAsia="Arial" w:hAnsi="Arial"/>
          <w:sz w:val="21"/>
          <w:szCs w:val="21"/>
          <w:color w:val="auto"/>
        </w:rPr>
        <w:t>. The Company and its Subsidiaries have good and sufficient title to</w:t>
      </w:r>
      <w:r>
        <w:rPr>
          <w:rFonts w:ascii="Arial" w:cs="Arial" w:eastAsia="Arial" w:hAnsi="Arial"/>
          <w:sz w:val="21"/>
          <w:szCs w:val="21"/>
          <w:i w:val="1"/>
          <w:iCs w:val="1"/>
          <w:color w:val="auto"/>
        </w:rPr>
        <w:t xml:space="preserve"> </w:t>
      </w:r>
      <w:r>
        <w:rPr>
          <w:rFonts w:ascii="Arial" w:cs="Arial" w:eastAsia="Arial" w:hAnsi="Arial"/>
          <w:sz w:val="21"/>
          <w:szCs w:val="21"/>
          <w:color w:val="auto"/>
        </w:rPr>
        <w:t>their respective Material properties,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19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i w:val="1"/>
          <w:iCs w:val="1"/>
          <w:color w:val="auto"/>
        </w:rPr>
        <w:t>Section 5.11. Licenses, Permits, Etc</w:t>
      </w:r>
      <w:r>
        <w:rPr>
          <w:rFonts w:ascii="Arial" w:cs="Arial" w:eastAsia="Arial" w:hAnsi="Arial"/>
          <w:sz w:val="22"/>
          <w:szCs w:val="22"/>
          <w:color w:val="auto"/>
        </w:rPr>
        <w:t>. The Company and its Subsidiaries own or possess all licenses,</w:t>
      </w:r>
      <w:r>
        <w:rPr>
          <w:rFonts w:ascii="Arial" w:cs="Arial" w:eastAsia="Arial" w:hAnsi="Arial"/>
          <w:sz w:val="22"/>
          <w:szCs w:val="22"/>
          <w:i w:val="1"/>
          <w:iCs w:val="1"/>
          <w:color w:val="auto"/>
        </w:rPr>
        <w:t xml:space="preserve"> </w:t>
      </w:r>
      <w:r>
        <w:rPr>
          <w:rFonts w:ascii="Arial" w:cs="Arial" w:eastAsia="Arial" w:hAnsi="Arial"/>
          <w:sz w:val="22"/>
          <w:szCs w:val="22"/>
          <w:color w:val="auto"/>
        </w:rPr>
        <w:t>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i w:val="1"/>
          <w:iCs w:val="1"/>
          <w:color w:val="auto"/>
        </w:rPr>
        <w:t>Section 5.12. Compliance with Employee Benefit Plans</w:t>
      </w:r>
      <w:r>
        <w:rPr>
          <w:rFonts w:ascii="Arial" w:cs="Arial" w:eastAsia="Arial" w:hAnsi="Arial"/>
          <w:sz w:val="19"/>
          <w:szCs w:val="19"/>
          <w:color w:val="auto"/>
        </w:rPr>
        <w:t>. (a) The Company and each ERISA Affiliate have</w:t>
      </w:r>
      <w:r>
        <w:rPr>
          <w:rFonts w:ascii="Arial" w:cs="Arial" w:eastAsia="Arial" w:hAnsi="Arial"/>
          <w:sz w:val="19"/>
          <w:szCs w:val="19"/>
          <w:i w:val="1"/>
          <w:iCs w:val="1"/>
          <w:color w:val="auto"/>
        </w:rPr>
        <w:t xml:space="preserve"> </w:t>
      </w:r>
      <w:r>
        <w:rPr>
          <w:rFonts w:ascii="Arial" w:cs="Arial" w:eastAsia="Arial" w:hAnsi="Arial"/>
          <w:sz w:val="19"/>
          <w:szCs w:val="19"/>
          <w:color w:val="auto"/>
        </w:rPr>
        <w:t>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183" w:lineRule="exact"/>
        <w:rPr>
          <w:sz w:val="20"/>
          <w:szCs w:val="20"/>
          <w:color w:val="auto"/>
        </w:rPr>
      </w:pPr>
    </w:p>
    <w:p>
      <w:pPr>
        <w:jc w:val="both"/>
        <w:ind w:left="640" w:firstLine="653"/>
        <w:spacing w:after="0" w:line="211" w:lineRule="auto"/>
        <w:tabs>
          <w:tab w:leader="none" w:pos="195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present value of the aggregate benefit liabilities under each of the Plans subject to section 412 of the Code (other than Multiemployer Plans), determined as of January 1, 2019 based on such Plan’s actuarial assumptions as of that date for funding purposes as documented in such Plan’s actuarial valuation reports dated September 2018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22"/>
          <w:szCs w:val="22"/>
          <w:i w:val="1"/>
          <w:iCs w:val="1"/>
          <w:color w:val="auto"/>
        </w:rPr>
        <w:t>benefit liabilities</w:t>
      </w:r>
      <w:r>
        <w:rPr>
          <w:rFonts w:ascii="Arial" w:cs="Arial" w:eastAsia="Arial" w:hAnsi="Arial"/>
          <w:sz w:val="22"/>
          <w:szCs w:val="22"/>
          <w:color w:val="auto"/>
        </w:rPr>
        <w:t>” has the meaning specified in section 4001 of ERISA and the terms “</w:t>
      </w:r>
      <w:r>
        <w:rPr>
          <w:rFonts w:ascii="Arial" w:cs="Arial" w:eastAsia="Arial" w:hAnsi="Arial"/>
          <w:sz w:val="22"/>
          <w:szCs w:val="22"/>
          <w:i w:val="1"/>
          <w:iCs w:val="1"/>
          <w:color w:val="auto"/>
        </w:rPr>
        <w:t>current value</w:t>
      </w:r>
      <w:r>
        <w:rPr>
          <w:rFonts w:ascii="Arial" w:cs="Arial" w:eastAsia="Arial" w:hAnsi="Arial"/>
          <w:sz w:val="22"/>
          <w:szCs w:val="22"/>
          <w:color w:val="auto"/>
        </w:rPr>
        <w:t>” and “</w:t>
      </w:r>
      <w:r>
        <w:rPr>
          <w:rFonts w:ascii="Arial" w:cs="Arial" w:eastAsia="Arial" w:hAnsi="Arial"/>
          <w:sz w:val="22"/>
          <w:szCs w:val="22"/>
          <w:i w:val="1"/>
          <w:iCs w:val="1"/>
          <w:color w:val="auto"/>
        </w:rPr>
        <w:t>present value</w:t>
      </w:r>
      <w:r>
        <w:rPr>
          <w:rFonts w:ascii="Arial" w:cs="Arial" w:eastAsia="Arial" w:hAnsi="Arial"/>
          <w:sz w:val="22"/>
          <w:szCs w:val="22"/>
          <w:color w:val="auto"/>
        </w:rPr>
        <w:t>” have the meaning specified in section 3 of ERISA.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49" w:name="page50"/>
    <w:bookmarkEnd w:id="49"/>
    <w:p>
      <w:pPr>
        <w:jc w:val="both"/>
        <w:ind w:left="640" w:firstLine="653"/>
        <w:spacing w:after="0" w:line="223" w:lineRule="auto"/>
        <w:tabs>
          <w:tab w:leader="none" w:pos="1839"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86" w:lineRule="exact"/>
        <w:rPr>
          <w:rFonts w:ascii="Arial" w:cs="Arial" w:eastAsia="Arial" w:hAnsi="Arial"/>
          <w:sz w:val="22"/>
          <w:szCs w:val="22"/>
          <w:color w:val="auto"/>
        </w:rPr>
      </w:pPr>
    </w:p>
    <w:p>
      <w:pPr>
        <w:jc w:val="both"/>
        <w:ind w:left="640" w:firstLine="653"/>
        <w:spacing w:after="0" w:line="231" w:lineRule="exact"/>
        <w:tabs>
          <w:tab w:leader="none" w:pos="1778"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19"/>
          <w:szCs w:val="19"/>
          <w:color w:val="auto"/>
        </w:rPr>
        <w:t>‑</w:t>
      </w:r>
      <w:r>
        <w:rPr>
          <w:rFonts w:ascii="Arial" w:cs="Arial" w:eastAsia="Arial" w:hAnsi="Arial"/>
          <w:sz w:val="19"/>
          <w:szCs w:val="19"/>
          <w:color w:val="auto"/>
        </w:rPr>
        <w:t>60, without regard to liabilities attributable to continuation coverage mandated by section 4980B of the Code) of the Company and its Subsidiaries is not Material.</w:t>
      </w:r>
    </w:p>
    <w:p>
      <w:pPr>
        <w:spacing w:after="0" w:line="199" w:lineRule="exact"/>
        <w:rPr>
          <w:rFonts w:ascii="Arial" w:cs="Arial" w:eastAsia="Arial" w:hAnsi="Arial"/>
          <w:sz w:val="19"/>
          <w:szCs w:val="19"/>
          <w:color w:val="auto"/>
        </w:rPr>
      </w:pPr>
    </w:p>
    <w:p>
      <w:pPr>
        <w:jc w:val="both"/>
        <w:ind w:left="640" w:firstLine="653"/>
        <w:spacing w:after="0" w:line="226" w:lineRule="exact"/>
        <w:tabs>
          <w:tab w:leader="none" w:pos="1757"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19"/>
          <w:szCs w:val="19"/>
          <w:color w:val="auto"/>
        </w:rPr>
        <w:t>‑</w:t>
      </w:r>
      <w:r>
        <w:rPr>
          <w:rFonts w:ascii="Arial" w:cs="Arial" w:eastAsia="Arial" w:hAnsi="Arial"/>
          <w:sz w:val="19"/>
          <w:szCs w:val="19"/>
          <w:color w:val="auto"/>
        </w:rPr>
        <w:t>(D) of the Code. The representation by the Company to each Purchaser in the first sentence of this Section 5.12(e) is made in reliance upon and subject to the accuracy of such Purchaser’s representation in Section 6.2 as to the sources of the funds used to pay the purchase price of the Bonds to be purchased by such Purchaser.</w:t>
      </w:r>
    </w:p>
    <w:p>
      <w:pPr>
        <w:spacing w:after="0" w:line="198" w:lineRule="exact"/>
        <w:rPr>
          <w:rFonts w:ascii="Arial" w:cs="Arial" w:eastAsia="Arial" w:hAnsi="Arial"/>
          <w:sz w:val="19"/>
          <w:szCs w:val="19"/>
          <w:color w:val="auto"/>
        </w:rPr>
      </w:pPr>
    </w:p>
    <w:p>
      <w:pPr>
        <w:ind w:left="1720" w:hanging="427"/>
        <w:spacing w:after="0" w:line="253" w:lineRule="exact"/>
        <w:tabs>
          <w:tab w:leader="none" w:pos="17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06" w:lineRule="exact"/>
        <w:rPr>
          <w:sz w:val="20"/>
          <w:szCs w:val="20"/>
          <w:color w:val="auto"/>
        </w:rPr>
      </w:pPr>
    </w:p>
    <w:p>
      <w:pPr>
        <w:jc w:val="both"/>
        <w:ind w:right="20" w:firstLine="648"/>
        <w:spacing w:after="0" w:line="212" w:lineRule="auto"/>
        <w:rPr>
          <w:sz w:val="20"/>
          <w:szCs w:val="20"/>
          <w:color w:val="auto"/>
        </w:rPr>
      </w:pPr>
      <w:r>
        <w:rPr>
          <w:rFonts w:ascii="Arial" w:cs="Arial" w:eastAsia="Arial" w:hAnsi="Arial"/>
          <w:sz w:val="22"/>
          <w:szCs w:val="22"/>
          <w:i w:val="1"/>
          <w:iCs w:val="1"/>
          <w:color w:val="auto"/>
        </w:rPr>
        <w:t>Section 5.13. Private Offering by the Company</w:t>
      </w:r>
      <w:r>
        <w:rPr>
          <w:rFonts w:ascii="Arial" w:cs="Arial" w:eastAsia="Arial" w:hAnsi="Arial"/>
          <w:sz w:val="22"/>
          <w:szCs w:val="22"/>
          <w:color w:val="auto"/>
        </w:rPr>
        <w:t>. Neither the Company nor anyone acting 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behalf has offered the Bonds or any similar securities for sale to, or solicited any offer to buy any of the same from, or otherwise approached or negotiated in respect thereof with, any Person other than the Purchasers and not more than twenty-five (25)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Section 5 of the Securities Act.</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i w:val="1"/>
          <w:iCs w:val="1"/>
          <w:color w:val="auto"/>
        </w:rPr>
        <w:t>Section 5.14. Use of Proceeds; Margin Regulations</w:t>
      </w:r>
      <w:r>
        <w:rPr>
          <w:rFonts w:ascii="Arial" w:cs="Arial" w:eastAsia="Arial" w:hAnsi="Arial"/>
          <w:sz w:val="19"/>
          <w:szCs w:val="19"/>
          <w:color w:val="auto"/>
        </w:rPr>
        <w:t>. The Company will apply the proceeds of the sale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Bonds to repay existing indebtedness and for general corporate purposes and in compliance with all laws referenced in Section 5.16.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Section, the terms “</w:t>
      </w:r>
      <w:r>
        <w:rPr>
          <w:rFonts w:ascii="Arial" w:cs="Arial" w:eastAsia="Arial" w:hAnsi="Arial"/>
          <w:sz w:val="19"/>
          <w:szCs w:val="19"/>
          <w:i w:val="1"/>
          <w:iCs w:val="1"/>
          <w:color w:val="auto"/>
        </w:rPr>
        <w:t>margin stock</w:t>
      </w:r>
      <w:r>
        <w:rPr>
          <w:rFonts w:ascii="Arial" w:cs="Arial" w:eastAsia="Arial" w:hAnsi="Arial"/>
          <w:sz w:val="19"/>
          <w:szCs w:val="19"/>
          <w:color w:val="auto"/>
        </w:rPr>
        <w:t>” and “</w:t>
      </w:r>
      <w:r>
        <w:rPr>
          <w:rFonts w:ascii="Arial" w:cs="Arial" w:eastAsia="Arial" w:hAnsi="Arial"/>
          <w:sz w:val="19"/>
          <w:szCs w:val="19"/>
          <w:i w:val="1"/>
          <w:iCs w:val="1"/>
          <w:color w:val="auto"/>
        </w:rPr>
        <w:t>purpose of buying or carrying</w:t>
      </w:r>
      <w:r>
        <w:rPr>
          <w:rFonts w:ascii="Arial" w:cs="Arial" w:eastAsia="Arial" w:hAnsi="Arial"/>
          <w:sz w:val="19"/>
          <w:szCs w:val="19"/>
          <w:color w:val="auto"/>
        </w:rPr>
        <w:t>” shall have the meanings assigned to them in said Regulation U.</w:t>
      </w:r>
    </w:p>
    <w:p>
      <w:pPr>
        <w:spacing w:after="0" w:line="200"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Section 5.15. Existing Debt</w:t>
      </w:r>
      <w:r>
        <w:rPr>
          <w:rFonts w:ascii="Arial" w:cs="Arial" w:eastAsia="Arial" w:hAnsi="Arial"/>
          <w:sz w:val="22"/>
          <w:szCs w:val="22"/>
          <w:color w:val="auto"/>
        </w:rPr>
        <w:t>. Except as described therein, Schedule 5.15(a) sets forth a complete and</w:t>
      </w:r>
      <w:r>
        <w:rPr>
          <w:rFonts w:ascii="Arial" w:cs="Arial" w:eastAsia="Arial" w:hAnsi="Arial"/>
          <w:sz w:val="22"/>
          <w:szCs w:val="22"/>
          <w:i w:val="1"/>
          <w:iCs w:val="1"/>
          <w:color w:val="auto"/>
        </w:rPr>
        <w:t xml:space="preserve"> </w:t>
      </w:r>
      <w:r>
        <w:rPr>
          <w:rFonts w:ascii="Arial" w:cs="Arial" w:eastAsia="Arial" w:hAnsi="Arial"/>
          <w:sz w:val="22"/>
          <w:szCs w:val="22"/>
          <w:color w:val="auto"/>
        </w:rPr>
        <w:t>correct list of all outstanding Debt of the Company and its Subsidiaries as of March 31, 2019, since which date except as described therein there has been no Material change in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0" w:name="page51"/>
    <w:bookmarkEnd w:id="50"/>
    <w:p>
      <w:pPr>
        <w:jc w:val="both"/>
        <w:spacing w:after="0" w:line="212" w:lineRule="auto"/>
        <w:rPr>
          <w:sz w:val="20"/>
          <w:szCs w:val="20"/>
          <w:color w:val="auto"/>
        </w:rPr>
      </w:pPr>
      <w:r>
        <w:rPr>
          <w:rFonts w:ascii="Arial" w:cs="Arial" w:eastAsia="Arial" w:hAnsi="Arial"/>
          <w:sz w:val="22"/>
          <w:szCs w:val="22"/>
          <w:color w:val="auto"/>
        </w:rPr>
        <w:t>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192" w:lineRule="exact"/>
        <w:rPr>
          <w:sz w:val="20"/>
          <w:szCs w:val="20"/>
          <w:color w:val="auto"/>
        </w:rPr>
      </w:pPr>
    </w:p>
    <w:p>
      <w:pPr>
        <w:jc w:val="both"/>
        <w:ind w:left="640" w:right="20" w:firstLine="653"/>
        <w:spacing w:after="0" w:line="252" w:lineRule="auto"/>
        <w:tabs>
          <w:tab w:leader="none" w:pos="1798" w:val="left"/>
        </w:tabs>
        <w:numPr>
          <w:ilvl w:val="0"/>
          <w:numId w:val="16"/>
        </w:numPr>
        <w:rPr>
          <w:rFonts w:ascii="Arial" w:cs="Arial" w:eastAsia="Arial" w:hAnsi="Arial"/>
          <w:sz w:val="19"/>
          <w:szCs w:val="19"/>
          <w:color w:val="auto"/>
        </w:rPr>
      </w:pPr>
      <w:r>
        <w:rPr>
          <w:rFonts w:ascii="Arial" w:cs="Arial" w:eastAsia="Arial" w:hAnsi="Arial"/>
          <w:sz w:val="19"/>
          <w:szCs w:val="19"/>
          <w:color w:val="auto"/>
        </w:rPr>
        <w:t>Without limiting the representation in Section 5.6,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Schedule 5.15(b).</w:t>
      </w:r>
    </w:p>
    <w:p>
      <w:pPr>
        <w:spacing w:after="0" w:line="19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i w:val="1"/>
          <w:iCs w:val="1"/>
          <w:color w:val="auto"/>
        </w:rPr>
        <w:t>Section 5.16. Foreign Assets Control Regulations, Etc</w:t>
      </w:r>
      <w:r>
        <w:rPr>
          <w:rFonts w:ascii="Arial" w:cs="Arial" w:eastAsia="Arial" w:hAnsi="Arial"/>
          <w:sz w:val="19"/>
          <w:szCs w:val="19"/>
          <w:color w:val="auto"/>
        </w:rPr>
        <w:t>. (a) Neither the Company nor any Controlled</w:t>
      </w:r>
      <w:r>
        <w:rPr>
          <w:rFonts w:ascii="Arial" w:cs="Arial" w:eastAsia="Arial" w:hAnsi="Arial"/>
          <w:sz w:val="19"/>
          <w:szCs w:val="19"/>
          <w:i w:val="1"/>
          <w:iCs w:val="1"/>
          <w:color w:val="auto"/>
        </w:rPr>
        <w:t xml:space="preserve"> </w:t>
      </w:r>
      <w:r>
        <w:rPr>
          <w:rFonts w:ascii="Arial" w:cs="Arial" w:eastAsia="Arial" w:hAnsi="Arial"/>
          <w:sz w:val="19"/>
          <w:szCs w:val="19"/>
          <w:color w:val="auto"/>
        </w:rPr>
        <w:t>Entity (i) is a Blocked Person, (ii) has been notified that its name appears or may in the future appear on a State Sanctions List or (iii) is a target of sanctions that have been imposed by the United Nations or the European Union.</w:t>
      </w:r>
    </w:p>
    <w:p>
      <w:pPr>
        <w:spacing w:after="0" w:line="173" w:lineRule="exact"/>
        <w:rPr>
          <w:sz w:val="20"/>
          <w:szCs w:val="20"/>
          <w:color w:val="auto"/>
        </w:rPr>
      </w:pPr>
    </w:p>
    <w:p>
      <w:pPr>
        <w:jc w:val="both"/>
        <w:ind w:left="640" w:right="20" w:firstLine="653"/>
        <w:spacing w:after="0" w:line="228" w:lineRule="exact"/>
        <w:tabs>
          <w:tab w:leader="none" w:pos="1805" w:val="left"/>
        </w:tabs>
        <w:numPr>
          <w:ilvl w:val="0"/>
          <w:numId w:val="17"/>
        </w:numPr>
        <w:rPr>
          <w:rFonts w:ascii="Arial" w:cs="Arial" w:eastAsia="Arial" w:hAnsi="Arial"/>
          <w:sz w:val="22"/>
          <w:szCs w:val="22"/>
          <w:color w:val="auto"/>
        </w:rPr>
      </w:pPr>
      <w:r>
        <w:rPr>
          <w:rFonts w:ascii="Arial" w:cs="Arial" w:eastAsia="Arial" w:hAnsi="Arial"/>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w:t>
      </w:r>
      <w:r>
        <w:rPr>
          <w:rFonts w:ascii="MS PGothic" w:cs="MS PGothic" w:eastAsia="MS PGothic" w:hAnsi="MS PGothic"/>
          <w:sz w:val="22"/>
          <w:szCs w:val="22"/>
          <w:color w:val="auto"/>
        </w:rPr>
        <w:t>‑</w:t>
      </w:r>
      <w:r>
        <w:rPr>
          <w:rFonts w:ascii="Arial" w:cs="Arial" w:eastAsia="Arial" w:hAnsi="Arial"/>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185" w:lineRule="exact"/>
        <w:rPr>
          <w:rFonts w:ascii="Arial" w:cs="Arial" w:eastAsia="Arial" w:hAnsi="Arial"/>
          <w:sz w:val="22"/>
          <w:szCs w:val="22"/>
          <w:color w:val="auto"/>
        </w:rPr>
      </w:pPr>
    </w:p>
    <w:p>
      <w:pPr>
        <w:ind w:left="1740" w:hanging="447"/>
        <w:spacing w:after="0"/>
        <w:tabs>
          <w:tab w:leader="none" w:pos="17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233" w:lineRule="exact"/>
        <w:rPr>
          <w:rFonts w:ascii="Arial" w:cs="Arial" w:eastAsia="Arial" w:hAnsi="Arial"/>
          <w:sz w:val="22"/>
          <w:szCs w:val="22"/>
          <w:color w:val="auto"/>
        </w:rPr>
      </w:pPr>
    </w:p>
    <w:p>
      <w:pPr>
        <w:jc w:val="both"/>
        <w:ind w:left="1300" w:firstLine="641"/>
        <w:spacing w:after="0" w:line="271" w:lineRule="auto"/>
        <w:tabs>
          <w:tab w:leader="none" w:pos="2476" w:val="left"/>
        </w:tabs>
        <w:numPr>
          <w:ilvl w:val="1"/>
          <w:numId w:val="17"/>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w:t>
      </w:r>
    </w:p>
    <w:p>
      <w:pPr>
        <w:spacing w:after="0" w:line="3"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(C) otherwise in violation of any U.S. Economic Sanctions Laws;</w:t>
      </w:r>
    </w:p>
    <w:p>
      <w:pPr>
        <w:spacing w:after="0" w:line="228" w:lineRule="exact"/>
        <w:rPr>
          <w:rFonts w:ascii="Arial" w:cs="Arial" w:eastAsia="Arial" w:hAnsi="Arial"/>
          <w:sz w:val="19"/>
          <w:szCs w:val="19"/>
          <w:color w:val="auto"/>
        </w:rPr>
      </w:pPr>
    </w:p>
    <w:p>
      <w:pPr>
        <w:ind w:left="1300" w:right="20" w:firstLine="641"/>
        <w:spacing w:after="0" w:line="259" w:lineRule="exact"/>
        <w:tabs>
          <w:tab w:leader="none" w:pos="2562" w:val="left"/>
        </w:tabs>
        <w:numPr>
          <w:ilvl w:val="1"/>
          <w:numId w:val="17"/>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212" w:lineRule="exact"/>
        <w:rPr>
          <w:rFonts w:ascii="Arial" w:cs="Arial" w:eastAsia="Arial" w:hAnsi="Arial"/>
          <w:sz w:val="22"/>
          <w:szCs w:val="22"/>
          <w:color w:val="auto"/>
        </w:rPr>
      </w:pPr>
    </w:p>
    <w:p>
      <w:pPr>
        <w:jc w:val="both"/>
        <w:ind w:left="1300" w:right="20" w:firstLine="641"/>
        <w:spacing w:after="0" w:line="251" w:lineRule="exact"/>
        <w:tabs>
          <w:tab w:leader="none" w:pos="2536" w:val="left"/>
        </w:tabs>
        <w:numPr>
          <w:ilvl w:val="1"/>
          <w:numId w:val="17"/>
        </w:numPr>
        <w:rPr>
          <w:rFonts w:ascii="Arial" w:cs="Arial" w:eastAsia="Arial" w:hAnsi="Arial"/>
          <w:sz w:val="19"/>
          <w:szCs w:val="19"/>
          <w:color w:val="auto"/>
        </w:rPr>
      </w:pPr>
      <w:r>
        <w:rPr>
          <w:rFonts w:ascii="Arial" w:cs="Arial" w:eastAsia="Arial" w:hAnsi="Arial"/>
          <w:sz w:val="19"/>
          <w:szCs w:val="19"/>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19"/>
          <w:szCs w:val="19"/>
          <w:color w:val="auto"/>
        </w:rPr>
        <w:t>‑</w:t>
      </w:r>
      <w:r>
        <w:rPr>
          <w:rFonts w:ascii="Arial" w:cs="Arial" w:eastAsia="Arial" w:hAnsi="Arial"/>
          <w:sz w:val="19"/>
          <w:szCs w:val="19"/>
          <w:color w:val="auto"/>
        </w:rPr>
        <w:t>Corruption Laws.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1" w:name="page52"/>
    <w:bookmarkEnd w:id="51"/>
    <w:p>
      <w:pPr>
        <w:jc w:val="both"/>
        <w:ind w:left="640" w:firstLine="653"/>
        <w:spacing w:after="0" w:line="230" w:lineRule="exact"/>
        <w:tabs>
          <w:tab w:leader="none" w:pos="17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and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18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Section 5.17. Status under Certain Statutes</w:t>
      </w:r>
      <w:r>
        <w:rPr>
          <w:rFonts w:ascii="Arial" w:cs="Arial" w:eastAsia="Arial" w:hAnsi="Arial"/>
          <w:sz w:val="22"/>
          <w:szCs w:val="22"/>
          <w:color w:val="auto"/>
        </w:rPr>
        <w:t>. Neither the Company nor any Subsidiary is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 under the Investment Company Act of 1940, as amended, the Public Utility Holding Company Act of 2005, as amended, the ICC Termination Act of 1995, as amended, or subject to rate regulation under the Federal Power Act, as amended.</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i w:val="1"/>
          <w:iCs w:val="1"/>
          <w:color w:val="auto"/>
        </w:rPr>
        <w:t>Section 5.18. Environmental Matters</w:t>
      </w:r>
      <w:r>
        <w:rPr>
          <w:rFonts w:ascii="Arial" w:cs="Arial" w:eastAsia="Arial" w:hAnsi="Arial"/>
          <w:sz w:val="19"/>
          <w:szCs w:val="19"/>
          <w:color w:val="auto"/>
        </w:rPr>
        <w:t>. Neither the Company nor any Subsidiary has knowledge of any</w:t>
      </w:r>
      <w:r>
        <w:rPr>
          <w:rFonts w:ascii="Arial" w:cs="Arial" w:eastAsia="Arial" w:hAnsi="Arial"/>
          <w:sz w:val="19"/>
          <w:szCs w:val="19"/>
          <w:i w:val="1"/>
          <w:iCs w:val="1"/>
          <w:color w:val="auto"/>
        </w:rPr>
        <w:t xml:space="preserve"> </w:t>
      </w:r>
      <w:r>
        <w:rPr>
          <w:rFonts w:ascii="Arial" w:cs="Arial" w:eastAsia="Arial" w:hAnsi="Arial"/>
          <w:sz w:val="19"/>
          <w:szCs w:val="19"/>
          <w:color w:val="auto"/>
        </w:rPr>
        <w:t>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93" w:lineRule="exact"/>
        <w:rPr>
          <w:sz w:val="20"/>
          <w:szCs w:val="20"/>
          <w:color w:val="auto"/>
        </w:rPr>
      </w:pPr>
    </w:p>
    <w:p>
      <w:pPr>
        <w:jc w:val="both"/>
        <w:ind w:left="640" w:right="20" w:firstLine="653"/>
        <w:spacing w:after="0" w:line="216" w:lineRule="auto"/>
        <w:tabs>
          <w:tab w:leader="none" w:pos="1798" w:val="left"/>
        </w:tabs>
        <w:numPr>
          <w:ilvl w:val="0"/>
          <w:numId w:val="19"/>
        </w:numPr>
        <w:rPr>
          <w:rFonts w:ascii="Arial" w:cs="Arial" w:eastAsia="Arial" w:hAnsi="Arial"/>
          <w:sz w:val="22"/>
          <w:szCs w:val="22"/>
          <w:color w:val="auto"/>
        </w:rPr>
      </w:pPr>
      <w:r>
        <w:rPr>
          <w:rFonts w:ascii="Arial" w:cs="Arial" w:eastAsia="Arial" w:hAnsi="Arial"/>
          <w:sz w:val="22"/>
          <w:szCs w:val="22"/>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185" w:lineRule="exact"/>
        <w:rPr>
          <w:rFonts w:ascii="Arial" w:cs="Arial" w:eastAsia="Arial" w:hAnsi="Arial"/>
          <w:sz w:val="22"/>
          <w:szCs w:val="22"/>
          <w:color w:val="auto"/>
        </w:rPr>
      </w:pPr>
    </w:p>
    <w:p>
      <w:pPr>
        <w:jc w:val="both"/>
        <w:ind w:left="640" w:firstLine="653"/>
        <w:spacing w:after="0" w:line="218" w:lineRule="auto"/>
        <w:tabs>
          <w:tab w:leader="none" w:pos="1852" w:val="left"/>
        </w:tabs>
        <w:numPr>
          <w:ilvl w:val="0"/>
          <w:numId w:val="19"/>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201" w:lineRule="exact"/>
        <w:rPr>
          <w:rFonts w:ascii="Arial" w:cs="Arial" w:eastAsia="Arial" w:hAnsi="Arial"/>
          <w:sz w:val="22"/>
          <w:szCs w:val="22"/>
          <w:color w:val="auto"/>
        </w:rPr>
      </w:pPr>
    </w:p>
    <w:p>
      <w:pPr>
        <w:jc w:val="both"/>
        <w:ind w:left="640" w:right="20" w:firstLine="653"/>
        <w:spacing w:after="0" w:line="223" w:lineRule="auto"/>
        <w:tabs>
          <w:tab w:leader="none" w:pos="177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i w:val="1"/>
          <w:iCs w:val="1"/>
          <w:color w:val="auto"/>
        </w:rPr>
        <w:t>Section 5.19. Lien of Indenture</w:t>
      </w:r>
      <w:r>
        <w:rPr>
          <w:rFonts w:ascii="Arial" w:cs="Arial" w:eastAsia="Arial" w:hAnsi="Arial"/>
          <w:sz w:val="19"/>
          <w:szCs w:val="19"/>
          <w:color w:val="auto"/>
        </w:rPr>
        <w:t>. The Indenture (and for avoidance of doubt including the 55</w:t>
      </w:r>
      <w:r>
        <w:rPr>
          <w:rFonts w:ascii="Arial" w:cs="Arial" w:eastAsia="Arial" w:hAnsi="Arial"/>
          <w:sz w:val="9"/>
          <w:szCs w:val="9"/>
          <w:color w:val="auto"/>
        </w:rPr>
        <w:t>th</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w:t>
      </w:r>
      <w:r>
        <w:rPr>
          <w:rFonts w:ascii="Arial" w:cs="Arial" w:eastAsia="Arial" w:hAnsi="Arial"/>
          <w:sz w:val="19"/>
          <w:szCs w:val="19"/>
          <w:i w:val="1"/>
          <w:iCs w:val="1"/>
          <w:color w:val="auto"/>
        </w:rPr>
        <w:t xml:space="preserve"> </w:t>
      </w:r>
      <w:r>
        <w:rPr>
          <w:rFonts w:ascii="Arial" w:cs="Arial" w:eastAsia="Arial" w:hAnsi="Arial"/>
          <w:sz w:val="19"/>
          <w:szCs w:val="19"/>
          <w:color w:val="auto"/>
        </w:rPr>
        <w:t>on the date hereof and the 56</w:t>
      </w:r>
      <w:r>
        <w:rPr>
          <w:rFonts w:ascii="Arial" w:cs="Arial" w:eastAsia="Arial" w:hAnsi="Arial"/>
          <w:sz w:val="9"/>
          <w:szCs w:val="9"/>
          <w:color w:val="auto"/>
        </w:rPr>
        <w:t>th</w:t>
      </w:r>
      <w:r>
        <w:rPr>
          <w:rFonts w:ascii="Arial" w:cs="Arial" w:eastAsia="Arial" w:hAnsi="Arial"/>
          <w:sz w:val="19"/>
          <w:szCs w:val="19"/>
          <w:color w:val="auto"/>
        </w:rPr>
        <w:t xml:space="preserve"> Supplement on the date of the Second Closing) constitutes or will constitute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any supplement to the Indenture describing such after-acquired property; the descriptions of all such properties and assets contained in the granting clauses of the Indenture are correct and adequate for the purposes of the Indenture; the Indenture has been duly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2" w:name="page53"/>
    <w:bookmarkEnd w:id="52"/>
    <w:p>
      <w:pPr>
        <w:jc w:val="both"/>
        <w:ind w:right="20"/>
        <w:spacing w:after="0" w:line="252" w:lineRule="auto"/>
        <w:rPr>
          <w:sz w:val="20"/>
          <w:szCs w:val="20"/>
          <w:color w:val="auto"/>
        </w:rPr>
      </w:pPr>
      <w:r>
        <w:rPr>
          <w:rFonts w:ascii="Arial" w:cs="Arial" w:eastAsia="Arial" w:hAnsi="Arial"/>
          <w:sz w:val="19"/>
          <w:szCs w:val="19"/>
          <w:color w:val="auto"/>
        </w:rPr>
        <w:t>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17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i w:val="1"/>
          <w:iCs w:val="1"/>
          <w:color w:val="auto"/>
        </w:rPr>
        <w:t>Section 5.20. Filings</w:t>
      </w:r>
      <w:r>
        <w:rPr>
          <w:rFonts w:ascii="Arial" w:cs="Arial" w:eastAsia="Arial" w:hAnsi="Arial"/>
          <w:sz w:val="19"/>
          <w:szCs w:val="19"/>
          <w:color w:val="auto"/>
        </w:rPr>
        <w:t>. No action, including any filings, registration or notice, is necessary or advisable in</w:t>
      </w:r>
      <w:r>
        <w:rPr>
          <w:rFonts w:ascii="Arial" w:cs="Arial" w:eastAsia="Arial" w:hAnsi="Arial"/>
          <w:sz w:val="19"/>
          <w:szCs w:val="19"/>
          <w:i w:val="1"/>
          <w:iCs w:val="1"/>
          <w:color w:val="auto"/>
        </w:rPr>
        <w:t xml:space="preserve"> </w:t>
      </w:r>
      <w:r>
        <w:rPr>
          <w:rFonts w:ascii="Arial" w:cs="Arial" w:eastAsia="Arial" w:hAnsi="Arial"/>
          <w:sz w:val="19"/>
          <w:szCs w:val="19"/>
          <w:color w:val="auto"/>
        </w:rPr>
        <w:t>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3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6.</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EPRESENTATIONS OF THE</w:t>
      </w:r>
      <w:r>
        <w:rPr>
          <w:rFonts w:ascii="Arial" w:cs="Arial" w:eastAsia="Arial" w:hAnsi="Arial"/>
          <w:sz w:val="21"/>
          <w:szCs w:val="21"/>
          <w:color w:val="auto"/>
        </w:rPr>
        <w:t xml:space="preserve"> P</w:t>
      </w:r>
      <w:r>
        <w:rPr>
          <w:rFonts w:ascii="Arial" w:cs="Arial" w:eastAsia="Arial" w:hAnsi="Arial"/>
          <w:sz w:val="17"/>
          <w:szCs w:val="17"/>
          <w:color w:val="auto"/>
        </w:rPr>
        <w:t>URCHASERS</w:t>
      </w:r>
      <w:r>
        <w:rPr>
          <w:rFonts w:ascii="Arial" w:cs="Arial" w:eastAsia="Arial" w:hAnsi="Arial"/>
          <w:sz w:val="21"/>
          <w:szCs w:val="21"/>
          <w:color w:val="auto"/>
        </w:rPr>
        <w:t>.</w:t>
      </w:r>
    </w:p>
    <w:p>
      <w:pPr>
        <w:spacing w:after="0" w:line="220"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21"/>
          <w:szCs w:val="21"/>
          <w:i w:val="1"/>
          <w:iCs w:val="1"/>
          <w:color w:val="auto"/>
        </w:rPr>
        <w:t>Section 6.1. Purchase for Investment</w:t>
      </w:r>
      <w:r>
        <w:rPr>
          <w:rFonts w:ascii="Arial" w:cs="Arial" w:eastAsia="Arial" w:hAnsi="Arial"/>
          <w:sz w:val="21"/>
          <w:szCs w:val="21"/>
          <w:color w:val="auto"/>
        </w:rPr>
        <w:t>. Each Purchaser severally represents that it is purchasing the Bonds</w:t>
      </w:r>
      <w:r>
        <w:rPr>
          <w:rFonts w:ascii="Arial" w:cs="Arial" w:eastAsia="Arial" w:hAnsi="Arial"/>
          <w:sz w:val="21"/>
          <w:szCs w:val="21"/>
          <w:i w:val="1"/>
          <w:iCs w:val="1"/>
          <w:color w:val="auto"/>
        </w:rPr>
        <w:t xml:space="preserve"> </w:t>
      </w:r>
      <w:r>
        <w:rPr>
          <w:rFonts w:ascii="Arial" w:cs="Arial" w:eastAsia="Arial" w:hAnsi="Arial"/>
          <w:sz w:val="21"/>
          <w:szCs w:val="21"/>
          <w:color w:val="auto"/>
        </w:rPr>
        <w:t>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198"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i w:val="1"/>
          <w:iCs w:val="1"/>
          <w:color w:val="auto"/>
        </w:rPr>
        <w:t>Section 6.2. Source of Funds</w:t>
      </w:r>
      <w:r>
        <w:rPr>
          <w:rFonts w:ascii="Arial" w:cs="Arial" w:eastAsia="Arial" w:hAnsi="Arial"/>
          <w:sz w:val="21"/>
          <w:szCs w:val="21"/>
          <w:color w:val="auto"/>
        </w:rPr>
        <w:t>. Each Purchaser severally represents that at least one of the following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statements is an accurate representation as to each source of funds (a </w:t>
      </w:r>
      <w:r>
        <w:rPr>
          <w:rFonts w:ascii="Arial" w:cs="Arial" w:eastAsia="Arial" w:hAnsi="Arial"/>
          <w:sz w:val="21"/>
          <w:szCs w:val="21"/>
          <w:i w:val="1"/>
          <w:iCs w:val="1"/>
          <w:color w:val="auto"/>
        </w:rPr>
        <w:t>“Source”</w:t>
      </w:r>
      <w:r>
        <w:rPr>
          <w:rFonts w:ascii="Arial" w:cs="Arial" w:eastAsia="Arial" w:hAnsi="Arial"/>
          <w:sz w:val="21"/>
          <w:szCs w:val="21"/>
          <w:color w:val="auto"/>
        </w:rPr>
        <w:t>) to be used by such Purchaser to pay the purchase price of the Bonds to be purchased by such Purchaser hereunder:</w:t>
      </w:r>
    </w:p>
    <w:p>
      <w:pPr>
        <w:spacing w:after="0" w:line="199" w:lineRule="exact"/>
        <w:rPr>
          <w:sz w:val="20"/>
          <w:szCs w:val="20"/>
          <w:color w:val="auto"/>
        </w:rPr>
      </w:pPr>
    </w:p>
    <w:p>
      <w:pPr>
        <w:jc w:val="both"/>
        <w:ind w:left="640" w:firstLine="653"/>
        <w:spacing w:after="0" w:line="222" w:lineRule="exact"/>
        <w:tabs>
          <w:tab w:leader="none" w:pos="1846"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Source is an “insurance company general account” (as the term is defined in the United States Department of Labor’s Prohibited Transaction Exemption (</w:t>
      </w:r>
      <w:r>
        <w:rPr>
          <w:rFonts w:ascii="Arial" w:cs="Arial" w:eastAsia="Arial" w:hAnsi="Arial"/>
          <w:sz w:val="21"/>
          <w:szCs w:val="21"/>
          <w:i w:val="1"/>
          <w:iCs w:val="1"/>
          <w:color w:val="auto"/>
        </w:rPr>
        <w:t>“PTE”</w:t>
      </w:r>
      <w:r>
        <w:rPr>
          <w:rFonts w:ascii="Arial" w:cs="Arial" w:eastAsia="Arial" w:hAnsi="Arial"/>
          <w:sz w:val="21"/>
          <w:szCs w:val="21"/>
          <w:color w:val="auto"/>
        </w:rPr>
        <w:t>) 95</w:t>
      </w:r>
      <w:r>
        <w:rPr>
          <w:rFonts w:ascii="MS PGothic" w:cs="MS PGothic" w:eastAsia="MS PGothic" w:hAnsi="MS PGothic"/>
          <w:sz w:val="21"/>
          <w:szCs w:val="21"/>
          <w:color w:val="auto"/>
        </w:rPr>
        <w:t>‑</w:t>
      </w:r>
      <w:r>
        <w:rPr>
          <w:rFonts w:ascii="Arial" w:cs="Arial" w:eastAsia="Arial" w:hAnsi="Arial"/>
          <w:sz w:val="21"/>
          <w:szCs w:val="21"/>
          <w:color w:val="auto"/>
        </w:rPr>
        <w:t xml:space="preserve">60) in respect of which the reserves and liabilities (as defined by the annual statement for life insurance companies approved by the NAIC (the </w:t>
      </w:r>
      <w:r>
        <w:rPr>
          <w:rFonts w:ascii="Arial" w:cs="Arial" w:eastAsia="Arial" w:hAnsi="Arial"/>
          <w:sz w:val="21"/>
          <w:szCs w:val="21"/>
          <w:i w:val="1"/>
          <w:iCs w:val="1"/>
          <w:color w:val="auto"/>
        </w:rPr>
        <w:t>“NAIC Annual Statement”</w:t>
      </w:r>
      <w:r>
        <w:rPr>
          <w:rFonts w:ascii="Arial" w:cs="Arial" w:eastAsia="Arial" w:hAnsi="Arial"/>
          <w:sz w:val="21"/>
          <w:szCs w:val="21"/>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1"/>
          <w:szCs w:val="21"/>
          <w:color w:val="auto"/>
        </w:rPr>
        <w:t>‑</w:t>
      </w:r>
      <w:r>
        <w:rPr>
          <w:rFonts w:ascii="Arial" w:cs="Arial" w:eastAsia="Arial" w:hAnsi="Arial"/>
          <w:sz w:val="21"/>
          <w:szCs w:val="21"/>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3" w:name="page54"/>
    <w:bookmarkEnd w:id="53"/>
    <w:p>
      <w:pPr>
        <w:jc w:val="both"/>
        <w:ind w:left="100" w:right="20" w:firstLine="653"/>
        <w:spacing w:after="0" w:line="216" w:lineRule="auto"/>
        <w:tabs>
          <w:tab w:leader="none" w:pos="1273"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5" w:lineRule="exact"/>
        <w:rPr>
          <w:rFonts w:ascii="Arial" w:cs="Arial" w:eastAsia="Arial" w:hAnsi="Arial"/>
          <w:sz w:val="22"/>
          <w:szCs w:val="22"/>
          <w:color w:val="auto"/>
        </w:rPr>
      </w:pPr>
    </w:p>
    <w:p>
      <w:pPr>
        <w:jc w:val="both"/>
        <w:ind w:left="100" w:firstLine="653"/>
        <w:spacing w:after="0" w:line="228" w:lineRule="exact"/>
        <w:tabs>
          <w:tab w:leader="none" w:pos="1273"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Source is either (i) an insurance company pooled separate account, within the meaning of PTE 90</w:t>
      </w:r>
      <w:r>
        <w:rPr>
          <w:rFonts w:ascii="MS PGothic" w:cs="MS PGothic" w:eastAsia="MS PGothic" w:hAnsi="MS PGothic"/>
          <w:sz w:val="19"/>
          <w:szCs w:val="19"/>
          <w:color w:val="auto"/>
        </w:rPr>
        <w:t>‑</w:t>
      </w:r>
      <w:r>
        <w:rPr>
          <w:rFonts w:ascii="Arial" w:cs="Arial" w:eastAsia="Arial" w:hAnsi="Arial"/>
          <w:sz w:val="19"/>
          <w:szCs w:val="19"/>
          <w:color w:val="auto"/>
        </w:rPr>
        <w:t>1 or (ii) a bank collective investment fund, within the meaning of the PTE 91</w:t>
      </w:r>
      <w:r>
        <w:rPr>
          <w:rFonts w:ascii="MS PGothic" w:cs="MS PGothic" w:eastAsia="MS PGothic" w:hAnsi="MS PGothic"/>
          <w:sz w:val="19"/>
          <w:szCs w:val="19"/>
          <w:color w:val="auto"/>
        </w:rPr>
        <w:t>‑</w:t>
      </w:r>
      <w:r>
        <w:rPr>
          <w:rFonts w:ascii="Arial" w:cs="Arial" w:eastAsia="Arial" w:hAnsi="Arial"/>
          <w:sz w:val="19"/>
          <w:szCs w:val="19"/>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99" w:lineRule="exact"/>
        <w:rPr>
          <w:rFonts w:ascii="Arial" w:cs="Arial" w:eastAsia="Arial" w:hAnsi="Arial"/>
          <w:sz w:val="19"/>
          <w:szCs w:val="19"/>
          <w:color w:val="auto"/>
        </w:rPr>
      </w:pPr>
    </w:p>
    <w:p>
      <w:pPr>
        <w:jc w:val="both"/>
        <w:ind w:left="100" w:firstLine="653"/>
        <w:spacing w:after="0" w:line="218" w:lineRule="exact"/>
        <w:tabs>
          <w:tab w:leader="none" w:pos="1296"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Source constitutes assets of an “investment fund”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i w:val="1"/>
          <w:iCs w:val="1"/>
          <w:color w:val="auto"/>
        </w:rPr>
        <w:t>“QPAM Exemption”</w:t>
      </w:r>
      <w:r>
        <w:rPr>
          <w:rFonts w:ascii="Arial" w:cs="Arial" w:eastAsia="Arial" w:hAnsi="Arial"/>
          <w:sz w:val="19"/>
          <w:szCs w:val="19"/>
          <w:color w:val="auto"/>
        </w:rPr>
        <w:t>)) managed by a “</w:t>
      </w:r>
      <w:r>
        <w:rPr>
          <w:rFonts w:ascii="Arial" w:cs="Arial" w:eastAsia="Arial" w:hAnsi="Arial"/>
          <w:sz w:val="19"/>
          <w:szCs w:val="19"/>
          <w:i w:val="1"/>
          <w:iCs w:val="1"/>
          <w:color w:val="auto"/>
        </w:rPr>
        <w:t>qualified professional asset manager</w:t>
      </w:r>
      <w:r>
        <w:rPr>
          <w:rFonts w:ascii="Arial" w:cs="Arial" w:eastAsia="Arial" w:hAnsi="Arial"/>
          <w:sz w:val="19"/>
          <w:szCs w:val="19"/>
          <w:color w:val="auto"/>
        </w:rPr>
        <w:t>” or “</w:t>
      </w:r>
      <w:r>
        <w:rPr>
          <w:rFonts w:ascii="Arial" w:cs="Arial" w:eastAsia="Arial" w:hAnsi="Arial"/>
          <w:sz w:val="19"/>
          <w:szCs w:val="19"/>
          <w:i w:val="1"/>
          <w:iCs w:val="1"/>
          <w:color w:val="auto"/>
        </w:rPr>
        <w:t>QPAM</w:t>
      </w:r>
      <w:r>
        <w:rPr>
          <w:rFonts w:ascii="Arial" w:cs="Arial" w:eastAsia="Arial" w:hAnsi="Arial"/>
          <w:sz w:val="19"/>
          <w:szCs w:val="19"/>
          <w:color w:val="auto"/>
        </w:rPr>
        <w:t>”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Arial" w:cs="Arial" w:eastAsia="Arial" w:hAnsi="Arial"/>
          <w:sz w:val="19"/>
          <w:szCs w:val="19"/>
          <w:i w:val="1"/>
          <w:iCs w:val="1"/>
          <w:color w:val="auto"/>
        </w:rPr>
        <w:t>related</w:t>
      </w:r>
      <w:r>
        <w:rPr>
          <w:rFonts w:ascii="Arial" w:cs="Arial" w:eastAsia="Arial" w:hAnsi="Arial"/>
          <w:sz w:val="19"/>
          <w:szCs w:val="19"/>
          <w:color w:val="auto"/>
        </w:rPr>
        <w:t>” within the meaning of Part VI(h) of the QPAM Exemption and (i) the identity of such QPAM and</w:t>
      </w:r>
    </w:p>
    <w:p>
      <w:pPr>
        <w:spacing w:after="0" w:line="3" w:lineRule="exact"/>
        <w:rPr>
          <w:rFonts w:ascii="Arial" w:cs="Arial" w:eastAsia="Arial" w:hAnsi="Arial"/>
          <w:sz w:val="19"/>
          <w:szCs w:val="19"/>
          <w:color w:val="auto"/>
        </w:rPr>
      </w:pPr>
    </w:p>
    <w:p>
      <w:pPr>
        <w:jc w:val="both"/>
        <w:ind w:left="100" w:right="20" w:firstLine="5"/>
        <w:spacing w:after="0" w:line="222" w:lineRule="auto"/>
        <w:tabs>
          <w:tab w:leader="none" w:pos="431"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02" w:lineRule="exact"/>
        <w:rPr>
          <w:rFonts w:ascii="Arial" w:cs="Arial" w:eastAsia="Arial" w:hAnsi="Arial"/>
          <w:sz w:val="21"/>
          <w:szCs w:val="21"/>
          <w:color w:val="auto"/>
        </w:rPr>
      </w:pPr>
    </w:p>
    <w:p>
      <w:pPr>
        <w:jc w:val="both"/>
        <w:ind w:left="100" w:firstLine="653"/>
        <w:spacing w:after="0" w:line="220" w:lineRule="exact"/>
        <w:tabs>
          <w:tab w:leader="none" w:pos="122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Source constitutes assets of a “</w:t>
      </w:r>
      <w:r>
        <w:rPr>
          <w:rFonts w:ascii="Arial" w:cs="Arial" w:eastAsia="Arial" w:hAnsi="Arial"/>
          <w:sz w:val="19"/>
          <w:szCs w:val="19"/>
          <w:i w:val="1"/>
          <w:iCs w:val="1"/>
          <w:color w:val="auto"/>
        </w:rPr>
        <w:t>plan(s)</w:t>
      </w:r>
      <w:r>
        <w:rPr>
          <w:rFonts w:ascii="Arial" w:cs="Arial" w:eastAsia="Arial" w:hAnsi="Arial"/>
          <w:sz w:val="19"/>
          <w:szCs w:val="19"/>
          <w:color w:val="auto"/>
        </w:rPr>
        <w:t>” (within the meaning of Part IV(h) of PTE 96</w:t>
      </w:r>
      <w:r>
        <w:rPr>
          <w:rFonts w:ascii="MS PGothic" w:cs="MS PGothic" w:eastAsia="MS PGothic" w:hAnsi="MS PGothic"/>
          <w:sz w:val="19"/>
          <w:szCs w:val="19"/>
          <w:color w:val="auto"/>
        </w:rPr>
        <w:t>‑</w:t>
      </w:r>
      <w:r>
        <w:rPr>
          <w:rFonts w:ascii="Arial" w:cs="Arial" w:eastAsia="Arial" w:hAnsi="Arial"/>
          <w:sz w:val="19"/>
          <w:szCs w:val="19"/>
          <w:color w:val="auto"/>
        </w:rPr>
        <w:t xml:space="preserve">23 (the </w:t>
      </w:r>
      <w:r>
        <w:rPr>
          <w:rFonts w:ascii="Arial" w:cs="Arial" w:eastAsia="Arial" w:hAnsi="Arial"/>
          <w:sz w:val="19"/>
          <w:szCs w:val="19"/>
          <w:i w:val="1"/>
          <w:iCs w:val="1"/>
          <w:color w:val="auto"/>
        </w:rPr>
        <w:t>“INHAM Exemption”</w:t>
      </w:r>
      <w:r>
        <w:rPr>
          <w:rFonts w:ascii="Arial" w:cs="Arial" w:eastAsia="Arial" w:hAnsi="Arial"/>
          <w:sz w:val="19"/>
          <w:szCs w:val="19"/>
          <w:color w:val="auto"/>
        </w:rPr>
        <w:t>)) managed by an “in</w:t>
      </w:r>
      <w:r>
        <w:rPr>
          <w:rFonts w:ascii="MS PGothic" w:cs="MS PGothic" w:eastAsia="MS PGothic" w:hAnsi="MS PGothic"/>
          <w:sz w:val="19"/>
          <w:szCs w:val="19"/>
          <w:color w:val="auto"/>
        </w:rPr>
        <w:t>‑</w:t>
      </w:r>
      <w:r>
        <w:rPr>
          <w:rFonts w:ascii="Arial" w:cs="Arial" w:eastAsia="Arial" w:hAnsi="Arial"/>
          <w:sz w:val="19"/>
          <w:szCs w:val="19"/>
          <w:color w:val="auto"/>
        </w:rPr>
        <w:t>house asset manager” or “</w:t>
      </w:r>
      <w:r>
        <w:rPr>
          <w:rFonts w:ascii="Arial" w:cs="Arial" w:eastAsia="Arial" w:hAnsi="Arial"/>
          <w:sz w:val="19"/>
          <w:szCs w:val="19"/>
          <w:i w:val="1"/>
          <w:iCs w:val="1"/>
          <w:color w:val="auto"/>
        </w:rPr>
        <w:t>INHAM</w:t>
      </w:r>
      <w:r>
        <w:rPr>
          <w:rFonts w:ascii="Arial" w:cs="Arial" w:eastAsia="Arial" w:hAnsi="Arial"/>
          <w:sz w:val="19"/>
          <w:szCs w:val="19"/>
          <w:color w:val="auto"/>
        </w:rPr>
        <w:t>” (within the meaning of Part</w:t>
      </w:r>
      <w:r>
        <w:rPr>
          <w:rFonts w:ascii="Arial" w:cs="Arial" w:eastAsia="Arial" w:hAnsi="Arial"/>
          <w:sz w:val="19"/>
          <w:szCs w:val="19"/>
          <w:i w:val="1"/>
          <w:iCs w:val="1"/>
          <w:color w:val="auto"/>
        </w:rPr>
        <w:t xml:space="preserve"> </w:t>
      </w:r>
      <w:r>
        <w:rPr>
          <w:rFonts w:ascii="Arial" w:cs="Arial" w:eastAsia="Arial" w:hAnsi="Arial"/>
          <w:sz w:val="19"/>
          <w:szCs w:val="19"/>
          <w:color w:val="auto"/>
        </w:rPr>
        <w:t>IV(a) of the INHAM Exemption), the conditions of Part I(a), (g) and (h) of the INHAM Exemption are satisfied, neither the INHAM nor a person controlling or controlled by the INHAM (applying the definition of “</w:t>
      </w:r>
      <w:r>
        <w:rPr>
          <w:rFonts w:ascii="Arial" w:cs="Arial" w:eastAsia="Arial" w:hAnsi="Arial"/>
          <w:sz w:val="19"/>
          <w:szCs w:val="19"/>
          <w:i w:val="1"/>
          <w:iCs w:val="1"/>
          <w:color w:val="auto"/>
        </w:rPr>
        <w:t>control</w:t>
      </w:r>
      <w:r>
        <w:rPr>
          <w:rFonts w:ascii="Arial" w:cs="Arial" w:eastAsia="Arial" w:hAnsi="Arial"/>
          <w:sz w:val="19"/>
          <w:szCs w:val="19"/>
          <w:color w:val="auto"/>
        </w:rPr>
        <w:t>” in Part IV(d)(3) of the INHAM Exemption) owns a 10% or more interest in the Company and</w:t>
      </w:r>
    </w:p>
    <w:p>
      <w:pPr>
        <w:spacing w:after="0" w:line="1" w:lineRule="exact"/>
        <w:rPr>
          <w:rFonts w:ascii="Arial" w:cs="Arial" w:eastAsia="Arial" w:hAnsi="Arial"/>
          <w:sz w:val="19"/>
          <w:szCs w:val="19"/>
          <w:color w:val="auto"/>
        </w:rPr>
      </w:pPr>
    </w:p>
    <w:p>
      <w:pPr>
        <w:ind w:left="100" w:right="20" w:firstLine="5"/>
        <w:spacing w:after="0" w:line="234" w:lineRule="auto"/>
        <w:tabs>
          <w:tab w:leader="none" w:pos="369"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identity of such INHAM and (ii) the name(s) of the employee benefit plan(s) whose assets constitute the Source have been disclosed to the Company in writing pursuant to this clause (e); or</w:t>
      </w:r>
    </w:p>
    <w:p>
      <w:pPr>
        <w:spacing w:after="0" w:line="186" w:lineRule="exact"/>
        <w:rPr>
          <w:rFonts w:ascii="Arial" w:cs="Arial" w:eastAsia="Arial" w:hAnsi="Arial"/>
          <w:sz w:val="21"/>
          <w:szCs w:val="21"/>
          <w:color w:val="auto"/>
        </w:rPr>
      </w:pPr>
    </w:p>
    <w:p>
      <w:pPr>
        <w:ind w:left="1180" w:hanging="427"/>
        <w:spacing w:after="0"/>
        <w:tabs>
          <w:tab w:leader="none" w:pos="11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00" w:lineRule="exact"/>
        <w:rPr>
          <w:sz w:val="20"/>
          <w:szCs w:val="20"/>
          <w:color w:val="auto"/>
        </w:rPr>
      </w:pPr>
    </w:p>
    <w:p>
      <w:pPr>
        <w:spacing w:after="0" w:line="23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604" w:right="879" w:bottom="1440" w:gutter="0" w:footer="0" w:header="0"/>
        </w:sectPr>
      </w:pPr>
    </w:p>
    <w:bookmarkStart w:id="54" w:name="page55"/>
    <w:bookmarkEnd w:id="54"/>
    <w:p>
      <w:pPr>
        <w:jc w:val="both"/>
        <w:ind w:left="640" w:right="20" w:firstLine="653"/>
        <w:spacing w:after="0" w:line="223" w:lineRule="auto"/>
        <w:tabs>
          <w:tab w:leader="none" w:pos="177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86" w:lineRule="exact"/>
        <w:rPr>
          <w:rFonts w:ascii="Arial" w:cs="Arial" w:eastAsia="Arial" w:hAnsi="Arial"/>
          <w:sz w:val="22"/>
          <w:szCs w:val="22"/>
          <w:color w:val="auto"/>
        </w:rPr>
      </w:pPr>
    </w:p>
    <w:p>
      <w:pPr>
        <w:ind w:left="640" w:right="20" w:firstLine="653"/>
        <w:spacing w:after="0" w:line="232" w:lineRule="auto"/>
        <w:tabs>
          <w:tab w:leader="none" w:pos="1778"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200"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 xml:space="preserve">As used in this Section 6.2, the terms </w:t>
      </w:r>
      <w:r>
        <w:rPr>
          <w:rFonts w:ascii="Arial" w:cs="Arial" w:eastAsia="Arial" w:hAnsi="Arial"/>
          <w:sz w:val="22"/>
          <w:szCs w:val="22"/>
          <w:i w:val="1"/>
          <w:iCs w:val="1"/>
          <w:color w:val="auto"/>
        </w:rPr>
        <w:t>“employee benefit plan,” “governmental plan,”</w:t>
      </w:r>
      <w:r>
        <w:rPr>
          <w:rFonts w:ascii="Arial" w:cs="Arial" w:eastAsia="Arial" w:hAnsi="Arial"/>
          <w:sz w:val="22"/>
          <w:szCs w:val="22"/>
          <w:color w:val="auto"/>
        </w:rPr>
        <w:t xml:space="preserve"> and </w:t>
      </w:r>
      <w:r>
        <w:rPr>
          <w:rFonts w:ascii="Arial" w:cs="Arial" w:eastAsia="Arial" w:hAnsi="Arial"/>
          <w:sz w:val="22"/>
          <w:szCs w:val="22"/>
          <w:i w:val="1"/>
          <w:iCs w:val="1"/>
          <w:color w:val="auto"/>
        </w:rPr>
        <w:t>“separate account”</w:t>
      </w:r>
      <w:r>
        <w:rPr>
          <w:rFonts w:ascii="Arial" w:cs="Arial" w:eastAsia="Arial" w:hAnsi="Arial"/>
          <w:sz w:val="22"/>
          <w:szCs w:val="22"/>
          <w:color w:val="auto"/>
        </w:rPr>
        <w:t xml:space="preserve"> shall have the respective meanings assigned to such terms in section 3 of ERISA.</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7.</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NFORMATION AS TO</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33"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i w:val="1"/>
          <w:iCs w:val="1"/>
          <w:color w:val="auto"/>
        </w:rPr>
        <w:t>Section 7.1. Financial and Business Information</w:t>
      </w:r>
      <w:r>
        <w:rPr>
          <w:rFonts w:ascii="Arial" w:cs="Arial" w:eastAsia="Arial" w:hAnsi="Arial"/>
          <w:sz w:val="22"/>
          <w:szCs w:val="22"/>
          <w:color w:val="auto"/>
        </w:rPr>
        <w:t>. The Company shall deliver to each Purchaser and each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 of Bonds that is an Institutional Investor:</w:t>
      </w:r>
    </w:p>
    <w:p>
      <w:pPr>
        <w:spacing w:after="0" w:line="200" w:lineRule="exact"/>
        <w:rPr>
          <w:sz w:val="20"/>
          <w:szCs w:val="20"/>
          <w:color w:val="auto"/>
        </w:rPr>
      </w:pPr>
    </w:p>
    <w:p>
      <w:pPr>
        <w:jc w:val="both"/>
        <w:ind w:left="640" w:firstLine="653"/>
        <w:spacing w:after="0" w:line="223" w:lineRule="auto"/>
        <w:tabs>
          <w:tab w:leader="none" w:pos="1839"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 period in each</w:t>
      </w:r>
      <w:r>
        <w:rPr>
          <w:rFonts w:ascii="Arial" w:cs="Arial" w:eastAsia="Arial" w:hAnsi="Arial"/>
          <w:sz w:val="22"/>
          <w:szCs w:val="22"/>
          <w:i w:val="1"/>
          <w:iCs w:val="1"/>
          <w:color w:val="auto"/>
        </w:rPr>
        <w:t xml:space="preserve"> </w:t>
      </w:r>
      <w:r>
        <w:rPr>
          <w:rFonts w:ascii="Arial" w:cs="Arial" w:eastAsia="Arial" w:hAnsi="Arial"/>
          <w:sz w:val="22"/>
          <w:szCs w:val="22"/>
          <w:color w:val="auto"/>
        </w:rPr>
        <w:t>fiscal year of the Company (other than the last quarterly fiscal period of each such fiscal year), duplicate copies of:</w:t>
      </w:r>
    </w:p>
    <w:p>
      <w:pPr>
        <w:spacing w:after="0" w:line="186" w:lineRule="exact"/>
        <w:rPr>
          <w:rFonts w:ascii="Arial" w:cs="Arial" w:eastAsia="Arial" w:hAnsi="Arial"/>
          <w:sz w:val="22"/>
          <w:szCs w:val="22"/>
          <w:color w:val="auto"/>
        </w:rPr>
      </w:pPr>
    </w:p>
    <w:p>
      <w:pPr>
        <w:ind w:left="2420" w:hanging="479"/>
        <w:spacing w:after="0"/>
        <w:tabs>
          <w:tab w:leader="none" w:pos="2420" w:val="left"/>
        </w:tabs>
        <w:numPr>
          <w:ilvl w:val="1"/>
          <w:numId w:val="25"/>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w:t>
      </w:r>
    </w:p>
    <w:p>
      <w:pPr>
        <w:spacing w:after="0" w:line="1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quarter, and</w:t>
      </w:r>
    </w:p>
    <w:p>
      <w:pPr>
        <w:spacing w:after="0" w:line="201" w:lineRule="exact"/>
        <w:rPr>
          <w:rFonts w:ascii="Arial" w:cs="Arial" w:eastAsia="Arial" w:hAnsi="Arial"/>
          <w:sz w:val="19"/>
          <w:szCs w:val="19"/>
          <w:color w:val="auto"/>
        </w:rPr>
      </w:pPr>
    </w:p>
    <w:p>
      <w:pPr>
        <w:jc w:val="both"/>
        <w:ind w:left="1300" w:firstLine="641"/>
        <w:spacing w:after="0" w:line="223" w:lineRule="auto"/>
        <w:tabs>
          <w:tab w:leader="none" w:pos="2508" w:val="left"/>
        </w:tabs>
        <w:numPr>
          <w:ilvl w:val="1"/>
          <w:numId w:val="25"/>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00" w:lineRule="exact"/>
        <w:rPr>
          <w:sz w:val="20"/>
          <w:szCs w:val="20"/>
          <w:color w:val="auto"/>
        </w:rPr>
      </w:pPr>
    </w:p>
    <w:p>
      <w:pPr>
        <w:jc w:val="both"/>
        <w:ind w:left="1300" w:right="20"/>
        <w:spacing w:after="0" w:line="223" w:lineRule="exact"/>
        <w:rPr>
          <w:sz w:val="20"/>
          <w:szCs w:val="20"/>
          <w:color w:val="auto"/>
        </w:rPr>
      </w:pPr>
      <w:r>
        <w:rPr>
          <w:rFonts w:ascii="Arial" w:cs="Arial" w:eastAsia="Arial" w:hAnsi="Arial"/>
          <w:sz w:val="21"/>
          <w:szCs w:val="21"/>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21"/>
          <w:szCs w:val="21"/>
          <w:color w:val="auto"/>
        </w:rPr>
        <w:t>‑</w:t>
      </w:r>
      <w:r>
        <w:rPr>
          <w:rFonts w:ascii="Arial" w:cs="Arial" w:eastAsia="Arial" w:hAnsi="Arial"/>
          <w:sz w:val="21"/>
          <w:szCs w:val="21"/>
          <w:color w:val="auto"/>
        </w:rPr>
        <w:t xml:space="preserve">end adjustments,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delivery within the time period specified above of the Company’s said financial</w:t>
      </w:r>
      <w:r>
        <w:rPr>
          <w:rFonts w:ascii="Arial" w:cs="Arial" w:eastAsia="Arial" w:hAnsi="Arial"/>
          <w:sz w:val="21"/>
          <w:szCs w:val="21"/>
          <w:i w:val="1"/>
          <w:iCs w:val="1"/>
          <w:color w:val="auto"/>
        </w:rPr>
        <w:t xml:space="preserve"> </w:t>
      </w:r>
      <w:r>
        <w:rPr>
          <w:rFonts w:ascii="Arial" w:cs="Arial" w:eastAsia="Arial" w:hAnsi="Arial"/>
          <w:sz w:val="21"/>
          <w:szCs w:val="21"/>
          <w:color w:val="auto"/>
        </w:rPr>
        <w:t>statements, prepared in accordance with the requirements therefor and filed with the Municipal Securities Rulemaking Board on the Electronic Municipal Market Access (“</w:t>
      </w:r>
      <w:r>
        <w:rPr>
          <w:rFonts w:ascii="Arial" w:cs="Arial" w:eastAsia="Arial" w:hAnsi="Arial"/>
          <w:sz w:val="21"/>
          <w:szCs w:val="21"/>
          <w:i w:val="1"/>
          <w:iCs w:val="1"/>
          <w:color w:val="auto"/>
        </w:rPr>
        <w:t>EMMA</w:t>
      </w:r>
      <w:r>
        <w:rPr>
          <w:rFonts w:ascii="Arial" w:cs="Arial" w:eastAsia="Arial" w:hAnsi="Arial"/>
          <w:sz w:val="21"/>
          <w:szCs w:val="21"/>
          <w:color w:val="auto"/>
        </w:rPr>
        <w:t>”) database shall be deemed to satisfy the requirements of this Section 7.1(a);</w:t>
      </w:r>
    </w:p>
    <w:p>
      <w:pPr>
        <w:spacing w:after="0" w:line="187" w:lineRule="exact"/>
        <w:rPr>
          <w:sz w:val="20"/>
          <w:szCs w:val="20"/>
          <w:color w:val="auto"/>
        </w:rPr>
      </w:pPr>
    </w:p>
    <w:p>
      <w:pPr>
        <w:ind w:left="640" w:right="20" w:firstLine="653"/>
        <w:spacing w:after="0" w:line="232" w:lineRule="auto"/>
        <w:tabs>
          <w:tab w:leader="none" w:pos="1918"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duplicate copies of:</w:t>
      </w:r>
    </w:p>
    <w:p>
      <w:pPr>
        <w:spacing w:after="0" w:line="199" w:lineRule="exact"/>
        <w:rPr>
          <w:rFonts w:ascii="Arial" w:cs="Arial" w:eastAsia="Arial" w:hAnsi="Arial"/>
          <w:sz w:val="22"/>
          <w:szCs w:val="22"/>
          <w:color w:val="auto"/>
        </w:rPr>
      </w:pPr>
    </w:p>
    <w:p>
      <w:pPr>
        <w:ind w:left="2420" w:hanging="479"/>
        <w:spacing w:after="0"/>
        <w:tabs>
          <w:tab w:leader="none" w:pos="24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w:t>
      </w:r>
    </w:p>
    <w:p>
      <w:pPr>
        <w:spacing w:after="0" w:line="1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year,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5" w:name="page56"/>
    <w:bookmarkEnd w:id="55"/>
    <w:p>
      <w:pPr>
        <w:ind w:left="760" w:firstLine="641"/>
        <w:spacing w:after="0" w:line="232" w:lineRule="auto"/>
        <w:tabs>
          <w:tab w:leader="none" w:pos="1968"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186" w:lineRule="exact"/>
        <w:rPr>
          <w:sz w:val="20"/>
          <w:szCs w:val="20"/>
          <w:color w:val="auto"/>
        </w:rPr>
      </w:pPr>
    </w:p>
    <w:p>
      <w:pPr>
        <w:jc w:val="both"/>
        <w:ind w:left="760"/>
        <w:spacing w:after="0" w:line="242" w:lineRule="auto"/>
        <w:rPr>
          <w:sz w:val="20"/>
          <w:szCs w:val="20"/>
          <w:color w:val="auto"/>
        </w:rPr>
      </w:pPr>
      <w:r>
        <w:rPr>
          <w:rFonts w:ascii="Arial" w:cs="Arial" w:eastAsia="Arial" w:hAnsi="Arial"/>
          <w:sz w:val="19"/>
          <w:szCs w:val="19"/>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Section 7.1(b);</w:t>
      </w:r>
    </w:p>
    <w:p>
      <w:pPr>
        <w:spacing w:after="0" w:line="200" w:lineRule="exact"/>
        <w:rPr>
          <w:sz w:val="20"/>
          <w:szCs w:val="20"/>
          <w:color w:val="auto"/>
        </w:rPr>
      </w:pPr>
    </w:p>
    <w:p>
      <w:pPr>
        <w:spacing w:after="0" w:line="218" w:lineRule="exact"/>
        <w:rPr>
          <w:sz w:val="20"/>
          <w:szCs w:val="20"/>
          <w:color w:val="auto"/>
        </w:rPr>
      </w:pPr>
    </w:p>
    <w:p>
      <w:pPr>
        <w:jc w:val="both"/>
        <w:ind w:left="100" w:firstLine="653"/>
        <w:spacing w:after="0" w:line="246" w:lineRule="auto"/>
        <w:tabs>
          <w:tab w:leader="none" w:pos="1353"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 of (i)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Section 7.1(c);</w:t>
      </w:r>
    </w:p>
    <w:p>
      <w:pPr>
        <w:spacing w:after="0" w:line="193" w:lineRule="exact"/>
        <w:rPr>
          <w:rFonts w:ascii="Arial" w:cs="Arial" w:eastAsia="Arial" w:hAnsi="Arial"/>
          <w:sz w:val="19"/>
          <w:szCs w:val="19"/>
          <w:color w:val="auto"/>
        </w:rPr>
      </w:pPr>
    </w:p>
    <w:p>
      <w:pPr>
        <w:jc w:val="both"/>
        <w:ind w:left="100" w:right="20" w:firstLine="653"/>
        <w:spacing w:after="0" w:line="218" w:lineRule="auto"/>
        <w:tabs>
          <w:tab w:leader="none" w:pos="1297"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 xml:space="preserve">Notice of Default or Event of Default </w:t>
      </w:r>
      <w:r>
        <w:rPr>
          <w:rFonts w:ascii="Arial" w:cs="Arial" w:eastAsia="Arial" w:hAnsi="Arial"/>
          <w:sz w:val="22"/>
          <w:szCs w:val="22"/>
          <w:color w:val="auto"/>
        </w:rPr>
        <w:t>— promptly, and in any event within five days after a</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Responsible Officer becomes aware of the existence of any Default or Event of Default, a written notice specifying the nature and period of existence thereof and what action the Company is taking or proposes to take with respect thereto;</w:t>
      </w:r>
    </w:p>
    <w:p>
      <w:pPr>
        <w:spacing w:after="0" w:line="188" w:lineRule="exact"/>
        <w:rPr>
          <w:rFonts w:ascii="Arial" w:cs="Arial" w:eastAsia="Arial" w:hAnsi="Arial"/>
          <w:sz w:val="22"/>
          <w:szCs w:val="22"/>
          <w:color w:val="auto"/>
        </w:rPr>
      </w:pPr>
    </w:p>
    <w:p>
      <w:pPr>
        <w:jc w:val="both"/>
        <w:ind w:left="100" w:right="20" w:firstLine="653"/>
        <w:spacing w:after="0" w:line="268" w:lineRule="auto"/>
        <w:tabs>
          <w:tab w:leader="none" w:pos="1258"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Employee Benefits Matters </w:t>
      </w:r>
      <w:r>
        <w:rPr>
          <w:rFonts w:ascii="Arial" w:cs="Arial" w:eastAsia="Arial" w:hAnsi="Arial"/>
          <w:sz w:val="19"/>
          <w:szCs w:val="19"/>
          <w:color w:val="auto"/>
        </w:rPr>
        <w:t>— promptly, and in any event within five days after a Responsible</w:t>
      </w:r>
      <w:r>
        <w:rPr>
          <w:rFonts w:ascii="Arial" w:cs="Arial" w:eastAsia="Arial" w:hAnsi="Arial"/>
          <w:sz w:val="19"/>
          <w:szCs w:val="19"/>
          <w:i w:val="1"/>
          <w:iCs w:val="1"/>
          <w:color w:val="auto"/>
        </w:rPr>
        <w:t xml:space="preserve"> </w:t>
      </w:r>
      <w:r>
        <w:rPr>
          <w:rFonts w:ascii="Arial" w:cs="Arial" w:eastAsia="Arial" w:hAnsi="Arial"/>
          <w:sz w:val="19"/>
          <w:szCs w:val="19"/>
          <w:color w:val="auto"/>
        </w:rPr>
        <w:t>Officer becomes aware of any of the following, a written notice setting forth the nature thereof and the action, if any, that the Company or an ERISA Affiliate proposes to take with respect thereto:</w:t>
      </w:r>
    </w:p>
    <w:p>
      <w:pPr>
        <w:spacing w:after="0" w:line="172" w:lineRule="exact"/>
        <w:rPr>
          <w:rFonts w:ascii="Arial" w:cs="Arial" w:eastAsia="Arial" w:hAnsi="Arial"/>
          <w:sz w:val="19"/>
          <w:szCs w:val="19"/>
          <w:color w:val="auto"/>
        </w:rPr>
      </w:pPr>
    </w:p>
    <w:p>
      <w:pPr>
        <w:jc w:val="both"/>
        <w:ind w:left="760" w:right="20" w:firstLine="641"/>
        <w:spacing w:after="0" w:line="218" w:lineRule="auto"/>
        <w:tabs>
          <w:tab w:leader="none" w:pos="1831" w:val="left"/>
        </w:tabs>
        <w:numPr>
          <w:ilvl w:val="1"/>
          <w:numId w:val="28"/>
        </w:numPr>
        <w:rPr>
          <w:rFonts w:ascii="Arial" w:cs="Arial" w:eastAsia="Arial" w:hAnsi="Arial"/>
          <w:sz w:val="22"/>
          <w:szCs w:val="22"/>
          <w:color w:val="auto"/>
        </w:rPr>
      </w:pPr>
      <w:r>
        <w:rPr>
          <w:rFonts w:ascii="Arial" w:cs="Arial" w:eastAsia="Arial" w:hAnsi="Arial"/>
          <w:sz w:val="22"/>
          <w:szCs w:val="22"/>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and on the date of the Second Closing; or</w:t>
      </w:r>
    </w:p>
    <w:p>
      <w:pPr>
        <w:spacing w:after="0" w:line="200" w:lineRule="exact"/>
        <w:rPr>
          <w:sz w:val="20"/>
          <w:szCs w:val="20"/>
          <w:color w:val="auto"/>
        </w:rPr>
      </w:pPr>
    </w:p>
    <w:p>
      <w:pPr>
        <w:spacing w:after="0" w:line="21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63500</wp:posOffset>
            </wp:positionV>
            <wp:extent cx="646557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604" w:right="879" w:bottom="1440" w:gutter="0" w:footer="0" w:header="0"/>
        </w:sectPr>
      </w:pPr>
    </w:p>
    <w:bookmarkStart w:id="56" w:name="page57"/>
    <w:bookmarkEnd w:id="56"/>
    <w:p>
      <w:pPr>
        <w:jc w:val="both"/>
        <w:ind w:left="1300" w:right="20" w:firstLine="641"/>
        <w:spacing w:after="0" w:line="216" w:lineRule="auto"/>
        <w:tabs>
          <w:tab w:leader="none" w:pos="2536"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85" w:lineRule="exact"/>
        <w:rPr>
          <w:rFonts w:ascii="Arial" w:cs="Arial" w:eastAsia="Arial" w:hAnsi="Arial"/>
          <w:sz w:val="22"/>
          <w:szCs w:val="22"/>
          <w:color w:val="auto"/>
        </w:rPr>
      </w:pPr>
    </w:p>
    <w:p>
      <w:pPr>
        <w:jc w:val="both"/>
        <w:ind w:left="1300" w:firstLine="641"/>
        <w:spacing w:after="0" w:line="212" w:lineRule="auto"/>
        <w:tabs>
          <w:tab w:leader="none" w:pos="2506" w:val="left"/>
        </w:tabs>
        <w:numPr>
          <w:ilvl w:val="1"/>
          <w:numId w:val="29"/>
        </w:numPr>
        <w:rPr>
          <w:rFonts w:ascii="Arial" w:cs="Arial" w:eastAsia="Arial" w:hAnsi="Arial"/>
          <w:sz w:val="22"/>
          <w:szCs w:val="22"/>
          <w:color w:val="auto"/>
        </w:rPr>
      </w:pPr>
      <w:r>
        <w:rPr>
          <w:rFonts w:ascii="Arial" w:cs="Arial" w:eastAsia="Arial" w:hAnsi="Arial"/>
          <w:sz w:val="22"/>
          <w:szCs w:val="22"/>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05" w:lineRule="exact"/>
        <w:rPr>
          <w:rFonts w:ascii="Arial" w:cs="Arial" w:eastAsia="Arial" w:hAnsi="Arial"/>
          <w:sz w:val="22"/>
          <w:szCs w:val="22"/>
          <w:color w:val="auto"/>
        </w:rPr>
      </w:pPr>
    </w:p>
    <w:p>
      <w:pPr>
        <w:jc w:val="both"/>
        <w:ind w:left="640" w:right="20" w:firstLine="653"/>
        <w:spacing w:after="0" w:line="218" w:lineRule="auto"/>
        <w:tabs>
          <w:tab w:leader="none" w:pos="1774"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 xml:space="preserve">Notices from Governmental Authority </w:t>
      </w:r>
      <w:r>
        <w:rPr>
          <w:rFonts w:ascii="Arial" w:cs="Arial" w:eastAsia="Arial" w:hAnsi="Arial"/>
          <w:sz w:val="22"/>
          <w:szCs w:val="22"/>
          <w:color w:val="auto"/>
        </w:rPr>
        <w:t>— promptly, and in any event within 30 days of receipt</w:t>
      </w:r>
      <w:r>
        <w:rPr>
          <w:rFonts w:ascii="Arial" w:cs="Arial" w:eastAsia="Arial" w:hAnsi="Arial"/>
          <w:sz w:val="22"/>
          <w:szCs w:val="22"/>
          <w:i w:val="1"/>
          <w:iCs w:val="1"/>
          <w:color w:val="auto"/>
        </w:rPr>
        <w:t xml:space="preserve"> </w:t>
      </w:r>
      <w:r>
        <w:rPr>
          <w:rFonts w:ascii="Arial" w:cs="Arial" w:eastAsia="Arial" w:hAnsi="Arial"/>
          <w:sz w:val="22"/>
          <w:szCs w:val="22"/>
          <w:color w:val="auto"/>
        </w:rPr>
        <w:t>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201" w:lineRule="exact"/>
        <w:rPr>
          <w:rFonts w:ascii="Arial" w:cs="Arial" w:eastAsia="Arial" w:hAnsi="Arial"/>
          <w:sz w:val="22"/>
          <w:szCs w:val="22"/>
          <w:color w:val="auto"/>
        </w:rPr>
      </w:pPr>
    </w:p>
    <w:p>
      <w:pPr>
        <w:jc w:val="both"/>
        <w:ind w:left="640" w:right="20" w:firstLine="653"/>
        <w:spacing w:after="0" w:line="245" w:lineRule="auto"/>
        <w:tabs>
          <w:tab w:leader="none" w:pos="1756"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 xml:space="preserve">Requested Information </w:t>
      </w:r>
      <w:r>
        <w:rPr>
          <w:rFonts w:ascii="Arial" w:cs="Arial" w:eastAsia="Arial" w:hAnsi="Arial"/>
          <w:sz w:val="19"/>
          <w:szCs w:val="19"/>
          <w:color w:val="auto"/>
        </w:rPr>
        <w:t>— with reasonable promptness, following the receipt by the Company of</w:t>
      </w:r>
      <w:r>
        <w:rPr>
          <w:rFonts w:ascii="Arial" w:cs="Arial" w:eastAsia="Arial" w:hAnsi="Arial"/>
          <w:sz w:val="19"/>
          <w:szCs w:val="19"/>
          <w:i w:val="1"/>
          <w:iCs w:val="1"/>
          <w:color w:val="auto"/>
        </w:rPr>
        <w:t xml:space="preserve"> </w:t>
      </w:r>
      <w:r>
        <w:rPr>
          <w:rFonts w:ascii="Arial" w:cs="Arial" w:eastAsia="Arial" w:hAnsi="Arial"/>
          <w:sz w:val="19"/>
          <w:szCs w:val="19"/>
          <w:color w:val="auto"/>
        </w:rPr>
        <w:t>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180" w:lineRule="exact"/>
        <w:rPr>
          <w:rFonts w:ascii="Arial" w:cs="Arial" w:eastAsia="Arial" w:hAnsi="Arial"/>
          <w:sz w:val="19"/>
          <w:szCs w:val="19"/>
          <w:color w:val="auto"/>
        </w:rPr>
      </w:pPr>
    </w:p>
    <w:p>
      <w:pPr>
        <w:jc w:val="both"/>
        <w:ind w:left="640" w:right="20" w:firstLine="653"/>
        <w:spacing w:after="0" w:line="234" w:lineRule="auto"/>
        <w:tabs>
          <w:tab w:leader="none" w:pos="1905"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 xml:space="preserve">Deliveries to Trustee </w:t>
      </w:r>
      <w:r>
        <w:rPr>
          <w:rFonts w:ascii="Arial" w:cs="Arial" w:eastAsia="Arial" w:hAnsi="Arial"/>
          <w:sz w:val="21"/>
          <w:szCs w:val="21"/>
          <w:color w:val="auto"/>
        </w:rPr>
        <w:t>— promptly, and in any event within five days after delivery to the</w:t>
      </w:r>
      <w:r>
        <w:rPr>
          <w:rFonts w:ascii="Arial" w:cs="Arial" w:eastAsia="Arial" w:hAnsi="Arial"/>
          <w:sz w:val="21"/>
          <w:szCs w:val="21"/>
          <w:i w:val="1"/>
          <w:iCs w:val="1"/>
          <w:color w:val="auto"/>
        </w:rPr>
        <w:t xml:space="preserve"> </w:t>
      </w:r>
      <w:r>
        <w:rPr>
          <w:rFonts w:ascii="Arial" w:cs="Arial" w:eastAsia="Arial" w:hAnsi="Arial"/>
          <w:sz w:val="21"/>
          <w:szCs w:val="21"/>
          <w:color w:val="auto"/>
        </w:rPr>
        <w:t>Trustee, a copy of any deliveries made by the Company to the Trustee, including without limitation the annual report delivered to the Trustee pursuant to Article VIII, Section 12 of the Indenture.</w:t>
      </w:r>
    </w:p>
    <w:p>
      <w:pPr>
        <w:spacing w:after="0" w:line="19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i w:val="1"/>
          <w:iCs w:val="1"/>
          <w:color w:val="auto"/>
        </w:rPr>
        <w:t>Section 7.2 Officer’s Certificate</w:t>
      </w:r>
      <w:r>
        <w:rPr>
          <w:rFonts w:ascii="Arial" w:cs="Arial" w:eastAsia="Arial" w:hAnsi="Arial"/>
          <w:sz w:val="19"/>
          <w:szCs w:val="19"/>
          <w:color w:val="auto"/>
        </w:rPr>
        <w:t>. Each set of financial statements delivered to a holder of Bonds pursuant</w:t>
      </w:r>
      <w:r>
        <w:rPr>
          <w:rFonts w:ascii="Arial" w:cs="Arial" w:eastAsia="Arial" w:hAnsi="Arial"/>
          <w:sz w:val="19"/>
          <w:szCs w:val="19"/>
          <w:i w:val="1"/>
          <w:iCs w:val="1"/>
          <w:color w:val="auto"/>
        </w:rPr>
        <w:t xml:space="preserve"> </w:t>
      </w:r>
      <w:r>
        <w:rPr>
          <w:rFonts w:ascii="Arial" w:cs="Arial" w:eastAsia="Arial" w:hAnsi="Arial"/>
          <w:sz w:val="19"/>
          <w:szCs w:val="19"/>
          <w:color w:val="auto"/>
        </w:rPr>
        <w:t>to Section 7.1(a) or Section 7.1(b)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7" w:name="page58"/>
    <w:bookmarkEnd w:id="57"/>
    <w:p>
      <w:pPr>
        <w:jc w:val="both"/>
        <w:spacing w:after="0" w:line="252" w:lineRule="auto"/>
        <w:rPr>
          <w:sz w:val="20"/>
          <w:szCs w:val="20"/>
          <w:color w:val="auto"/>
        </w:rPr>
      </w:pPr>
      <w:r>
        <w:rPr>
          <w:rFonts w:ascii="Arial" w:cs="Arial" w:eastAsia="Arial" w:hAnsi="Arial"/>
          <w:sz w:val="19"/>
          <w:szCs w:val="19"/>
          <w:color w:val="auto"/>
        </w:rPr>
        <w:t>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5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22"/>
          <w:szCs w:val="22"/>
          <w:i w:val="1"/>
          <w:iCs w:val="1"/>
          <w:color w:val="auto"/>
        </w:rPr>
        <w:t>Section 7.3.</w:t>
      </w:r>
      <w:r>
        <w:rPr>
          <w:sz w:val="20"/>
          <w:szCs w:val="20"/>
          <w:color w:val="auto"/>
        </w:rPr>
        <w:tab/>
      </w:r>
      <w:r>
        <w:rPr>
          <w:rFonts w:ascii="Arial" w:cs="Arial" w:eastAsia="Arial" w:hAnsi="Arial"/>
          <w:sz w:val="19"/>
          <w:szCs w:val="19"/>
          <w:i w:val="1"/>
          <w:iCs w:val="1"/>
          <w:color w:val="auto"/>
        </w:rPr>
        <w:t>Visitation</w:t>
      </w:r>
      <w:r>
        <w:rPr>
          <w:rFonts w:ascii="Arial" w:cs="Arial" w:eastAsia="Arial" w:hAnsi="Arial"/>
          <w:sz w:val="19"/>
          <w:szCs w:val="19"/>
          <w:color w:val="auto"/>
        </w:rPr>
        <w:t>. The Company shall permit the representatives of each Purchaser and each holder of</w:t>
      </w:r>
    </w:p>
    <w:p>
      <w:pPr>
        <w:spacing w:after="0"/>
        <w:rPr>
          <w:sz w:val="20"/>
          <w:szCs w:val="20"/>
          <w:color w:val="auto"/>
        </w:rPr>
      </w:pPr>
      <w:r>
        <w:rPr>
          <w:rFonts w:ascii="Arial" w:cs="Arial" w:eastAsia="Arial" w:hAnsi="Arial"/>
          <w:sz w:val="22"/>
          <w:szCs w:val="22"/>
          <w:color w:val="auto"/>
        </w:rPr>
        <w:t>Bonds that is an Institutional Investor:</w:t>
      </w:r>
    </w:p>
    <w:p>
      <w:pPr>
        <w:spacing w:after="0" w:line="202" w:lineRule="exact"/>
        <w:rPr>
          <w:sz w:val="20"/>
          <w:szCs w:val="20"/>
          <w:color w:val="auto"/>
        </w:rPr>
      </w:pPr>
    </w:p>
    <w:p>
      <w:pPr>
        <w:jc w:val="both"/>
        <w:ind w:left="640" w:firstLine="653"/>
        <w:spacing w:after="0" w:line="249" w:lineRule="auto"/>
        <w:tabs>
          <w:tab w:leader="none" w:pos="1785"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 such holder and</w:t>
      </w:r>
      <w:r>
        <w:rPr>
          <w:rFonts w:ascii="Arial" w:cs="Arial" w:eastAsia="Arial" w:hAnsi="Arial"/>
          <w:sz w:val="19"/>
          <w:szCs w:val="19"/>
          <w:i w:val="1"/>
          <w:iCs w:val="1"/>
          <w:color w:val="auto"/>
        </w:rPr>
        <w:t xml:space="preserve"> </w:t>
      </w:r>
      <w:r>
        <w:rPr>
          <w:rFonts w:ascii="Arial" w:cs="Arial" w:eastAsia="Arial" w:hAnsi="Arial"/>
          <w:sz w:val="19"/>
          <w:szCs w:val="19"/>
          <w:color w:val="auto"/>
        </w:rPr>
        <w:t>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93" w:lineRule="exact"/>
        <w:rPr>
          <w:rFonts w:ascii="Arial" w:cs="Arial" w:eastAsia="Arial" w:hAnsi="Arial"/>
          <w:sz w:val="19"/>
          <w:szCs w:val="19"/>
          <w:color w:val="auto"/>
        </w:rPr>
      </w:pPr>
    </w:p>
    <w:p>
      <w:pPr>
        <w:jc w:val="both"/>
        <w:ind w:left="640" w:right="20" w:firstLine="653"/>
        <w:spacing w:after="0" w:line="212" w:lineRule="auto"/>
        <w:tabs>
          <w:tab w:leader="none" w:pos="1797"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 if a Default or Event of Default then exists, at the expense of the Company to visit</w:t>
      </w:r>
      <w:r>
        <w:rPr>
          <w:rFonts w:ascii="Arial" w:cs="Arial" w:eastAsia="Arial" w:hAnsi="Arial"/>
          <w:sz w:val="22"/>
          <w:szCs w:val="22"/>
          <w:i w:val="1"/>
          <w:iCs w:val="1"/>
          <w:color w:val="auto"/>
        </w:rPr>
        <w:t xml:space="preserve"> </w:t>
      </w:r>
      <w:r>
        <w:rPr>
          <w:rFonts w:ascii="Arial" w:cs="Arial" w:eastAsia="Arial" w:hAnsi="Arial"/>
          <w:sz w:val="22"/>
          <w:szCs w:val="22"/>
          <w:color w:val="auto"/>
        </w:rPr>
        <w:t>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8.</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23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The Company will not and will not permit any Affiliate to purchase, redeem, prepay or otherwise acquire, directly or indirectly, any of the outstanding Bonds except (a) upon the payment or prepayment of the Bonds in accordance with the terms of this Agreement and the Bonds or (b) pursuant to a written offer to purchase any outstanding Bonds made by the Company or an Affiliate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58" w:name="page59"/>
    <w:bookmarkEnd w:id="58"/>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9.</w:t>
      </w:r>
      <w:r>
        <w:rPr>
          <w:sz w:val="20"/>
          <w:szCs w:val="20"/>
          <w:color w:val="auto"/>
        </w:rPr>
        <w:tab/>
      </w:r>
      <w:r>
        <w:rPr>
          <w:rFonts w:ascii="Arial" w:cs="Arial" w:eastAsia="Arial" w:hAnsi="Arial"/>
          <w:sz w:val="21"/>
          <w:szCs w:val="21"/>
          <w:color w:val="auto"/>
        </w:rPr>
        <w:t>A</w:t>
      </w:r>
      <w:r>
        <w:rPr>
          <w:rFonts w:ascii="Arial" w:cs="Arial" w:eastAsia="Arial" w:hAnsi="Arial"/>
          <w:sz w:val="17"/>
          <w:szCs w:val="17"/>
          <w:color w:val="auto"/>
        </w:rPr>
        <w:t>FFIRMATIVE</w:t>
      </w:r>
      <w:r>
        <w:rPr>
          <w:rFonts w:ascii="Arial" w:cs="Arial" w:eastAsia="Arial" w:hAnsi="Arial"/>
          <w:sz w:val="21"/>
          <w:szCs w:val="21"/>
          <w:color w:val="auto"/>
        </w:rPr>
        <w:t xml:space="preserve"> C</w:t>
      </w:r>
      <w:r>
        <w:rPr>
          <w:rFonts w:ascii="Arial" w:cs="Arial" w:eastAsia="Arial" w:hAnsi="Arial"/>
          <w:sz w:val="17"/>
          <w:szCs w:val="17"/>
          <w:color w:val="auto"/>
        </w:rPr>
        <w:t>OVENANTS</w:t>
      </w:r>
      <w:r>
        <w:rPr>
          <w:rFonts w:ascii="Arial" w:cs="Arial" w:eastAsia="Arial" w:hAnsi="Arial"/>
          <w:sz w:val="21"/>
          <w:szCs w:val="21"/>
          <w:color w:val="auto"/>
        </w:rPr>
        <w:t>.</w:t>
      </w:r>
    </w:p>
    <w:p>
      <w:pPr>
        <w:spacing w:after="0" w:line="233"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00"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9"/>
          <w:szCs w:val="19"/>
          <w:i w:val="1"/>
          <w:iCs w:val="1"/>
          <w:color w:val="auto"/>
        </w:rPr>
        <w:t>Section 9.1. Compliance with Law</w:t>
      </w:r>
      <w:r>
        <w:rPr>
          <w:rFonts w:ascii="Arial" w:cs="Arial" w:eastAsia="Arial" w:hAnsi="Arial"/>
          <w:sz w:val="19"/>
          <w:szCs w:val="19"/>
          <w:color w:val="auto"/>
        </w:rPr>
        <w:t>. Without limiting Section 10.4, the Company will, and will cause each</w:t>
      </w:r>
      <w:r>
        <w:rPr>
          <w:rFonts w:ascii="Arial" w:cs="Arial" w:eastAsia="Arial" w:hAnsi="Arial"/>
          <w:sz w:val="19"/>
          <w:szCs w:val="19"/>
          <w:i w:val="1"/>
          <w:iCs w:val="1"/>
          <w:color w:val="auto"/>
        </w:rPr>
        <w:t xml:space="preserve"> </w:t>
      </w:r>
      <w:r>
        <w:rPr>
          <w:rFonts w:ascii="Arial" w:cs="Arial" w:eastAsia="Arial" w:hAnsi="Arial"/>
          <w:sz w:val="19"/>
          <w:szCs w:val="19"/>
          <w:color w:val="auto"/>
        </w:rPr>
        <w:t>of its Subsidiaries to, comply with all laws, ordinances or governmental rules or regulations to which each of them is subject, including, without limitation,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9"/>
          <w:szCs w:val="19"/>
          <w:color w:val="auto"/>
        </w:rPr>
        <w:t>‑</w:t>
      </w:r>
      <w:r>
        <w:rPr>
          <w:rFonts w:ascii="Arial" w:cs="Arial" w:eastAsia="Arial" w:hAnsi="Arial"/>
          <w:sz w:val="19"/>
          <w:szCs w:val="19"/>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89"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9"/>
          <w:szCs w:val="19"/>
          <w:i w:val="1"/>
          <w:iCs w:val="1"/>
          <w:color w:val="auto"/>
        </w:rPr>
        <w:t>Section 9.2. Insurance</w:t>
      </w:r>
      <w:r>
        <w:rPr>
          <w:rFonts w:ascii="Arial" w:cs="Arial" w:eastAsia="Arial" w:hAnsi="Arial"/>
          <w:sz w:val="19"/>
          <w:szCs w:val="19"/>
          <w:color w:val="auto"/>
        </w:rPr>
        <w:t>. The Company will cause each of its Subsidiaries to maintain, with financially</w:t>
      </w:r>
      <w:r>
        <w:rPr>
          <w:rFonts w:ascii="Arial" w:cs="Arial" w:eastAsia="Arial" w:hAnsi="Arial"/>
          <w:sz w:val="19"/>
          <w:szCs w:val="19"/>
          <w:i w:val="1"/>
          <w:iCs w:val="1"/>
          <w:color w:val="auto"/>
        </w:rPr>
        <w:t xml:space="preserve"> </w:t>
      </w:r>
      <w:r>
        <w:rPr>
          <w:rFonts w:ascii="Arial" w:cs="Arial" w:eastAsia="Arial" w:hAnsi="Arial"/>
          <w:sz w:val="19"/>
          <w:szCs w:val="19"/>
          <w:color w:val="auto"/>
        </w:rPr>
        <w:t>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9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i w:val="1"/>
          <w:iCs w:val="1"/>
          <w:color w:val="auto"/>
        </w:rPr>
        <w:t>Section 9.3. Maintenance of Properties</w:t>
      </w:r>
      <w:r>
        <w:rPr>
          <w:rFonts w:ascii="Arial" w:cs="Arial" w:eastAsia="Arial" w:hAnsi="Arial"/>
          <w:sz w:val="19"/>
          <w:szCs w:val="19"/>
          <w:color w:val="auto"/>
        </w:rPr>
        <w:t>. The Company will cause each of its Subsidiaries to maintain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9.3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9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i w:val="1"/>
          <w:iCs w:val="1"/>
          <w:color w:val="auto"/>
        </w:rPr>
        <w:t>Section 9.4. Payment of Taxes</w:t>
      </w:r>
      <w:r>
        <w:rPr>
          <w:rFonts w:ascii="Arial" w:cs="Arial" w:eastAsia="Arial" w:hAnsi="Arial"/>
          <w:sz w:val="19"/>
          <w:szCs w:val="19"/>
          <w:color w:val="auto"/>
        </w:rPr>
        <w:t>. The Company will cause each of its Subsidiaries to file all income tax or</w:t>
      </w:r>
      <w:r>
        <w:rPr>
          <w:rFonts w:ascii="Arial" w:cs="Arial" w:eastAsia="Arial" w:hAnsi="Arial"/>
          <w:sz w:val="19"/>
          <w:szCs w:val="19"/>
          <w:i w:val="1"/>
          <w:iCs w:val="1"/>
          <w:color w:val="auto"/>
        </w:rPr>
        <w:t xml:space="preserve"> </w:t>
      </w:r>
      <w:r>
        <w:rPr>
          <w:rFonts w:ascii="Arial" w:cs="Arial" w:eastAsia="Arial" w:hAnsi="Arial"/>
          <w:sz w:val="19"/>
          <w:szCs w:val="19"/>
          <w:color w:val="auto"/>
        </w:rPr>
        <w:t>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31" w:right="879" w:bottom="1440" w:gutter="0" w:footer="0" w:header="0"/>
        </w:sectPr>
      </w:pPr>
    </w:p>
    <w:bookmarkStart w:id="59" w:name="page60"/>
    <w:bookmarkEnd w:id="59"/>
    <w:p>
      <w:pPr>
        <w:jc w:val="both"/>
        <w:ind w:right="20" w:firstLine="648"/>
        <w:spacing w:after="0" w:line="228" w:lineRule="exact"/>
        <w:rPr>
          <w:sz w:val="20"/>
          <w:szCs w:val="20"/>
          <w:color w:val="auto"/>
        </w:rPr>
      </w:pPr>
      <w:r>
        <w:rPr>
          <w:rFonts w:ascii="Arial" w:cs="Arial" w:eastAsia="Arial" w:hAnsi="Arial"/>
          <w:sz w:val="19"/>
          <w:szCs w:val="19"/>
          <w:i w:val="1"/>
          <w:iCs w:val="1"/>
          <w:color w:val="auto"/>
        </w:rPr>
        <w:t>Section 9.5. Corporate Existence, Etc</w:t>
      </w:r>
      <w:r>
        <w:rPr>
          <w:rFonts w:ascii="Arial" w:cs="Arial" w:eastAsia="Arial" w:hAnsi="Arial"/>
          <w:sz w:val="19"/>
          <w:szCs w:val="19"/>
          <w:color w:val="auto"/>
        </w:rPr>
        <w:t>. The Company will at all times preserve and keep in full force and</w:t>
      </w:r>
      <w:r>
        <w:rPr>
          <w:rFonts w:ascii="Arial" w:cs="Arial" w:eastAsia="Arial" w:hAnsi="Arial"/>
          <w:sz w:val="19"/>
          <w:szCs w:val="19"/>
          <w:i w:val="1"/>
          <w:iCs w:val="1"/>
          <w:color w:val="auto"/>
        </w:rPr>
        <w:t xml:space="preserve"> </w:t>
      </w:r>
      <w:r>
        <w:rPr>
          <w:rFonts w:ascii="Arial" w:cs="Arial" w:eastAsia="Arial" w:hAnsi="Arial"/>
          <w:sz w:val="19"/>
          <w:szCs w:val="19"/>
          <w:color w:val="auto"/>
        </w:rPr>
        <w:t>effect the corporate existence of each of its Subsidiaries (unless merged into the Company or a wholly</w:t>
      </w:r>
      <w:r>
        <w:rPr>
          <w:rFonts w:ascii="MS PGothic" w:cs="MS PGothic" w:eastAsia="MS PGothic" w:hAnsi="MS PGothic"/>
          <w:sz w:val="19"/>
          <w:szCs w:val="19"/>
          <w:color w:val="auto"/>
        </w:rPr>
        <w:t>‑</w:t>
      </w:r>
      <w:r>
        <w:rPr>
          <w:rFonts w:ascii="Arial" w:cs="Arial" w:eastAsia="Arial" w:hAnsi="Arial"/>
          <w:sz w:val="19"/>
          <w:szCs w:val="19"/>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i w:val="1"/>
          <w:iCs w:val="1"/>
          <w:color w:val="auto"/>
        </w:rPr>
        <w:t>Section 9.6. Books and Records</w:t>
      </w:r>
      <w:r>
        <w:rPr>
          <w:rFonts w:ascii="Arial" w:cs="Arial" w:eastAsia="Arial" w:hAnsi="Arial"/>
          <w:sz w:val="21"/>
          <w:szCs w:val="21"/>
          <w:color w:val="auto"/>
        </w:rPr>
        <w:t>. The Company will, and will cause each of its Subsidiaries to, maintain</w:t>
      </w:r>
      <w:r>
        <w:rPr>
          <w:rFonts w:ascii="Arial" w:cs="Arial" w:eastAsia="Arial" w:hAnsi="Arial"/>
          <w:sz w:val="21"/>
          <w:szCs w:val="21"/>
          <w:i w:val="1"/>
          <w:iCs w:val="1"/>
          <w:color w:val="auto"/>
        </w:rPr>
        <w:t xml:space="preserve"> </w:t>
      </w:r>
      <w:r>
        <w:rPr>
          <w:rFonts w:ascii="Arial" w:cs="Arial" w:eastAsia="Arial" w:hAnsi="Arial"/>
          <w:sz w:val="21"/>
          <w:szCs w:val="21"/>
          <w:color w:val="auto"/>
        </w:rPr>
        <w:t>proper books of record and account in conformity with GAAP and all applicable requirements of any Governmental Authority having legal or regulatory jurisdiction over the Company or such Subsidiary.</w:t>
      </w:r>
    </w:p>
    <w:p>
      <w:pPr>
        <w:spacing w:after="0" w:line="23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10.</w:t>
      </w:r>
      <w:r>
        <w:rPr>
          <w:sz w:val="20"/>
          <w:szCs w:val="20"/>
          <w:color w:val="auto"/>
        </w:rPr>
        <w:tab/>
      </w:r>
      <w:r>
        <w:rPr>
          <w:rFonts w:ascii="Arial" w:cs="Arial" w:eastAsia="Arial" w:hAnsi="Arial"/>
          <w:sz w:val="21"/>
          <w:szCs w:val="21"/>
          <w:color w:val="auto"/>
        </w:rPr>
        <w:t>N</w:t>
      </w:r>
      <w:r>
        <w:rPr>
          <w:rFonts w:ascii="Arial" w:cs="Arial" w:eastAsia="Arial" w:hAnsi="Arial"/>
          <w:sz w:val="17"/>
          <w:szCs w:val="17"/>
          <w:color w:val="auto"/>
        </w:rPr>
        <w:t>EGATIVE</w:t>
      </w:r>
      <w:r>
        <w:rPr>
          <w:rFonts w:ascii="Arial" w:cs="Arial" w:eastAsia="Arial" w:hAnsi="Arial"/>
          <w:sz w:val="21"/>
          <w:szCs w:val="21"/>
          <w:color w:val="auto"/>
        </w:rPr>
        <w:t xml:space="preserve"> C</w:t>
      </w:r>
      <w:r>
        <w:rPr>
          <w:rFonts w:ascii="Arial" w:cs="Arial" w:eastAsia="Arial" w:hAnsi="Arial"/>
          <w:sz w:val="17"/>
          <w:szCs w:val="17"/>
          <w:color w:val="auto"/>
        </w:rPr>
        <w:t>OVENANTS</w:t>
      </w:r>
      <w:r>
        <w:rPr>
          <w:rFonts w:ascii="Arial" w:cs="Arial" w:eastAsia="Arial" w:hAnsi="Arial"/>
          <w:sz w:val="21"/>
          <w:szCs w:val="21"/>
          <w:color w:val="auto"/>
        </w:rPr>
        <w:t>.</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00"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 any Subsidiary to</w:t>
      </w:r>
      <w:r>
        <w:rPr>
          <w:rFonts w:ascii="Arial" w:cs="Arial" w:eastAsia="Arial" w:hAnsi="Arial"/>
          <w:sz w:val="22"/>
          <w:szCs w:val="22"/>
          <w:i w:val="1"/>
          <w:iCs w:val="1"/>
          <w:color w:val="auto"/>
        </w:rPr>
        <w:t xml:space="preserve"> </w:t>
      </w:r>
      <w:r>
        <w:rPr>
          <w:rFonts w:ascii="Arial" w:cs="Arial" w:eastAsia="Arial" w:hAnsi="Arial"/>
          <w:sz w:val="22"/>
          <w:szCs w:val="22"/>
          <w:color w:val="auto"/>
        </w:rPr>
        <w:t>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19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 merge with any other</w:t>
      </w:r>
      <w:r>
        <w:rPr>
          <w:rFonts w:ascii="Arial" w:cs="Arial" w:eastAsia="Arial" w:hAnsi="Arial"/>
          <w:sz w:val="22"/>
          <w:szCs w:val="22"/>
          <w:i w:val="1"/>
          <w:iCs w:val="1"/>
          <w:color w:val="auto"/>
        </w:rPr>
        <w:t xml:space="preserve"> </w:t>
      </w:r>
      <w:r>
        <w:rPr>
          <w:rFonts w:ascii="Arial" w:cs="Arial" w:eastAsia="Arial" w:hAnsi="Arial"/>
          <w:sz w:val="22"/>
          <w:szCs w:val="22"/>
          <w:color w:val="auto"/>
        </w:rPr>
        <w:t>Person or convey, transfer or lease all or substantially all of its assets in a single transaction or series of transactions to any Person unless:</w:t>
      </w:r>
    </w:p>
    <w:p>
      <w:pPr>
        <w:spacing w:after="0" w:line="186" w:lineRule="exact"/>
        <w:rPr>
          <w:sz w:val="20"/>
          <w:szCs w:val="20"/>
          <w:color w:val="auto"/>
        </w:rPr>
      </w:pPr>
    </w:p>
    <w:p>
      <w:pPr>
        <w:jc w:val="both"/>
        <w:ind w:left="640" w:firstLine="653"/>
        <w:spacing w:after="0" w:line="243" w:lineRule="auto"/>
        <w:tabs>
          <w:tab w:leader="none" w:pos="1818"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200" w:lineRule="exact"/>
        <w:rPr>
          <w:rFonts w:ascii="Arial" w:cs="Arial" w:eastAsia="Arial" w:hAnsi="Arial"/>
          <w:sz w:val="19"/>
          <w:szCs w:val="19"/>
          <w:color w:val="auto"/>
        </w:rPr>
      </w:pPr>
    </w:p>
    <w:p>
      <w:pPr>
        <w:ind w:left="640" w:right="20" w:firstLine="653"/>
        <w:spacing w:after="0" w:line="232" w:lineRule="auto"/>
        <w:tabs>
          <w:tab w:leader="none" w:pos="1772" w:val="left"/>
        </w:tabs>
        <w:numPr>
          <w:ilvl w:val="0"/>
          <w:numId w:val="32"/>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0" w:name="page61"/>
    <w:bookmarkEnd w:id="60"/>
    <w:p>
      <w:pPr>
        <w:jc w:val="both"/>
        <w:ind w:right="20"/>
        <w:spacing w:after="0" w:line="268" w:lineRule="auto"/>
        <w:rPr>
          <w:sz w:val="20"/>
          <w:szCs w:val="20"/>
          <w:color w:val="auto"/>
        </w:rPr>
      </w:pPr>
      <w:r>
        <w:rPr>
          <w:rFonts w:ascii="Arial" w:cs="Arial" w:eastAsia="Arial" w:hAnsi="Arial"/>
          <w:sz w:val="19"/>
          <w:szCs w:val="19"/>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the Financing Agreements.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Section 10.3. Line of Business</w:t>
      </w:r>
      <w:r>
        <w:rPr>
          <w:rFonts w:ascii="Arial" w:cs="Arial" w:eastAsia="Arial" w:hAnsi="Arial"/>
          <w:sz w:val="22"/>
          <w:szCs w:val="22"/>
          <w:color w:val="auto"/>
        </w:rPr>
        <w:t>. The Company will not engage in any business if, as a result, the general</w:t>
      </w:r>
      <w:r>
        <w:rPr>
          <w:rFonts w:ascii="Arial" w:cs="Arial" w:eastAsia="Arial" w:hAnsi="Arial"/>
          <w:sz w:val="22"/>
          <w:szCs w:val="22"/>
          <w:i w:val="1"/>
          <w:iCs w:val="1"/>
          <w:color w:val="auto"/>
        </w:rPr>
        <w:t xml:space="preserve"> </w:t>
      </w:r>
      <w:r>
        <w:rPr>
          <w:rFonts w:ascii="Arial" w:cs="Arial" w:eastAsia="Arial" w:hAnsi="Arial"/>
          <w:sz w:val="22"/>
          <w:szCs w:val="22"/>
          <w:color w:val="auto"/>
        </w:rPr>
        <w:t>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20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i w:val="1"/>
          <w:iCs w:val="1"/>
          <w:color w:val="auto"/>
        </w:rPr>
        <w:t xml:space="preserve">Section 10.4. Economic Sanctions, Etc.. </w:t>
      </w:r>
      <w:r>
        <w:rPr>
          <w:rFonts w:ascii="Arial" w:cs="Arial" w:eastAsia="Arial" w:hAnsi="Arial"/>
          <w:sz w:val="21"/>
          <w:szCs w:val="21"/>
          <w:color w:val="auto"/>
        </w:rPr>
        <w:t>The Company will not, and will not permit any Controlled Entity</w:t>
      </w:r>
      <w:r>
        <w:rPr>
          <w:rFonts w:ascii="Arial" w:cs="Arial" w:eastAsia="Arial" w:hAnsi="Arial"/>
          <w:sz w:val="21"/>
          <w:szCs w:val="21"/>
          <w:i w:val="1"/>
          <w:iCs w:val="1"/>
          <w:color w:val="auto"/>
        </w:rPr>
        <w:t xml:space="preserve"> </w:t>
      </w:r>
      <w:r>
        <w:rPr>
          <w:rFonts w:ascii="Arial" w:cs="Arial" w:eastAsia="Arial" w:hAnsi="Arial"/>
          <w:sz w:val="21"/>
          <w:szCs w:val="21"/>
          <w:color w:val="auto"/>
        </w:rPr>
        <w:t>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Purchaser or holder or any affiliate of such holder to be in violation of, or subject to sanctions under, any law or regulation applicable to such holder, or (ii) is prohibited by or subject to sanctions under any U.S. Economic Sanctions Laws.</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11.</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AYMENTS ON</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33" w:lineRule="exact"/>
        <w:rPr>
          <w:sz w:val="20"/>
          <w:szCs w:val="20"/>
          <w:color w:val="auto"/>
        </w:rPr>
      </w:pPr>
    </w:p>
    <w:p>
      <w:pPr>
        <w:jc w:val="both"/>
        <w:ind w:right="20" w:firstLine="648"/>
        <w:spacing w:after="0" w:line="220" w:lineRule="exact"/>
        <w:rPr>
          <w:sz w:val="20"/>
          <w:szCs w:val="20"/>
          <w:color w:val="auto"/>
        </w:rPr>
      </w:pPr>
      <w:r>
        <w:rPr>
          <w:rFonts w:ascii="Arial" w:cs="Arial" w:eastAsia="Arial" w:hAnsi="Arial"/>
          <w:sz w:val="19"/>
          <w:szCs w:val="19"/>
          <w:i w:val="1"/>
          <w:iCs w:val="1"/>
          <w:color w:val="auto"/>
        </w:rPr>
        <w:t>Section 11.1. Payment by Wire Transfer</w:t>
      </w:r>
      <w:r>
        <w:rPr>
          <w:rFonts w:ascii="Arial" w:cs="Arial" w:eastAsia="Arial" w:hAnsi="Arial"/>
          <w:sz w:val="19"/>
          <w:szCs w:val="19"/>
          <w:color w:val="auto"/>
        </w:rPr>
        <w:t>. So long as any Purchaser or its nominee shall be the holder of any</w:t>
      </w:r>
      <w:r>
        <w:rPr>
          <w:rFonts w:ascii="Arial" w:cs="Arial" w:eastAsia="Arial" w:hAnsi="Arial"/>
          <w:sz w:val="19"/>
          <w:szCs w:val="19"/>
          <w:i w:val="1"/>
          <w:iCs w:val="1"/>
          <w:color w:val="auto"/>
        </w:rPr>
        <w:t xml:space="preserve"> </w:t>
      </w:r>
      <w:r>
        <w:rPr>
          <w:rFonts w:ascii="Arial" w:cs="Arial" w:eastAsia="Arial" w:hAnsi="Arial"/>
          <w:sz w:val="19"/>
          <w:szCs w:val="19"/>
          <w:color w:val="auto"/>
        </w:rPr>
        <w:t>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Whole Amount or premium, if any, and interest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Section 11.1 to any Institutional Investor that is the direct or indirect transferee of any Bond purchased by a Purchaser under this Agreement and that has made the same agreement relating to such Bond as the Purchasers have made in this Section 11.1.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1" w:name="page62"/>
    <w:bookmarkEnd w:id="61"/>
    <w:p>
      <w:pPr>
        <w:spacing w:after="0"/>
        <w:tabs>
          <w:tab w:leader="none" w:pos="13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12.</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EGISTRATION</w:t>
      </w:r>
      <w:r>
        <w:rPr>
          <w:rFonts w:ascii="Arial" w:cs="Arial" w:eastAsia="Arial" w:hAnsi="Arial"/>
          <w:sz w:val="19"/>
          <w:szCs w:val="19"/>
          <w:color w:val="auto"/>
        </w:rPr>
        <w:t>; E</w:t>
      </w:r>
      <w:r>
        <w:rPr>
          <w:rFonts w:ascii="Arial" w:cs="Arial" w:eastAsia="Arial" w:hAnsi="Arial"/>
          <w:sz w:val="16"/>
          <w:szCs w:val="16"/>
          <w:color w:val="auto"/>
        </w:rPr>
        <w:t>XCHANGE</w:t>
      </w:r>
      <w:r>
        <w:rPr>
          <w:rFonts w:ascii="Arial" w:cs="Arial" w:eastAsia="Arial" w:hAnsi="Arial"/>
          <w:sz w:val="19"/>
          <w:szCs w:val="19"/>
          <w:color w:val="auto"/>
        </w:rPr>
        <w:t>; E</w:t>
      </w:r>
      <w:r>
        <w:rPr>
          <w:rFonts w:ascii="Arial" w:cs="Arial" w:eastAsia="Arial" w:hAnsi="Arial"/>
          <w:sz w:val="16"/>
          <w:szCs w:val="16"/>
          <w:color w:val="auto"/>
        </w:rPr>
        <w:t>XPENSES</w:t>
      </w:r>
      <w:r>
        <w:rPr>
          <w:rFonts w:ascii="Arial" w:cs="Arial" w:eastAsia="Arial" w:hAnsi="Arial"/>
          <w:sz w:val="19"/>
          <w:szCs w:val="19"/>
          <w:color w:val="auto"/>
        </w:rPr>
        <w:t>, E</w:t>
      </w:r>
      <w:r>
        <w:rPr>
          <w:rFonts w:ascii="Arial" w:cs="Arial" w:eastAsia="Arial" w:hAnsi="Arial"/>
          <w:sz w:val="16"/>
          <w:szCs w:val="16"/>
          <w:color w:val="auto"/>
        </w:rPr>
        <w:t>TC</w:t>
      </w:r>
      <w:r>
        <w:rPr>
          <w:rFonts w:ascii="Arial" w:cs="Arial" w:eastAsia="Arial" w:hAnsi="Arial"/>
          <w:sz w:val="19"/>
          <w:szCs w:val="19"/>
          <w:color w:val="auto"/>
        </w:rPr>
        <w:t>.</w:t>
      </w:r>
    </w:p>
    <w:p>
      <w:pPr>
        <w:spacing w:after="0" w:line="233"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i w:val="1"/>
          <w:iCs w:val="1"/>
          <w:color w:val="auto"/>
        </w:rPr>
        <w:t>Section 12.1. Registration of Bonds</w:t>
      </w:r>
      <w:r>
        <w:rPr>
          <w:rFonts w:ascii="Arial" w:cs="Arial" w:eastAsia="Arial" w:hAnsi="Arial"/>
          <w:sz w:val="21"/>
          <w:szCs w:val="21"/>
          <w:color w:val="auto"/>
        </w:rPr>
        <w:t>. The Company shall cause the Trustee to keep a register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registration and registration of transfers of Bonds in accordance with Article XIII, Section 9 of the Indenture.</w:t>
      </w:r>
    </w:p>
    <w:p>
      <w:pPr>
        <w:spacing w:after="0" w:line="19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 hereby are</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19"/>
          <w:szCs w:val="19"/>
          <w:color w:val="auto"/>
        </w:rPr>
        <w:t>‑</w:t>
      </w:r>
      <w:r>
        <w:rPr>
          <w:rFonts w:ascii="Arial" w:cs="Arial" w:eastAsia="Arial" w:hAnsi="Arial"/>
          <w:sz w:val="19"/>
          <w:szCs w:val="19"/>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i w:val="1"/>
          <w:iCs w:val="1"/>
          <w:color w:val="auto"/>
        </w:rPr>
        <w:t>Section 12.3. Survival</w:t>
      </w:r>
      <w:r>
        <w:rPr>
          <w:rFonts w:ascii="Arial" w:cs="Arial" w:eastAsia="Arial" w:hAnsi="Arial"/>
          <w:sz w:val="22"/>
          <w:szCs w:val="22"/>
          <w:color w:val="auto"/>
        </w:rPr>
        <w:t>. The obligations of the Company under this Section 12 will survive the payment or</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of any Bond, the enforcement, amendment or waiver of any provision of any Financing Agreement, and the termination of any Financing Agreement.</w:t>
      </w:r>
    </w:p>
    <w:p>
      <w:pPr>
        <w:spacing w:after="0" w:line="20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i w:val="1"/>
          <w:iCs w:val="1"/>
          <w:color w:val="auto"/>
        </w:rPr>
        <w:t>Section 12.4. Tax Withholding</w:t>
      </w:r>
      <w:r>
        <w:rPr>
          <w:rFonts w:ascii="Arial" w:cs="Arial" w:eastAsia="Arial" w:hAnsi="Arial"/>
          <w:sz w:val="19"/>
          <w:szCs w:val="19"/>
          <w:color w:val="auto"/>
        </w:rPr>
        <w:t>. Except as otherwise required by applicable law, the Company agrees that it</w:t>
      </w:r>
      <w:r>
        <w:rPr>
          <w:rFonts w:ascii="Arial" w:cs="Arial" w:eastAsia="Arial" w:hAnsi="Arial"/>
          <w:sz w:val="19"/>
          <w:szCs w:val="19"/>
          <w:i w:val="1"/>
          <w:iCs w:val="1"/>
          <w:color w:val="auto"/>
        </w:rPr>
        <w:t xml:space="preserve"> </w:t>
      </w:r>
      <w:r>
        <w:rPr>
          <w:rFonts w:ascii="Arial" w:cs="Arial" w:eastAsia="Arial" w:hAnsi="Arial"/>
          <w:sz w:val="19"/>
          <w:szCs w:val="19"/>
          <w:color w:val="auto"/>
        </w:rPr>
        <w:t>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Arial" w:cs="Arial" w:eastAsia="Arial" w:hAnsi="Arial"/>
          <w:sz w:val="19"/>
          <w:szCs w:val="19"/>
          <w:i w:val="1"/>
          <w:iCs w:val="1"/>
          <w:color w:val="auto"/>
        </w:rPr>
        <w:t>U.S. Tax Compliance Certificate</w:t>
      </w:r>
      <w:r>
        <w:rPr>
          <w:rFonts w:ascii="Arial" w:cs="Arial" w:eastAsia="Arial" w:hAnsi="Arial"/>
          <w:sz w:val="19"/>
          <w:szCs w:val="19"/>
          <w:color w:val="auto"/>
        </w:rPr>
        <w:t>” substantially in the form attached as Exhibit 12.4, in both cases correctly completed and executed.</w:t>
      </w:r>
    </w:p>
    <w:p>
      <w:pPr>
        <w:spacing w:after="0" w:line="22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13.</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URVIVAL OF</w:t>
      </w:r>
      <w:r>
        <w:rPr>
          <w:rFonts w:ascii="Arial" w:cs="Arial" w:eastAsia="Arial" w:hAnsi="Arial"/>
          <w:sz w:val="21"/>
          <w:szCs w:val="21"/>
          <w:color w:val="auto"/>
        </w:rPr>
        <w:t xml:space="preserve"> 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w:t>
      </w:r>
      <w:r>
        <w:rPr>
          <w:rFonts w:ascii="Arial" w:cs="Arial" w:eastAsia="Arial" w:hAnsi="Arial"/>
          <w:sz w:val="21"/>
          <w:szCs w:val="21"/>
          <w:color w:val="auto"/>
        </w:rPr>
        <w:t>; E</w:t>
      </w:r>
      <w:r>
        <w:rPr>
          <w:rFonts w:ascii="Arial" w:cs="Arial" w:eastAsia="Arial" w:hAnsi="Arial"/>
          <w:sz w:val="17"/>
          <w:szCs w:val="17"/>
          <w:color w:val="auto"/>
        </w:rPr>
        <w:t>NTIRE</w:t>
      </w:r>
      <w:r>
        <w:rPr>
          <w:rFonts w:ascii="Arial" w:cs="Arial" w:eastAsia="Arial" w:hAnsi="Arial"/>
          <w:sz w:val="21"/>
          <w:szCs w:val="21"/>
          <w:color w:val="auto"/>
        </w:rPr>
        <w:t xml:space="preserve"> A</w:t>
      </w:r>
      <w:r>
        <w:rPr>
          <w:rFonts w:ascii="Arial" w:cs="Arial" w:eastAsia="Arial" w:hAnsi="Arial"/>
          <w:sz w:val="17"/>
          <w:szCs w:val="17"/>
          <w:color w:val="auto"/>
        </w:rPr>
        <w:t>GREEMENT</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31" w:right="879" w:bottom="1440" w:gutter="0" w:footer="0" w:header="0"/>
        </w:sectPr>
      </w:pPr>
    </w:p>
    <w:bookmarkStart w:id="62" w:name="page63"/>
    <w:bookmarkEnd w:id="62"/>
    <w:p>
      <w:pPr>
        <w:spacing w:after="0"/>
        <w:tabs>
          <w:tab w:leader="none" w:pos="12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14.</w:t>
        <w:tab/>
        <w:t>A</w:t>
      </w:r>
      <w:r>
        <w:rPr>
          <w:rFonts w:ascii="Arial" w:cs="Arial" w:eastAsia="Arial" w:hAnsi="Arial"/>
          <w:sz w:val="18"/>
          <w:szCs w:val="18"/>
          <w:color w:val="auto"/>
        </w:rPr>
        <w:t>MENDMENT AND</w:t>
      </w:r>
      <w:r>
        <w:rPr>
          <w:rFonts w:ascii="Arial" w:cs="Arial" w:eastAsia="Arial" w:hAnsi="Arial"/>
          <w:sz w:val="22"/>
          <w:szCs w:val="22"/>
          <w:color w:val="auto"/>
        </w:rPr>
        <w:t xml:space="preserve"> W</w:t>
      </w:r>
      <w:r>
        <w:rPr>
          <w:rFonts w:ascii="Arial" w:cs="Arial" w:eastAsia="Arial" w:hAnsi="Arial"/>
          <w:sz w:val="18"/>
          <w:szCs w:val="18"/>
          <w:color w:val="auto"/>
        </w:rPr>
        <w:t>AIVER</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i w:val="1"/>
          <w:iCs w:val="1"/>
          <w:color w:val="auto"/>
        </w:rPr>
        <w:t>Section 14.1. Requirements</w:t>
      </w:r>
      <w:r>
        <w:rPr>
          <w:rFonts w:ascii="Arial" w:cs="Arial" w:eastAsia="Arial" w:hAnsi="Arial"/>
          <w:sz w:val="21"/>
          <w:szCs w:val="21"/>
          <w:color w:val="auto"/>
        </w:rPr>
        <w:t>. This Agreement and the Bonds may be amended, and the observance of any</w:t>
      </w:r>
      <w:r>
        <w:rPr>
          <w:rFonts w:ascii="Arial" w:cs="Arial" w:eastAsia="Arial" w:hAnsi="Arial"/>
          <w:sz w:val="21"/>
          <w:szCs w:val="21"/>
          <w:i w:val="1"/>
          <w:iCs w:val="1"/>
          <w:color w:val="auto"/>
        </w:rPr>
        <w:t xml:space="preserve"> </w:t>
      </w:r>
      <w:r>
        <w:rPr>
          <w:rFonts w:ascii="Arial" w:cs="Arial" w:eastAsia="Arial" w:hAnsi="Arial"/>
          <w:sz w:val="21"/>
          <w:szCs w:val="21"/>
          <w:color w:val="auto"/>
        </w:rPr>
        <w:t>term hereof or of the Bonds may be waived (either retroactively or prospectively), with (and only with) the written consent of the Company and the Required Holders, except that (i) no amendment or waiver of any of the provisions of Section 1, 2, 3, 4, 5, 6, or 19 hereof, or any defined term, will be effective as to any holder of Bonds unless consented to by 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 principal amount of the Bonds the holders of which are required to consent to any such amendment or waiver, or (C) amend any of Sections 8, 14, or 18.</w:t>
      </w:r>
    </w:p>
    <w:p>
      <w:pPr>
        <w:spacing w:after="0" w:line="19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r>
        <w:rPr>
          <w:rFonts w:ascii="Arial" w:cs="Arial" w:eastAsia="Arial" w:hAnsi="Arial"/>
          <w:sz w:val="19"/>
          <w:szCs w:val="19"/>
          <w:color w:val="auto"/>
        </w:rPr>
        <w:t>.</w:t>
      </w:r>
    </w:p>
    <w:p>
      <w:pPr>
        <w:spacing w:after="0" w:line="206" w:lineRule="exact"/>
        <w:rPr>
          <w:sz w:val="20"/>
          <w:szCs w:val="20"/>
          <w:color w:val="auto"/>
        </w:rPr>
      </w:pPr>
    </w:p>
    <w:p>
      <w:pPr>
        <w:jc w:val="both"/>
        <w:ind w:left="640" w:firstLine="653"/>
        <w:spacing w:after="0" w:line="246" w:lineRule="auto"/>
        <w:tabs>
          <w:tab w:leader="none" w:pos="1771"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 xml:space="preserve">Solicitation. </w:t>
      </w:r>
      <w:r>
        <w:rPr>
          <w:rFonts w:ascii="Arial" w:cs="Arial" w:eastAsia="Arial" w:hAnsi="Arial"/>
          <w:sz w:val="19"/>
          <w:szCs w:val="19"/>
          <w:color w:val="auto"/>
        </w:rPr>
        <w:t>The Company will provide each Purchaser and each holder of Bonds (irrespective</w:t>
      </w:r>
      <w:r>
        <w:rPr>
          <w:rFonts w:ascii="Arial" w:cs="Arial" w:eastAsia="Arial" w:hAnsi="Arial"/>
          <w:sz w:val="19"/>
          <w:szCs w:val="19"/>
          <w:i w:val="1"/>
          <w:iCs w:val="1"/>
          <w:color w:val="auto"/>
        </w:rPr>
        <w:t xml:space="preserve"> </w:t>
      </w:r>
      <w:r>
        <w:rPr>
          <w:rFonts w:ascii="Arial" w:cs="Arial" w:eastAsia="Arial" w:hAnsi="Arial"/>
          <w:sz w:val="19"/>
          <w:szCs w:val="19"/>
          <w:color w:val="auto"/>
        </w:rPr>
        <w:t>of the amount of Bonds then owned by it) with sufficient information, sufficiently far in advance of the date a decision is required, to enable such Purchaser and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Section 14 to each Purchaser and each holder of outstanding Bonds promptly following the date on which it is executed and delivered by, or receives the consent or approval of, the requisite Purchasers or holders of Bonds.</w:t>
      </w:r>
    </w:p>
    <w:p>
      <w:pPr>
        <w:spacing w:after="0" w:line="193" w:lineRule="exact"/>
        <w:rPr>
          <w:rFonts w:ascii="Arial" w:cs="Arial" w:eastAsia="Arial" w:hAnsi="Arial"/>
          <w:sz w:val="19"/>
          <w:szCs w:val="19"/>
          <w:color w:val="auto"/>
        </w:rPr>
      </w:pPr>
    </w:p>
    <w:p>
      <w:pPr>
        <w:jc w:val="both"/>
        <w:ind w:left="640" w:right="20" w:firstLine="653"/>
        <w:spacing w:after="0" w:line="246" w:lineRule="auto"/>
        <w:tabs>
          <w:tab w:leader="none" w:pos="2013"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 xml:space="preserve">Payment. </w:t>
      </w:r>
      <w:r>
        <w:rPr>
          <w:rFonts w:ascii="Arial" w:cs="Arial" w:eastAsia="Arial" w:hAnsi="Arial"/>
          <w:sz w:val="19"/>
          <w:szCs w:val="19"/>
          <w:color w:val="auto"/>
        </w:rPr>
        <w:t>The Company will not directly or indirectly pay or cause to be paid any</w:t>
      </w:r>
      <w:r>
        <w:rPr>
          <w:rFonts w:ascii="Arial" w:cs="Arial" w:eastAsia="Arial" w:hAnsi="Arial"/>
          <w:sz w:val="19"/>
          <w:szCs w:val="19"/>
          <w:i w:val="1"/>
          <w:iCs w:val="1"/>
          <w:color w:val="auto"/>
        </w:rPr>
        <w:t xml:space="preserve"> </w:t>
      </w:r>
      <w:r>
        <w:rPr>
          <w:rFonts w:ascii="Arial" w:cs="Arial" w:eastAsia="Arial" w:hAnsi="Arial"/>
          <w:sz w:val="19"/>
          <w:szCs w:val="19"/>
          <w:color w:val="auto"/>
        </w:rPr>
        <w:t>remuneration, whether by way of supplemental or additional interest, fee or otherwise (other than legal fees or other related expenses), or grant any security or provide other credit support, to any Purchaser or holder of Bonds as consideration for or as an inducement to the entering into by any Purchaser or holder of Bonds of any waiver or amendment of any of the terms and provisions hereof or of the Bonds unless such remuneration is concurrently paid, or security is concurrently granted or other credit support concurrently provided, on the same terms, ratably to each Purchaser and holder of Bonds then outstanding even if such Purchaser or such holder did not consent to such waiver or amendment.</w:t>
      </w:r>
    </w:p>
    <w:p>
      <w:pPr>
        <w:spacing w:after="0" w:line="193" w:lineRule="exact"/>
        <w:rPr>
          <w:rFonts w:ascii="Arial" w:cs="Arial" w:eastAsia="Arial" w:hAnsi="Arial"/>
          <w:sz w:val="19"/>
          <w:szCs w:val="19"/>
          <w:color w:val="auto"/>
        </w:rPr>
      </w:pPr>
    </w:p>
    <w:p>
      <w:pPr>
        <w:ind w:left="640" w:right="20" w:firstLine="653"/>
        <w:spacing w:after="0" w:line="247" w:lineRule="auto"/>
        <w:tabs>
          <w:tab w:leader="none" w:pos="1852"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Consent in Contemplation of Transfer</w:t>
      </w:r>
      <w:r>
        <w:rPr>
          <w:rFonts w:ascii="Arial" w:cs="Arial" w:eastAsia="Arial" w:hAnsi="Arial"/>
          <w:sz w:val="21"/>
          <w:szCs w:val="21"/>
          <w:color w:val="auto"/>
        </w:rPr>
        <w:t>. Any consent made pursuant to this Section 14 by a</w:t>
      </w:r>
      <w:r>
        <w:rPr>
          <w:rFonts w:ascii="Arial" w:cs="Arial" w:eastAsia="Arial" w:hAnsi="Arial"/>
          <w:sz w:val="21"/>
          <w:szCs w:val="21"/>
          <w:i w:val="1"/>
          <w:iCs w:val="1"/>
          <w:color w:val="auto"/>
        </w:rPr>
        <w:t xml:space="preserve"> </w:t>
      </w:r>
      <w:r>
        <w:rPr>
          <w:rFonts w:ascii="Arial" w:cs="Arial" w:eastAsia="Arial" w:hAnsi="Arial"/>
          <w:sz w:val="21"/>
          <w:szCs w:val="21"/>
          <w:color w:val="auto"/>
        </w:rPr>
        <w:t>holder of Bonds that has transferred or has agreed to transfer its Bonds to (i)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31" w:right="879" w:bottom="1440" w:gutter="0" w:footer="0" w:header="0"/>
        </w:sectPr>
      </w:pPr>
    </w:p>
    <w:bookmarkStart w:id="63" w:name="page64"/>
    <w:bookmarkEnd w:id="63"/>
    <w:p>
      <w:pPr>
        <w:jc w:val="both"/>
        <w:ind w:left="640" w:firstLine="5"/>
        <w:spacing w:after="0" w:line="247" w:lineRule="auto"/>
        <w:tabs>
          <w:tab w:leader="none" w:pos="971"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i w:val="1"/>
          <w:iCs w:val="1"/>
          <w:color w:val="auto"/>
        </w:rPr>
        <w:t>Section 14.3. Binding Effect, Etc</w:t>
      </w:r>
      <w:r>
        <w:rPr>
          <w:rFonts w:ascii="Arial" w:cs="Arial" w:eastAsia="Arial" w:hAnsi="Arial"/>
          <w:sz w:val="19"/>
          <w:szCs w:val="19"/>
          <w:color w:val="auto"/>
        </w:rPr>
        <w:t>. Any amendment or waiver consented to as provided in this Section 14</w:t>
      </w:r>
      <w:r>
        <w:rPr>
          <w:rFonts w:ascii="Arial" w:cs="Arial" w:eastAsia="Arial" w:hAnsi="Arial"/>
          <w:sz w:val="19"/>
          <w:szCs w:val="19"/>
          <w:i w:val="1"/>
          <w:iCs w:val="1"/>
          <w:color w:val="auto"/>
        </w:rPr>
        <w:t xml:space="preserve"> </w:t>
      </w:r>
      <w:r>
        <w:rPr>
          <w:rFonts w:ascii="Arial" w:cs="Arial" w:eastAsia="Arial" w:hAnsi="Arial"/>
          <w:sz w:val="19"/>
          <w:szCs w:val="19"/>
          <w:color w:val="auto"/>
        </w:rPr>
        <w:t>applies equally to all Purchasers and 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Purchaser or holder of any Bond nor any delay in exercising any rights hereunder or under any Bond shall operate as a waiver of any rights of any Purchaser or holder of such Bond.</w:t>
      </w:r>
    </w:p>
    <w:p>
      <w:pPr>
        <w:spacing w:after="0" w:line="19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i w:val="1"/>
          <w:iCs w:val="1"/>
          <w:color w:val="auto"/>
        </w:rPr>
        <w:t>Section 14.4. Bonds Held by Company, Etc</w:t>
      </w:r>
      <w:r>
        <w:rPr>
          <w:rFonts w:ascii="Arial" w:cs="Arial" w:eastAsia="Arial" w:hAnsi="Arial"/>
          <w:sz w:val="21"/>
          <w:szCs w:val="21"/>
          <w:color w:val="auto"/>
        </w:rPr>
        <w:t>. Solely for the purpose of determining whether the holders of</w:t>
      </w:r>
      <w:r>
        <w:rPr>
          <w:rFonts w:ascii="Arial" w:cs="Arial" w:eastAsia="Arial" w:hAnsi="Arial"/>
          <w:sz w:val="21"/>
          <w:szCs w:val="21"/>
          <w:i w:val="1"/>
          <w:iCs w:val="1"/>
          <w:color w:val="auto"/>
        </w:rPr>
        <w:t xml:space="preserve"> </w:t>
      </w:r>
      <w:r>
        <w:rPr>
          <w:rFonts w:ascii="Arial" w:cs="Arial" w:eastAsia="Arial" w:hAnsi="Arial"/>
          <w:sz w:val="21"/>
          <w:szCs w:val="21"/>
          <w:color w:val="auto"/>
        </w:rPr>
        <w:t>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28"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15.</w:t>
      </w:r>
      <w:r>
        <w:rPr>
          <w:sz w:val="20"/>
          <w:szCs w:val="20"/>
          <w:color w:val="auto"/>
        </w:rPr>
        <w:tab/>
      </w:r>
      <w:r>
        <w:rPr>
          <w:rFonts w:ascii="Arial" w:cs="Arial" w:eastAsia="Arial" w:hAnsi="Arial"/>
          <w:sz w:val="19"/>
          <w:szCs w:val="19"/>
          <w:color w:val="auto"/>
        </w:rPr>
        <w:t>N</w:t>
      </w:r>
      <w:r>
        <w:rPr>
          <w:rFonts w:ascii="Arial" w:cs="Arial" w:eastAsia="Arial" w:hAnsi="Arial"/>
          <w:sz w:val="16"/>
          <w:szCs w:val="16"/>
          <w:color w:val="auto"/>
        </w:rPr>
        <w:t>OTICES</w:t>
      </w:r>
      <w:r>
        <w:rPr>
          <w:rFonts w:ascii="Arial" w:cs="Arial" w:eastAsia="Arial" w:hAnsi="Arial"/>
          <w:sz w:val="19"/>
          <w:szCs w:val="19"/>
          <w:color w:val="auto"/>
        </w:rPr>
        <w:t>.</w:t>
      </w:r>
    </w:p>
    <w:p>
      <w:pPr>
        <w:spacing w:after="0" w:line="23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185" w:lineRule="exact"/>
        <w:rPr>
          <w:sz w:val="20"/>
          <w:szCs w:val="20"/>
          <w:color w:val="auto"/>
        </w:rPr>
      </w:pPr>
    </w:p>
    <w:p>
      <w:pPr>
        <w:jc w:val="both"/>
        <w:ind w:left="1300" w:firstLine="641"/>
        <w:spacing w:after="0" w:line="223" w:lineRule="auto"/>
        <w:tabs>
          <w:tab w:leader="none" w:pos="2388"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to any Purchaser or its nominee, to such Purchaser or nominee at the address specified for such communications in Schedule A, or at such other address as such Purchaser or nominee shall have specified to the Company in writing,</w:t>
      </w:r>
    </w:p>
    <w:p>
      <w:pPr>
        <w:spacing w:after="0" w:line="186" w:lineRule="exact"/>
        <w:rPr>
          <w:rFonts w:ascii="Arial" w:cs="Arial" w:eastAsia="Arial" w:hAnsi="Arial"/>
          <w:sz w:val="22"/>
          <w:szCs w:val="22"/>
          <w:color w:val="auto"/>
        </w:rPr>
      </w:pPr>
    </w:p>
    <w:p>
      <w:pPr>
        <w:ind w:left="1300" w:right="20" w:firstLine="641"/>
        <w:spacing w:after="0" w:line="232" w:lineRule="auto"/>
        <w:tabs>
          <w:tab w:leader="none" w:pos="2477"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199" w:lineRule="exact"/>
        <w:rPr>
          <w:rFonts w:ascii="Arial" w:cs="Arial" w:eastAsia="Arial" w:hAnsi="Arial"/>
          <w:sz w:val="22"/>
          <w:szCs w:val="22"/>
          <w:color w:val="auto"/>
        </w:rPr>
      </w:pPr>
    </w:p>
    <w:p>
      <w:pPr>
        <w:jc w:val="both"/>
        <w:ind w:left="1300" w:firstLine="641"/>
        <w:spacing w:after="0" w:line="234" w:lineRule="auto"/>
        <w:tabs>
          <w:tab w:leader="none" w:pos="2499" w:val="left"/>
        </w:tabs>
        <w:numPr>
          <w:ilvl w:val="0"/>
          <w:numId w:val="35"/>
        </w:numPr>
        <w:rPr>
          <w:rFonts w:ascii="Arial" w:cs="Arial" w:eastAsia="Arial" w:hAnsi="Arial"/>
          <w:sz w:val="21"/>
          <w:szCs w:val="21"/>
          <w:color w:val="auto"/>
        </w:rPr>
      </w:pPr>
      <w:r>
        <w:rPr>
          <w:rFonts w:ascii="Arial" w:cs="Arial" w:eastAsia="Arial" w:hAnsi="Arial"/>
          <w:sz w:val="21"/>
          <w:szCs w:val="21"/>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4" w:name="page65"/>
    <w:bookmarkEnd w:id="64"/>
    <w:p>
      <w:pPr>
        <w:ind w:left="640"/>
        <w:spacing w:after="0"/>
        <w:rPr>
          <w:sz w:val="20"/>
          <w:szCs w:val="20"/>
          <w:color w:val="auto"/>
        </w:rPr>
      </w:pPr>
      <w:r>
        <w:rPr>
          <w:rFonts w:ascii="Arial" w:cs="Arial" w:eastAsia="Arial" w:hAnsi="Arial"/>
          <w:sz w:val="22"/>
          <w:szCs w:val="22"/>
          <w:color w:val="auto"/>
        </w:rPr>
        <w:t>Notices under this Section 15 will be deemed given only when actually received.</w:t>
      </w:r>
    </w:p>
    <w:p>
      <w:pPr>
        <w:spacing w:after="0" w:line="24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16.</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NDEMNIFICATION</w:t>
      </w:r>
      <w:r>
        <w:rPr>
          <w:rFonts w:ascii="Arial" w:cs="Arial" w:eastAsia="Arial" w:hAnsi="Arial"/>
          <w:sz w:val="21"/>
          <w:szCs w:val="21"/>
          <w:color w:val="auto"/>
        </w:rPr>
        <w:t>.</w:t>
      </w:r>
    </w:p>
    <w:p>
      <w:pPr>
        <w:spacing w:after="0" w:line="233"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9"/>
          <w:szCs w:val="19"/>
          <w:color w:val="auto"/>
        </w:rPr>
        <w:t>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Section 16 shall survive the execution and delivery of this Agreement, the delivery of the Bonds to the Purchasers and the consummation of the transactions contemplated herein.</w:t>
      </w:r>
    </w:p>
    <w:p>
      <w:pPr>
        <w:spacing w:after="0" w:line="21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17.</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EPRODUCTION OF</w:t>
      </w:r>
      <w:r>
        <w:rPr>
          <w:rFonts w:ascii="Arial" w:cs="Arial" w:eastAsia="Arial" w:hAnsi="Arial"/>
          <w:sz w:val="21"/>
          <w:szCs w:val="21"/>
          <w:color w:val="auto"/>
        </w:rPr>
        <w:t xml:space="preserve"> D</w:t>
      </w:r>
      <w:r>
        <w:rPr>
          <w:rFonts w:ascii="Arial" w:cs="Arial" w:eastAsia="Arial" w:hAnsi="Arial"/>
          <w:sz w:val="17"/>
          <w:szCs w:val="17"/>
          <w:color w:val="auto"/>
        </w:rPr>
        <w:t>OCUMENTS</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This Agreement and all documents relating thereto, including, without limitation, (a) consents, waivers and modifications that may hereafter be executed, (b) documents received by any Purchaser at either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17 shall not prohibit the Company or any other holder of Bonds from contesting any such reproduction to the same extent that it could contest the original, or from introducing evidence to demonstrate the inaccuracy of any such reproduction.</w:t>
      </w:r>
    </w:p>
    <w:p>
      <w:pPr>
        <w:spacing w:after="0" w:line="200" w:lineRule="exact"/>
        <w:rPr>
          <w:sz w:val="20"/>
          <w:szCs w:val="20"/>
          <w:color w:val="auto"/>
        </w:rPr>
      </w:pPr>
    </w:p>
    <w:p>
      <w:pPr>
        <w:spacing w:after="0" w:line="25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18.</w:t>
        <w:tab/>
        <w:t>C</w:t>
      </w:r>
      <w:r>
        <w:rPr>
          <w:rFonts w:ascii="Arial" w:cs="Arial" w:eastAsia="Arial" w:hAnsi="Arial"/>
          <w:sz w:val="18"/>
          <w:szCs w:val="18"/>
          <w:color w:val="auto"/>
        </w:rPr>
        <w:t>ONFIDENTIAL</w:t>
      </w:r>
      <w:r>
        <w:rPr>
          <w:rFonts w:ascii="Arial" w:cs="Arial" w:eastAsia="Arial" w:hAnsi="Arial"/>
          <w:sz w:val="22"/>
          <w:szCs w:val="22"/>
          <w:color w:val="auto"/>
        </w:rPr>
        <w:t xml:space="preserve"> I</w:t>
      </w:r>
      <w:r>
        <w:rPr>
          <w:rFonts w:ascii="Arial" w:cs="Arial" w:eastAsia="Arial" w:hAnsi="Arial"/>
          <w:sz w:val="18"/>
          <w:szCs w:val="18"/>
          <w:color w:val="auto"/>
        </w:rPr>
        <w:t>NFORMATION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For the purposes of this Section 18,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5" w:name="page66"/>
    <w:bookmarkEnd w:id="65"/>
    <w:p>
      <w:pPr>
        <w:jc w:val="both"/>
        <w:spacing w:after="0"/>
        <w:rPr>
          <w:sz w:val="20"/>
          <w:szCs w:val="20"/>
          <w:color w:val="auto"/>
        </w:rPr>
      </w:pPr>
      <w:r>
        <w:rPr>
          <w:rFonts w:ascii="Arial" w:cs="Arial" w:eastAsia="Arial" w:hAnsi="Arial"/>
          <w:sz w:val="19"/>
          <w:szCs w:val="19"/>
          <w:color w:val="auto"/>
        </w:rPr>
        <w:t>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Section 18,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Section 18), (v) any Person from which it offers to purchase any security of the Company (if such Person has agreed in writing prior to its receipt of such Confidential Information to be bound by the provisions of this Section 18),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Section 18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Section 18.</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Section 18, this Section 18 shall not be amended thereby and, as between such Purchaser or such holder and the Company, this Section 18 shall supersede any such other confidentiality undertaking.</w:t>
      </w:r>
    </w:p>
    <w:p>
      <w:pPr>
        <w:spacing w:after="0" w:line="241"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19.</w:t>
      </w:r>
      <w:r>
        <w:rPr>
          <w:sz w:val="20"/>
          <w:szCs w:val="20"/>
          <w:color w:val="auto"/>
        </w:rPr>
        <w:tab/>
      </w:r>
      <w:r>
        <w:rPr>
          <w:rFonts w:ascii="Arial" w:cs="Arial" w:eastAsia="Arial" w:hAnsi="Arial"/>
          <w:sz w:val="21"/>
          <w:szCs w:val="21"/>
          <w:color w:val="auto"/>
        </w:rPr>
        <w:t>M</w:t>
      </w:r>
      <w:r>
        <w:rPr>
          <w:rFonts w:ascii="Arial" w:cs="Arial" w:eastAsia="Arial" w:hAnsi="Arial"/>
          <w:sz w:val="17"/>
          <w:szCs w:val="17"/>
          <w:color w:val="auto"/>
        </w:rPr>
        <w:t>ISCELLANEOUS</w:t>
      </w:r>
      <w:r>
        <w:rPr>
          <w:rFonts w:ascii="Arial" w:cs="Arial" w:eastAsia="Arial" w:hAnsi="Arial"/>
          <w:sz w:val="21"/>
          <w:szCs w:val="21"/>
          <w:color w:val="auto"/>
        </w:rPr>
        <w:t>.</w:t>
      </w:r>
    </w:p>
    <w:p>
      <w:pPr>
        <w:spacing w:after="0" w:line="22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i w:val="1"/>
          <w:iCs w:val="1"/>
          <w:color w:val="auto"/>
        </w:rPr>
        <w:t>Section 19.1. Successors and Assigns</w:t>
      </w:r>
      <w:r>
        <w:rPr>
          <w:rFonts w:ascii="Arial" w:cs="Arial" w:eastAsia="Arial" w:hAnsi="Arial"/>
          <w:sz w:val="19"/>
          <w:szCs w:val="19"/>
          <w:color w:val="auto"/>
        </w:rPr>
        <w:t>. All covenants and other agreements contained in this Agreement by</w:t>
      </w:r>
      <w:r>
        <w:rPr>
          <w:rFonts w:ascii="Arial" w:cs="Arial" w:eastAsia="Arial" w:hAnsi="Arial"/>
          <w:sz w:val="19"/>
          <w:szCs w:val="19"/>
          <w:i w:val="1"/>
          <w:iCs w:val="1"/>
          <w:color w:val="auto"/>
        </w:rPr>
        <w:t xml:space="preserve"> </w:t>
      </w:r>
      <w:r>
        <w:rPr>
          <w:rFonts w:ascii="Arial" w:cs="Arial" w:eastAsia="Arial" w:hAnsi="Arial"/>
          <w:sz w:val="19"/>
          <w:szCs w:val="19"/>
          <w:color w:val="auto"/>
        </w:rPr>
        <w:t>or on behalf of any of the parties hereto bind and inure to the benefit of their respective successors and assigns (including, without limitation, any subsequent holder of a Bond) whether so expressed or not, except that, subject to Section 10.2,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6" w:name="page67"/>
    <w:bookmarkEnd w:id="66"/>
    <w:p>
      <w:pPr>
        <w:jc w:val="both"/>
        <w:ind w:firstLine="648"/>
        <w:spacing w:after="0" w:line="222" w:lineRule="exact"/>
        <w:rPr>
          <w:sz w:val="20"/>
          <w:szCs w:val="20"/>
          <w:color w:val="auto"/>
        </w:rPr>
      </w:pPr>
      <w:r>
        <w:rPr>
          <w:rFonts w:ascii="Arial" w:cs="Arial" w:eastAsia="Arial" w:hAnsi="Arial"/>
          <w:sz w:val="21"/>
          <w:szCs w:val="21"/>
          <w:i w:val="1"/>
          <w:iCs w:val="1"/>
          <w:color w:val="auto"/>
        </w:rPr>
        <w:t>Section 19.2. Accounting Terms</w:t>
      </w:r>
      <w:r>
        <w:rPr>
          <w:rFonts w:ascii="Arial" w:cs="Arial" w:eastAsia="Arial" w:hAnsi="Arial"/>
          <w:sz w:val="21"/>
          <w:szCs w:val="21"/>
          <w:color w:val="auto"/>
        </w:rPr>
        <w:t>. All accounting terms used herein which are not expressly defined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Arial" w:cs="Arial" w:eastAsia="Arial" w:hAnsi="Arial"/>
          <w:sz w:val="21"/>
          <w:szCs w:val="21"/>
          <w:color w:val="auto"/>
        </w:rPr>
        <w:t>10</w:t>
      </w:r>
      <w:r>
        <w:rPr>
          <w:rFonts w:ascii="MS PGothic" w:cs="MS PGothic" w:eastAsia="MS PGothic" w:hAnsi="MS PGothic"/>
          <w:sz w:val="21"/>
          <w:szCs w:val="21"/>
          <w:color w:val="auto"/>
        </w:rPr>
        <w:t>‑</w:t>
      </w:r>
      <w:r>
        <w:rPr>
          <w:rFonts w:ascii="Arial" w:cs="Arial" w:eastAsia="Arial" w:hAnsi="Arial"/>
          <w:sz w:val="21"/>
          <w:szCs w:val="21"/>
          <w:color w:val="auto"/>
        </w:rPr>
        <w:t xml:space="preserve">25 – </w:t>
      </w:r>
      <w:r>
        <w:rPr>
          <w:rFonts w:ascii="Arial" w:cs="Arial" w:eastAsia="Arial" w:hAnsi="Arial"/>
          <w:sz w:val="21"/>
          <w:szCs w:val="21"/>
          <w:i w:val="1"/>
          <w:iCs w:val="1"/>
          <w:color w:val="auto"/>
        </w:rPr>
        <w:t>Fair Value Option,</w:t>
      </w:r>
      <w:r>
        <w:rPr>
          <w:rFonts w:ascii="Arial" w:cs="Arial" w:eastAsia="Arial" w:hAnsi="Arial"/>
          <w:sz w:val="21"/>
          <w:szCs w:val="21"/>
          <w:color w:val="auto"/>
        </w:rPr>
        <w:t xml:space="preserve"> International Accounting Standard 39 –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Instruments: Recognition and Measurement </w:t>
      </w:r>
      <w:r>
        <w:rPr>
          <w:rFonts w:ascii="Arial" w:cs="Arial" w:eastAsia="Arial" w:hAnsi="Arial"/>
          <w:sz w:val="21"/>
          <w:szCs w:val="21"/>
          <w:color w:val="auto"/>
        </w:rPr>
        <w:t>or any similar accounting standard) shall be disregarded and such</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determination shall be made as if such election had not been made and such Debt shall be valued at not less than 100% of the principal amount thereof.</w:t>
      </w:r>
    </w:p>
    <w:p>
      <w:pPr>
        <w:spacing w:after="0" w:line="19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i w:val="1"/>
          <w:iCs w:val="1"/>
          <w:color w:val="auto"/>
        </w:rPr>
        <w:t>Section 19.3. Severability</w:t>
      </w:r>
      <w:r>
        <w:rPr>
          <w:rFonts w:ascii="Arial" w:cs="Arial" w:eastAsia="Arial" w:hAnsi="Arial"/>
          <w:sz w:val="19"/>
          <w:szCs w:val="19"/>
          <w:color w:val="auto"/>
        </w:rPr>
        <w:t>. Any provision of this Agreement that is prohibited or unenforceable in any</w:t>
      </w:r>
      <w:r>
        <w:rPr>
          <w:rFonts w:ascii="Arial" w:cs="Arial" w:eastAsia="Arial" w:hAnsi="Arial"/>
          <w:sz w:val="19"/>
          <w:szCs w:val="19"/>
          <w:i w:val="1"/>
          <w:iCs w:val="1"/>
          <w:color w:val="auto"/>
        </w:rPr>
        <w:t xml:space="preserve"> </w:t>
      </w:r>
      <w:r>
        <w:rPr>
          <w:rFonts w:ascii="Arial" w:cs="Arial" w:eastAsia="Arial" w:hAnsi="Arial"/>
          <w:sz w:val="19"/>
          <w:szCs w:val="19"/>
          <w:color w:val="auto"/>
        </w:rPr>
        <w:t>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i w:val="1"/>
          <w:iCs w:val="1"/>
          <w:color w:val="auto"/>
        </w:rPr>
        <w:t>Section 19.4. Construction, Etc</w:t>
      </w:r>
      <w:r>
        <w:rPr>
          <w:rFonts w:ascii="Arial" w:cs="Arial" w:eastAsia="Arial" w:hAnsi="Arial"/>
          <w:sz w:val="22"/>
          <w:szCs w:val="22"/>
          <w:color w:val="auto"/>
        </w:rPr>
        <w:t>. Each covenant contained herein shall be construed (absent express</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0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i w:val="1"/>
          <w:iCs w:val="1"/>
          <w:color w:val="auto"/>
        </w:rPr>
        <w:t>Section 19.5. Counterparts</w:t>
      </w:r>
      <w:r>
        <w:rPr>
          <w:rFonts w:ascii="Arial" w:cs="Arial" w:eastAsia="Arial" w:hAnsi="Arial"/>
          <w:sz w:val="19"/>
          <w:szCs w:val="19"/>
          <w:color w:val="auto"/>
        </w:rPr>
        <w:t>. This Agreement may be executed in any number of counterparts, each of</w:t>
      </w:r>
      <w:r>
        <w:rPr>
          <w:rFonts w:ascii="Arial" w:cs="Arial" w:eastAsia="Arial" w:hAnsi="Arial"/>
          <w:sz w:val="19"/>
          <w:szCs w:val="19"/>
          <w:i w:val="1"/>
          <w:iCs w:val="1"/>
          <w:color w:val="auto"/>
        </w:rPr>
        <w:t xml:space="preserve"> </w:t>
      </w:r>
      <w:r>
        <w:rPr>
          <w:rFonts w:ascii="Arial" w:cs="Arial" w:eastAsia="Arial" w:hAnsi="Arial"/>
          <w:sz w:val="19"/>
          <w:szCs w:val="19"/>
          <w:color w:val="auto"/>
        </w:rPr>
        <w:t>which shall be an original but all of which together shall constitute one instrument. Each counterpart may consist of a number of copies hereof, each signed by less than all, but together signed by all, of the parties hereto.</w:t>
      </w:r>
    </w:p>
    <w:p>
      <w:pPr>
        <w:spacing w:after="0" w:line="173" w:lineRule="exact"/>
        <w:rPr>
          <w:sz w:val="20"/>
          <w:szCs w:val="20"/>
          <w:color w:val="auto"/>
        </w:rPr>
      </w:pPr>
    </w:p>
    <w:p>
      <w:pPr>
        <w:jc w:val="both"/>
        <w:ind w:right="20" w:firstLine="648"/>
        <w:spacing w:after="0" w:line="230" w:lineRule="exact"/>
        <w:rPr>
          <w:sz w:val="20"/>
          <w:szCs w:val="20"/>
          <w:color w:val="auto"/>
        </w:rPr>
      </w:pPr>
      <w:r>
        <w:rPr>
          <w:rFonts w:ascii="Arial" w:cs="Arial" w:eastAsia="Arial" w:hAnsi="Arial"/>
          <w:sz w:val="22"/>
          <w:szCs w:val="22"/>
          <w:i w:val="1"/>
          <w:iCs w:val="1"/>
          <w:color w:val="auto"/>
        </w:rPr>
        <w:t>Section 19.6. Governing Law</w:t>
      </w:r>
      <w:r>
        <w:rPr>
          <w:rFonts w:ascii="Arial" w:cs="Arial" w:eastAsia="Arial" w:hAnsi="Arial"/>
          <w:sz w:val="22"/>
          <w:szCs w:val="22"/>
          <w:color w:val="auto"/>
        </w:rPr>
        <w:t>. This Agreement shall be construed and enforced in accordance with,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rights of the parties shall be governed by, the law of the Commonwealth of Pennsylvania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i w:val="1"/>
          <w:iCs w:val="1"/>
          <w:color w:val="auto"/>
        </w:rPr>
        <w:t>Section 19.7. Jurisdiction and Process; Waiver of Jury Trial</w:t>
      </w:r>
      <w:r>
        <w:rPr>
          <w:rFonts w:ascii="Arial" w:cs="Arial" w:eastAsia="Arial" w:hAnsi="Arial"/>
          <w:sz w:val="19"/>
          <w:szCs w:val="19"/>
          <w:color w:val="auto"/>
        </w:rPr>
        <w:t>. (a) The Company irrevocably submits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7" w:name="page68"/>
    <w:bookmarkEnd w:id="67"/>
    <w:p>
      <w:pPr>
        <w:ind w:right="20"/>
        <w:spacing w:after="0" w:line="232" w:lineRule="auto"/>
        <w:rPr>
          <w:sz w:val="20"/>
          <w:szCs w:val="20"/>
          <w:color w:val="auto"/>
        </w:rPr>
      </w:pPr>
      <w:r>
        <w:rPr>
          <w:rFonts w:ascii="Arial" w:cs="Arial" w:eastAsia="Arial" w:hAnsi="Arial"/>
          <w:sz w:val="22"/>
          <w:szCs w:val="22"/>
          <w:color w:val="auto"/>
        </w:rPr>
        <w:t>and any claim that any such suit, action or proceeding brought in any such court has been brought in an inconvenient forum.</w:t>
      </w:r>
    </w:p>
    <w:p>
      <w:pPr>
        <w:spacing w:after="0" w:line="186" w:lineRule="exact"/>
        <w:rPr>
          <w:sz w:val="20"/>
          <w:szCs w:val="20"/>
          <w:color w:val="auto"/>
        </w:rPr>
      </w:pPr>
    </w:p>
    <w:p>
      <w:pPr>
        <w:jc w:val="both"/>
        <w:ind w:left="640" w:firstLine="653"/>
        <w:spacing w:after="0" w:line="245" w:lineRule="auto"/>
        <w:tabs>
          <w:tab w:leader="none" w:pos="1799"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consents to process being served by or on behalf of any holder of Bonds in any suit, action or proceeding of the nature referred to in Section 19.7(a) by mailing a copy thereof by registered or certified mail (or any substantially similar form of mail), postage prepaid, return receipt requested, to it at its address specified in Section 15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94" w:lineRule="exact"/>
        <w:rPr>
          <w:rFonts w:ascii="Arial" w:cs="Arial" w:eastAsia="Arial" w:hAnsi="Arial"/>
          <w:sz w:val="19"/>
          <w:szCs w:val="19"/>
          <w:color w:val="auto"/>
        </w:rPr>
      </w:pPr>
    </w:p>
    <w:p>
      <w:pPr>
        <w:jc w:val="both"/>
        <w:ind w:left="640" w:firstLine="653"/>
        <w:spacing w:after="0" w:line="229" w:lineRule="auto"/>
        <w:tabs>
          <w:tab w:leader="none" w:pos="1746" w:val="left"/>
        </w:tabs>
        <w:numPr>
          <w:ilvl w:val="0"/>
          <w:numId w:val="36"/>
        </w:numPr>
        <w:rPr>
          <w:rFonts w:ascii="Arial" w:cs="Arial" w:eastAsia="Arial" w:hAnsi="Arial"/>
          <w:sz w:val="21"/>
          <w:szCs w:val="21"/>
          <w:color w:val="auto"/>
        </w:rPr>
      </w:pPr>
      <w:r>
        <w:rPr>
          <w:rFonts w:ascii="Arial" w:cs="Arial" w:eastAsia="Arial" w:hAnsi="Arial"/>
          <w:sz w:val="21"/>
          <w:szCs w:val="21"/>
          <w:color w:val="auto"/>
        </w:rPr>
        <w:t>Nothing in this Section 19.7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99" w:lineRule="exact"/>
        <w:rPr>
          <w:rFonts w:ascii="Arial" w:cs="Arial" w:eastAsia="Arial" w:hAnsi="Arial"/>
          <w:sz w:val="21"/>
          <w:szCs w:val="21"/>
          <w:color w:val="auto"/>
        </w:rPr>
      </w:pPr>
    </w:p>
    <w:p>
      <w:pPr>
        <w:ind w:left="640" w:right="20" w:firstLine="653"/>
        <w:spacing w:after="0" w:line="247" w:lineRule="auto"/>
        <w:tabs>
          <w:tab w:leader="none" w:pos="183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parties hereto hereby waive trial by jury in any action brought on or with respect to this Agreement, the Bonds or any other document executed in connection herewith or therewith.</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i w:val="1"/>
          <w:iCs w:val="1"/>
          <w:color w:val="auto"/>
        </w:rPr>
        <w:t>Section 19.8. Payments Due on Non-Business Days</w:t>
      </w:r>
      <w:r>
        <w:rPr>
          <w:rFonts w:ascii="Arial" w:cs="Arial" w:eastAsia="Arial" w:hAnsi="Arial"/>
          <w:sz w:val="19"/>
          <w:szCs w:val="19"/>
          <w:color w:val="auto"/>
        </w:rPr>
        <w:t>. Anything in this Agreement or the Bonds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68" w:name="page69"/>
    <w:bookmarkEnd w:id="68"/>
    <w:p>
      <w:pPr>
        <w:jc w:val="both"/>
        <w:ind w:firstLine="648"/>
        <w:spacing w:after="0" w:line="223" w:lineRule="auto"/>
        <w:rPr>
          <w:sz w:val="20"/>
          <w:szCs w:val="20"/>
          <w:color w:val="auto"/>
        </w:rPr>
      </w:pPr>
      <w:r>
        <w:rPr>
          <w:rFonts w:ascii="Arial" w:cs="Arial" w:eastAsia="Arial" w:hAnsi="Arial"/>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13"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P</w:t>
      </w:r>
      <w:r>
        <w:rPr>
          <w:rFonts w:ascii="Arial" w:cs="Arial" w:eastAsia="Arial" w:hAnsi="Arial"/>
          <w:sz w:val="18"/>
          <w:szCs w:val="18"/>
          <w:color w:val="auto"/>
        </w:rPr>
        <w:t>ENNSYLVANIA</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4620"/>
        <w:spacing w:after="0"/>
        <w:tabs>
          <w:tab w:leader="none" w:pos="5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Daniel J. Schuller</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-158115</wp:posOffset>
            </wp:positionV>
            <wp:extent cx="30270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4620"/>
        <w:spacing w:after="0"/>
        <w:tabs>
          <w:tab w:leader="none" w:pos="5320" w:val="left"/>
        </w:tabs>
        <w:rPr>
          <w:sz w:val="20"/>
          <w:szCs w:val="20"/>
          <w:color w:val="auto"/>
        </w:rPr>
      </w:pPr>
      <w:r>
        <w:rPr>
          <w:rFonts w:ascii="Arial" w:cs="Arial" w:eastAsia="Arial" w:hAnsi="Arial"/>
          <w:sz w:val="22"/>
          <w:szCs w:val="22"/>
          <w:color w:val="auto"/>
        </w:rPr>
        <w:t>Title:</w:t>
        <w:tab/>
        <w:t>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604" w:right="89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THENE</w:t>
      </w:r>
      <w:r>
        <w:rPr>
          <w:rFonts w:ascii="Arial" w:cs="Arial" w:eastAsia="Arial" w:hAnsi="Arial"/>
          <w:sz w:val="22"/>
          <w:szCs w:val="22"/>
          <w:color w:val="auto"/>
        </w:rPr>
        <w:t xml:space="preserve"> A</w:t>
      </w:r>
      <w:r>
        <w:rPr>
          <w:rFonts w:ascii="Arial" w:cs="Arial" w:eastAsia="Arial" w:hAnsi="Arial"/>
          <w:sz w:val="18"/>
          <w:szCs w:val="18"/>
          <w:color w:val="auto"/>
        </w:rPr>
        <w:t>NNUITY AND</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22" w:lineRule="exact"/>
        <w:rPr>
          <w:sz w:val="20"/>
          <w:szCs w:val="20"/>
          <w:color w:val="auto"/>
        </w:rPr>
      </w:pPr>
    </w:p>
    <w:p>
      <w:pPr>
        <w:jc w:val="right"/>
        <w:ind w:right="300"/>
        <w:spacing w:after="0"/>
        <w:rPr>
          <w:sz w:val="20"/>
          <w:szCs w:val="20"/>
          <w:color w:val="auto"/>
        </w:rPr>
      </w:pPr>
      <w:r>
        <w:rPr>
          <w:rFonts w:ascii="Arial" w:cs="Arial" w:eastAsia="Arial" w:hAnsi="Arial"/>
          <w:sz w:val="22"/>
          <w:szCs w:val="22"/>
          <w:color w:val="auto"/>
        </w:rPr>
        <w:t>By: Athene Asset Management LLC, its investment adviser</w:t>
      </w:r>
    </w:p>
    <w:p>
      <w:pPr>
        <w:spacing w:after="0" w:line="200" w:lineRule="exact"/>
        <w:rPr>
          <w:sz w:val="20"/>
          <w:szCs w:val="20"/>
          <w:color w:val="auto"/>
        </w:rPr>
      </w:pPr>
    </w:p>
    <w:p>
      <w:pPr>
        <w:spacing w:after="0" w:line="24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Roger D. Fors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Roger D. Fors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Senior Vice President, 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THENE</w:t>
      </w:r>
      <w:r>
        <w:rPr>
          <w:rFonts w:ascii="Arial" w:cs="Arial" w:eastAsia="Arial" w:hAnsi="Arial"/>
          <w:sz w:val="22"/>
          <w:szCs w:val="22"/>
          <w:color w:val="auto"/>
        </w:rPr>
        <w:t xml:space="preserve"> A</w:t>
      </w:r>
      <w:r>
        <w:rPr>
          <w:rFonts w:ascii="Arial" w:cs="Arial" w:eastAsia="Arial" w:hAnsi="Arial"/>
          <w:sz w:val="18"/>
          <w:szCs w:val="18"/>
          <w:color w:val="auto"/>
        </w:rPr>
        <w:t>NNUITY</w:t>
      </w:r>
      <w:r>
        <w:rPr>
          <w:rFonts w:ascii="Arial" w:cs="Arial" w:eastAsia="Arial" w:hAnsi="Arial"/>
          <w:sz w:val="22"/>
          <w:szCs w:val="22"/>
          <w:color w:val="auto"/>
        </w:rPr>
        <w:t xml:space="preserve"> &amp; L</w:t>
      </w:r>
      <w:r>
        <w:rPr>
          <w:rFonts w:ascii="Arial" w:cs="Arial" w:eastAsia="Arial" w:hAnsi="Arial"/>
          <w:sz w:val="18"/>
          <w:szCs w:val="18"/>
          <w:color w:val="auto"/>
        </w:rPr>
        <w:t>IFE</w:t>
      </w:r>
      <w:r>
        <w:rPr>
          <w:rFonts w:ascii="Arial" w:cs="Arial" w:eastAsia="Arial" w:hAnsi="Arial"/>
          <w:sz w:val="22"/>
          <w:szCs w:val="22"/>
          <w:color w:val="auto"/>
        </w:rPr>
        <w:t xml:space="preserve"> A</w:t>
      </w:r>
      <w:r>
        <w:rPr>
          <w:rFonts w:ascii="Arial" w:cs="Arial" w:eastAsia="Arial" w:hAnsi="Arial"/>
          <w:sz w:val="18"/>
          <w:szCs w:val="18"/>
          <w:color w:val="auto"/>
        </w:rPr>
        <w:t>SSURANCE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22" w:lineRule="exact"/>
        <w:rPr>
          <w:sz w:val="20"/>
          <w:szCs w:val="20"/>
          <w:color w:val="auto"/>
        </w:rPr>
      </w:pPr>
    </w:p>
    <w:p>
      <w:pPr>
        <w:jc w:val="right"/>
        <w:ind w:right="300"/>
        <w:spacing w:after="0"/>
        <w:rPr>
          <w:sz w:val="20"/>
          <w:szCs w:val="20"/>
          <w:color w:val="auto"/>
        </w:rPr>
      </w:pPr>
      <w:r>
        <w:rPr>
          <w:rFonts w:ascii="Arial" w:cs="Arial" w:eastAsia="Arial" w:hAnsi="Arial"/>
          <w:sz w:val="22"/>
          <w:szCs w:val="22"/>
          <w:color w:val="auto"/>
        </w:rPr>
        <w:t>By: Athene Asset Management LLC, its investment adviser</w:t>
      </w:r>
    </w:p>
    <w:p>
      <w:pPr>
        <w:spacing w:after="0" w:line="200" w:lineRule="exact"/>
        <w:rPr>
          <w:sz w:val="20"/>
          <w:szCs w:val="20"/>
          <w:color w:val="auto"/>
        </w:rPr>
      </w:pPr>
    </w:p>
    <w:p>
      <w:pPr>
        <w:spacing w:after="0" w:line="24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Roger D. Fors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Roger D. Fors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Senior Vice President, 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G</w:t>
      </w:r>
      <w:r>
        <w:rPr>
          <w:rFonts w:ascii="Arial" w:cs="Arial" w:eastAsia="Arial" w:hAnsi="Arial"/>
          <w:sz w:val="18"/>
          <w:szCs w:val="18"/>
          <w:color w:val="auto"/>
        </w:rPr>
        <w:t>ENWORTH</w:t>
      </w:r>
      <w:r>
        <w:rPr>
          <w:rFonts w:ascii="Arial" w:cs="Arial" w:eastAsia="Arial" w:hAnsi="Arial"/>
          <w:sz w:val="22"/>
          <w:szCs w:val="22"/>
          <w:color w:val="auto"/>
        </w:rPr>
        <w:t xml:space="preserve"> L</w:t>
      </w:r>
      <w:r>
        <w:rPr>
          <w:rFonts w:ascii="Arial" w:cs="Arial" w:eastAsia="Arial" w:hAnsi="Arial"/>
          <w:sz w:val="18"/>
          <w:szCs w:val="18"/>
          <w:color w:val="auto"/>
        </w:rPr>
        <w:t>IFE AND</w:t>
      </w:r>
      <w:r>
        <w:rPr>
          <w:rFonts w:ascii="Arial" w:cs="Arial" w:eastAsia="Arial" w:hAnsi="Arial"/>
          <w:sz w:val="22"/>
          <w:szCs w:val="22"/>
          <w:color w:val="auto"/>
        </w:rPr>
        <w:t xml:space="preserve"> A</w:t>
      </w:r>
      <w:r>
        <w:rPr>
          <w:rFonts w:ascii="Arial" w:cs="Arial" w:eastAsia="Arial" w:hAnsi="Arial"/>
          <w:sz w:val="18"/>
          <w:szCs w:val="18"/>
          <w:color w:val="auto"/>
        </w:rPr>
        <w:t>NNUITY</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200" w:lineRule="exact"/>
        <w:rPr>
          <w:sz w:val="20"/>
          <w:szCs w:val="20"/>
          <w:color w:val="auto"/>
        </w:rPr>
      </w:pPr>
    </w:p>
    <w:p>
      <w:pPr>
        <w:spacing w:after="0" w:line="280"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Nikhil J. Jain</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Nikhil J. Jain</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Investment Officer</w:t>
            </w:r>
          </w:p>
        </w:tc>
        <w:tc>
          <w:tcPr>
            <w:tcW w:w="0" w:type="dxa"/>
            <w:vAlign w:val="bottom"/>
          </w:tcPr>
          <w:p>
            <w:pPr>
              <w:spacing w:after="0"/>
              <w:rPr>
                <w:sz w:val="1"/>
                <w:szCs w:val="1"/>
                <w:color w:val="auto"/>
              </w:rPr>
            </w:pPr>
          </w:p>
        </w:tc>
      </w:tr>
      <w:tr>
        <w:trPr>
          <w:trHeight w:val="743"/>
        </w:trPr>
        <w:tc>
          <w:tcPr>
            <w:tcW w:w="5500" w:type="dxa"/>
            <w:vAlign w:val="bottom"/>
            <w:gridSpan w:val="2"/>
          </w:tcPr>
          <w:p>
            <w:pPr>
              <w:spacing w:after="0"/>
              <w:rPr>
                <w:sz w:val="20"/>
                <w:szCs w:val="20"/>
                <w:color w:val="auto"/>
              </w:rPr>
            </w:pPr>
            <w:r>
              <w:rPr>
                <w:rFonts w:ascii="Arial" w:cs="Arial" w:eastAsia="Arial" w:hAnsi="Arial"/>
                <w:sz w:val="22"/>
                <w:szCs w:val="22"/>
                <w:color w:val="auto"/>
              </w:rPr>
              <w:t>G</w:t>
            </w:r>
            <w:r>
              <w:rPr>
                <w:rFonts w:ascii="Arial" w:cs="Arial" w:eastAsia="Arial" w:hAnsi="Arial"/>
                <w:sz w:val="18"/>
                <w:szCs w:val="18"/>
                <w:color w:val="auto"/>
              </w:rPr>
              <w:t>ENWORTH</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tc>
        <w:tc>
          <w:tcPr>
            <w:tcW w:w="0" w:type="dxa"/>
            <w:vAlign w:val="bottom"/>
          </w:tcPr>
          <w:p>
            <w:pPr>
              <w:spacing w:after="0"/>
              <w:rPr>
                <w:sz w:val="1"/>
                <w:szCs w:val="1"/>
                <w:color w:val="auto"/>
              </w:rPr>
            </w:pPr>
          </w:p>
        </w:tc>
      </w:tr>
      <w:tr>
        <w:trPr>
          <w:trHeight w:val="711"/>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Nikhil J. Jain</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Nikhil J. Jain</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Investment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Accepted as of the date first written above.</w:t>
      </w: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J</w:t>
      </w:r>
      <w:r>
        <w:rPr>
          <w:rFonts w:ascii="Arial" w:cs="Arial" w:eastAsia="Arial" w:hAnsi="Arial"/>
          <w:sz w:val="18"/>
          <w:szCs w:val="18"/>
          <w:color w:val="auto"/>
        </w:rPr>
        <w:t>OHN</w:t>
      </w:r>
      <w:r>
        <w:rPr>
          <w:rFonts w:ascii="Arial" w:cs="Arial" w:eastAsia="Arial" w:hAnsi="Arial"/>
          <w:sz w:val="22"/>
          <w:szCs w:val="22"/>
          <w:color w:val="auto"/>
        </w:rPr>
        <w:t xml:space="preserve"> H</w:t>
      </w:r>
      <w:r>
        <w:rPr>
          <w:rFonts w:ascii="Arial" w:cs="Arial" w:eastAsia="Arial" w:hAnsi="Arial"/>
          <w:sz w:val="18"/>
          <w:szCs w:val="18"/>
          <w:color w:val="auto"/>
        </w:rPr>
        <w:t>ANCOCK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r>
        <w:rPr>
          <w:rFonts w:ascii="Arial" w:cs="Arial" w:eastAsia="Arial" w:hAnsi="Arial"/>
          <w:sz w:val="22"/>
          <w:szCs w:val="22"/>
          <w:color w:val="auto"/>
        </w:rPr>
        <w:t xml:space="preserve"> (U.S.A)</w:t>
      </w:r>
    </w:p>
    <w:p>
      <w:pPr>
        <w:spacing w:after="0" w:line="200" w:lineRule="exact"/>
        <w:rPr>
          <w:sz w:val="20"/>
          <w:szCs w:val="20"/>
          <w:color w:val="auto"/>
        </w:rPr>
      </w:pPr>
    </w:p>
    <w:p>
      <w:pPr>
        <w:spacing w:after="0" w:line="280"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Pradeep Killamsetty</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Pradeep Killamsetty</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r>
        <w:trPr>
          <w:trHeight w:val="671"/>
        </w:trPr>
        <w:tc>
          <w:tcPr>
            <w:tcW w:w="5500" w:type="dxa"/>
            <w:vAlign w:val="bottom"/>
            <w:gridSpan w:val="2"/>
          </w:tcPr>
          <w:p>
            <w:pPr>
              <w:spacing w:after="0"/>
              <w:rPr>
                <w:sz w:val="20"/>
                <w:szCs w:val="20"/>
                <w:color w:val="auto"/>
              </w:rPr>
            </w:pPr>
            <w:r>
              <w:rPr>
                <w:rFonts w:ascii="Arial" w:cs="Arial" w:eastAsia="Arial" w:hAnsi="Arial"/>
                <w:sz w:val="22"/>
                <w:szCs w:val="22"/>
                <w:color w:val="auto"/>
              </w:rPr>
              <w:t>J</w:t>
            </w:r>
            <w:r>
              <w:rPr>
                <w:rFonts w:ascii="Arial" w:cs="Arial" w:eastAsia="Arial" w:hAnsi="Arial"/>
                <w:sz w:val="18"/>
                <w:szCs w:val="18"/>
                <w:color w:val="auto"/>
              </w:rPr>
              <w:t>OHN</w:t>
            </w:r>
            <w:r>
              <w:rPr>
                <w:rFonts w:ascii="Arial" w:cs="Arial" w:eastAsia="Arial" w:hAnsi="Arial"/>
                <w:sz w:val="22"/>
                <w:szCs w:val="22"/>
                <w:color w:val="auto"/>
              </w:rPr>
              <w:t xml:space="preserve"> H</w:t>
            </w:r>
            <w:r>
              <w:rPr>
                <w:rFonts w:ascii="Arial" w:cs="Arial" w:eastAsia="Arial" w:hAnsi="Arial"/>
                <w:sz w:val="18"/>
                <w:szCs w:val="18"/>
                <w:color w:val="auto"/>
              </w:rPr>
              <w:t>ANCOCK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 OF</w:t>
            </w:r>
            <w:r>
              <w:rPr>
                <w:rFonts w:ascii="Arial" w:cs="Arial" w:eastAsia="Arial" w:hAnsi="Arial"/>
                <w:sz w:val="22"/>
                <w:szCs w:val="22"/>
                <w:color w:val="auto"/>
              </w:rPr>
              <w:t xml:space="preserve"> N</w:t>
            </w:r>
            <w:r>
              <w:rPr>
                <w:rFonts w:ascii="Arial" w:cs="Arial" w:eastAsia="Arial" w:hAnsi="Arial"/>
                <w:sz w:val="18"/>
                <w:szCs w:val="18"/>
                <w:color w:val="auto"/>
              </w:rPr>
              <w:t>EW</w:t>
            </w:r>
          </w:p>
        </w:tc>
        <w:tc>
          <w:tcPr>
            <w:tcW w:w="0" w:type="dxa"/>
            <w:vAlign w:val="bottom"/>
          </w:tcPr>
          <w:p>
            <w:pPr>
              <w:spacing w:after="0"/>
              <w:rPr>
                <w:sz w:val="1"/>
                <w:szCs w:val="1"/>
                <w:color w:val="auto"/>
              </w:rPr>
            </w:pPr>
          </w:p>
        </w:tc>
      </w:tr>
      <w:tr>
        <w:trPr>
          <w:trHeight w:val="275"/>
        </w:trPr>
        <w:tc>
          <w:tcPr>
            <w:tcW w:w="720" w:type="dxa"/>
            <w:vAlign w:val="bottom"/>
          </w:tcPr>
          <w:p>
            <w:pPr>
              <w:ind w:left="40"/>
              <w:spacing w:after="0"/>
              <w:rPr>
                <w:sz w:val="20"/>
                <w:szCs w:val="20"/>
                <w:color w:val="auto"/>
              </w:rPr>
            </w:pPr>
            <w:r>
              <w:rPr>
                <w:rFonts w:ascii="Arial" w:cs="Arial" w:eastAsia="Arial" w:hAnsi="Arial"/>
                <w:sz w:val="22"/>
                <w:szCs w:val="22"/>
                <w:color w:val="auto"/>
              </w:rPr>
              <w:t>Y</w:t>
            </w:r>
            <w:r>
              <w:rPr>
                <w:rFonts w:ascii="Arial" w:cs="Arial" w:eastAsia="Arial" w:hAnsi="Arial"/>
                <w:sz w:val="18"/>
                <w:szCs w:val="18"/>
                <w:color w:val="auto"/>
              </w:rPr>
              <w:t>ORK</w:t>
            </w:r>
          </w:p>
        </w:tc>
        <w:tc>
          <w:tcPr>
            <w:tcW w:w="4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1"/>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Pradeep Killamsetty</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Pradeep Killamsetty</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r>
        <w:trPr>
          <w:trHeight w:val="689"/>
        </w:trPr>
        <w:tc>
          <w:tcPr>
            <w:tcW w:w="5500" w:type="dxa"/>
            <w:vAlign w:val="bottom"/>
            <w:gridSpan w:val="2"/>
          </w:tcPr>
          <w:p>
            <w:pPr>
              <w:spacing w:after="0"/>
              <w:rPr>
                <w:sz w:val="20"/>
                <w:szCs w:val="20"/>
                <w:color w:val="auto"/>
              </w:rPr>
            </w:pPr>
            <w:r>
              <w:rPr>
                <w:rFonts w:ascii="Arial" w:cs="Arial" w:eastAsia="Arial" w:hAnsi="Arial"/>
                <w:sz w:val="22"/>
                <w:szCs w:val="22"/>
                <w:color w:val="auto"/>
              </w:rPr>
              <w:t>J</w:t>
            </w:r>
            <w:r>
              <w:rPr>
                <w:rFonts w:ascii="Arial" w:cs="Arial" w:eastAsia="Arial" w:hAnsi="Arial"/>
                <w:sz w:val="18"/>
                <w:szCs w:val="18"/>
                <w:color w:val="auto"/>
              </w:rPr>
              <w:t>OHN</w:t>
            </w:r>
            <w:r>
              <w:rPr>
                <w:rFonts w:ascii="Arial" w:cs="Arial" w:eastAsia="Arial" w:hAnsi="Arial"/>
                <w:sz w:val="22"/>
                <w:szCs w:val="22"/>
                <w:color w:val="auto"/>
              </w:rPr>
              <w:t xml:space="preserve"> H</w:t>
            </w:r>
            <w:r>
              <w:rPr>
                <w:rFonts w:ascii="Arial" w:cs="Arial" w:eastAsia="Arial" w:hAnsi="Arial"/>
                <w:sz w:val="18"/>
                <w:szCs w:val="18"/>
                <w:color w:val="auto"/>
              </w:rPr>
              <w:t>ANCOCK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&amp; H</w:t>
            </w:r>
            <w:r>
              <w:rPr>
                <w:rFonts w:ascii="Arial" w:cs="Arial" w:eastAsia="Arial" w:hAnsi="Arial"/>
                <w:sz w:val="18"/>
                <w:szCs w:val="18"/>
                <w:color w:val="auto"/>
              </w:rPr>
              <w:t>EALTH</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tc>
        <w:tc>
          <w:tcPr>
            <w:tcW w:w="0" w:type="dxa"/>
            <w:vAlign w:val="bottom"/>
          </w:tcPr>
          <w:p>
            <w:pPr>
              <w:spacing w:after="0"/>
              <w:rPr>
                <w:sz w:val="1"/>
                <w:szCs w:val="1"/>
                <w:color w:val="auto"/>
              </w:rPr>
            </w:pPr>
          </w:p>
        </w:tc>
      </w:tr>
      <w:tr>
        <w:trPr>
          <w:trHeight w:val="711"/>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Pradeep Killamsetty</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Pradeep Killamsetty</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Accepted as of the date first written above.</w:t>
      </w: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M</w:t>
      </w:r>
      <w:r>
        <w:rPr>
          <w:rFonts w:ascii="Arial" w:cs="Arial" w:eastAsia="Arial" w:hAnsi="Arial"/>
          <w:sz w:val="18"/>
          <w:szCs w:val="18"/>
          <w:color w:val="auto"/>
        </w:rPr>
        <w:t>ETROPOLITAN</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1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MetLife Investment Advisors, LLC, Its Investment</w:t>
      </w:r>
    </w:p>
    <w:p>
      <w:pPr>
        <w:ind w:left="4620"/>
        <w:spacing w:after="0"/>
        <w:rPr>
          <w:sz w:val="20"/>
          <w:szCs w:val="20"/>
          <w:color w:val="auto"/>
        </w:rPr>
      </w:pPr>
      <w:r>
        <w:rPr>
          <w:rFonts w:ascii="Arial" w:cs="Arial" w:eastAsia="Arial" w:hAnsi="Arial"/>
          <w:sz w:val="22"/>
          <w:szCs w:val="22"/>
          <w:color w:val="auto"/>
        </w:rPr>
        <w:t>Manager</w:t>
      </w:r>
    </w:p>
    <w:p>
      <w:pPr>
        <w:spacing w:after="0" w:line="215" w:lineRule="exact"/>
        <w:rPr>
          <w:sz w:val="20"/>
          <w:szCs w:val="20"/>
          <w:color w:val="auto"/>
        </w:rPr>
      </w:pPr>
    </w:p>
    <w:p>
      <w:pPr>
        <w:jc w:val="right"/>
        <w:ind w:right="640"/>
        <w:spacing w:after="0"/>
        <w:rPr>
          <w:sz w:val="20"/>
          <w:szCs w:val="20"/>
          <w:color w:val="auto"/>
        </w:rPr>
      </w:pPr>
      <w:r>
        <w:rPr>
          <w:rFonts w:ascii="Arial" w:cs="Arial" w:eastAsia="Arial" w:hAnsi="Arial"/>
          <w:sz w:val="22"/>
          <w:szCs w:val="22"/>
          <w:color w:val="auto"/>
        </w:rPr>
        <w:t>M</w:t>
      </w:r>
      <w:r>
        <w:rPr>
          <w:rFonts w:ascii="Arial" w:cs="Arial" w:eastAsia="Arial" w:hAnsi="Arial"/>
          <w:sz w:val="18"/>
          <w:szCs w:val="18"/>
          <w:color w:val="auto"/>
        </w:rPr>
        <w:t>ETROPOLITAN</w:t>
      </w:r>
      <w:r>
        <w:rPr>
          <w:rFonts w:ascii="Arial" w:cs="Arial" w:eastAsia="Arial" w:hAnsi="Arial"/>
          <w:sz w:val="22"/>
          <w:szCs w:val="22"/>
          <w:color w:val="auto"/>
        </w:rPr>
        <w:t xml:space="preserve"> T</w:t>
      </w:r>
      <w:r>
        <w:rPr>
          <w:rFonts w:ascii="Arial" w:cs="Arial" w:eastAsia="Arial" w:hAnsi="Arial"/>
          <w:sz w:val="18"/>
          <w:szCs w:val="18"/>
          <w:color w:val="auto"/>
        </w:rPr>
        <w:t>OWER</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1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MetLife Investment Advisors, LLC, Its Investment</w:t>
      </w:r>
    </w:p>
    <w:p>
      <w:pPr>
        <w:ind w:left="4620"/>
        <w:spacing w:after="0"/>
        <w:rPr>
          <w:sz w:val="20"/>
          <w:szCs w:val="20"/>
          <w:color w:val="auto"/>
        </w:rPr>
      </w:pPr>
      <w:r>
        <w:rPr>
          <w:rFonts w:ascii="Arial" w:cs="Arial" w:eastAsia="Arial" w:hAnsi="Arial"/>
          <w:sz w:val="22"/>
          <w:szCs w:val="22"/>
          <w:color w:val="auto"/>
        </w:rPr>
        <w:t>Manager</w:t>
      </w:r>
    </w:p>
    <w:p>
      <w:pPr>
        <w:spacing w:after="0" w:line="21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M</w:t>
      </w:r>
      <w:r>
        <w:rPr>
          <w:rFonts w:ascii="Arial" w:cs="Arial" w:eastAsia="Arial" w:hAnsi="Arial"/>
          <w:sz w:val="18"/>
          <w:szCs w:val="18"/>
          <w:color w:val="auto"/>
        </w:rPr>
        <w:t>ETLIFE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K.K.</w:t>
      </w:r>
    </w:p>
    <w:p>
      <w:pPr>
        <w:spacing w:after="0" w:line="1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MetLife Investment Advisors, LLC, Its Investment</w:t>
      </w:r>
    </w:p>
    <w:p>
      <w:pPr>
        <w:ind w:left="462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248"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John A. Wills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John A. Wills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w:t>
      </w:r>
      <w:r>
        <w:rPr>
          <w:rFonts w:ascii="Arial" w:cs="Arial" w:eastAsia="Arial" w:hAnsi="Arial"/>
          <w:sz w:val="18"/>
          <w:szCs w:val="18"/>
          <w:color w:val="auto"/>
        </w:rPr>
        <w:t>RIGHTHOUSE</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1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MetLife Investment Advisors, LLC, Its Investment</w:t>
      </w:r>
    </w:p>
    <w:p>
      <w:pPr>
        <w:ind w:left="462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248"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Judith A. Gulotta</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Judith A Gulotta</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U</w:t>
      </w:r>
      <w:r>
        <w:rPr>
          <w:rFonts w:ascii="Arial" w:cs="Arial" w:eastAsia="Arial" w:hAnsi="Arial"/>
          <w:sz w:val="18"/>
          <w:szCs w:val="18"/>
          <w:color w:val="auto"/>
        </w:rPr>
        <w:t>NITED OF</w:t>
      </w:r>
      <w:r>
        <w:rPr>
          <w:rFonts w:ascii="Arial" w:cs="Arial" w:eastAsia="Arial" w:hAnsi="Arial"/>
          <w:sz w:val="22"/>
          <w:szCs w:val="22"/>
          <w:color w:val="auto"/>
        </w:rPr>
        <w:t xml:space="preserve"> O</w:t>
      </w:r>
      <w:r>
        <w:rPr>
          <w:rFonts w:ascii="Arial" w:cs="Arial" w:eastAsia="Arial" w:hAnsi="Arial"/>
          <w:sz w:val="18"/>
          <w:szCs w:val="18"/>
          <w:color w:val="auto"/>
        </w:rPr>
        <w:t>MAHA</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200" w:lineRule="exact"/>
        <w:rPr>
          <w:sz w:val="20"/>
          <w:szCs w:val="20"/>
          <w:color w:val="auto"/>
        </w:rPr>
      </w:pPr>
    </w:p>
    <w:p>
      <w:pPr>
        <w:spacing w:after="0" w:line="280"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Lee Martin</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Lee Martin</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Accepted as of the date first written above.</w:t>
      </w: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EW</w:t>
      </w:r>
      <w:r>
        <w:rPr>
          <w:rFonts w:ascii="Arial" w:cs="Arial" w:eastAsia="Arial" w:hAnsi="Arial"/>
          <w:sz w:val="22"/>
          <w:szCs w:val="22"/>
          <w:color w:val="auto"/>
        </w:rPr>
        <w:t xml:space="preserve"> Y</w:t>
      </w:r>
      <w:r>
        <w:rPr>
          <w:rFonts w:ascii="Arial" w:cs="Arial" w:eastAsia="Arial" w:hAnsi="Arial"/>
          <w:sz w:val="18"/>
          <w:szCs w:val="18"/>
          <w:color w:val="auto"/>
        </w:rPr>
        <w:t>ORK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200" w:lineRule="exact"/>
        <w:rPr>
          <w:sz w:val="20"/>
          <w:szCs w:val="20"/>
          <w:color w:val="auto"/>
        </w:rPr>
      </w:pPr>
    </w:p>
    <w:p>
      <w:pPr>
        <w:spacing w:after="0" w:line="280"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Kimberly Stepancic</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Kimberly Stepancic</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Corporate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EW</w:t>
      </w:r>
      <w:r>
        <w:rPr>
          <w:rFonts w:ascii="Arial" w:cs="Arial" w:eastAsia="Arial" w:hAnsi="Arial"/>
          <w:sz w:val="22"/>
          <w:szCs w:val="22"/>
          <w:color w:val="auto"/>
        </w:rPr>
        <w:t xml:space="preserve"> Y</w:t>
      </w:r>
      <w:r>
        <w:rPr>
          <w:rFonts w:ascii="Arial" w:cs="Arial" w:eastAsia="Arial" w:hAnsi="Arial"/>
          <w:sz w:val="18"/>
          <w:szCs w:val="18"/>
          <w:color w:val="auto"/>
        </w:rPr>
        <w:t>ORK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 AND</w:t>
      </w:r>
      <w:r>
        <w:rPr>
          <w:rFonts w:ascii="Arial" w:cs="Arial" w:eastAsia="Arial" w:hAnsi="Arial"/>
          <w:sz w:val="22"/>
          <w:szCs w:val="22"/>
          <w:color w:val="auto"/>
        </w:rPr>
        <w:t xml:space="preserve"> A</w:t>
      </w:r>
      <w:r>
        <w:rPr>
          <w:rFonts w:ascii="Arial" w:cs="Arial" w:eastAsia="Arial" w:hAnsi="Arial"/>
          <w:sz w:val="18"/>
          <w:szCs w:val="18"/>
          <w:color w:val="auto"/>
        </w:rPr>
        <w:t>NNUITY</w:t>
      </w:r>
      <w:r>
        <w:rPr>
          <w:rFonts w:ascii="Arial" w:cs="Arial" w:eastAsia="Arial" w:hAnsi="Arial"/>
          <w:sz w:val="22"/>
          <w:szCs w:val="22"/>
          <w:color w:val="auto"/>
        </w:rPr>
        <w:t xml:space="preserve"> C</w:t>
      </w:r>
      <w:r>
        <w:rPr>
          <w:rFonts w:ascii="Arial" w:cs="Arial" w:eastAsia="Arial" w:hAnsi="Arial"/>
          <w:sz w:val="18"/>
          <w:szCs w:val="18"/>
          <w:color w:val="auto"/>
        </w:rPr>
        <w:t>ORPORATION</w:t>
      </w:r>
    </w:p>
    <w:p>
      <w:pPr>
        <w:spacing w:after="0" w:line="2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NYL Investors LLC, its Investment Manager</w:t>
      </w:r>
    </w:p>
    <w:p>
      <w:pPr>
        <w:spacing w:after="0" w:line="200" w:lineRule="exact"/>
        <w:rPr>
          <w:sz w:val="20"/>
          <w:szCs w:val="20"/>
          <w:color w:val="auto"/>
        </w:rPr>
      </w:pPr>
    </w:p>
    <w:p>
      <w:pPr>
        <w:spacing w:after="0" w:line="24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Kimberly Stepancic</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Kimberly Stepancic</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Senior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EW</w:t>
      </w:r>
      <w:r>
        <w:rPr>
          <w:rFonts w:ascii="Arial" w:cs="Arial" w:eastAsia="Arial" w:hAnsi="Arial"/>
          <w:sz w:val="22"/>
          <w:szCs w:val="22"/>
          <w:color w:val="auto"/>
        </w:rPr>
        <w:t xml:space="preserve"> Y</w:t>
      </w:r>
      <w:r>
        <w:rPr>
          <w:rFonts w:ascii="Arial" w:cs="Arial" w:eastAsia="Arial" w:hAnsi="Arial"/>
          <w:sz w:val="18"/>
          <w:szCs w:val="18"/>
          <w:color w:val="auto"/>
        </w:rPr>
        <w:t>ORK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 AND</w:t>
      </w:r>
      <w:r>
        <w:rPr>
          <w:rFonts w:ascii="Arial" w:cs="Arial" w:eastAsia="Arial" w:hAnsi="Arial"/>
          <w:sz w:val="22"/>
          <w:szCs w:val="22"/>
          <w:color w:val="auto"/>
        </w:rPr>
        <w:t xml:space="preserve"> A</w:t>
      </w:r>
      <w:r>
        <w:rPr>
          <w:rFonts w:ascii="Arial" w:cs="Arial" w:eastAsia="Arial" w:hAnsi="Arial"/>
          <w:sz w:val="18"/>
          <w:szCs w:val="18"/>
          <w:color w:val="auto"/>
        </w:rPr>
        <w:t>NNUITY</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ORPORATION</w:t>
      </w:r>
      <w:r>
        <w:rPr>
          <w:rFonts w:ascii="Arial" w:cs="Arial" w:eastAsia="Arial" w:hAnsi="Arial"/>
          <w:sz w:val="22"/>
          <w:szCs w:val="22"/>
          <w:color w:val="auto"/>
        </w:rPr>
        <w:t xml:space="preserve"> I</w:t>
      </w:r>
      <w:r>
        <w:rPr>
          <w:rFonts w:ascii="Arial" w:cs="Arial" w:eastAsia="Arial" w:hAnsi="Arial"/>
          <w:sz w:val="18"/>
          <w:szCs w:val="18"/>
          <w:color w:val="auto"/>
        </w:rPr>
        <w:t>NSTITUTIONALLY</w:t>
      </w:r>
      <w:r>
        <w:rPr>
          <w:rFonts w:ascii="Arial" w:cs="Arial" w:eastAsia="Arial" w:hAnsi="Arial"/>
          <w:sz w:val="22"/>
          <w:szCs w:val="22"/>
          <w:color w:val="auto"/>
        </w:rPr>
        <w:t xml:space="preserve"> O</w:t>
      </w:r>
      <w:r>
        <w:rPr>
          <w:rFonts w:ascii="Arial" w:cs="Arial" w:eastAsia="Arial" w:hAnsi="Arial"/>
          <w:sz w:val="18"/>
          <w:szCs w:val="18"/>
          <w:color w:val="auto"/>
        </w:rPr>
        <w:t>WNED</w:t>
      </w:r>
      <w:r>
        <w:rPr>
          <w:rFonts w:ascii="Arial" w:cs="Arial" w:eastAsia="Arial" w:hAnsi="Arial"/>
          <w:sz w:val="22"/>
          <w:szCs w:val="22"/>
          <w:color w:val="auto"/>
        </w:rPr>
        <w:t xml:space="preserve"> L</w:t>
      </w:r>
      <w:r>
        <w:rPr>
          <w:rFonts w:ascii="Arial" w:cs="Arial" w:eastAsia="Arial" w:hAnsi="Arial"/>
          <w:sz w:val="18"/>
          <w:szCs w:val="18"/>
          <w:color w:val="auto"/>
        </w:rPr>
        <w:t>IFE</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NSURANCE</w:t>
      </w:r>
      <w:r>
        <w:rPr>
          <w:rFonts w:ascii="Arial" w:cs="Arial" w:eastAsia="Arial" w:hAnsi="Arial"/>
          <w:sz w:val="22"/>
          <w:szCs w:val="22"/>
          <w:color w:val="auto"/>
        </w:rPr>
        <w:t xml:space="preserve"> S</w:t>
      </w:r>
      <w:r>
        <w:rPr>
          <w:rFonts w:ascii="Arial" w:cs="Arial" w:eastAsia="Arial" w:hAnsi="Arial"/>
          <w:sz w:val="18"/>
          <w:szCs w:val="18"/>
          <w:color w:val="auto"/>
        </w:rPr>
        <w:t>EPARATE</w:t>
      </w:r>
      <w:r>
        <w:rPr>
          <w:rFonts w:ascii="Arial" w:cs="Arial" w:eastAsia="Arial" w:hAnsi="Arial"/>
          <w:sz w:val="22"/>
          <w:szCs w:val="22"/>
          <w:color w:val="auto"/>
        </w:rPr>
        <w:t xml:space="preserve"> A</w:t>
      </w:r>
      <w:r>
        <w:rPr>
          <w:rFonts w:ascii="Arial" w:cs="Arial" w:eastAsia="Arial" w:hAnsi="Arial"/>
          <w:sz w:val="18"/>
          <w:szCs w:val="18"/>
          <w:color w:val="auto"/>
        </w:rPr>
        <w:t>CCOUNT</w:t>
      </w:r>
      <w:r>
        <w:rPr>
          <w:rFonts w:ascii="Arial" w:cs="Arial" w:eastAsia="Arial" w:hAnsi="Arial"/>
          <w:sz w:val="22"/>
          <w:szCs w:val="22"/>
          <w:color w:val="auto"/>
        </w:rPr>
        <w:t xml:space="preserve"> (BOLI 30C)</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NYL Investors LLC, its Investment Manager</w:t>
      </w:r>
    </w:p>
    <w:p>
      <w:pPr>
        <w:spacing w:after="0" w:line="200" w:lineRule="exact"/>
        <w:rPr>
          <w:sz w:val="20"/>
          <w:szCs w:val="20"/>
          <w:color w:val="auto"/>
        </w:rPr>
      </w:pPr>
    </w:p>
    <w:p>
      <w:pPr>
        <w:spacing w:after="0" w:line="24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Kimberly Stepancic</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Kimberly Stepancic</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Senior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EW</w:t>
      </w:r>
      <w:r>
        <w:rPr>
          <w:rFonts w:ascii="Arial" w:cs="Arial" w:eastAsia="Arial" w:hAnsi="Arial"/>
          <w:sz w:val="22"/>
          <w:szCs w:val="22"/>
          <w:color w:val="auto"/>
        </w:rPr>
        <w:t xml:space="preserve"> Y</w:t>
      </w:r>
      <w:r>
        <w:rPr>
          <w:rFonts w:ascii="Arial" w:cs="Arial" w:eastAsia="Arial" w:hAnsi="Arial"/>
          <w:sz w:val="18"/>
          <w:szCs w:val="18"/>
          <w:color w:val="auto"/>
        </w:rPr>
        <w:t>ORK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 AND</w:t>
      </w:r>
      <w:r>
        <w:rPr>
          <w:rFonts w:ascii="Arial" w:cs="Arial" w:eastAsia="Arial" w:hAnsi="Arial"/>
          <w:sz w:val="22"/>
          <w:szCs w:val="22"/>
          <w:color w:val="auto"/>
        </w:rPr>
        <w:t xml:space="preserve"> A</w:t>
      </w:r>
      <w:r>
        <w:rPr>
          <w:rFonts w:ascii="Arial" w:cs="Arial" w:eastAsia="Arial" w:hAnsi="Arial"/>
          <w:sz w:val="18"/>
          <w:szCs w:val="18"/>
          <w:color w:val="auto"/>
        </w:rPr>
        <w:t>NNUITY</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ORPORATION</w:t>
      </w:r>
      <w:r>
        <w:rPr>
          <w:rFonts w:ascii="Arial" w:cs="Arial" w:eastAsia="Arial" w:hAnsi="Arial"/>
          <w:sz w:val="22"/>
          <w:szCs w:val="22"/>
          <w:color w:val="auto"/>
        </w:rPr>
        <w:t xml:space="preserve"> I</w:t>
      </w:r>
      <w:r>
        <w:rPr>
          <w:rFonts w:ascii="Arial" w:cs="Arial" w:eastAsia="Arial" w:hAnsi="Arial"/>
          <w:sz w:val="18"/>
          <w:szCs w:val="18"/>
          <w:color w:val="auto"/>
        </w:rPr>
        <w:t>NSTITUTIONALLY</w:t>
      </w:r>
      <w:r>
        <w:rPr>
          <w:rFonts w:ascii="Arial" w:cs="Arial" w:eastAsia="Arial" w:hAnsi="Arial"/>
          <w:sz w:val="22"/>
          <w:szCs w:val="22"/>
          <w:color w:val="auto"/>
        </w:rPr>
        <w:t xml:space="preserve"> O</w:t>
      </w:r>
      <w:r>
        <w:rPr>
          <w:rFonts w:ascii="Arial" w:cs="Arial" w:eastAsia="Arial" w:hAnsi="Arial"/>
          <w:sz w:val="18"/>
          <w:szCs w:val="18"/>
          <w:color w:val="auto"/>
        </w:rPr>
        <w:t>WNED</w:t>
      </w:r>
      <w:r>
        <w:rPr>
          <w:rFonts w:ascii="Arial" w:cs="Arial" w:eastAsia="Arial" w:hAnsi="Arial"/>
          <w:sz w:val="22"/>
          <w:szCs w:val="22"/>
          <w:color w:val="auto"/>
        </w:rPr>
        <w:t xml:space="preserve"> L</w:t>
      </w:r>
      <w:r>
        <w:rPr>
          <w:rFonts w:ascii="Arial" w:cs="Arial" w:eastAsia="Arial" w:hAnsi="Arial"/>
          <w:sz w:val="18"/>
          <w:szCs w:val="18"/>
          <w:color w:val="auto"/>
        </w:rPr>
        <w:t>IFE</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NSURANCE</w:t>
      </w:r>
      <w:r>
        <w:rPr>
          <w:rFonts w:ascii="Arial" w:cs="Arial" w:eastAsia="Arial" w:hAnsi="Arial"/>
          <w:sz w:val="22"/>
          <w:szCs w:val="22"/>
          <w:color w:val="auto"/>
        </w:rPr>
        <w:t xml:space="preserve"> S</w:t>
      </w:r>
      <w:r>
        <w:rPr>
          <w:rFonts w:ascii="Arial" w:cs="Arial" w:eastAsia="Arial" w:hAnsi="Arial"/>
          <w:sz w:val="18"/>
          <w:szCs w:val="18"/>
          <w:color w:val="auto"/>
        </w:rPr>
        <w:t>EPARATE</w:t>
      </w:r>
      <w:r>
        <w:rPr>
          <w:rFonts w:ascii="Arial" w:cs="Arial" w:eastAsia="Arial" w:hAnsi="Arial"/>
          <w:sz w:val="22"/>
          <w:szCs w:val="22"/>
          <w:color w:val="auto"/>
        </w:rPr>
        <w:t xml:space="preserve"> A</w:t>
      </w:r>
      <w:r>
        <w:rPr>
          <w:rFonts w:ascii="Arial" w:cs="Arial" w:eastAsia="Arial" w:hAnsi="Arial"/>
          <w:sz w:val="18"/>
          <w:szCs w:val="18"/>
          <w:color w:val="auto"/>
        </w:rPr>
        <w:t>CCOUNT</w:t>
      </w:r>
      <w:r>
        <w:rPr>
          <w:rFonts w:ascii="Arial" w:cs="Arial" w:eastAsia="Arial" w:hAnsi="Arial"/>
          <w:sz w:val="22"/>
          <w:szCs w:val="22"/>
          <w:color w:val="auto"/>
        </w:rPr>
        <w:t xml:space="preserve"> (BOLI 30E)</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NYL Investors LLC, its Investment Manager</w:t>
      </w:r>
    </w:p>
    <w:p>
      <w:pPr>
        <w:spacing w:after="0" w:line="200" w:lineRule="exact"/>
        <w:rPr>
          <w:sz w:val="20"/>
          <w:szCs w:val="20"/>
          <w:color w:val="auto"/>
        </w:rPr>
      </w:pPr>
    </w:p>
    <w:p>
      <w:pPr>
        <w:spacing w:after="0" w:line="24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Kimberly Stepancic</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Kimberly Stepancic</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Senior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Accepted as of the date first written above.</w:t>
      </w: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EW</w:t>
      </w:r>
      <w:r>
        <w:rPr>
          <w:rFonts w:ascii="Arial" w:cs="Arial" w:eastAsia="Arial" w:hAnsi="Arial"/>
          <w:sz w:val="22"/>
          <w:szCs w:val="22"/>
          <w:color w:val="auto"/>
        </w:rPr>
        <w:t xml:space="preserve"> Y</w:t>
      </w:r>
      <w:r>
        <w:rPr>
          <w:rFonts w:ascii="Arial" w:cs="Arial" w:eastAsia="Arial" w:hAnsi="Arial"/>
          <w:sz w:val="18"/>
          <w:szCs w:val="18"/>
          <w:color w:val="auto"/>
        </w:rPr>
        <w:t>ORK</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 AND</w:t>
      </w:r>
      <w:r>
        <w:rPr>
          <w:rFonts w:ascii="Arial" w:cs="Arial" w:eastAsia="Arial" w:hAnsi="Arial"/>
          <w:sz w:val="22"/>
          <w:szCs w:val="22"/>
          <w:color w:val="auto"/>
        </w:rPr>
        <w:t xml:space="preserve"> A</w:t>
      </w:r>
      <w:r>
        <w:rPr>
          <w:rFonts w:ascii="Arial" w:cs="Arial" w:eastAsia="Arial" w:hAnsi="Arial"/>
          <w:sz w:val="18"/>
          <w:szCs w:val="18"/>
          <w:color w:val="auto"/>
        </w:rPr>
        <w:t>NNUITY</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ORPORATION</w:t>
      </w:r>
      <w:r>
        <w:rPr>
          <w:rFonts w:ascii="Arial" w:cs="Arial" w:eastAsia="Arial" w:hAnsi="Arial"/>
          <w:sz w:val="22"/>
          <w:szCs w:val="22"/>
          <w:color w:val="auto"/>
        </w:rPr>
        <w:t xml:space="preserve"> I</w:t>
      </w:r>
      <w:r>
        <w:rPr>
          <w:rFonts w:ascii="Arial" w:cs="Arial" w:eastAsia="Arial" w:hAnsi="Arial"/>
          <w:sz w:val="18"/>
          <w:szCs w:val="18"/>
          <w:color w:val="auto"/>
        </w:rPr>
        <w:t>NSTITUTIONALLY</w:t>
      </w:r>
      <w:r>
        <w:rPr>
          <w:rFonts w:ascii="Arial" w:cs="Arial" w:eastAsia="Arial" w:hAnsi="Arial"/>
          <w:sz w:val="22"/>
          <w:szCs w:val="22"/>
          <w:color w:val="auto"/>
        </w:rPr>
        <w:t xml:space="preserve"> O</w:t>
      </w:r>
      <w:r>
        <w:rPr>
          <w:rFonts w:ascii="Arial" w:cs="Arial" w:eastAsia="Arial" w:hAnsi="Arial"/>
          <w:sz w:val="18"/>
          <w:szCs w:val="18"/>
          <w:color w:val="auto"/>
        </w:rPr>
        <w:t>WNED</w:t>
      </w:r>
      <w:r>
        <w:rPr>
          <w:rFonts w:ascii="Arial" w:cs="Arial" w:eastAsia="Arial" w:hAnsi="Arial"/>
          <w:sz w:val="22"/>
          <w:szCs w:val="22"/>
          <w:color w:val="auto"/>
        </w:rPr>
        <w:t xml:space="preserve"> L</w:t>
      </w:r>
      <w:r>
        <w:rPr>
          <w:rFonts w:ascii="Arial" w:cs="Arial" w:eastAsia="Arial" w:hAnsi="Arial"/>
          <w:sz w:val="18"/>
          <w:szCs w:val="18"/>
          <w:color w:val="auto"/>
        </w:rPr>
        <w:t>IFE</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NSURANCE</w:t>
      </w:r>
      <w:r>
        <w:rPr>
          <w:rFonts w:ascii="Arial" w:cs="Arial" w:eastAsia="Arial" w:hAnsi="Arial"/>
          <w:sz w:val="22"/>
          <w:szCs w:val="22"/>
          <w:color w:val="auto"/>
        </w:rPr>
        <w:t xml:space="preserve"> S</w:t>
      </w:r>
      <w:r>
        <w:rPr>
          <w:rFonts w:ascii="Arial" w:cs="Arial" w:eastAsia="Arial" w:hAnsi="Arial"/>
          <w:sz w:val="18"/>
          <w:szCs w:val="18"/>
          <w:color w:val="auto"/>
        </w:rPr>
        <w:t>EPARATE</w:t>
      </w:r>
      <w:r>
        <w:rPr>
          <w:rFonts w:ascii="Arial" w:cs="Arial" w:eastAsia="Arial" w:hAnsi="Arial"/>
          <w:sz w:val="22"/>
          <w:szCs w:val="22"/>
          <w:color w:val="auto"/>
        </w:rPr>
        <w:t xml:space="preserve"> A</w:t>
      </w:r>
      <w:r>
        <w:rPr>
          <w:rFonts w:ascii="Arial" w:cs="Arial" w:eastAsia="Arial" w:hAnsi="Arial"/>
          <w:sz w:val="18"/>
          <w:szCs w:val="18"/>
          <w:color w:val="auto"/>
        </w:rPr>
        <w:t>CCOUNT</w:t>
      </w:r>
      <w:r>
        <w:rPr>
          <w:rFonts w:ascii="Arial" w:cs="Arial" w:eastAsia="Arial" w:hAnsi="Arial"/>
          <w:sz w:val="22"/>
          <w:szCs w:val="22"/>
          <w:color w:val="auto"/>
        </w:rPr>
        <w:t xml:space="preserve"> (BOLI 3-2)</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NYL Investors LLC, its Investment Manager</w:t>
      </w:r>
    </w:p>
    <w:p>
      <w:pPr>
        <w:spacing w:after="0" w:line="200" w:lineRule="exact"/>
        <w:rPr>
          <w:sz w:val="20"/>
          <w:szCs w:val="20"/>
          <w:color w:val="auto"/>
        </w:rPr>
      </w:pPr>
    </w:p>
    <w:p>
      <w:pPr>
        <w:spacing w:after="0" w:line="24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Kimberly Stepancic</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Kimberly Stepancic</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Senior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w:t>
      </w:r>
      <w:r>
        <w:rPr>
          <w:rFonts w:ascii="Arial" w:cs="Arial" w:eastAsia="Arial" w:hAnsi="Arial"/>
          <w:sz w:val="18"/>
          <w:szCs w:val="18"/>
          <w:color w:val="auto"/>
        </w:rPr>
        <w:t>HE</w:t>
      </w:r>
      <w:r>
        <w:rPr>
          <w:rFonts w:ascii="Arial" w:cs="Arial" w:eastAsia="Arial" w:hAnsi="Arial"/>
          <w:sz w:val="22"/>
          <w:szCs w:val="22"/>
          <w:color w:val="auto"/>
        </w:rPr>
        <w:t xml:space="preserve"> N</w:t>
      </w:r>
      <w:r>
        <w:rPr>
          <w:rFonts w:ascii="Arial" w:cs="Arial" w:eastAsia="Arial" w:hAnsi="Arial"/>
          <w:sz w:val="18"/>
          <w:szCs w:val="18"/>
          <w:color w:val="auto"/>
        </w:rPr>
        <w:t>ORTHWESTERN</w:t>
      </w:r>
      <w:r>
        <w:rPr>
          <w:rFonts w:ascii="Arial" w:cs="Arial" w:eastAsia="Arial" w:hAnsi="Arial"/>
          <w:sz w:val="22"/>
          <w:szCs w:val="22"/>
          <w:color w:val="auto"/>
        </w:rPr>
        <w:t xml:space="preserve"> M</w:t>
      </w:r>
      <w:r>
        <w:rPr>
          <w:rFonts w:ascii="Arial" w:cs="Arial" w:eastAsia="Arial" w:hAnsi="Arial"/>
          <w:sz w:val="18"/>
          <w:szCs w:val="18"/>
          <w:color w:val="auto"/>
        </w:rPr>
        <w:t>UTUAL</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OMPANY</w:t>
      </w:r>
    </w:p>
    <w:p>
      <w:pPr>
        <w:spacing w:after="0" w:line="4" w:lineRule="exact"/>
        <w:rPr>
          <w:sz w:val="20"/>
          <w:szCs w:val="20"/>
          <w:color w:val="auto"/>
        </w:rPr>
      </w:pPr>
    </w:p>
    <w:p>
      <w:pPr>
        <w:ind w:left="4620" w:right="100"/>
        <w:spacing w:after="0" w:line="237" w:lineRule="auto"/>
        <w:rPr>
          <w:sz w:val="20"/>
          <w:szCs w:val="20"/>
          <w:color w:val="auto"/>
        </w:rPr>
      </w:pPr>
      <w:r>
        <w:rPr>
          <w:rFonts w:ascii="Arial" w:cs="Arial" w:eastAsia="Arial" w:hAnsi="Arial"/>
          <w:sz w:val="22"/>
          <w:szCs w:val="22"/>
          <w:color w:val="auto"/>
        </w:rPr>
        <w:t>By: Northwestern Mutual Investment Management Company, LLC, its Investment Adviser</w:t>
      </w:r>
    </w:p>
    <w:p>
      <w:pPr>
        <w:spacing w:after="0" w:line="200" w:lineRule="exact"/>
        <w:rPr>
          <w:sz w:val="20"/>
          <w:szCs w:val="20"/>
          <w:color w:val="auto"/>
        </w:rPr>
      </w:pPr>
    </w:p>
    <w:p>
      <w:pPr>
        <w:spacing w:after="0" w:line="245"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David A. Barras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David A Barras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w:t>
      </w:r>
      <w:r>
        <w:rPr>
          <w:rFonts w:ascii="Arial" w:cs="Arial" w:eastAsia="Arial" w:hAnsi="Arial"/>
          <w:sz w:val="18"/>
          <w:szCs w:val="18"/>
          <w:color w:val="auto"/>
        </w:rPr>
        <w:t>HE</w:t>
      </w:r>
      <w:r>
        <w:rPr>
          <w:rFonts w:ascii="Arial" w:cs="Arial" w:eastAsia="Arial" w:hAnsi="Arial"/>
          <w:sz w:val="22"/>
          <w:szCs w:val="22"/>
          <w:color w:val="auto"/>
        </w:rPr>
        <w:t xml:space="preserve"> N</w:t>
      </w:r>
      <w:r>
        <w:rPr>
          <w:rFonts w:ascii="Arial" w:cs="Arial" w:eastAsia="Arial" w:hAnsi="Arial"/>
          <w:sz w:val="18"/>
          <w:szCs w:val="18"/>
          <w:color w:val="auto"/>
        </w:rPr>
        <w:t>ORTHWESTERN</w:t>
      </w:r>
      <w:r>
        <w:rPr>
          <w:rFonts w:ascii="Arial" w:cs="Arial" w:eastAsia="Arial" w:hAnsi="Arial"/>
          <w:sz w:val="22"/>
          <w:szCs w:val="22"/>
          <w:color w:val="auto"/>
        </w:rPr>
        <w:t xml:space="preserve"> M</w:t>
      </w:r>
      <w:r>
        <w:rPr>
          <w:rFonts w:ascii="Arial" w:cs="Arial" w:eastAsia="Arial" w:hAnsi="Arial"/>
          <w:sz w:val="18"/>
          <w:szCs w:val="18"/>
          <w:color w:val="auto"/>
        </w:rPr>
        <w:t>UTUAL</w:t>
      </w:r>
      <w:r>
        <w:rPr>
          <w:rFonts w:ascii="Arial" w:cs="Arial" w:eastAsia="Arial" w:hAnsi="Arial"/>
          <w:sz w:val="22"/>
          <w:szCs w:val="22"/>
          <w:color w:val="auto"/>
        </w:rPr>
        <w:t xml:space="preserve"> 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OMPANY</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For its Group Annuity Separate Account</w:t>
      </w:r>
    </w:p>
    <w:p>
      <w:pPr>
        <w:spacing w:after="0" w:line="200" w:lineRule="exact"/>
        <w:rPr>
          <w:sz w:val="20"/>
          <w:szCs w:val="20"/>
          <w:color w:val="auto"/>
        </w:rPr>
      </w:pPr>
    </w:p>
    <w:p>
      <w:pPr>
        <w:spacing w:after="0" w:line="24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David A. Barras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David A Barras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Its Authorized Representative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w:t>
      </w:r>
      <w:r>
        <w:rPr>
          <w:rFonts w:ascii="Arial" w:cs="Arial" w:eastAsia="Arial" w:hAnsi="Arial"/>
          <w:sz w:val="18"/>
          <w:szCs w:val="18"/>
          <w:color w:val="auto"/>
        </w:rPr>
        <w:t>IFE</w:t>
      </w:r>
      <w:r>
        <w:rPr>
          <w:rFonts w:ascii="Arial" w:cs="Arial" w:eastAsia="Arial" w:hAnsi="Arial"/>
          <w:sz w:val="22"/>
          <w:szCs w:val="22"/>
          <w:color w:val="auto"/>
        </w:rPr>
        <w:t xml:space="preserve"> I</w:t>
      </w:r>
      <w:r>
        <w:rPr>
          <w:rFonts w:ascii="Arial" w:cs="Arial" w:eastAsia="Arial" w:hAnsi="Arial"/>
          <w:sz w:val="18"/>
          <w:szCs w:val="18"/>
          <w:color w:val="auto"/>
        </w:rPr>
        <w:t>NSURANCE</w:t>
      </w:r>
      <w:r>
        <w:rPr>
          <w:rFonts w:ascii="Arial" w:cs="Arial" w:eastAsia="Arial" w:hAnsi="Arial"/>
          <w:sz w:val="22"/>
          <w:szCs w:val="22"/>
          <w:color w:val="auto"/>
        </w:rPr>
        <w:t xml:space="preserve"> C</w:t>
      </w:r>
      <w:r>
        <w:rPr>
          <w:rFonts w:ascii="Arial" w:cs="Arial" w:eastAsia="Arial" w:hAnsi="Arial"/>
          <w:sz w:val="18"/>
          <w:szCs w:val="18"/>
          <w:color w:val="auto"/>
        </w:rPr>
        <w:t>OMPANY OF THE</w:t>
      </w:r>
      <w:r>
        <w:rPr>
          <w:rFonts w:ascii="Arial" w:cs="Arial" w:eastAsia="Arial" w:hAnsi="Arial"/>
          <w:sz w:val="22"/>
          <w:szCs w:val="22"/>
          <w:color w:val="auto"/>
        </w:rPr>
        <w:t xml:space="preserve"> S</w:t>
      </w:r>
      <w:r>
        <w:rPr>
          <w:rFonts w:ascii="Arial" w:cs="Arial" w:eastAsia="Arial" w:hAnsi="Arial"/>
          <w:sz w:val="18"/>
          <w:szCs w:val="18"/>
          <w:color w:val="auto"/>
        </w:rPr>
        <w:t>OUTHWEST</w:t>
      </w:r>
    </w:p>
    <w:p>
      <w:pPr>
        <w:spacing w:after="0" w:line="200" w:lineRule="exact"/>
        <w:rPr>
          <w:sz w:val="20"/>
          <w:szCs w:val="20"/>
          <w:color w:val="auto"/>
        </w:rPr>
      </w:pPr>
    </w:p>
    <w:p>
      <w:pPr>
        <w:spacing w:after="0" w:line="280"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Ken Weliczka</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Ken Weliczka</w:t>
            </w:r>
          </w:p>
        </w:tc>
        <w:tc>
          <w:tcPr>
            <w:tcW w:w="0" w:type="dxa"/>
            <w:vAlign w:val="bottom"/>
          </w:tcPr>
          <w:p>
            <w:pPr>
              <w:spacing w:after="0"/>
              <w:rPr>
                <w:sz w:val="1"/>
                <w:szCs w:val="1"/>
                <w:color w:val="auto"/>
              </w:rPr>
            </w:pPr>
          </w:p>
        </w:tc>
      </w:tr>
      <w:tr>
        <w:trPr>
          <w:trHeight w:val="243"/>
        </w:trPr>
        <w:tc>
          <w:tcPr>
            <w:tcW w:w="72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780" w:type="dxa"/>
            <w:vAlign w:val="bottom"/>
          </w:tcPr>
          <w:p>
            <w:pPr>
              <w:spacing w:after="0" w:line="243" w:lineRule="exact"/>
              <w:rPr>
                <w:sz w:val="20"/>
                <w:szCs w:val="20"/>
                <w:color w:val="auto"/>
              </w:rPr>
            </w:pPr>
            <w:r>
              <w:rPr>
                <w:rFonts w:ascii="Arial" w:cs="Arial" w:eastAsia="Arial" w:hAnsi="Arial"/>
                <w:sz w:val="22"/>
                <w:szCs w:val="22"/>
                <w:color w:val="auto"/>
                <w:w w:val="94"/>
              </w:rPr>
              <w:t>Head of Private Credit Sentinel Asset Management,</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1" w:right="879" w:bottom="1440" w:gutter="0" w:footer="0" w:header="0"/>
        </w:sectPr>
      </w:pPr>
    </w:p>
    <w:bookmarkStart w:id="78" w:name="page79"/>
    <w:bookmarkEnd w:id="78"/>
    <w:tbl>
      <w:tblPr>
        <w:tblLayout w:type="fixed"/>
        <w:tblInd w:w="40" w:type="dxa"/>
        <w:tblCellMar>
          <w:top w:w="0" w:type="dxa"/>
          <w:left w:w="0" w:type="dxa"/>
          <w:bottom w:w="0" w:type="dxa"/>
          <w:right w:w="0" w:type="dxa"/>
        </w:tblCellMar>
      </w:tblPr>
      <w:tr>
        <w:trPr>
          <w:trHeight w:val="281"/>
        </w:trPr>
        <w:tc>
          <w:tcPr>
            <w:tcW w:w="2320" w:type="dxa"/>
            <w:vAlign w:val="bottom"/>
          </w:tcPr>
          <w:p>
            <w:pPr>
              <w:spacing w:after="0"/>
              <w:rPr>
                <w:sz w:val="24"/>
                <w:szCs w:val="24"/>
                <w:color w:val="auto"/>
              </w:rPr>
            </w:pPr>
          </w:p>
        </w:tc>
        <w:tc>
          <w:tcPr>
            <w:tcW w:w="6960" w:type="dxa"/>
            <w:vAlign w:val="bottom"/>
            <w:gridSpan w:val="2"/>
          </w:tcPr>
          <w:p>
            <w:pPr>
              <w:jc w:val="center"/>
              <w:ind w:right="2541"/>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8"/>
                <w:szCs w:val="18"/>
                <w:b w:val="1"/>
                <w:bCs w:val="1"/>
                <w:color w:val="auto"/>
              </w:rPr>
              <w:t>NFORMATION</w:t>
            </w:r>
            <w:r>
              <w:rPr>
                <w:rFonts w:ascii="Arial" w:cs="Arial" w:eastAsia="Arial" w:hAnsi="Arial"/>
                <w:sz w:val="22"/>
                <w:szCs w:val="22"/>
                <w:b w:val="1"/>
                <w:bCs w:val="1"/>
                <w:color w:val="auto"/>
              </w:rPr>
              <w:t xml:space="preserve"> R</w:t>
            </w:r>
            <w:r>
              <w:rPr>
                <w:rFonts w:ascii="Arial" w:cs="Arial" w:eastAsia="Arial" w:hAnsi="Arial"/>
                <w:sz w:val="18"/>
                <w:szCs w:val="18"/>
                <w:b w:val="1"/>
                <w:bCs w:val="1"/>
                <w:color w:val="auto"/>
              </w:rPr>
              <w:t>ELATING TO</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URCHASERS</w:t>
            </w:r>
          </w:p>
        </w:tc>
        <w:tc>
          <w:tcPr>
            <w:tcW w:w="0" w:type="dxa"/>
            <w:vAlign w:val="bottom"/>
          </w:tcPr>
          <w:p>
            <w:pPr>
              <w:spacing w:after="0"/>
              <w:rPr>
                <w:sz w:val="1"/>
                <w:szCs w:val="1"/>
                <w:color w:val="auto"/>
              </w:rPr>
            </w:pPr>
          </w:p>
        </w:tc>
      </w:tr>
      <w:tr>
        <w:trPr>
          <w:trHeight w:val="698"/>
        </w:trPr>
        <w:tc>
          <w:tcPr>
            <w:tcW w:w="2320" w:type="dxa"/>
            <w:vAlign w:val="bottom"/>
          </w:tcPr>
          <w:p>
            <w:pPr>
              <w:jc w:val="center"/>
              <w:ind w:right="1"/>
              <w:spacing w:after="0"/>
              <w:rPr>
                <w:sz w:val="20"/>
                <w:szCs w:val="20"/>
                <w:color w:val="auto"/>
              </w:rPr>
            </w:pPr>
            <w:r>
              <w:rPr>
                <w:rFonts w:ascii="Arial" w:cs="Arial" w:eastAsia="Arial" w:hAnsi="Arial"/>
                <w:sz w:val="22"/>
                <w:szCs w:val="22"/>
                <w:color w:val="auto"/>
                <w:w w:val="99"/>
              </w:rPr>
              <w:t>N</w:t>
            </w:r>
            <w:r>
              <w:rPr>
                <w:rFonts w:ascii="Arial" w:cs="Arial" w:eastAsia="Arial" w:hAnsi="Arial"/>
                <w:sz w:val="18"/>
                <w:szCs w:val="18"/>
                <w:color w:val="auto"/>
                <w:w w:val="99"/>
              </w:rPr>
              <w:t>AME OF AND</w:t>
            </w:r>
            <w:r>
              <w:rPr>
                <w:rFonts w:ascii="Arial" w:cs="Arial" w:eastAsia="Arial" w:hAnsi="Arial"/>
                <w:sz w:val="22"/>
                <w:szCs w:val="22"/>
                <w:color w:val="auto"/>
                <w:w w:val="99"/>
              </w:rPr>
              <w:t xml:space="preserve"> A</w:t>
            </w:r>
            <w:r>
              <w:rPr>
                <w:rFonts w:ascii="Arial" w:cs="Arial" w:eastAsia="Arial" w:hAnsi="Arial"/>
                <w:sz w:val="18"/>
                <w:szCs w:val="18"/>
                <w:color w:val="auto"/>
                <w:w w:val="99"/>
              </w:rPr>
              <w:t>DDRESS</w:t>
            </w:r>
          </w:p>
        </w:tc>
        <w:tc>
          <w:tcPr>
            <w:tcW w:w="3380" w:type="dxa"/>
            <w:vAlign w:val="bottom"/>
            <w:vMerge w:val="restart"/>
          </w:tcPr>
          <w:p>
            <w:pPr>
              <w:jc w:val="center"/>
              <w:ind w:left="858"/>
              <w:spacing w:after="0"/>
              <w:rPr>
                <w:sz w:val="20"/>
                <w:szCs w:val="20"/>
                <w:color w:val="auto"/>
              </w:rPr>
            </w:pPr>
            <w:r>
              <w:rPr>
                <w:rFonts w:ascii="Arial" w:cs="Arial" w:eastAsia="Arial" w:hAnsi="Arial"/>
                <w:sz w:val="22"/>
                <w:szCs w:val="22"/>
                <w:color w:val="auto"/>
                <w:w w:val="90"/>
              </w:rPr>
              <w:t>S</w:t>
            </w:r>
            <w:r>
              <w:rPr>
                <w:rFonts w:ascii="Arial" w:cs="Arial" w:eastAsia="Arial" w:hAnsi="Arial"/>
                <w:sz w:val="18"/>
                <w:szCs w:val="18"/>
                <w:color w:val="auto"/>
                <w:w w:val="90"/>
              </w:rPr>
              <w:t>ERIES</w:t>
            </w:r>
          </w:p>
        </w:tc>
        <w:tc>
          <w:tcPr>
            <w:tcW w:w="3580" w:type="dxa"/>
            <w:vAlign w:val="bottom"/>
          </w:tcPr>
          <w:p>
            <w:pPr>
              <w:jc w:val="center"/>
              <w:ind w:left="621"/>
              <w:spacing w:after="0"/>
              <w:rPr>
                <w:sz w:val="20"/>
                <w:szCs w:val="20"/>
                <w:color w:val="auto"/>
              </w:rPr>
            </w:pPr>
            <w:r>
              <w:rPr>
                <w:rFonts w:ascii="Arial" w:cs="Arial" w:eastAsia="Arial" w:hAnsi="Arial"/>
                <w:sz w:val="22"/>
                <w:szCs w:val="22"/>
                <w:color w:val="auto"/>
                <w:w w:val="99"/>
              </w:rPr>
              <w:t>P</w:t>
            </w:r>
            <w:r>
              <w:rPr>
                <w:rFonts w:ascii="Arial" w:cs="Arial" w:eastAsia="Arial" w:hAnsi="Arial"/>
                <w:sz w:val="18"/>
                <w:szCs w:val="18"/>
                <w:color w:val="auto"/>
                <w:w w:val="99"/>
              </w:rPr>
              <w:t>RINCIPAL</w:t>
            </w:r>
            <w:r>
              <w:rPr>
                <w:rFonts w:ascii="Arial" w:cs="Arial" w:eastAsia="Arial" w:hAnsi="Arial"/>
                <w:sz w:val="22"/>
                <w:szCs w:val="22"/>
                <w:color w:val="auto"/>
                <w:w w:val="99"/>
              </w:rPr>
              <w:t xml:space="preserve"> A</w:t>
            </w:r>
            <w:r>
              <w:rPr>
                <w:rFonts w:ascii="Arial" w:cs="Arial" w:eastAsia="Arial" w:hAnsi="Arial"/>
                <w:sz w:val="18"/>
                <w:szCs w:val="18"/>
                <w:color w:val="auto"/>
                <w:w w:val="99"/>
              </w:rPr>
              <w:t>MOUNT OF</w:t>
            </w:r>
            <w:r>
              <w:rPr>
                <w:rFonts w:ascii="Arial" w:cs="Arial" w:eastAsia="Arial" w:hAnsi="Arial"/>
                <w:sz w:val="22"/>
                <w:szCs w:val="22"/>
                <w:color w:val="auto"/>
                <w:w w:val="99"/>
              </w:rPr>
              <w:t xml:space="preserve"> B</w:t>
            </w:r>
            <w:r>
              <w:rPr>
                <w:rFonts w:ascii="Arial" w:cs="Arial" w:eastAsia="Arial" w:hAnsi="Arial"/>
                <w:sz w:val="18"/>
                <w:szCs w:val="18"/>
                <w:color w:val="auto"/>
                <w:w w:val="99"/>
              </w:rPr>
              <w:t>ONDS</w:t>
            </w:r>
          </w:p>
        </w:tc>
        <w:tc>
          <w:tcPr>
            <w:tcW w:w="0" w:type="dxa"/>
            <w:vAlign w:val="bottom"/>
          </w:tcPr>
          <w:p>
            <w:pPr>
              <w:spacing w:after="0"/>
              <w:rPr>
                <w:sz w:val="1"/>
                <w:szCs w:val="1"/>
                <w:color w:val="auto"/>
              </w:rPr>
            </w:pPr>
          </w:p>
        </w:tc>
      </w:tr>
      <w:tr>
        <w:trPr>
          <w:trHeight w:val="216"/>
        </w:trPr>
        <w:tc>
          <w:tcPr>
            <w:tcW w:w="2320" w:type="dxa"/>
            <w:vAlign w:val="bottom"/>
          </w:tcPr>
          <w:p>
            <w:pPr>
              <w:jc w:val="center"/>
              <w:ind w:right="1"/>
              <w:spacing w:after="0" w:line="216" w:lineRule="exact"/>
              <w:rPr>
                <w:sz w:val="20"/>
                <w:szCs w:val="20"/>
                <w:color w:val="auto"/>
              </w:rPr>
            </w:pPr>
            <w:r>
              <w:rPr>
                <w:rFonts w:ascii="Arial" w:cs="Arial" w:eastAsia="Arial" w:hAnsi="Arial"/>
                <w:sz w:val="18"/>
                <w:szCs w:val="18"/>
                <w:color w:val="auto"/>
                <w:w w:val="97"/>
              </w:rPr>
              <w:t xml:space="preserve">OF </w:t>
            </w:r>
            <w:r>
              <w:rPr>
                <w:rFonts w:ascii="Arial" w:cs="Arial" w:eastAsia="Arial" w:hAnsi="Arial"/>
                <w:sz w:val="21"/>
                <w:szCs w:val="21"/>
                <w:color w:val="auto"/>
                <w:w w:val="97"/>
              </w:rPr>
              <w:t>P</w:t>
            </w:r>
            <w:r>
              <w:rPr>
                <w:rFonts w:ascii="Arial" w:cs="Arial" w:eastAsia="Arial" w:hAnsi="Arial"/>
                <w:sz w:val="18"/>
                <w:szCs w:val="18"/>
                <w:color w:val="auto"/>
                <w:w w:val="97"/>
              </w:rPr>
              <w:t>URCHASER</w:t>
            </w:r>
          </w:p>
        </w:tc>
        <w:tc>
          <w:tcPr>
            <w:tcW w:w="3380" w:type="dxa"/>
            <w:vAlign w:val="bottom"/>
            <w:vMerge w:val="continue"/>
          </w:tcPr>
          <w:p>
            <w:pPr>
              <w:spacing w:after="0"/>
              <w:rPr>
                <w:sz w:val="18"/>
                <w:szCs w:val="18"/>
                <w:color w:val="auto"/>
              </w:rPr>
            </w:pPr>
          </w:p>
        </w:tc>
        <w:tc>
          <w:tcPr>
            <w:tcW w:w="3580" w:type="dxa"/>
            <w:vAlign w:val="bottom"/>
          </w:tcPr>
          <w:p>
            <w:pPr>
              <w:jc w:val="center"/>
              <w:ind w:left="621"/>
              <w:spacing w:after="0" w:line="216" w:lineRule="exact"/>
              <w:rPr>
                <w:sz w:val="20"/>
                <w:szCs w:val="20"/>
                <w:color w:val="auto"/>
              </w:rPr>
            </w:pPr>
            <w:r>
              <w:rPr>
                <w:rFonts w:ascii="Arial" w:cs="Arial" w:eastAsia="Arial" w:hAnsi="Arial"/>
                <w:sz w:val="18"/>
                <w:szCs w:val="18"/>
                <w:color w:val="auto"/>
                <w:w w:val="95"/>
              </w:rPr>
              <w:t xml:space="preserve">TO BE </w:t>
            </w:r>
            <w:r>
              <w:rPr>
                <w:rFonts w:ascii="Arial" w:cs="Arial" w:eastAsia="Arial" w:hAnsi="Arial"/>
                <w:sz w:val="21"/>
                <w:szCs w:val="21"/>
                <w:color w:val="auto"/>
                <w:w w:val="95"/>
              </w:rPr>
              <w:t>P</w:t>
            </w:r>
            <w:r>
              <w:rPr>
                <w:rFonts w:ascii="Arial" w:cs="Arial" w:eastAsia="Arial" w:hAnsi="Arial"/>
                <w:sz w:val="18"/>
                <w:szCs w:val="18"/>
                <w:color w:val="auto"/>
                <w:w w:val="95"/>
              </w:rPr>
              <w:t>URCHASED</w:t>
            </w:r>
          </w:p>
        </w:tc>
        <w:tc>
          <w:tcPr>
            <w:tcW w:w="0" w:type="dxa"/>
            <w:vAlign w:val="bottom"/>
          </w:tcPr>
          <w:p>
            <w:pPr>
              <w:spacing w:after="0"/>
              <w:rPr>
                <w:sz w:val="1"/>
                <w:szCs w:val="1"/>
                <w:color w:val="auto"/>
              </w:rPr>
            </w:pPr>
          </w:p>
        </w:tc>
      </w:tr>
      <w:tr>
        <w:trPr>
          <w:trHeight w:val="275"/>
        </w:trPr>
        <w:tc>
          <w:tcPr>
            <w:tcW w:w="2320" w:type="dxa"/>
            <w:vAlign w:val="bottom"/>
          </w:tcPr>
          <w:p>
            <w:pPr>
              <w:spacing w:after="0"/>
              <w:rPr>
                <w:sz w:val="23"/>
                <w:szCs w:val="23"/>
                <w:color w:val="auto"/>
              </w:rPr>
            </w:pPr>
          </w:p>
        </w:tc>
        <w:tc>
          <w:tcPr>
            <w:tcW w:w="3380" w:type="dxa"/>
            <w:vAlign w:val="bottom"/>
          </w:tcPr>
          <w:p>
            <w:pPr>
              <w:jc w:val="center"/>
              <w:ind w:left="838"/>
              <w:spacing w:after="0"/>
              <w:rPr>
                <w:sz w:val="20"/>
                <w:szCs w:val="20"/>
                <w:color w:val="auto"/>
              </w:rPr>
            </w:pPr>
            <w:r>
              <w:rPr>
                <w:rFonts w:ascii="Arial" w:cs="Arial" w:eastAsia="Arial" w:hAnsi="Arial"/>
                <w:sz w:val="18"/>
                <w:szCs w:val="18"/>
                <w:color w:val="auto"/>
                <w:w w:val="99"/>
              </w:rPr>
              <w:t xml:space="preserve">OF </w:t>
            </w:r>
            <w:r>
              <w:rPr>
                <w:rFonts w:ascii="Arial" w:cs="Arial" w:eastAsia="Arial" w:hAnsi="Arial"/>
                <w:sz w:val="21"/>
                <w:szCs w:val="21"/>
                <w:color w:val="auto"/>
                <w:w w:val="99"/>
              </w:rPr>
              <w:t>B</w:t>
            </w:r>
            <w:r>
              <w:rPr>
                <w:rFonts w:ascii="Arial" w:cs="Arial" w:eastAsia="Arial" w:hAnsi="Arial"/>
                <w:sz w:val="18"/>
                <w:szCs w:val="18"/>
                <w:color w:val="auto"/>
                <w:w w:val="99"/>
              </w:rPr>
              <w:t>ONDS</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A</w:t>
      </w:r>
    </w:p>
    <w:p>
      <w:pPr>
        <w:spacing w:after="0" w:line="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240665</wp:posOffset>
            </wp:positionV>
            <wp:extent cx="646557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320"/>
          </w:cols>
          <w:pgMar w:left="1440" w:top="666" w:right="11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EFINED</w:t>
      </w:r>
      <w:r>
        <w:rPr>
          <w:rFonts w:ascii="Arial" w:cs="Arial" w:eastAsia="Arial" w:hAnsi="Arial"/>
          <w:sz w:val="22"/>
          <w:szCs w:val="22"/>
          <w:b w:val="1"/>
          <w:bCs w:val="1"/>
          <w:color w:val="auto"/>
        </w:rPr>
        <w:t xml:space="preserve"> T</w:t>
      </w:r>
      <w:r>
        <w:rPr>
          <w:rFonts w:ascii="Arial" w:cs="Arial" w:eastAsia="Arial" w:hAnsi="Arial"/>
          <w:sz w:val="18"/>
          <w:szCs w:val="18"/>
          <w:b w:val="1"/>
          <w:bCs w:val="1"/>
          <w:color w:val="auto"/>
        </w:rPr>
        <w:t>ERMS</w:t>
      </w:r>
    </w:p>
    <w:p>
      <w:pPr>
        <w:spacing w:after="0" w:line="23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“4.02% Series due 2049 Bonds”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“4.07% Series due 2054 Bonds”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“4.12% Series due 2059 Bonds” </w:t>
      </w:r>
      <w:r>
        <w:rPr>
          <w:rFonts w:ascii="Arial" w:cs="Arial" w:eastAsia="Arial" w:hAnsi="Arial"/>
          <w:sz w:val="22"/>
          <w:szCs w:val="22"/>
          <w:color w:val="auto"/>
        </w:rPr>
        <w:t>is defined in Section 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“4.09% Series due 2054 Bonds”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“4.13% Series due 2058 Bonds”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“4.14% Series due 2059 Bonds” </w:t>
      </w:r>
      <w:r>
        <w:rPr>
          <w:rFonts w:ascii="Arial" w:cs="Arial" w:eastAsia="Arial" w:hAnsi="Arial"/>
          <w:sz w:val="22"/>
          <w:szCs w:val="22"/>
          <w:color w:val="auto"/>
        </w:rPr>
        <w:t>is defined in Section 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“55th Supplement”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“56th Supplement” </w:t>
      </w:r>
      <w:r>
        <w:rPr>
          <w:rFonts w:ascii="Arial" w:cs="Arial" w:eastAsia="Arial" w:hAnsi="Arial"/>
          <w:sz w:val="22"/>
          <w:szCs w:val="22"/>
          <w:color w:val="auto"/>
        </w:rPr>
        <w:t>is defined in Section 1.</w:t>
      </w:r>
    </w:p>
    <w:p>
      <w:pPr>
        <w:spacing w:after="0" w:line="22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i w:val="1"/>
          <w:iCs w:val="1"/>
          <w:color w:val="auto"/>
        </w:rPr>
        <w:t xml:space="preserve">“Affiliate” </w:t>
      </w:r>
      <w:r>
        <w:rPr>
          <w:rFonts w:ascii="Arial" w:cs="Arial" w:eastAsia="Arial" w:hAnsi="Arial"/>
          <w:sz w:val="21"/>
          <w:szCs w:val="21"/>
          <w:color w:val="auto"/>
        </w:rPr>
        <w:t>means, at any time, and with respect to any Person, any other Person that at such time directly or</w:t>
      </w:r>
      <w:r>
        <w:rPr>
          <w:rFonts w:ascii="Arial" w:cs="Arial" w:eastAsia="Arial" w:hAnsi="Arial"/>
          <w:sz w:val="21"/>
          <w:szCs w:val="21"/>
          <w:i w:val="1"/>
          <w:iCs w:val="1"/>
          <w:color w:val="auto"/>
        </w:rPr>
        <w:t xml:space="preserve"> </w:t>
      </w:r>
      <w:r>
        <w:rPr>
          <w:rFonts w:ascii="Arial" w:cs="Arial" w:eastAsia="Arial" w:hAnsi="Arial"/>
          <w:sz w:val="21"/>
          <w:szCs w:val="21"/>
          <w:color w:val="auto"/>
        </w:rPr>
        <w:t>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21"/>
          <w:szCs w:val="21"/>
          <w:i w:val="1"/>
          <w:iCs w:val="1"/>
          <w:color w:val="auto"/>
        </w:rPr>
        <w:t>Affiliate</w:t>
      </w:r>
      <w:r>
        <w:rPr>
          <w:rFonts w:ascii="Arial" w:cs="Arial" w:eastAsia="Arial" w:hAnsi="Arial"/>
          <w:sz w:val="21"/>
          <w:szCs w:val="21"/>
          <w:color w:val="auto"/>
        </w:rPr>
        <w:t>” is a reference to an Affiliate of the Company.</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 attached 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200"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 regarding</w:t>
      </w:r>
      <w:r>
        <w:rPr>
          <w:rFonts w:ascii="Arial" w:cs="Arial" w:eastAsia="Arial" w:hAnsi="Arial"/>
          <w:sz w:val="22"/>
          <w:szCs w:val="22"/>
          <w:i w:val="1"/>
          <w:iCs w:val="1"/>
          <w:color w:val="auto"/>
        </w:rPr>
        <w:t xml:space="preserve"> </w:t>
      </w:r>
      <w:r>
        <w:rPr>
          <w:rFonts w:ascii="Arial" w:cs="Arial" w:eastAsia="Arial" w:hAnsi="Arial"/>
          <w:sz w:val="22"/>
          <w:szCs w:val="22"/>
          <w:color w:val="auto"/>
        </w:rPr>
        <w:t>bribery or any other corrupt activity, including the U.S. Foreign Corrupt Practices Act and the U.K. Bribery Act 2010.</w:t>
      </w:r>
    </w:p>
    <w:p>
      <w:pPr>
        <w:spacing w:after="0" w:line="200" w:lineRule="exact"/>
        <w:rPr>
          <w:sz w:val="20"/>
          <w:szCs w:val="20"/>
          <w:color w:val="auto"/>
        </w:rPr>
      </w:pPr>
    </w:p>
    <w:p>
      <w:pPr>
        <w:jc w:val="both"/>
        <w:ind w:firstLine="648"/>
        <w:spacing w:after="0" w:line="230"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Money Laundering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money laundering, drug trafficking, terrorist</w:t>
      </w:r>
      <w:r>
        <w:rPr>
          <w:rFonts w:ascii="MS PGothic" w:cs="MS PGothic" w:eastAsia="MS PGothic" w:hAnsi="MS PGothic"/>
          <w:sz w:val="22"/>
          <w:szCs w:val="22"/>
          <w:color w:val="auto"/>
        </w:rPr>
        <w:t>‑</w:t>
      </w:r>
      <w:r>
        <w:rPr>
          <w:rFonts w:ascii="Arial" w:cs="Arial" w:eastAsia="Arial" w:hAnsi="Arial"/>
          <w:sz w:val="22"/>
          <w:szCs w:val="22"/>
          <w:color w:val="auto"/>
        </w:rPr>
        <w:t>related activities or other money laundering predicate crimes, including the Currency and Foreign Transactions Reporting Act of 1970 (otherwise known as the Bank Secrecy Act) and the USA Patriot Act.</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 Designated Nationals and</w:t>
      </w:r>
      <w:r>
        <w:rPr>
          <w:rFonts w:ascii="Arial" w:cs="Arial" w:eastAsia="Arial" w:hAnsi="Arial"/>
          <w:sz w:val="19"/>
          <w:szCs w:val="19"/>
          <w:i w:val="1"/>
          <w:iCs w:val="1"/>
          <w:color w:val="auto"/>
        </w:rPr>
        <w:t xml:space="preserve"> </w:t>
      </w:r>
      <w:r>
        <w:rPr>
          <w:rFonts w:ascii="Arial" w:cs="Arial" w:eastAsia="Arial" w:hAnsi="Arial"/>
          <w:sz w:val="19"/>
          <w:szCs w:val="19"/>
          <w:color w:val="auto"/>
        </w:rPr>
        <w:t>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 Section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52070</wp:posOffset>
            </wp:positionV>
            <wp:extent cx="646557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666" w:right="899" w:bottom="1440" w:gutter="0" w:footer="0" w:header="0"/>
        </w:sectPr>
      </w:pPr>
    </w:p>
    <w:bookmarkStart w:id="80" w:name="page81"/>
    <w:bookmarkEnd w:id="80"/>
    <w:p>
      <w:pPr>
        <w:jc w:val="both"/>
        <w:ind w:right="20" w:firstLine="648"/>
        <w:spacing w:after="0" w:line="223" w:lineRule="auto"/>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 than a Saturday, a</w:t>
      </w:r>
      <w:r>
        <w:rPr>
          <w:rFonts w:ascii="Arial" w:cs="Arial" w:eastAsia="Arial" w:hAnsi="Arial"/>
          <w:sz w:val="22"/>
          <w:szCs w:val="22"/>
          <w:i w:val="1"/>
          <w:iCs w:val="1"/>
          <w:color w:val="auto"/>
        </w:rPr>
        <w:t xml:space="preserve"> </w:t>
      </w:r>
      <w:r>
        <w:rPr>
          <w:rFonts w:ascii="Arial" w:cs="Arial" w:eastAsia="Arial" w:hAnsi="Arial"/>
          <w:sz w:val="22"/>
          <w:szCs w:val="22"/>
          <w:color w:val="auto"/>
        </w:rPr>
        <w:t>Sunday or a day on which commercial banks in New York, New York or Philadelphia, Pennsylvania are required or authorized to be closed.</w:t>
      </w:r>
    </w:p>
    <w:p>
      <w:pPr>
        <w:spacing w:after="0" w:line="18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i w:val="1"/>
          <w:iCs w:val="1"/>
          <w:color w:val="auto"/>
        </w:rPr>
        <w:t xml:space="preserve">“Capital Lease” </w:t>
      </w:r>
      <w:r>
        <w:rPr>
          <w:rFonts w:ascii="Arial" w:cs="Arial" w:eastAsia="Arial" w:hAnsi="Arial"/>
          <w:sz w:val="21"/>
          <w:szCs w:val="21"/>
          <w:color w:val="auto"/>
        </w:rPr>
        <w:t>means, at any time, a lease with respect to which the lessee is required concurrently to</w:t>
      </w:r>
      <w:r>
        <w:rPr>
          <w:rFonts w:ascii="Arial" w:cs="Arial" w:eastAsia="Arial" w:hAnsi="Arial"/>
          <w:sz w:val="21"/>
          <w:szCs w:val="21"/>
          <w:i w:val="1"/>
          <w:iCs w:val="1"/>
          <w:color w:val="auto"/>
        </w:rPr>
        <w:t xml:space="preserve"> </w:t>
      </w:r>
      <w:r>
        <w:rPr>
          <w:rFonts w:ascii="Arial" w:cs="Arial" w:eastAsia="Arial" w:hAnsi="Arial"/>
          <w:sz w:val="21"/>
          <w:szCs w:val="21"/>
          <w:color w:val="auto"/>
        </w:rPr>
        <w:t>recognize the acquisition of an asset and the incurrence of a liability in accordance with GAAP.</w:t>
      </w:r>
    </w:p>
    <w:p>
      <w:pPr>
        <w:spacing w:after="0" w:line="192"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 xml:space="preserve">“Capital Lease Obligation” </w:t>
      </w:r>
      <w:r>
        <w:rPr>
          <w:rFonts w:ascii="Arial" w:cs="Arial" w:eastAsia="Arial" w:hAnsi="Arial"/>
          <w:sz w:val="22"/>
          <w:szCs w:val="22"/>
          <w:color w:val="auto"/>
        </w:rPr>
        <w:t>means, with respect to any Person and a Capital Lease, the amount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 of such Person as the lessee under such Capital Lease which would, in accordance with GAAP, appear as a liability on a balance sheet of such Person.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 Section 3.</w:t>
      </w:r>
    </w:p>
    <w:p>
      <w:pPr>
        <w:spacing w:after="0" w:line="20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 rules and</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promulgated thereunder from time to time.</w:t>
      </w:r>
    </w:p>
    <w:p>
      <w:pPr>
        <w:spacing w:after="0" w:line="20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Aqua Pennsylvania, Inc., a corporation existing under the laws of the Commonwealth of</w:t>
      </w:r>
      <w:r>
        <w:rPr>
          <w:rFonts w:ascii="Arial" w:cs="Arial" w:eastAsia="Arial" w:hAnsi="Arial"/>
          <w:sz w:val="22"/>
          <w:szCs w:val="22"/>
          <w:i w:val="1"/>
          <w:iCs w:val="1"/>
          <w:color w:val="auto"/>
        </w:rPr>
        <w:t xml:space="preserve"> </w:t>
      </w:r>
      <w:r>
        <w:rPr>
          <w:rFonts w:ascii="Arial" w:cs="Arial" w:eastAsia="Arial" w:hAnsi="Arial"/>
          <w:sz w:val="22"/>
          <w:szCs w:val="22"/>
          <w:color w:val="auto"/>
        </w:rPr>
        <w:t>Pennsylvania.</w:t>
      </w:r>
    </w:p>
    <w:p>
      <w:pPr>
        <w:spacing w:after="0" w:line="20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Controlled Entity</w:t>
      </w:r>
      <w:r>
        <w:rPr>
          <w:rFonts w:ascii="Arial" w:cs="Arial" w:eastAsia="Arial" w:hAnsi="Arial"/>
          <w:sz w:val="22"/>
          <w:szCs w:val="22"/>
          <w:color w:val="auto"/>
        </w:rPr>
        <w:t>” means any of the Subsidiaries of the Company and any of their or the Company’s respective Controlled Affiliates. As used in this definition, “</w:t>
      </w:r>
      <w:r>
        <w:rPr>
          <w:rFonts w:ascii="Arial" w:cs="Arial" w:eastAsia="Arial" w:hAnsi="Arial"/>
          <w:sz w:val="22"/>
          <w:szCs w:val="22"/>
          <w:i w:val="1"/>
          <w:i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20" w:lineRule="exact"/>
        <w:rPr>
          <w:sz w:val="20"/>
          <w:szCs w:val="20"/>
          <w:color w:val="auto"/>
        </w:rPr>
      </w:pPr>
    </w:p>
    <w:p>
      <w:pPr>
        <w:ind w:left="1740" w:hanging="447"/>
        <w:spacing w:after="0"/>
        <w:tabs>
          <w:tab w:leader="none" w:pos="17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19" w:lineRule="exact"/>
        <w:rPr>
          <w:rFonts w:ascii="Arial" w:cs="Arial" w:eastAsia="Arial" w:hAnsi="Arial"/>
          <w:sz w:val="22"/>
          <w:szCs w:val="22"/>
          <w:color w:val="auto"/>
        </w:rPr>
      </w:pPr>
    </w:p>
    <w:p>
      <w:pPr>
        <w:jc w:val="both"/>
        <w:ind w:left="640" w:firstLine="653"/>
        <w:spacing w:after="0" w:line="218" w:lineRule="auto"/>
        <w:tabs>
          <w:tab w:leader="none" w:pos="1855" w:val="left"/>
        </w:tabs>
        <w:numPr>
          <w:ilvl w:val="0"/>
          <w:numId w:val="37"/>
        </w:numPr>
        <w:rPr>
          <w:rFonts w:ascii="Arial" w:cs="Arial" w:eastAsia="Arial" w:hAnsi="Arial"/>
          <w:sz w:val="22"/>
          <w:szCs w:val="22"/>
          <w:color w:val="auto"/>
        </w:rPr>
      </w:pPr>
      <w:r>
        <w:rPr>
          <w:rFonts w:ascii="Arial" w:cs="Arial" w:eastAsia="Arial" w:hAnsi="Arial"/>
          <w:sz w:val="22"/>
          <w:szCs w:val="22"/>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88" w:lineRule="exact"/>
        <w:rPr>
          <w:rFonts w:ascii="Arial" w:cs="Arial" w:eastAsia="Arial" w:hAnsi="Arial"/>
          <w:sz w:val="22"/>
          <w:szCs w:val="22"/>
          <w:color w:val="auto"/>
        </w:rPr>
      </w:pPr>
    </w:p>
    <w:p>
      <w:pPr>
        <w:ind w:left="1740" w:hanging="447"/>
        <w:spacing w:after="0"/>
        <w:tabs>
          <w:tab w:leader="none" w:pos="17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19" w:lineRule="exact"/>
        <w:rPr>
          <w:rFonts w:ascii="Arial" w:cs="Arial" w:eastAsia="Arial" w:hAnsi="Arial"/>
          <w:sz w:val="22"/>
          <w:szCs w:val="22"/>
          <w:color w:val="auto"/>
        </w:rPr>
      </w:pPr>
    </w:p>
    <w:p>
      <w:pPr>
        <w:ind w:left="640" w:right="20" w:firstLine="653"/>
        <w:spacing w:after="0" w:line="247" w:lineRule="auto"/>
        <w:tabs>
          <w:tab w:leader="none" w:pos="181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all liabilities for borrowed money secured by any Lien with respect to any property owned by such Person (whether or not it has assumed or otherwise become liable for such liabilities);</w:t>
      </w:r>
    </w:p>
    <w:p>
      <w:pPr>
        <w:spacing w:after="0" w:line="191" w:lineRule="exact"/>
        <w:rPr>
          <w:rFonts w:ascii="Arial" w:cs="Arial" w:eastAsia="Arial" w:hAnsi="Arial"/>
          <w:sz w:val="21"/>
          <w:szCs w:val="21"/>
          <w:color w:val="auto"/>
        </w:rPr>
      </w:pPr>
    </w:p>
    <w:p>
      <w:pPr>
        <w:jc w:val="both"/>
        <w:ind w:left="640" w:right="20" w:firstLine="653"/>
        <w:spacing w:after="0" w:line="223" w:lineRule="auto"/>
        <w:tabs>
          <w:tab w:leader="none" w:pos="1813"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186" w:lineRule="exact"/>
        <w:rPr>
          <w:rFonts w:ascii="Arial" w:cs="Arial" w:eastAsia="Arial" w:hAnsi="Arial"/>
          <w:sz w:val="22"/>
          <w:szCs w:val="22"/>
          <w:color w:val="auto"/>
        </w:rPr>
      </w:pPr>
    </w:p>
    <w:p>
      <w:pPr>
        <w:ind w:left="1720" w:hanging="427"/>
        <w:spacing w:after="0"/>
        <w:tabs>
          <w:tab w:leader="none" w:pos="17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19" w:lineRule="exact"/>
        <w:rPr>
          <w:rFonts w:ascii="Arial" w:cs="Arial" w:eastAsia="Arial" w:hAnsi="Arial"/>
          <w:sz w:val="22"/>
          <w:szCs w:val="22"/>
          <w:color w:val="auto"/>
        </w:rPr>
      </w:pPr>
    </w:p>
    <w:p>
      <w:pPr>
        <w:ind w:left="640" w:right="20" w:firstLine="653"/>
        <w:spacing w:after="0" w:line="232" w:lineRule="auto"/>
        <w:tabs>
          <w:tab w:leader="none" w:pos="1837" w:val="left"/>
        </w:tabs>
        <w:numPr>
          <w:ilvl w:val="0"/>
          <w:numId w:val="37"/>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200"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81" w:name="page82"/>
    <w:bookmarkEnd w:id="81"/>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 event or condition the occurrence or existence of which would, with the lapse of time or</w:t>
      </w:r>
      <w:r>
        <w:rPr>
          <w:rFonts w:ascii="Arial" w:cs="Arial" w:eastAsia="Arial" w:hAnsi="Arial"/>
          <w:sz w:val="22"/>
          <w:szCs w:val="22"/>
          <w:i w:val="1"/>
          <w:iCs w:val="1"/>
          <w:color w:val="auto"/>
        </w:rPr>
        <w:t xml:space="preserve"> </w:t>
      </w:r>
      <w:r>
        <w:rPr>
          <w:rFonts w:ascii="Arial" w:cs="Arial" w:eastAsia="Arial" w:hAnsi="Arial"/>
          <w:sz w:val="22"/>
          <w:szCs w:val="22"/>
          <w:color w:val="auto"/>
        </w:rPr>
        <w:t>the giving of notice or both, become an Event of Default.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 Section 5.3.</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“EMMA” </w:t>
      </w:r>
      <w:r>
        <w:rPr>
          <w:rFonts w:ascii="Arial" w:cs="Arial" w:eastAsia="Arial" w:hAnsi="Arial"/>
          <w:sz w:val="22"/>
          <w:szCs w:val="22"/>
          <w:color w:val="auto"/>
        </w:rPr>
        <w:t>is defined in Section 7.1(a).</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“Environmental Laws” </w:t>
      </w:r>
      <w:r>
        <w:rPr>
          <w:rFonts w:ascii="Arial" w:cs="Arial" w:eastAsia="Arial" w:hAnsi="Arial"/>
          <w:sz w:val="19"/>
          <w:szCs w:val="19"/>
          <w:color w:val="auto"/>
        </w:rPr>
        <w:t>means any and all Federal, state, local, and foreign statutes, laws, regulations,</w:t>
      </w:r>
      <w:r>
        <w:rPr>
          <w:rFonts w:ascii="Arial" w:cs="Arial" w:eastAsia="Arial" w:hAnsi="Arial"/>
          <w:sz w:val="19"/>
          <w:szCs w:val="19"/>
          <w:i w:val="1"/>
          <w:iCs w:val="1"/>
          <w:color w:val="auto"/>
        </w:rPr>
        <w:t xml:space="preserve"> </w:t>
      </w:r>
      <w:r>
        <w:rPr>
          <w:rFonts w:ascii="Arial" w:cs="Arial" w:eastAsia="Arial" w:hAnsi="Arial"/>
          <w:sz w:val="19"/>
          <w:szCs w:val="19"/>
          <w:color w:val="auto"/>
        </w:rPr>
        <w:t>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17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means the Employee Retirement Income Security Act of 1974, as amended from time to time,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rules and regulations promulgated thereunder from time to time in effect.</w:t>
      </w:r>
    </w:p>
    <w:p>
      <w:pPr>
        <w:spacing w:after="0" w:line="20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“ERISA Affiliate” </w:t>
      </w:r>
      <w:r>
        <w:rPr>
          <w:rFonts w:ascii="Arial" w:cs="Arial" w:eastAsia="Arial" w:hAnsi="Arial"/>
          <w:sz w:val="22"/>
          <w:szCs w:val="22"/>
          <w:color w:val="auto"/>
        </w:rPr>
        <w:t>means any trade or business (whether or not incorporated) that is treated as a single</w:t>
      </w:r>
      <w:r>
        <w:rPr>
          <w:rFonts w:ascii="Arial" w:cs="Arial" w:eastAsia="Arial" w:hAnsi="Arial"/>
          <w:sz w:val="22"/>
          <w:szCs w:val="22"/>
          <w:i w:val="1"/>
          <w:iCs w:val="1"/>
          <w:color w:val="auto"/>
        </w:rPr>
        <w:t xml:space="preserve"> </w:t>
      </w:r>
      <w:r>
        <w:rPr>
          <w:rFonts w:ascii="Arial" w:cs="Arial" w:eastAsia="Arial" w:hAnsi="Arial"/>
          <w:sz w:val="22"/>
          <w:szCs w:val="22"/>
          <w:color w:val="auto"/>
        </w:rPr>
        <w:t>employer together with the Company under section 414 of the Code.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is an “event of default” as defined in the Indenture.</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Supplements), and the Bonds.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“First Closing” </w:t>
      </w:r>
      <w:r>
        <w:rPr>
          <w:rFonts w:ascii="Arial" w:cs="Arial" w:eastAsia="Arial" w:hAnsi="Arial"/>
          <w:sz w:val="22"/>
          <w:szCs w:val="22"/>
          <w:color w:val="auto"/>
        </w:rPr>
        <w:t>is defined in Section 3.</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“First Closing Bonds” </w:t>
      </w:r>
      <w:r>
        <w:rPr>
          <w:rFonts w:ascii="Arial" w:cs="Arial" w:eastAsia="Arial" w:hAnsi="Arial"/>
          <w:sz w:val="22"/>
          <w:szCs w:val="22"/>
          <w:color w:val="auto"/>
        </w:rPr>
        <w:t>is defined in Section 1.</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“GAAP” </w:t>
      </w:r>
      <w:r>
        <w:rPr>
          <w:rFonts w:ascii="Arial" w:cs="Arial" w:eastAsia="Arial" w:hAnsi="Arial"/>
          <w:sz w:val="22"/>
          <w:szCs w:val="22"/>
          <w:color w:val="auto"/>
        </w:rPr>
        <w:t>means generally accepted accounting principles as in effect from time to time in the United States</w:t>
      </w:r>
      <w:r>
        <w:rPr>
          <w:rFonts w:ascii="Arial" w:cs="Arial" w:eastAsia="Arial" w:hAnsi="Arial"/>
          <w:sz w:val="22"/>
          <w:szCs w:val="22"/>
          <w:i w:val="1"/>
          <w:iCs w:val="1"/>
          <w:color w:val="auto"/>
        </w:rPr>
        <w:t xml:space="preserve"> </w:t>
      </w:r>
      <w:r>
        <w:rPr>
          <w:rFonts w:ascii="Arial" w:cs="Arial" w:eastAsia="Arial" w:hAnsi="Arial"/>
          <w:sz w:val="22"/>
          <w:szCs w:val="22"/>
          <w:color w:val="auto"/>
        </w:rPr>
        <w:t>of America.</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20" w:lineRule="exact"/>
        <w:rPr>
          <w:sz w:val="20"/>
          <w:szCs w:val="20"/>
          <w:color w:val="auto"/>
        </w:rPr>
      </w:pPr>
    </w:p>
    <w:p>
      <w:pPr>
        <w:ind w:left="1740" w:hanging="447"/>
        <w:spacing w:after="0"/>
        <w:tabs>
          <w:tab w:leader="none" w:pos="17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06" w:lineRule="exact"/>
        <w:rPr>
          <w:rFonts w:ascii="Arial" w:cs="Arial" w:eastAsia="Arial" w:hAnsi="Arial"/>
          <w:sz w:val="22"/>
          <w:szCs w:val="22"/>
          <w:color w:val="auto"/>
        </w:rPr>
      </w:pPr>
    </w:p>
    <w:p>
      <w:pPr>
        <w:ind w:left="2360" w:hanging="419"/>
        <w:spacing w:after="0"/>
        <w:tabs>
          <w:tab w:leader="none" w:pos="2360"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United States of America or any State or other political subdivision thereof, or</w:t>
      </w:r>
    </w:p>
    <w:p>
      <w:pPr>
        <w:spacing w:after="0" w:line="231" w:lineRule="exact"/>
        <w:rPr>
          <w:rFonts w:ascii="Arial" w:cs="Arial" w:eastAsia="Arial" w:hAnsi="Arial"/>
          <w:sz w:val="21"/>
          <w:szCs w:val="21"/>
          <w:color w:val="auto"/>
        </w:rPr>
      </w:pPr>
    </w:p>
    <w:p>
      <w:pPr>
        <w:jc w:val="both"/>
        <w:ind w:left="1300" w:firstLine="641"/>
        <w:spacing w:after="0" w:line="298" w:lineRule="auto"/>
        <w:tabs>
          <w:tab w:leader="none" w:pos="2464" w:val="left"/>
        </w:tabs>
        <w:numPr>
          <w:ilvl w:val="1"/>
          <w:numId w:val="38"/>
        </w:numPr>
        <w:rPr>
          <w:rFonts w:ascii="Arial" w:cs="Arial" w:eastAsia="Arial" w:hAnsi="Arial"/>
          <w:sz w:val="19"/>
          <w:szCs w:val="19"/>
          <w:color w:val="auto"/>
        </w:rPr>
      </w:pPr>
      <w:r>
        <w:rPr>
          <w:rFonts w:ascii="Arial" w:cs="Arial" w:eastAsia="Arial" w:hAnsi="Arial"/>
          <w:sz w:val="19"/>
          <w:szCs w:val="19"/>
          <w:color w:val="auto"/>
        </w:rPr>
        <w:t>any other jurisdiction in which the Company or any Subsidiary conducts all or any part of its business, or which asserts jurisdiction over any properties of the Company or any Subsidiary, or</w:t>
      </w:r>
    </w:p>
    <w:p>
      <w:pPr>
        <w:spacing w:after="0" w:line="146" w:lineRule="exact"/>
        <w:rPr>
          <w:rFonts w:ascii="Arial" w:cs="Arial" w:eastAsia="Arial" w:hAnsi="Arial"/>
          <w:sz w:val="19"/>
          <w:szCs w:val="19"/>
          <w:color w:val="auto"/>
        </w:rPr>
      </w:pPr>
    </w:p>
    <w:p>
      <w:pPr>
        <w:ind w:left="640" w:firstLine="653"/>
        <w:spacing w:after="0" w:line="232" w:lineRule="auto"/>
        <w:tabs>
          <w:tab w:leader="none" w:pos="17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186"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1"/>
          <w:szCs w:val="21"/>
          <w:i w:val="1"/>
          <w:iCs w:val="1"/>
          <w:color w:val="auto"/>
        </w:rPr>
        <w:t xml:space="preserve">“Governmental Official” </w:t>
      </w:r>
      <w:r>
        <w:rPr>
          <w:rFonts w:ascii="Arial" w:cs="Arial" w:eastAsia="Arial" w:hAnsi="Arial"/>
          <w:sz w:val="21"/>
          <w:szCs w:val="21"/>
          <w:color w:val="auto"/>
        </w:rPr>
        <w:t>means any governmental official or employee, employee of any</w:t>
      </w:r>
      <w:r>
        <w:rPr>
          <w:rFonts w:ascii="Arial" w:cs="Arial" w:eastAsia="Arial" w:hAnsi="Arial"/>
          <w:sz w:val="21"/>
          <w:szCs w:val="21"/>
          <w:i w:val="1"/>
          <w:iCs w:val="1"/>
          <w:color w:val="auto"/>
        </w:rPr>
        <w:t xml:space="preserve"> </w:t>
      </w:r>
      <w:r>
        <w:rPr>
          <w:rFonts w:ascii="Arial" w:cs="Arial" w:eastAsia="Arial" w:hAnsi="Arial"/>
          <w:sz w:val="21"/>
          <w:szCs w:val="21"/>
          <w:color w:val="auto"/>
        </w:rPr>
        <w:t>government</w:t>
      </w:r>
      <w:r>
        <w:rPr>
          <w:rFonts w:ascii="MS PGothic" w:cs="MS PGothic" w:eastAsia="MS PGothic" w:hAnsi="MS PGothic"/>
          <w:sz w:val="21"/>
          <w:szCs w:val="21"/>
          <w:color w:val="auto"/>
        </w:rPr>
        <w:t>‑</w:t>
      </w:r>
      <w:r>
        <w:rPr>
          <w:rFonts w:ascii="Arial" w:cs="Arial" w:eastAsia="Arial" w:hAnsi="Arial"/>
          <w:sz w:val="21"/>
          <w:szCs w:val="21"/>
          <w:color w:val="auto"/>
        </w:rPr>
        <w:t>owned or government</w:t>
      </w:r>
      <w:r>
        <w:rPr>
          <w:rFonts w:ascii="MS PGothic" w:cs="MS PGothic" w:eastAsia="MS PGothic" w:hAnsi="MS PGothic"/>
          <w:sz w:val="21"/>
          <w:szCs w:val="21"/>
          <w:color w:val="auto"/>
        </w:rPr>
        <w:t>‑</w:t>
      </w:r>
      <w:r>
        <w:rPr>
          <w:rFonts w:ascii="Arial" w:cs="Arial" w:eastAsia="Arial" w:hAnsi="Arial"/>
          <w:sz w:val="21"/>
          <w:szCs w:val="21"/>
          <w:color w:val="auto"/>
        </w:rPr>
        <w:t>controlled entity, political party, any official of a political party, candidate for political office, official of any public international organization or anyone else acting in an official capacity.</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i w:val="1"/>
          <w:iCs w:val="1"/>
          <w:color w:val="auto"/>
        </w:rPr>
        <w:t xml:space="preserve">“Guaranty” </w:t>
      </w:r>
      <w:r>
        <w:rPr>
          <w:rFonts w:ascii="Arial" w:cs="Arial" w:eastAsia="Arial" w:hAnsi="Arial"/>
          <w:sz w:val="19"/>
          <w:szCs w:val="19"/>
          <w:color w:val="auto"/>
        </w:rPr>
        <w:t>means, with respect to any Person, any obligation (except the endorsement in the ordinary</w:t>
      </w:r>
      <w:r>
        <w:rPr>
          <w:rFonts w:ascii="Arial" w:cs="Arial" w:eastAsia="Arial" w:hAnsi="Arial"/>
          <w:sz w:val="19"/>
          <w:szCs w:val="19"/>
          <w:i w:val="1"/>
          <w:iCs w:val="1"/>
          <w:color w:val="auto"/>
        </w:rPr>
        <w:t xml:space="preserve"> </w:t>
      </w:r>
      <w:r>
        <w:rPr>
          <w:rFonts w:ascii="Arial" w:cs="Arial" w:eastAsia="Arial" w:hAnsi="Arial"/>
          <w:sz w:val="19"/>
          <w:szCs w:val="19"/>
          <w:color w:val="auto"/>
        </w:rPr>
        <w:t>course of business of negotiable instruments for deposit or collection) of such Person guaranteeing or in effect guaranteeing any Debt, dividend or other obligation of any other Person in any manner, whether directly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604" w:right="899" w:bottom="1440" w:gutter="0" w:footer="0" w:header="0"/>
        </w:sectPr>
      </w:pPr>
    </w:p>
    <w:bookmarkStart w:id="82" w:name="page83"/>
    <w:bookmarkEnd w:id="82"/>
    <w:p>
      <w:pPr>
        <w:ind w:right="20"/>
        <w:spacing w:after="0" w:line="232" w:lineRule="auto"/>
        <w:rPr>
          <w:sz w:val="20"/>
          <w:szCs w:val="20"/>
          <w:color w:val="auto"/>
        </w:rPr>
      </w:pPr>
      <w:r>
        <w:rPr>
          <w:rFonts w:ascii="Arial" w:cs="Arial" w:eastAsia="Arial" w:hAnsi="Arial"/>
          <w:sz w:val="22"/>
          <w:szCs w:val="22"/>
          <w:color w:val="auto"/>
        </w:rPr>
        <w:t>indirectly, including (without limitation) obligations incurred through an agreement, contingent or otherwise, by such Person:</w:t>
      </w:r>
    </w:p>
    <w:p>
      <w:pPr>
        <w:spacing w:after="0" w:line="186" w:lineRule="exact"/>
        <w:rPr>
          <w:sz w:val="20"/>
          <w:szCs w:val="20"/>
          <w:color w:val="auto"/>
        </w:rPr>
      </w:pPr>
    </w:p>
    <w:p>
      <w:pPr>
        <w:jc w:val="both"/>
        <w:ind w:left="640" w:right="20" w:firstLine="653"/>
        <w:spacing w:after="0" w:line="223" w:lineRule="auto"/>
        <w:tabs>
          <w:tab w:leader="none" w:pos="1785"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199" w:lineRule="exact"/>
        <w:rPr>
          <w:rFonts w:ascii="Arial" w:cs="Arial" w:eastAsia="Arial" w:hAnsi="Arial"/>
          <w:sz w:val="22"/>
          <w:szCs w:val="22"/>
          <w:color w:val="auto"/>
        </w:rPr>
      </w:pPr>
    </w:p>
    <w:p>
      <w:pPr>
        <w:jc w:val="both"/>
        <w:ind w:left="640" w:firstLine="653"/>
        <w:spacing w:after="0" w:line="218" w:lineRule="auto"/>
        <w:tabs>
          <w:tab w:leader="none" w:pos="1781"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01" w:lineRule="exact"/>
        <w:rPr>
          <w:rFonts w:ascii="Arial" w:cs="Arial" w:eastAsia="Arial" w:hAnsi="Arial"/>
          <w:sz w:val="22"/>
          <w:szCs w:val="22"/>
          <w:color w:val="auto"/>
        </w:rPr>
      </w:pPr>
    </w:p>
    <w:p>
      <w:pPr>
        <w:jc w:val="both"/>
        <w:ind w:left="640" w:right="20" w:firstLine="653"/>
        <w:spacing w:after="0" w:line="223" w:lineRule="auto"/>
        <w:tabs>
          <w:tab w:leader="none" w:pos="17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186" w:lineRule="exact"/>
        <w:rPr>
          <w:rFonts w:ascii="Arial" w:cs="Arial" w:eastAsia="Arial" w:hAnsi="Arial"/>
          <w:sz w:val="22"/>
          <w:szCs w:val="22"/>
          <w:color w:val="auto"/>
        </w:rPr>
      </w:pPr>
    </w:p>
    <w:p>
      <w:pPr>
        <w:ind w:left="1760" w:hanging="467"/>
        <w:spacing w:after="0"/>
        <w:tabs>
          <w:tab w:leader="none" w:pos="17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otherwise to assure the owner of such Debt or obligation against loss in respect thereof.</w:t>
      </w:r>
    </w:p>
    <w:p>
      <w:pPr>
        <w:spacing w:after="0" w:line="231" w:lineRule="exact"/>
        <w:rPr>
          <w:sz w:val="20"/>
          <w:szCs w:val="20"/>
          <w:color w:val="auto"/>
        </w:rPr>
      </w:pPr>
    </w:p>
    <w:p>
      <w:pPr>
        <w:jc w:val="both"/>
        <w:ind w:right="20"/>
        <w:spacing w:after="0" w:line="218" w:lineRule="auto"/>
        <w:rPr>
          <w:sz w:val="20"/>
          <w:szCs w:val="20"/>
          <w:color w:val="auto"/>
        </w:rPr>
      </w:pPr>
      <w:r>
        <w:rPr>
          <w:rFonts w:ascii="Arial" w:cs="Arial" w:eastAsia="Arial" w:hAnsi="Arial"/>
          <w:sz w:val="22"/>
          <w:szCs w:val="22"/>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amount of such Debt outstanding for purposes of this Agreement shall not exceed the maximum amount of Debt that is the subject of such Guaranty.</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 substances that</w:t>
      </w:r>
      <w:r>
        <w:rPr>
          <w:rFonts w:ascii="Arial" w:cs="Arial" w:eastAsia="Arial" w:hAnsi="Arial"/>
          <w:sz w:val="19"/>
          <w:szCs w:val="19"/>
          <w:i w:val="1"/>
          <w:iCs w:val="1"/>
          <w:color w:val="auto"/>
        </w:rPr>
        <w:t xml:space="preserve"> </w:t>
      </w:r>
      <w:r>
        <w:rPr>
          <w:rFonts w:ascii="Arial" w:cs="Arial" w:eastAsia="Arial" w:hAnsi="Arial"/>
          <w:sz w:val="19"/>
          <w:szCs w:val="19"/>
          <w:color w:val="auto"/>
        </w:rPr>
        <w:t>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 Section 1.</w:t>
      </w:r>
    </w:p>
    <w:p>
      <w:pPr>
        <w:spacing w:after="0" w:line="220"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i w:val="1"/>
          <w:iCs w:val="1"/>
          <w:color w:val="auto"/>
        </w:rPr>
        <w:t xml:space="preserve">“Institutional Investor” </w:t>
      </w:r>
      <w:r>
        <w:rPr>
          <w:rFonts w:ascii="Arial" w:cs="Arial" w:eastAsia="Arial" w:hAnsi="Arial"/>
          <w:sz w:val="21"/>
          <w:szCs w:val="21"/>
          <w:color w:val="auto"/>
        </w:rPr>
        <w:t>means (a) any Purchaser of a Bond, (b) any holder of a Bond holding (together with</w:t>
      </w:r>
      <w:r>
        <w:rPr>
          <w:rFonts w:ascii="Arial" w:cs="Arial" w:eastAsia="Arial" w:hAnsi="Arial"/>
          <w:sz w:val="21"/>
          <w:szCs w:val="21"/>
          <w:i w:val="1"/>
          <w:iCs w:val="1"/>
          <w:color w:val="auto"/>
        </w:rPr>
        <w:t xml:space="preserve"> </w:t>
      </w:r>
      <w:r>
        <w:rPr>
          <w:rFonts w:ascii="Arial" w:cs="Arial" w:eastAsia="Arial" w:hAnsi="Arial"/>
          <w:sz w:val="21"/>
          <w:szCs w:val="21"/>
          <w:color w:val="auto"/>
        </w:rPr>
        <w:t>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187"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i w:val="1"/>
          <w:iCs w:val="1"/>
          <w:color w:val="auto"/>
        </w:rPr>
        <w:t xml:space="preserve">“Lien” </w:t>
      </w:r>
      <w:r>
        <w:rPr>
          <w:rFonts w:ascii="Arial" w:cs="Arial" w:eastAsia="Arial" w:hAnsi="Arial"/>
          <w:sz w:val="22"/>
          <w:szCs w:val="22"/>
          <w:color w:val="auto"/>
        </w:rPr>
        <w:t>means, with respect to any Person, any mortgage, lien, pledge, charge, security interest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“Make-Whole Amount” </w:t>
      </w:r>
      <w:r>
        <w:rPr>
          <w:rFonts w:ascii="Arial" w:cs="Arial" w:eastAsia="Arial" w:hAnsi="Arial"/>
          <w:sz w:val="22"/>
          <w:szCs w:val="22"/>
          <w:color w:val="auto"/>
        </w:rPr>
        <w:t>is defined in each Supplement.</w:t>
      </w:r>
    </w:p>
    <w:p>
      <w:pPr>
        <w:spacing w:after="0" w:line="2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 condition, assets or</w:t>
      </w:r>
      <w:r>
        <w:rPr>
          <w:rFonts w:ascii="Arial" w:cs="Arial" w:eastAsia="Arial" w:hAnsi="Arial"/>
          <w:sz w:val="22"/>
          <w:szCs w:val="22"/>
          <w:i w:val="1"/>
          <w:iCs w:val="1"/>
          <w:color w:val="auto"/>
        </w:rPr>
        <w:t xml:space="preserve"> </w:t>
      </w:r>
      <w:r>
        <w:rPr>
          <w:rFonts w:ascii="Arial" w:cs="Arial" w:eastAsia="Arial" w:hAnsi="Arial"/>
          <w:sz w:val="22"/>
          <w:szCs w:val="22"/>
          <w:color w:val="auto"/>
        </w:rPr>
        <w:t>properties of the Company and its Subsidiaries taken as a whole.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83" w:name="page84"/>
    <w:bookmarkEnd w:id="83"/>
    <w:p>
      <w:pPr>
        <w:jc w:val="both"/>
        <w:ind w:firstLine="648"/>
        <w:spacing w:after="0" w:line="218" w:lineRule="auto"/>
        <w:rPr>
          <w:sz w:val="20"/>
          <w:szCs w:val="20"/>
          <w:color w:val="auto"/>
        </w:rPr>
      </w:pPr>
      <w:r>
        <w:rPr>
          <w:rFonts w:ascii="Arial" w:cs="Arial" w:eastAsia="Arial" w:hAnsi="Arial"/>
          <w:sz w:val="22"/>
          <w:szCs w:val="22"/>
          <w:i w:val="1"/>
          <w:iCs w:val="1"/>
          <w:color w:val="auto"/>
        </w:rPr>
        <w:t xml:space="preserve">“Material Adverse Effect” </w:t>
      </w:r>
      <w:r>
        <w:rPr>
          <w:rFonts w:ascii="Arial" w:cs="Arial" w:eastAsia="Arial" w:hAnsi="Arial"/>
          <w:sz w:val="22"/>
          <w:szCs w:val="22"/>
          <w:color w:val="auto"/>
        </w:rPr>
        <w:t>means a material adverse effect on (a) the business, operations, affairs,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18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 “</w:t>
      </w:r>
      <w:r>
        <w:rPr>
          <w:rFonts w:ascii="Arial" w:cs="Arial" w:eastAsia="Arial" w:hAnsi="Arial"/>
          <w:sz w:val="22"/>
          <w:szCs w:val="22"/>
          <w:i w:val="1"/>
          <w:iCs w:val="1"/>
          <w:color w:val="auto"/>
        </w:rPr>
        <w:t>multiemployer plan</w:t>
      </w:r>
      <w:r>
        <w:rPr>
          <w:rFonts w:ascii="Arial" w:cs="Arial" w:eastAsia="Arial" w:hAnsi="Arial"/>
          <w:sz w:val="22"/>
          <w:szCs w:val="22"/>
          <w:color w:val="auto"/>
        </w:rPr>
        <w:t>” (as such term is defined in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4001(a)(3) of ERISA).</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 thereto.</w:t>
      </w:r>
    </w:p>
    <w:p>
      <w:pPr>
        <w:spacing w:after="0" w:line="233" w:lineRule="exact"/>
        <w:rPr>
          <w:sz w:val="20"/>
          <w:szCs w:val="20"/>
          <w:color w:val="auto"/>
        </w:rPr>
      </w:pPr>
    </w:p>
    <w:p>
      <w:pPr>
        <w:jc w:val="both"/>
        <w:ind w:right="20" w:firstLine="648"/>
        <w:spacing w:after="0" w:line="249" w:lineRule="exact"/>
        <w:rPr>
          <w:sz w:val="20"/>
          <w:szCs w:val="20"/>
          <w:color w:val="auto"/>
        </w:rPr>
      </w:pP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 xml:space="preserve">U.S. Plan” </w:t>
      </w:r>
      <w:r>
        <w:rPr>
          <w:rFonts w:ascii="Arial" w:cs="Arial" w:eastAsia="Arial" w:hAnsi="Arial"/>
          <w:sz w:val="19"/>
          <w:szCs w:val="19"/>
          <w:color w:val="auto"/>
        </w:rPr>
        <w:t>means any plan, fund or other similar program that (a) is established or maintained outside</w:t>
      </w:r>
      <w:r>
        <w:rPr>
          <w:rFonts w:ascii="Arial" w:cs="Arial" w:eastAsia="Arial" w:hAnsi="Arial"/>
          <w:sz w:val="19"/>
          <w:szCs w:val="19"/>
          <w:i w:val="1"/>
          <w:iCs w:val="1"/>
          <w:color w:val="auto"/>
        </w:rPr>
        <w:t xml:space="preserve"> </w:t>
      </w:r>
      <w:r>
        <w:rPr>
          <w:rFonts w:ascii="Arial" w:cs="Arial" w:eastAsia="Arial" w:hAnsi="Arial"/>
          <w:sz w:val="19"/>
          <w:szCs w:val="19"/>
          <w:color w:val="auto"/>
        </w:rPr>
        <w:t>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 xml:space="preserve">“OFAC” </w:t>
      </w:r>
      <w:r>
        <w:rPr>
          <w:rFonts w:ascii="Arial" w:cs="Arial" w:eastAsia="Arial" w:hAnsi="Arial"/>
          <w:sz w:val="21"/>
          <w:szCs w:val="21"/>
          <w:color w:val="auto"/>
        </w:rPr>
        <w:t>means the Office of Foreign Assets Control of the United States Department of the Treasury.</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OFAC Sanctions Program</w:t>
      </w:r>
      <w:r>
        <w:rPr>
          <w:rFonts w:ascii="Arial" w:cs="Arial" w:eastAsia="Arial" w:hAnsi="Arial"/>
          <w:sz w:val="19"/>
          <w:szCs w:val="19"/>
          <w:color w:val="auto"/>
        </w:rPr>
        <w:t>”  means  any  economic  or  trade  sanction  that  OFAC  is  responsible  for</w:t>
      </w:r>
    </w:p>
    <w:p>
      <w:pPr>
        <w:spacing w:after="0" w:line="16"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administering and enforcing. A list of OFAC Sanctions Programs may be found at http://www.treasury.gov/resource-center/sanctions/Programs/Pages/Programs.aspx.</w:t>
      </w:r>
    </w:p>
    <w:p>
      <w:pPr>
        <w:spacing w:after="0" w:line="19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“Officer’s Certificate” </w:t>
      </w:r>
      <w:r>
        <w:rPr>
          <w:rFonts w:ascii="Arial" w:cs="Arial" w:eastAsia="Arial" w:hAnsi="Arial"/>
          <w:sz w:val="22"/>
          <w:szCs w:val="22"/>
          <w:color w:val="auto"/>
        </w:rPr>
        <w:t>means a certificate of a Senior Financial Officer or of any other officer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whose responsibilities extend to the subject matter of such certificate.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“Original Indenture” </w:t>
      </w:r>
      <w:r>
        <w:rPr>
          <w:rFonts w:ascii="Arial" w:cs="Arial" w:eastAsia="Arial" w:hAnsi="Arial"/>
          <w:sz w:val="22"/>
          <w:szCs w:val="22"/>
          <w:color w:val="auto"/>
        </w:rPr>
        <w:t>is defined in Section 1.</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 ERISA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“Permitted Liens” </w:t>
      </w:r>
      <w:r>
        <w:rPr>
          <w:rFonts w:ascii="Arial" w:cs="Arial" w:eastAsia="Arial" w:hAnsi="Arial"/>
          <w:sz w:val="22"/>
          <w:szCs w:val="22"/>
          <w:color w:val="auto"/>
        </w:rPr>
        <w:t>shall have the meaning assigned to such term in the Indenture.</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 association, trust,</w:t>
      </w:r>
      <w:r>
        <w:rPr>
          <w:rFonts w:ascii="Arial" w:cs="Arial" w:eastAsia="Arial" w:hAnsi="Arial"/>
          <w:sz w:val="22"/>
          <w:szCs w:val="22"/>
          <w:i w:val="1"/>
          <w:iCs w:val="1"/>
          <w:color w:val="auto"/>
        </w:rPr>
        <w:t xml:space="preserve"> </w:t>
      </w:r>
      <w:r>
        <w:rPr>
          <w:rFonts w:ascii="Arial" w:cs="Arial" w:eastAsia="Arial" w:hAnsi="Arial"/>
          <w:sz w:val="22"/>
          <w:szCs w:val="22"/>
          <w:color w:val="auto"/>
        </w:rPr>
        <w:t>unincorporated organization, business entity or Governmental Authority.</w:t>
      </w:r>
    </w:p>
    <w:p>
      <w:pPr>
        <w:spacing w:after="0" w:line="20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i w:val="1"/>
          <w:iCs w:val="1"/>
          <w:color w:val="auto"/>
        </w:rPr>
        <w:t xml:space="preserve">“Plan” </w:t>
      </w:r>
      <w:r>
        <w:rPr>
          <w:rFonts w:ascii="Arial" w:cs="Arial" w:eastAsia="Arial" w:hAnsi="Arial"/>
          <w:sz w:val="19"/>
          <w:szCs w:val="19"/>
          <w:color w:val="auto"/>
        </w:rPr>
        <w:t>means an “</w:t>
      </w:r>
      <w:r>
        <w:rPr>
          <w:rFonts w:ascii="Arial" w:cs="Arial" w:eastAsia="Arial" w:hAnsi="Arial"/>
          <w:sz w:val="19"/>
          <w:szCs w:val="19"/>
          <w:i w:val="1"/>
          <w:iCs w:val="1"/>
          <w:color w:val="auto"/>
        </w:rPr>
        <w:t>employee benefit plan</w:t>
      </w:r>
      <w:r>
        <w:rPr>
          <w:rFonts w:ascii="Arial" w:cs="Arial" w:eastAsia="Arial" w:hAnsi="Arial"/>
          <w:sz w:val="19"/>
          <w:szCs w:val="19"/>
          <w:color w:val="auto"/>
        </w:rPr>
        <w:t>” (as defined in section 3(2) of ERISA) subject to Title I of ERISA</w:t>
      </w:r>
      <w:r>
        <w:rPr>
          <w:rFonts w:ascii="Arial" w:cs="Arial" w:eastAsia="Arial" w:hAnsi="Arial"/>
          <w:sz w:val="19"/>
          <w:szCs w:val="19"/>
          <w:i w:val="1"/>
          <w:iCs w:val="1"/>
          <w:color w:val="auto"/>
        </w:rPr>
        <w:t xml:space="preserve"> </w:t>
      </w:r>
      <w:r>
        <w:rPr>
          <w:rFonts w:ascii="Arial" w:cs="Arial" w:eastAsia="Arial" w:hAnsi="Arial"/>
          <w:sz w:val="19"/>
          <w:szCs w:val="19"/>
          <w:color w:val="auto"/>
        </w:rPr>
        <w:t>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 property of any</w:t>
      </w:r>
      <w:r>
        <w:rPr>
          <w:rFonts w:ascii="Arial" w:cs="Arial" w:eastAsia="Arial" w:hAnsi="Arial"/>
          <w:sz w:val="22"/>
          <w:szCs w:val="22"/>
          <w:i w:val="1"/>
          <w:iCs w:val="1"/>
          <w:color w:val="auto"/>
        </w:rPr>
        <w:t xml:space="preserve"> </w:t>
      </w:r>
      <w:r>
        <w:rPr>
          <w:rFonts w:ascii="Arial" w:cs="Arial" w:eastAsia="Arial" w:hAnsi="Arial"/>
          <w:sz w:val="22"/>
          <w:szCs w:val="22"/>
          <w:color w:val="auto"/>
        </w:rPr>
        <w:t>kind, tangible or intangible, choate or inchoate.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 Section 6.2(a).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20"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i w:val="1"/>
          <w:iCs w:val="1"/>
          <w:color w:val="auto"/>
        </w:rPr>
        <w:t xml:space="preserve">“Related Fund” </w:t>
      </w:r>
      <w:r>
        <w:rPr>
          <w:rFonts w:ascii="Arial" w:cs="Arial" w:eastAsia="Arial" w:hAnsi="Arial"/>
          <w:sz w:val="22"/>
          <w:szCs w:val="22"/>
          <w:color w:val="auto"/>
        </w:rPr>
        <w:t>means, with respect to any holder of any Bond, any fund or entity that (i) invests in</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or bank loans, and (ii) is advised or managed by such holder, the same investment advisor as such holder or by an affiliate of such holder or such investment advisor.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84" w:name="page85"/>
    <w:bookmarkEnd w:id="84"/>
    <w:p>
      <w:pPr>
        <w:jc w:val="both"/>
        <w:ind w:firstLine="648"/>
        <w:spacing w:after="0" w:line="216" w:lineRule="auto"/>
        <w:rPr>
          <w:sz w:val="20"/>
          <w:szCs w:val="20"/>
          <w:color w:val="auto"/>
        </w:rPr>
      </w:pPr>
      <w:r>
        <w:rPr>
          <w:rFonts w:ascii="Arial" w:cs="Arial" w:eastAsia="Arial" w:hAnsi="Arial"/>
          <w:sz w:val="22"/>
          <w:szCs w:val="22"/>
          <w:i w:val="1"/>
          <w:iCs w:val="1"/>
          <w:color w:val="auto"/>
        </w:rPr>
        <w:t xml:space="preserve">“Required Holders” </w:t>
      </w:r>
      <w:r>
        <w:rPr>
          <w:rFonts w:ascii="Arial" w:cs="Arial" w:eastAsia="Arial" w:hAnsi="Arial"/>
          <w:sz w:val="22"/>
          <w:szCs w:val="22"/>
          <w:color w:val="auto"/>
        </w:rPr>
        <w:t>means (i) at any time prior to the Second Closing, (x) the Purchasers of the Second</w:t>
      </w:r>
      <w:r>
        <w:rPr>
          <w:rFonts w:ascii="Arial" w:cs="Arial" w:eastAsia="Arial" w:hAnsi="Arial"/>
          <w:sz w:val="22"/>
          <w:szCs w:val="22"/>
          <w:i w:val="1"/>
          <w:iCs w:val="1"/>
          <w:color w:val="auto"/>
        </w:rPr>
        <w:t xml:space="preserve"> </w:t>
      </w:r>
      <w:r>
        <w:rPr>
          <w:rFonts w:ascii="Arial" w:cs="Arial" w:eastAsia="Arial" w:hAnsi="Arial"/>
          <w:sz w:val="22"/>
          <w:szCs w:val="22"/>
          <w:color w:val="auto"/>
        </w:rPr>
        <w:t>Closing Bonds and (y) the holders of at least 51% in principal amount of the Bonds at the time outstanding (exclusive of Bonds then owned by the Company or any of its Affiliates); and (ii) at any time on or after the Second Closing, the holders of at least 51% in principal amount of the Bonds at the time outstanding (exclusive of Bonds then owned by the Company or any of its Affiliates).</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“Responsible Officer” </w:t>
      </w:r>
      <w:r>
        <w:rPr>
          <w:rFonts w:ascii="Arial" w:cs="Arial" w:eastAsia="Arial" w:hAnsi="Arial"/>
          <w:sz w:val="22"/>
          <w:szCs w:val="22"/>
          <w:color w:val="auto"/>
        </w:rPr>
        <w:t>means any Senior Financial Officer and any other officer of the Company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responsibility for the administration of the relevant portion of this Agreement.</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“SEC” </w:t>
      </w:r>
      <w:r>
        <w:rPr>
          <w:rFonts w:ascii="Arial" w:cs="Arial" w:eastAsia="Arial" w:hAnsi="Arial"/>
          <w:sz w:val="19"/>
          <w:szCs w:val="19"/>
          <w:color w:val="auto"/>
        </w:rPr>
        <w:t>means the Securities and Exchange Commission of the United States, or any successor thereto.</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“Second Closing” </w:t>
      </w:r>
      <w:r>
        <w:rPr>
          <w:rFonts w:ascii="Arial" w:cs="Arial" w:eastAsia="Arial" w:hAnsi="Arial"/>
          <w:sz w:val="22"/>
          <w:szCs w:val="22"/>
          <w:color w:val="auto"/>
        </w:rPr>
        <w:t>is defined in Section 3.</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“Second Closing Bonds”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“Securities” </w:t>
      </w:r>
      <w:r>
        <w:rPr>
          <w:rFonts w:ascii="Arial" w:cs="Arial" w:eastAsia="Arial" w:hAnsi="Arial"/>
          <w:sz w:val="22"/>
          <w:szCs w:val="22"/>
          <w:color w:val="auto"/>
        </w:rPr>
        <w:t>or</w:t>
      </w:r>
      <w:r>
        <w:rPr>
          <w:rFonts w:ascii="Arial" w:cs="Arial" w:eastAsia="Arial" w:hAnsi="Arial"/>
          <w:sz w:val="22"/>
          <w:szCs w:val="22"/>
          <w:i w:val="1"/>
          <w:iCs w:val="1"/>
          <w:color w:val="auto"/>
        </w:rPr>
        <w:t xml:space="preserve"> “Security” </w:t>
      </w:r>
      <w:r>
        <w:rPr>
          <w:rFonts w:ascii="Arial" w:cs="Arial" w:eastAsia="Arial" w:hAnsi="Arial"/>
          <w:sz w:val="22"/>
          <w:szCs w:val="22"/>
          <w:color w:val="auto"/>
        </w:rPr>
        <w:t>shall have the meaning specified in Section 2(a)(1) of the Securities Act.</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 rules and</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promulgated thereunder from time to time in effect.</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principal accounting officer, treasurer or</w:t>
      </w:r>
      <w:r>
        <w:rPr>
          <w:rFonts w:ascii="Arial" w:cs="Arial" w:eastAsia="Arial" w:hAnsi="Arial"/>
          <w:sz w:val="22"/>
          <w:szCs w:val="22"/>
          <w:i w:val="1"/>
          <w:iCs w:val="1"/>
          <w:color w:val="auto"/>
        </w:rPr>
        <w:t xml:space="preserve"> </w:t>
      </w:r>
      <w:r>
        <w:rPr>
          <w:rFonts w:ascii="Arial" w:cs="Arial" w:eastAsia="Arial" w:hAnsi="Arial"/>
          <w:sz w:val="22"/>
          <w:szCs w:val="22"/>
          <w:color w:val="auto"/>
        </w:rPr>
        <w:t>comptroller of the Company.</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 Section 6.2.</w:t>
      </w:r>
    </w:p>
    <w:p>
      <w:pPr>
        <w:spacing w:after="0" w:line="22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i w:val="1"/>
          <w:iCs w:val="1"/>
          <w:color w:val="auto"/>
        </w:rPr>
        <w:t xml:space="preserve">“State Sanctions List” </w:t>
      </w:r>
      <w:r>
        <w:rPr>
          <w:rFonts w:ascii="Arial" w:cs="Arial" w:eastAsia="Arial" w:hAnsi="Arial"/>
          <w:sz w:val="19"/>
          <w:szCs w:val="19"/>
          <w:color w:val="auto"/>
        </w:rPr>
        <w:t>means a list that is adopted by any state Governmental Authority within the United</w:t>
      </w:r>
      <w:r>
        <w:rPr>
          <w:rFonts w:ascii="Arial" w:cs="Arial" w:eastAsia="Arial" w:hAnsi="Arial"/>
          <w:sz w:val="19"/>
          <w:szCs w:val="19"/>
          <w:i w:val="1"/>
          <w:iCs w:val="1"/>
          <w:color w:val="auto"/>
        </w:rPr>
        <w:t xml:space="preserve"> </w:t>
      </w:r>
      <w:r>
        <w:rPr>
          <w:rFonts w:ascii="Arial" w:cs="Arial" w:eastAsia="Arial" w:hAnsi="Arial"/>
          <w:sz w:val="19"/>
          <w:szCs w:val="19"/>
          <w:color w:val="auto"/>
        </w:rPr>
        <w:t>States of America pertaining to Persons that engage in investment or other commercial activities in Iran or any other country that is a target of economic sanctions imposed under U.S. Economic Sanctions Laws.</w:t>
      </w:r>
    </w:p>
    <w:p>
      <w:pPr>
        <w:spacing w:after="0" w:line="15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9"/>
          <w:szCs w:val="19"/>
          <w:i w:val="1"/>
          <w:iCs w:val="1"/>
          <w:color w:val="auto"/>
        </w:rPr>
        <w:t xml:space="preserve">“Subsidiary” </w:t>
      </w:r>
      <w:r>
        <w:rPr>
          <w:rFonts w:ascii="Arial" w:cs="Arial" w:eastAsia="Arial" w:hAnsi="Arial"/>
          <w:sz w:val="19"/>
          <w:szCs w:val="19"/>
          <w:color w:val="auto"/>
        </w:rPr>
        <w:t>means, as to any Person, any other Person in which such first Person or one or more of its</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Arial" w:cs="Arial" w:eastAsia="Arial" w:hAnsi="Arial"/>
          <w:sz w:val="19"/>
          <w:szCs w:val="19"/>
          <w:i w:val="1"/>
          <w:iCs w:val="1"/>
          <w:color w:val="auto"/>
        </w:rPr>
        <w:t>Subsidiary</w:t>
      </w:r>
      <w:r>
        <w:rPr>
          <w:rFonts w:ascii="Arial" w:cs="Arial" w:eastAsia="Arial" w:hAnsi="Arial"/>
          <w:sz w:val="19"/>
          <w:szCs w:val="19"/>
          <w:color w:val="auto"/>
        </w:rPr>
        <w:t>” is a reference to a Subsidiary of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“Supplement” </w:t>
      </w:r>
      <w:r>
        <w:rPr>
          <w:rFonts w:ascii="Arial" w:cs="Arial" w:eastAsia="Arial" w:hAnsi="Arial"/>
          <w:sz w:val="22"/>
          <w:szCs w:val="22"/>
          <w:color w:val="auto"/>
        </w:rPr>
        <w:t>is defined in Section 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“SVO” </w:t>
      </w:r>
      <w:r>
        <w:rPr>
          <w:rFonts w:ascii="Arial" w:cs="Arial" w:eastAsia="Arial" w:hAnsi="Arial"/>
          <w:sz w:val="22"/>
          <w:szCs w:val="22"/>
          <w:color w:val="auto"/>
        </w:rPr>
        <w:t>means the Securities Valuation Office of the NAIC or any successor to such Office.</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i w:val="1"/>
          <w:iCs w:val="1"/>
          <w:color w:val="auto"/>
        </w:rPr>
        <w:t xml:space="preserve">“Swaps” </w:t>
      </w:r>
      <w:r>
        <w:rPr>
          <w:rFonts w:ascii="Arial" w:cs="Arial" w:eastAsia="Arial" w:hAnsi="Arial"/>
          <w:sz w:val="19"/>
          <w:szCs w:val="19"/>
          <w:color w:val="auto"/>
        </w:rPr>
        <w:t>means, with respect to any Person, payment obligations with respect to interest rate swaps,</w:t>
      </w:r>
      <w:r>
        <w:rPr>
          <w:rFonts w:ascii="Arial" w:cs="Arial" w:eastAsia="Arial" w:hAnsi="Arial"/>
          <w:sz w:val="19"/>
          <w:szCs w:val="19"/>
          <w:i w:val="1"/>
          <w:iCs w:val="1"/>
          <w:color w:val="auto"/>
        </w:rPr>
        <w:t xml:space="preserve"> </w:t>
      </w:r>
      <w:r>
        <w:rPr>
          <w:rFonts w:ascii="Arial" w:cs="Arial" w:eastAsia="Arial" w:hAnsi="Arial"/>
          <w:sz w:val="19"/>
          <w:szCs w:val="19"/>
          <w:color w:val="auto"/>
        </w:rPr>
        <w:t>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85" w:name="page86"/>
    <w:bookmarkEnd w:id="85"/>
    <w:p>
      <w:pPr>
        <w:ind w:left="640"/>
        <w:spacing w:after="0"/>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is defined in the Indenture.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 Section 1.</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enacted and in effect from time to time in the state whose</w:t>
      </w:r>
      <w:r>
        <w:rPr>
          <w:rFonts w:ascii="Arial" w:cs="Arial" w:eastAsia="Arial" w:hAnsi="Arial"/>
          <w:sz w:val="22"/>
          <w:szCs w:val="22"/>
          <w:i w:val="1"/>
          <w:iCs w:val="1"/>
          <w:color w:val="auto"/>
        </w:rPr>
        <w:t xml:space="preserve"> </w:t>
      </w:r>
      <w:r>
        <w:rPr>
          <w:rFonts w:ascii="Arial" w:cs="Arial" w:eastAsia="Arial" w:hAnsi="Arial"/>
          <w:sz w:val="22"/>
          <w:szCs w:val="22"/>
          <w:color w:val="auto"/>
        </w:rPr>
        <w:t>laws are treated as applying to the Trust Estate.</w:t>
      </w:r>
    </w:p>
    <w:p>
      <w:pPr>
        <w:spacing w:after="0" w:line="200"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19"/>
          <w:szCs w:val="19"/>
          <w:i w:val="1"/>
          <w:iCs w:val="1"/>
          <w:color w:val="auto"/>
        </w:rPr>
        <w:t xml:space="preserve">“USA Patriot Act” </w:t>
      </w:r>
      <w:r>
        <w:rPr>
          <w:rFonts w:ascii="Arial" w:cs="Arial" w:eastAsia="Arial" w:hAnsi="Arial"/>
          <w:sz w:val="19"/>
          <w:szCs w:val="19"/>
          <w:color w:val="auto"/>
        </w:rPr>
        <w:t>means United States Public Law 107</w:t>
      </w:r>
      <w:r>
        <w:rPr>
          <w:rFonts w:ascii="MS PGothic" w:cs="MS PGothic" w:eastAsia="MS PGothic" w:hAnsi="MS PGothic"/>
          <w:sz w:val="19"/>
          <w:szCs w:val="19"/>
          <w:color w:val="auto"/>
        </w:rPr>
        <w:t>‑</w:t>
      </w:r>
      <w:r>
        <w:rPr>
          <w:rFonts w:ascii="Arial" w:cs="Arial" w:eastAsia="Arial" w:hAnsi="Arial"/>
          <w:sz w:val="19"/>
          <w:szCs w:val="19"/>
          <w:color w:val="auto"/>
        </w:rPr>
        <w:t>56, Uniting and Strengthening America by</w:t>
      </w:r>
      <w:r>
        <w:rPr>
          <w:rFonts w:ascii="Arial" w:cs="Arial" w:eastAsia="Arial" w:hAnsi="Arial"/>
          <w:sz w:val="19"/>
          <w:szCs w:val="19"/>
          <w:i w:val="1"/>
          <w:iCs w:val="1"/>
          <w:color w:val="auto"/>
        </w:rPr>
        <w:t xml:space="preserve"> </w:t>
      </w:r>
      <w:r>
        <w:rPr>
          <w:rFonts w:ascii="Arial" w:cs="Arial" w:eastAsia="Arial" w:hAnsi="Arial"/>
          <w:sz w:val="19"/>
          <w:szCs w:val="19"/>
          <w:color w:val="auto"/>
        </w:rPr>
        <w:t>Providing Appropriate Tools Required to Intercept and Obstruct Terrorism (USA PATRIOT ACT) Act of 2001, as amended from time to time, and the rules and regulations promulgated thereunder from time to time in effect.</w:t>
      </w:r>
    </w:p>
    <w:p>
      <w:pPr>
        <w:spacing w:after="0" w:line="187"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i w:val="1"/>
          <w:iCs w:val="1"/>
          <w:color w:val="auto"/>
        </w:rPr>
        <w:t xml:space="preserve">“U.S. Economic Sanctions Laws” </w:t>
      </w:r>
      <w:r>
        <w:rPr>
          <w:rFonts w:ascii="Arial" w:cs="Arial" w:eastAsia="Arial" w:hAnsi="Arial"/>
          <w:sz w:val="21"/>
          <w:szCs w:val="21"/>
          <w:color w:val="auto"/>
        </w:rPr>
        <w:t>means those laws, executive orders, enabling legislation or regulations</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46557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04" w:right="87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jc w:val="center"/>
        <w:ind w:right="20"/>
        <w:spacing w:after="0" w:line="218" w:lineRule="auto"/>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UBSIDIARIES OF THE</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OMPANY</w:t>
      </w:r>
      <w:r>
        <w:rPr>
          <w:rFonts w:ascii="Arial" w:cs="Arial" w:eastAsia="Arial" w:hAnsi="Arial"/>
          <w:sz w:val="22"/>
          <w:szCs w:val="22"/>
          <w:b w:val="1"/>
          <w:bCs w:val="1"/>
          <w:color w:val="auto"/>
        </w:rPr>
        <w:t>,</w:t>
      </w:r>
    </w:p>
    <w:p>
      <w:pPr>
        <w:jc w:val="center"/>
        <w:ind w:right="20"/>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8"/>
          <w:szCs w:val="18"/>
          <w:b w:val="1"/>
          <w:bCs w:val="1"/>
          <w:color w:val="auto"/>
        </w:rPr>
        <w:t>WNERSHIP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UBSIDIARY</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TOCK</w:t>
      </w: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80" w:type="dxa"/>
            <w:vAlign w:val="bottom"/>
            <w:tcBorders>
              <w:top w:val="single" w:sz="8" w:color="auto"/>
              <w:left w:val="single" w:sz="8" w:color="auto"/>
            </w:tcBorders>
            <w:shd w:val="clear" w:color="auto" w:fill="DBE5F1"/>
          </w:tcPr>
          <w:p>
            <w:pPr>
              <w:spacing w:after="0"/>
              <w:rPr>
                <w:sz w:val="21"/>
                <w:szCs w:val="21"/>
                <w:color w:val="auto"/>
              </w:rPr>
            </w:pPr>
          </w:p>
        </w:tc>
        <w:tc>
          <w:tcPr>
            <w:tcW w:w="4520" w:type="dxa"/>
            <w:vAlign w:val="bottom"/>
            <w:tcBorders>
              <w:top w:val="single" w:sz="8" w:color="auto"/>
              <w:right w:val="single" w:sz="8" w:color="auto"/>
            </w:tcBorders>
            <w:shd w:val="clear" w:color="auto" w:fill="DBE5F1"/>
          </w:tcPr>
          <w:p>
            <w:pPr>
              <w:spacing w:after="0"/>
              <w:rPr>
                <w:sz w:val="21"/>
                <w:szCs w:val="21"/>
                <w:color w:val="auto"/>
              </w:rPr>
            </w:pPr>
          </w:p>
        </w:tc>
        <w:tc>
          <w:tcPr>
            <w:tcW w:w="2420" w:type="dxa"/>
            <w:vAlign w:val="bottom"/>
            <w:tcBorders>
              <w:top w:val="single" w:sz="8" w:color="auto"/>
              <w:right w:val="single" w:sz="8" w:color="auto"/>
            </w:tcBorders>
            <w:shd w:val="clear" w:color="auto" w:fill="DBE5F1"/>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2420" w:type="dxa"/>
            <w:vAlign w:val="bottom"/>
            <w:tcBorders>
              <w:top w:val="single" w:sz="8" w:color="auto"/>
              <w:right w:val="single" w:sz="8" w:color="auto"/>
            </w:tcBorders>
            <w:shd w:val="clear" w:color="auto" w:fill="DBE5F1"/>
          </w:tcPr>
          <w:p>
            <w:pPr>
              <w:jc w:val="center"/>
              <w:spacing w:after="0" w:line="243" w:lineRule="exact"/>
              <w:rPr>
                <w:sz w:val="20"/>
                <w:szCs w:val="20"/>
                <w:color w:val="auto"/>
              </w:rPr>
            </w:pPr>
            <w:r>
              <w:rPr>
                <w:rFonts w:ascii="Arial" w:cs="Arial" w:eastAsia="Arial" w:hAnsi="Arial"/>
                <w:sz w:val="22"/>
                <w:szCs w:val="22"/>
                <w:b w:val="1"/>
                <w:bCs w:val="1"/>
                <w:color w:val="auto"/>
                <w:w w:val="92"/>
              </w:rPr>
              <w:t>% of Ownership</w:t>
            </w:r>
          </w:p>
        </w:tc>
      </w:tr>
      <w:tr>
        <w:trPr>
          <w:trHeight w:val="271"/>
        </w:trPr>
        <w:tc>
          <w:tcPr>
            <w:tcW w:w="780" w:type="dxa"/>
            <w:vAlign w:val="bottom"/>
            <w:tcBorders>
              <w:left w:val="single" w:sz="8" w:color="auto"/>
              <w:bottom w:val="single" w:sz="8" w:color="auto"/>
            </w:tcBorders>
            <w:shd w:val="clear" w:color="auto" w:fill="DBE5F1"/>
          </w:tcPr>
          <w:p>
            <w:pPr>
              <w:spacing w:after="0"/>
              <w:rPr>
                <w:sz w:val="23"/>
                <w:szCs w:val="23"/>
                <w:color w:val="auto"/>
              </w:rPr>
            </w:pPr>
          </w:p>
        </w:tc>
        <w:tc>
          <w:tcPr>
            <w:tcW w:w="4520" w:type="dxa"/>
            <w:vAlign w:val="bottom"/>
            <w:tcBorders>
              <w:bottom w:val="single" w:sz="8" w:color="auto"/>
              <w:right w:val="single" w:sz="8" w:color="auto"/>
            </w:tcBorders>
            <w:shd w:val="clear" w:color="auto" w:fill="DBE5F1"/>
          </w:tcPr>
          <w:p>
            <w:pPr>
              <w:ind w:left="1120"/>
              <w:spacing w:after="0"/>
              <w:rPr>
                <w:sz w:val="20"/>
                <w:szCs w:val="20"/>
                <w:color w:val="auto"/>
              </w:rPr>
            </w:pPr>
            <w:r>
              <w:rPr>
                <w:rFonts w:ascii="Arial" w:cs="Arial" w:eastAsia="Arial" w:hAnsi="Arial"/>
                <w:sz w:val="22"/>
                <w:szCs w:val="22"/>
                <w:b w:val="1"/>
                <w:bCs w:val="1"/>
                <w:color w:val="auto"/>
              </w:rPr>
              <w:t>Company Name</w:t>
            </w:r>
          </w:p>
        </w:tc>
        <w:tc>
          <w:tcPr>
            <w:tcW w:w="24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1"/>
              </w:rPr>
              <w:t>Incorporation</w:t>
            </w:r>
          </w:p>
        </w:tc>
        <w:tc>
          <w:tcPr>
            <w:tcW w:w="24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4"/>
              </w:rPr>
              <w:t>(Direct &amp; Indirect)</w:t>
            </w:r>
          </w:p>
        </w:tc>
      </w:tr>
      <w:tr>
        <w:trPr>
          <w:trHeight w:val="458"/>
        </w:trPr>
        <w:tc>
          <w:tcPr>
            <w:tcW w:w="5300" w:type="dxa"/>
            <w:vAlign w:val="bottom"/>
            <w:gridSpan w:val="2"/>
          </w:tcPr>
          <w:p>
            <w:pPr>
              <w:ind w:left="120"/>
              <w:spacing w:after="0"/>
              <w:rPr>
                <w:sz w:val="20"/>
                <w:szCs w:val="20"/>
                <w:color w:val="auto"/>
              </w:rPr>
            </w:pPr>
            <w:r>
              <w:rPr>
                <w:rFonts w:ascii="Arial" w:cs="Arial" w:eastAsia="Arial" w:hAnsi="Arial"/>
                <w:sz w:val="22"/>
                <w:szCs w:val="22"/>
                <w:color w:val="auto"/>
              </w:rPr>
              <w:t>Aqua Pennsylvania, Inc.</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0"/>
        </w:trPr>
        <w:tc>
          <w:tcPr>
            <w:tcW w:w="780" w:type="dxa"/>
            <w:vAlign w:val="bottom"/>
          </w:tcPr>
          <w:p>
            <w:pPr>
              <w:jc w:val="right"/>
              <w:spacing w:after="0"/>
              <w:rPr>
                <w:sz w:val="20"/>
                <w:szCs w:val="20"/>
                <w:color w:val="auto"/>
              </w:rPr>
            </w:pPr>
            <w:r>
              <w:rPr>
                <w:rFonts w:ascii="Arial" w:cs="Arial" w:eastAsia="Arial" w:hAnsi="Arial"/>
                <w:sz w:val="22"/>
                <w:szCs w:val="22"/>
                <w:color w:val="auto"/>
              </w:rPr>
              <w:t>1.</w:t>
            </w:r>
          </w:p>
        </w:tc>
        <w:tc>
          <w:tcPr>
            <w:tcW w:w="4520" w:type="dxa"/>
            <w:vAlign w:val="bottom"/>
          </w:tcPr>
          <w:p>
            <w:pPr>
              <w:ind w:left="40"/>
              <w:spacing w:after="0"/>
              <w:rPr>
                <w:sz w:val="20"/>
                <w:szCs w:val="20"/>
                <w:color w:val="auto"/>
              </w:rPr>
            </w:pPr>
            <w:r>
              <w:rPr>
                <w:rFonts w:ascii="Arial" w:cs="Arial" w:eastAsia="Arial" w:hAnsi="Arial"/>
                <w:sz w:val="22"/>
                <w:szCs w:val="22"/>
                <w:color w:val="auto"/>
              </w:rPr>
              <w:t>Aqua Pennsylvania Wastewater, Inc.</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0"/>
        </w:trPr>
        <w:tc>
          <w:tcPr>
            <w:tcW w:w="780" w:type="dxa"/>
            <w:vAlign w:val="bottom"/>
          </w:tcPr>
          <w:p>
            <w:pPr>
              <w:jc w:val="right"/>
              <w:spacing w:after="0"/>
              <w:rPr>
                <w:sz w:val="20"/>
                <w:szCs w:val="20"/>
                <w:color w:val="auto"/>
              </w:rPr>
            </w:pPr>
            <w:r>
              <w:rPr>
                <w:rFonts w:ascii="Arial" w:cs="Arial" w:eastAsia="Arial" w:hAnsi="Arial"/>
                <w:sz w:val="22"/>
                <w:szCs w:val="22"/>
                <w:color w:val="auto"/>
              </w:rPr>
              <w:t>2.</w:t>
            </w:r>
          </w:p>
        </w:tc>
        <w:tc>
          <w:tcPr>
            <w:tcW w:w="4520" w:type="dxa"/>
            <w:vAlign w:val="bottom"/>
          </w:tcPr>
          <w:p>
            <w:pPr>
              <w:ind w:left="40"/>
              <w:spacing w:after="0"/>
              <w:rPr>
                <w:sz w:val="20"/>
                <w:szCs w:val="20"/>
                <w:color w:val="auto"/>
              </w:rPr>
            </w:pPr>
            <w:r>
              <w:rPr>
                <w:rFonts w:ascii="Arial" w:cs="Arial" w:eastAsia="Arial" w:hAnsi="Arial"/>
                <w:sz w:val="22"/>
                <w:szCs w:val="22"/>
                <w:color w:val="auto"/>
              </w:rPr>
              <w:t>Honesdale Consolidated Water Company</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5"/>
        </w:trPr>
        <w:tc>
          <w:tcPr>
            <w:tcW w:w="780" w:type="dxa"/>
            <w:vAlign w:val="bottom"/>
          </w:tcPr>
          <w:p>
            <w:pPr>
              <w:jc w:val="right"/>
              <w:spacing w:after="0"/>
              <w:rPr>
                <w:sz w:val="20"/>
                <w:szCs w:val="20"/>
                <w:color w:val="auto"/>
              </w:rPr>
            </w:pPr>
            <w:r>
              <w:rPr>
                <w:rFonts w:ascii="Arial" w:cs="Arial" w:eastAsia="Arial" w:hAnsi="Arial"/>
                <w:sz w:val="22"/>
                <w:szCs w:val="22"/>
                <w:color w:val="auto"/>
              </w:rPr>
              <w:t>3.</w:t>
            </w:r>
          </w:p>
        </w:tc>
        <w:tc>
          <w:tcPr>
            <w:tcW w:w="4520" w:type="dxa"/>
            <w:vAlign w:val="bottom"/>
          </w:tcPr>
          <w:p>
            <w:pPr>
              <w:ind w:left="40"/>
              <w:spacing w:after="0"/>
              <w:rPr>
                <w:sz w:val="20"/>
                <w:szCs w:val="20"/>
                <w:color w:val="auto"/>
              </w:rPr>
            </w:pPr>
            <w:r>
              <w:rPr>
                <w:rFonts w:ascii="Arial" w:cs="Arial" w:eastAsia="Arial" w:hAnsi="Arial"/>
                <w:sz w:val="22"/>
                <w:szCs w:val="22"/>
                <w:color w:val="auto"/>
              </w:rPr>
              <w:t>Superior Water Company</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420" w:type="dxa"/>
            <w:vAlign w:val="bottom"/>
          </w:tcPr>
          <w:p>
            <w:pPr>
              <w:jc w:val="center"/>
              <w:spacing w:after="0"/>
              <w:rPr>
                <w:sz w:val="20"/>
                <w:szCs w:val="20"/>
                <w:color w:val="auto"/>
              </w:rPr>
            </w:pPr>
            <w:r>
              <w:rPr>
                <w:rFonts w:ascii="Arial" w:cs="Arial" w:eastAsia="Arial" w:hAnsi="Arial"/>
                <w:sz w:val="22"/>
                <w:szCs w:val="22"/>
                <w:color w:val="auto"/>
                <w:w w:val="88"/>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5.4</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52070</wp:posOffset>
            </wp:positionV>
            <wp:extent cx="646557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666" w:right="87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INANCIAL</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TATEMENTS</w:t>
      </w:r>
    </w:p>
    <w:p>
      <w:pPr>
        <w:spacing w:after="0" w:line="200" w:lineRule="exact"/>
        <w:rPr>
          <w:sz w:val="20"/>
          <w:szCs w:val="20"/>
          <w:color w:val="auto"/>
        </w:rPr>
      </w:pPr>
    </w:p>
    <w:p>
      <w:pPr>
        <w:spacing w:after="0" w:line="269" w:lineRule="exact"/>
        <w:rPr>
          <w:sz w:val="20"/>
          <w:szCs w:val="20"/>
          <w:color w:val="auto"/>
        </w:rPr>
      </w:pPr>
    </w:p>
    <w:p>
      <w:pPr>
        <w:ind w:left="-120" w:firstLine="645"/>
        <w:spacing w:after="0" w:line="251" w:lineRule="auto"/>
        <w:tabs>
          <w:tab w:leader="none" w:pos="895" w:val="left"/>
        </w:tabs>
        <w:numPr>
          <w:ilvl w:val="0"/>
          <w:numId w:val="40"/>
        </w:numPr>
        <w:rPr>
          <w:rFonts w:ascii="Arial" w:cs="Arial" w:eastAsia="Arial" w:hAnsi="Arial"/>
          <w:sz w:val="22"/>
          <w:szCs w:val="22"/>
          <w:color w:val="auto"/>
        </w:rPr>
      </w:pPr>
      <w:r>
        <w:rPr>
          <w:rFonts w:ascii="Arial" w:cs="Arial" w:eastAsia="Arial" w:hAnsi="Arial"/>
          <w:sz w:val="22"/>
          <w:szCs w:val="22"/>
          <w:color w:val="auto"/>
        </w:rPr>
        <w:t>Aqua Pennsylvania, Inc. Consolidated Financial Statements as of and for the years ended December 31, 2018, 2017 and 2016 (audited)</w:t>
      </w:r>
    </w:p>
    <w:p>
      <w:pPr>
        <w:spacing w:after="0" w:line="173" w:lineRule="exact"/>
        <w:rPr>
          <w:rFonts w:ascii="Arial" w:cs="Arial" w:eastAsia="Arial" w:hAnsi="Arial"/>
          <w:sz w:val="22"/>
          <w:szCs w:val="22"/>
          <w:color w:val="auto"/>
        </w:rPr>
      </w:pPr>
    </w:p>
    <w:p>
      <w:pPr>
        <w:ind w:left="900" w:hanging="375"/>
        <w:spacing w:after="0"/>
        <w:tabs>
          <w:tab w:leader="none" w:pos="9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Aqua Pennsylvania, Inc. Report for Quarter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52070</wp:posOffset>
            </wp:positionV>
            <wp:extent cx="646557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60"/>
          </w:cols>
          <w:pgMar w:left="1020" w:top="666" w:right="1019" w:bottom="1440" w:gutter="0" w:footer="0" w:header="0"/>
        </w:sectPr>
      </w:pPr>
    </w:p>
    <w:bookmarkStart w:id="88" w:name="page89"/>
    <w:bookmarkEnd w:id="88"/>
    <w:p>
      <w:pPr>
        <w:jc w:val="center"/>
        <w:ind w:right="14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CHEDULE</w:t>
      </w:r>
      <w:r>
        <w:rPr>
          <w:rFonts w:ascii="Arial" w:cs="Arial" w:eastAsia="Arial" w:hAnsi="Arial"/>
          <w:sz w:val="22"/>
          <w:szCs w:val="22"/>
          <w:b w:val="1"/>
          <w:bCs w:val="1"/>
          <w:color w:val="auto"/>
        </w:rPr>
        <w:t xml:space="preserve"> 5.15(a)</w:t>
      </w:r>
    </w:p>
    <w:p>
      <w:pPr>
        <w:jc w:val="center"/>
        <w:ind w:right="140"/>
        <w:spacing w:after="0" w:line="231" w:lineRule="auto"/>
        <w:rPr>
          <w:sz w:val="20"/>
          <w:szCs w:val="20"/>
          <w:color w:val="auto"/>
        </w:rPr>
      </w:pPr>
      <w:r>
        <w:rPr>
          <w:rFonts w:ascii="Arial" w:cs="Arial" w:eastAsia="Arial" w:hAnsi="Arial"/>
          <w:sz w:val="22"/>
          <w:szCs w:val="22"/>
          <w:b w:val="1"/>
          <w:bCs w:val="1"/>
          <w:color w:val="auto"/>
        </w:rPr>
        <w:t>E</w:t>
      </w:r>
      <w:r>
        <w:rPr>
          <w:rFonts w:ascii="Arial" w:cs="Arial" w:eastAsia="Arial" w:hAnsi="Arial"/>
          <w:sz w:val="18"/>
          <w:szCs w:val="18"/>
          <w:b w:val="1"/>
          <w:bCs w:val="1"/>
          <w:color w:val="auto"/>
        </w:rPr>
        <w:t>XISTING</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EBT</w:t>
      </w:r>
    </w:p>
    <w:p>
      <w:pPr>
        <w:jc w:val="center"/>
        <w:ind w:right="140"/>
        <w:spacing w:after="0"/>
        <w:rPr>
          <w:sz w:val="20"/>
          <w:szCs w:val="20"/>
          <w:color w:val="auto"/>
        </w:rPr>
      </w:pPr>
      <w:r>
        <w:rPr>
          <w:rFonts w:ascii="Arial" w:cs="Arial" w:eastAsia="Arial" w:hAnsi="Arial"/>
          <w:sz w:val="22"/>
          <w:szCs w:val="22"/>
          <w:b w:val="1"/>
          <w:bCs w:val="1"/>
          <w:color w:val="auto"/>
        </w:rPr>
        <w:t>as of March 31, 2019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900" w:type="dxa"/>
            <w:vAlign w:val="bottom"/>
          </w:tcPr>
          <w:p>
            <w:pPr>
              <w:jc w:val="right"/>
              <w:ind w:right="1028"/>
              <w:spacing w:after="0"/>
              <w:rPr>
                <w:sz w:val="20"/>
                <w:szCs w:val="20"/>
                <w:color w:val="auto"/>
              </w:rPr>
            </w:pPr>
            <w:r>
              <w:rPr>
                <w:rFonts w:ascii="Arial" w:cs="Arial" w:eastAsia="Arial" w:hAnsi="Arial"/>
                <w:sz w:val="14"/>
                <w:szCs w:val="14"/>
                <w:color w:val="auto"/>
              </w:rPr>
              <w:t>Outstanding</w:t>
            </w:r>
          </w:p>
        </w:tc>
      </w:tr>
      <w:tr>
        <w:trPr>
          <w:trHeight w:val="215"/>
        </w:trPr>
        <w:tc>
          <w:tcPr>
            <w:tcW w:w="36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90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Balance</w:t>
            </w:r>
          </w:p>
        </w:tc>
      </w:tr>
      <w:tr>
        <w:trPr>
          <w:trHeight w:val="225"/>
        </w:trPr>
        <w:tc>
          <w:tcPr>
            <w:tcW w:w="3600" w:type="dxa"/>
            <w:vAlign w:val="bottom"/>
          </w:tcPr>
          <w:p>
            <w:pPr>
              <w:spacing w:after="0"/>
              <w:rPr>
                <w:sz w:val="20"/>
                <w:szCs w:val="20"/>
                <w:color w:val="auto"/>
              </w:rPr>
            </w:pPr>
            <w:r>
              <w:rPr>
                <w:rFonts w:ascii="Arial" w:cs="Arial" w:eastAsia="Arial" w:hAnsi="Arial"/>
                <w:sz w:val="14"/>
                <w:szCs w:val="14"/>
                <w:color w:val="auto"/>
              </w:rPr>
              <w:t>Unsecured Note</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5.64%</w:t>
            </w:r>
          </w:p>
        </w:tc>
        <w:tc>
          <w:tcPr>
            <w:tcW w:w="2900" w:type="dxa"/>
            <w:vAlign w:val="bottom"/>
          </w:tcPr>
          <w:p>
            <w:pPr>
              <w:jc w:val="right"/>
              <w:spacing w:after="0"/>
              <w:rPr>
                <w:sz w:val="20"/>
                <w:szCs w:val="20"/>
                <w:color w:val="auto"/>
              </w:rPr>
            </w:pPr>
            <w:r>
              <w:rPr>
                <w:rFonts w:ascii="Arial" w:cs="Arial" w:eastAsia="Arial" w:hAnsi="Arial"/>
                <w:sz w:val="14"/>
                <w:szCs w:val="14"/>
                <w:color w:val="auto"/>
              </w:rPr>
              <w:t>5,466,000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Unsecured Note</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5.64%</w:t>
            </w:r>
          </w:p>
        </w:tc>
        <w:tc>
          <w:tcPr>
            <w:tcW w:w="2900" w:type="dxa"/>
            <w:vAlign w:val="bottom"/>
          </w:tcPr>
          <w:p>
            <w:pPr>
              <w:jc w:val="right"/>
              <w:spacing w:after="0"/>
              <w:rPr>
                <w:sz w:val="20"/>
                <w:szCs w:val="20"/>
                <w:color w:val="auto"/>
              </w:rPr>
            </w:pPr>
            <w:r>
              <w:rPr>
                <w:rFonts w:ascii="Arial" w:cs="Arial" w:eastAsia="Arial" w:hAnsi="Arial"/>
                <w:sz w:val="14"/>
                <w:szCs w:val="14"/>
                <w:color w:val="auto"/>
              </w:rPr>
              <w:t>5,461,000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Unsecured Note</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5.95%</w:t>
            </w:r>
          </w:p>
        </w:tc>
        <w:tc>
          <w:tcPr>
            <w:tcW w:w="290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Unsecured Note</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5.95%</w:t>
            </w:r>
          </w:p>
        </w:tc>
        <w:tc>
          <w:tcPr>
            <w:tcW w:w="290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Unsecured Note</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5.95%</w:t>
            </w:r>
          </w:p>
        </w:tc>
        <w:tc>
          <w:tcPr>
            <w:tcW w:w="290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Unsecured Note</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5.95%</w:t>
            </w:r>
          </w:p>
        </w:tc>
        <w:tc>
          <w:tcPr>
            <w:tcW w:w="290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Bank Loan</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2.48%</w:t>
            </w:r>
          </w:p>
        </w:tc>
        <w:tc>
          <w:tcPr>
            <w:tcW w:w="2900" w:type="dxa"/>
            <w:vAlign w:val="bottom"/>
          </w:tcPr>
          <w:p>
            <w:pPr>
              <w:jc w:val="right"/>
              <w:spacing w:after="0"/>
              <w:rPr>
                <w:sz w:val="20"/>
                <w:szCs w:val="20"/>
                <w:color w:val="auto"/>
              </w:rPr>
            </w:pPr>
            <w:r>
              <w:rPr>
                <w:rFonts w:ascii="Arial" w:cs="Arial" w:eastAsia="Arial" w:hAnsi="Arial"/>
                <w:sz w:val="14"/>
                <w:szCs w:val="14"/>
                <w:color w:val="auto"/>
              </w:rPr>
              <w:t>50,000,000</w:t>
            </w:r>
          </w:p>
        </w:tc>
      </w:tr>
      <w:tr>
        <w:trPr>
          <w:trHeight w:val="215"/>
        </w:trPr>
        <w:tc>
          <w:tcPr>
            <w:tcW w:w="3600" w:type="dxa"/>
            <w:vAlign w:val="bottom"/>
          </w:tcPr>
          <w:p>
            <w:pPr>
              <w:spacing w:after="0"/>
              <w:rPr>
                <w:sz w:val="20"/>
                <w:szCs w:val="20"/>
                <w:color w:val="auto"/>
              </w:rPr>
            </w:pPr>
            <w:r>
              <w:rPr>
                <w:rFonts w:ascii="Arial" w:cs="Arial" w:eastAsia="Arial" w:hAnsi="Arial"/>
                <w:sz w:val="14"/>
                <w:szCs w:val="14"/>
                <w:color w:val="auto"/>
              </w:rPr>
              <w:t>Bank Loan</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3.50%</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50,000,000</w:t>
            </w:r>
          </w:p>
        </w:tc>
      </w:tr>
      <w:tr>
        <w:trPr>
          <w:trHeight w:val="454"/>
        </w:trPr>
        <w:tc>
          <w:tcPr>
            <w:tcW w:w="3600" w:type="dxa"/>
            <w:vAlign w:val="bottom"/>
          </w:tcPr>
          <w:p>
            <w:pPr>
              <w:spacing w:after="0"/>
              <w:rPr>
                <w:sz w:val="20"/>
                <w:szCs w:val="20"/>
                <w:color w:val="auto"/>
              </w:rPr>
            </w:pPr>
            <w:r>
              <w:rPr>
                <w:rFonts w:ascii="Arial" w:cs="Arial" w:eastAsia="Arial" w:hAnsi="Arial"/>
                <w:sz w:val="14"/>
                <w:szCs w:val="14"/>
                <w:b w:val="1"/>
                <w:bCs w:val="1"/>
                <w:color w:val="auto"/>
              </w:rPr>
              <w:t>Total Unsecured Notes</w:t>
            </w:r>
          </w:p>
        </w:tc>
        <w:tc>
          <w:tcPr>
            <w:tcW w:w="350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b w:val="1"/>
                <w:bCs w:val="1"/>
                <w:color w:val="auto"/>
              </w:rPr>
              <w:t>150,927,000</w:t>
            </w:r>
          </w:p>
        </w:tc>
      </w:tr>
      <w:tr>
        <w:trPr>
          <w:trHeight w:val="459"/>
        </w:trPr>
        <w:tc>
          <w:tcPr>
            <w:tcW w:w="3600" w:type="dxa"/>
            <w:vAlign w:val="bottom"/>
          </w:tcPr>
          <w:p>
            <w:pPr>
              <w:spacing w:after="0"/>
              <w:rPr>
                <w:sz w:val="20"/>
                <w:szCs w:val="20"/>
                <w:color w:val="auto"/>
              </w:rPr>
            </w:pPr>
            <w:r>
              <w:rPr>
                <w:rFonts w:ascii="Arial" w:cs="Arial" w:eastAsia="Arial" w:hAnsi="Arial"/>
                <w:sz w:val="14"/>
                <w:szCs w:val="14"/>
                <w:color w:val="auto"/>
              </w:rPr>
              <w:t>Tax Exempt-Bond Premium</w:t>
            </w:r>
          </w:p>
        </w:tc>
        <w:tc>
          <w:tcPr>
            <w:tcW w:w="350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1,379,707</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Exempt-Bond Premium</w:t>
            </w:r>
          </w:p>
        </w:tc>
        <w:tc>
          <w:tcPr>
            <w:tcW w:w="35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229,324</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5.00%</w:t>
            </w:r>
          </w:p>
        </w:tc>
        <w:tc>
          <w:tcPr>
            <w:tcW w:w="2900" w:type="dxa"/>
            <w:vAlign w:val="bottom"/>
          </w:tcPr>
          <w:p>
            <w:pPr>
              <w:jc w:val="right"/>
              <w:spacing w:after="0"/>
              <w:rPr>
                <w:sz w:val="20"/>
                <w:szCs w:val="20"/>
                <w:color w:val="auto"/>
              </w:rPr>
            </w:pPr>
            <w:r>
              <w:rPr>
                <w:rFonts w:ascii="Arial" w:cs="Arial" w:eastAsia="Arial" w:hAnsi="Arial"/>
                <w:sz w:val="14"/>
                <w:szCs w:val="14"/>
                <w:color w:val="auto"/>
              </w:rPr>
              <w:t>58,000,000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35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(1,374,059)</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5.00%</w:t>
            </w:r>
          </w:p>
        </w:tc>
        <w:tc>
          <w:tcPr>
            <w:tcW w:w="2900" w:type="dxa"/>
            <w:vAlign w:val="bottom"/>
          </w:tcPr>
          <w:p>
            <w:pPr>
              <w:jc w:val="right"/>
              <w:spacing w:after="0"/>
              <w:rPr>
                <w:sz w:val="20"/>
                <w:szCs w:val="20"/>
                <w:color w:val="auto"/>
              </w:rPr>
            </w:pPr>
            <w:r>
              <w:rPr>
                <w:rFonts w:ascii="Arial" w:cs="Arial" w:eastAsia="Arial" w:hAnsi="Arial"/>
                <w:sz w:val="14"/>
                <w:szCs w:val="14"/>
                <w:color w:val="auto"/>
              </w:rPr>
              <w:t>62,165,000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Exempt-Bond Premium</w:t>
            </w:r>
          </w:p>
        </w:tc>
        <w:tc>
          <w:tcPr>
            <w:tcW w:w="35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425,306</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4.75%</w:t>
            </w:r>
          </w:p>
        </w:tc>
        <w:tc>
          <w:tcPr>
            <w:tcW w:w="2900" w:type="dxa"/>
            <w:vAlign w:val="bottom"/>
          </w:tcPr>
          <w:p>
            <w:pPr>
              <w:jc w:val="right"/>
              <w:spacing w:after="0"/>
              <w:rPr>
                <w:sz w:val="20"/>
                <w:szCs w:val="20"/>
                <w:color w:val="auto"/>
              </w:rPr>
            </w:pPr>
            <w:r>
              <w:rPr>
                <w:rFonts w:ascii="Arial" w:cs="Arial" w:eastAsia="Arial" w:hAnsi="Arial"/>
                <w:sz w:val="14"/>
                <w:szCs w:val="14"/>
                <w:color w:val="auto"/>
              </w:rPr>
              <w:t>12,520,000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35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(208,153)</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5.00%</w:t>
            </w:r>
          </w:p>
        </w:tc>
        <w:tc>
          <w:tcPr>
            <w:tcW w:w="2900" w:type="dxa"/>
            <w:vAlign w:val="bottom"/>
          </w:tcPr>
          <w:p>
            <w:pPr>
              <w:jc w:val="right"/>
              <w:spacing w:after="0"/>
              <w:rPr>
                <w:sz w:val="20"/>
                <w:szCs w:val="20"/>
                <w:color w:val="auto"/>
              </w:rPr>
            </w:pPr>
            <w:r>
              <w:rPr>
                <w:rFonts w:ascii="Arial" w:cs="Arial" w:eastAsia="Arial" w:hAnsi="Arial"/>
                <w:sz w:val="14"/>
                <w:szCs w:val="14"/>
                <w:color w:val="auto"/>
              </w:rPr>
              <w:t>25,910,000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5.00%</w:t>
            </w:r>
          </w:p>
        </w:tc>
        <w:tc>
          <w:tcPr>
            <w:tcW w:w="2900" w:type="dxa"/>
            <w:vAlign w:val="bottom"/>
          </w:tcPr>
          <w:p>
            <w:pPr>
              <w:jc w:val="right"/>
              <w:spacing w:after="0"/>
              <w:rPr>
                <w:sz w:val="20"/>
                <w:szCs w:val="20"/>
                <w:color w:val="auto"/>
              </w:rPr>
            </w:pPr>
            <w:r>
              <w:rPr>
                <w:rFonts w:ascii="Arial" w:cs="Arial" w:eastAsia="Arial" w:hAnsi="Arial"/>
                <w:sz w:val="14"/>
                <w:szCs w:val="14"/>
                <w:color w:val="auto"/>
              </w:rPr>
              <w:t>19,270,000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35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(87,064)</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4.50%</w:t>
            </w:r>
          </w:p>
        </w:tc>
        <w:tc>
          <w:tcPr>
            <w:tcW w:w="2900" w:type="dxa"/>
            <w:vAlign w:val="bottom"/>
          </w:tcPr>
          <w:p>
            <w:pPr>
              <w:jc w:val="right"/>
              <w:spacing w:after="0"/>
              <w:rPr>
                <w:sz w:val="20"/>
                <w:szCs w:val="20"/>
                <w:color w:val="auto"/>
              </w:rPr>
            </w:pPr>
            <w:r>
              <w:rPr>
                <w:rFonts w:ascii="Arial" w:cs="Arial" w:eastAsia="Arial" w:hAnsi="Arial"/>
                <w:sz w:val="14"/>
                <w:szCs w:val="14"/>
                <w:color w:val="auto"/>
              </w:rPr>
              <w:t>15,000,000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Exempt-Bond Discount</w:t>
            </w:r>
          </w:p>
        </w:tc>
        <w:tc>
          <w:tcPr>
            <w:tcW w:w="35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(453,600)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Tax Exempt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5.00%</w:t>
            </w:r>
          </w:p>
        </w:tc>
        <w:tc>
          <w:tcPr>
            <w:tcW w:w="2900" w:type="dxa"/>
            <w:vAlign w:val="bottom"/>
          </w:tcPr>
          <w:p>
            <w:pPr>
              <w:jc w:val="right"/>
              <w:spacing w:after="0"/>
              <w:rPr>
                <w:sz w:val="20"/>
                <w:szCs w:val="20"/>
                <w:color w:val="auto"/>
              </w:rPr>
            </w:pPr>
            <w:r>
              <w:rPr>
                <w:rFonts w:ascii="Arial" w:cs="Arial" w:eastAsia="Arial" w:hAnsi="Arial"/>
                <w:sz w:val="14"/>
                <w:szCs w:val="14"/>
                <w:color w:val="auto"/>
              </w:rPr>
              <w:t>81,205,000</w:t>
            </w:r>
          </w:p>
        </w:tc>
      </w:tr>
      <w:tr>
        <w:trPr>
          <w:trHeight w:val="215"/>
        </w:trPr>
        <w:tc>
          <w:tcPr>
            <w:tcW w:w="3600" w:type="dxa"/>
            <w:vAlign w:val="bottom"/>
          </w:tcPr>
          <w:p>
            <w:pPr>
              <w:spacing w:after="0"/>
              <w:rPr>
                <w:sz w:val="20"/>
                <w:szCs w:val="20"/>
                <w:color w:val="auto"/>
              </w:rPr>
            </w:pPr>
            <w:r>
              <w:rPr>
                <w:rFonts w:ascii="Arial" w:cs="Arial" w:eastAsia="Arial" w:hAnsi="Arial"/>
                <w:sz w:val="14"/>
                <w:szCs w:val="14"/>
                <w:color w:val="auto"/>
              </w:rPr>
              <w:t>Tax Exempt-Bond Premium</w:t>
            </w:r>
          </w:p>
        </w:tc>
        <w:tc>
          <w:tcPr>
            <w:tcW w:w="3500" w:type="dxa"/>
            <w:vAlign w:val="bottom"/>
          </w:tcPr>
          <w:p>
            <w:pPr>
              <w:spacing w:after="0"/>
              <w:rPr>
                <w:sz w:val="18"/>
                <w:szCs w:val="18"/>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1,930,164</w:t>
            </w:r>
          </w:p>
        </w:tc>
      </w:tr>
      <w:tr>
        <w:trPr>
          <w:trHeight w:val="454"/>
        </w:trPr>
        <w:tc>
          <w:tcPr>
            <w:tcW w:w="3600" w:type="dxa"/>
            <w:vAlign w:val="bottom"/>
          </w:tcPr>
          <w:p>
            <w:pPr>
              <w:spacing w:after="0"/>
              <w:rPr>
                <w:sz w:val="20"/>
                <w:szCs w:val="20"/>
                <w:color w:val="auto"/>
              </w:rPr>
            </w:pPr>
            <w:r>
              <w:rPr>
                <w:rFonts w:ascii="Arial" w:cs="Arial" w:eastAsia="Arial" w:hAnsi="Arial"/>
                <w:sz w:val="14"/>
                <w:szCs w:val="14"/>
                <w:b w:val="1"/>
                <w:bCs w:val="1"/>
                <w:color w:val="auto"/>
              </w:rPr>
              <w:t>Total Tax Exempt Bonds</w:t>
            </w:r>
          </w:p>
        </w:tc>
        <w:tc>
          <w:tcPr>
            <w:tcW w:w="350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b w:val="1"/>
                <w:bCs w:val="1"/>
                <w:color w:val="auto"/>
              </w:rPr>
              <w:t>275,911,625</w:t>
            </w:r>
          </w:p>
        </w:tc>
      </w:tr>
      <w:tr>
        <w:trPr>
          <w:trHeight w:val="459"/>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2.711%</w:t>
            </w:r>
          </w:p>
        </w:tc>
        <w:tc>
          <w:tcPr>
            <w:tcW w:w="2900" w:type="dxa"/>
            <w:vAlign w:val="bottom"/>
          </w:tcPr>
          <w:p>
            <w:pPr>
              <w:jc w:val="right"/>
              <w:spacing w:after="0"/>
              <w:rPr>
                <w:sz w:val="20"/>
                <w:szCs w:val="20"/>
                <w:color w:val="auto"/>
              </w:rPr>
            </w:pPr>
            <w:r>
              <w:rPr>
                <w:rFonts w:ascii="Arial" w:cs="Arial" w:eastAsia="Arial" w:hAnsi="Arial"/>
                <w:sz w:val="14"/>
                <w:szCs w:val="14"/>
                <w:color w:val="auto"/>
              </w:rPr>
              <w:t>384,644</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789,697</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263,047</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2.690%</w:t>
            </w:r>
          </w:p>
        </w:tc>
        <w:tc>
          <w:tcPr>
            <w:tcW w:w="2900" w:type="dxa"/>
            <w:vAlign w:val="bottom"/>
          </w:tcPr>
          <w:p>
            <w:pPr>
              <w:jc w:val="right"/>
              <w:spacing w:after="0"/>
              <w:rPr>
                <w:sz w:val="20"/>
                <w:szCs w:val="20"/>
                <w:color w:val="auto"/>
              </w:rPr>
            </w:pPr>
            <w:r>
              <w:rPr>
                <w:rFonts w:ascii="Arial" w:cs="Arial" w:eastAsia="Arial" w:hAnsi="Arial"/>
                <w:sz w:val="14"/>
                <w:szCs w:val="14"/>
                <w:color w:val="auto"/>
              </w:rPr>
              <w:t>753,454</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1,484,553</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490,983</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1.510%</w:t>
            </w:r>
          </w:p>
        </w:tc>
        <w:tc>
          <w:tcPr>
            <w:tcW w:w="2900" w:type="dxa"/>
            <w:vAlign w:val="bottom"/>
          </w:tcPr>
          <w:p>
            <w:pPr>
              <w:jc w:val="right"/>
              <w:spacing w:after="0"/>
              <w:rPr>
                <w:sz w:val="20"/>
                <w:szCs w:val="20"/>
                <w:color w:val="auto"/>
              </w:rPr>
            </w:pPr>
            <w:r>
              <w:rPr>
                <w:rFonts w:ascii="Arial" w:cs="Arial" w:eastAsia="Arial" w:hAnsi="Arial"/>
                <w:sz w:val="14"/>
                <w:szCs w:val="14"/>
                <w:color w:val="auto"/>
              </w:rPr>
              <w:t>1,950,498</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1.000%</w:t>
            </w:r>
          </w:p>
        </w:tc>
        <w:tc>
          <w:tcPr>
            <w:tcW w:w="2900" w:type="dxa"/>
            <w:vAlign w:val="bottom"/>
          </w:tcPr>
          <w:p>
            <w:pPr>
              <w:jc w:val="right"/>
              <w:spacing w:after="0"/>
              <w:rPr>
                <w:sz w:val="20"/>
                <w:szCs w:val="20"/>
                <w:color w:val="auto"/>
              </w:rPr>
            </w:pPr>
            <w:r>
              <w:rPr>
                <w:rFonts w:ascii="Arial" w:cs="Arial" w:eastAsia="Arial" w:hAnsi="Arial"/>
                <w:sz w:val="14"/>
                <w:szCs w:val="14"/>
                <w:color w:val="auto"/>
              </w:rPr>
              <w:t>873,348</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4.047%</w:t>
            </w:r>
          </w:p>
        </w:tc>
        <w:tc>
          <w:tcPr>
            <w:tcW w:w="2900" w:type="dxa"/>
            <w:vAlign w:val="bottom"/>
          </w:tcPr>
          <w:p>
            <w:pPr>
              <w:jc w:val="right"/>
              <w:spacing w:after="0"/>
              <w:rPr>
                <w:sz w:val="20"/>
                <w:szCs w:val="20"/>
                <w:color w:val="auto"/>
              </w:rPr>
            </w:pPr>
            <w:r>
              <w:rPr>
                <w:rFonts w:ascii="Arial" w:cs="Arial" w:eastAsia="Arial" w:hAnsi="Arial"/>
                <w:sz w:val="14"/>
                <w:szCs w:val="14"/>
                <w:color w:val="auto"/>
              </w:rPr>
              <w:t>115,561</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3.631%</w:t>
            </w:r>
          </w:p>
        </w:tc>
        <w:tc>
          <w:tcPr>
            <w:tcW w:w="2900" w:type="dxa"/>
            <w:vAlign w:val="bottom"/>
          </w:tcPr>
          <w:p>
            <w:pPr>
              <w:jc w:val="right"/>
              <w:spacing w:after="0"/>
              <w:rPr>
                <w:sz w:val="20"/>
                <w:szCs w:val="20"/>
                <w:color w:val="auto"/>
              </w:rPr>
            </w:pPr>
            <w:r>
              <w:rPr>
                <w:rFonts w:ascii="Arial" w:cs="Arial" w:eastAsia="Arial" w:hAnsi="Arial"/>
                <w:sz w:val="14"/>
                <w:szCs w:val="14"/>
                <w:color w:val="auto"/>
              </w:rPr>
              <w:t>20,205</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4.047%</w:t>
            </w:r>
          </w:p>
        </w:tc>
        <w:tc>
          <w:tcPr>
            <w:tcW w:w="2900" w:type="dxa"/>
            <w:vAlign w:val="bottom"/>
          </w:tcPr>
          <w:p>
            <w:pPr>
              <w:jc w:val="right"/>
              <w:spacing w:after="0"/>
              <w:rPr>
                <w:sz w:val="20"/>
                <w:szCs w:val="20"/>
                <w:color w:val="auto"/>
              </w:rPr>
            </w:pPr>
            <w:r>
              <w:rPr>
                <w:rFonts w:ascii="Arial" w:cs="Arial" w:eastAsia="Arial" w:hAnsi="Arial"/>
                <w:sz w:val="14"/>
                <w:szCs w:val="14"/>
                <w:color w:val="auto"/>
              </w:rPr>
              <w:t>47,549</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3.552%</w:t>
            </w:r>
          </w:p>
        </w:tc>
        <w:tc>
          <w:tcPr>
            <w:tcW w:w="2900" w:type="dxa"/>
            <w:vAlign w:val="bottom"/>
          </w:tcPr>
          <w:p>
            <w:pPr>
              <w:jc w:val="right"/>
              <w:spacing w:after="0"/>
              <w:rPr>
                <w:sz w:val="20"/>
                <w:szCs w:val="20"/>
                <w:color w:val="auto"/>
              </w:rPr>
            </w:pPr>
            <w:r>
              <w:rPr>
                <w:rFonts w:ascii="Arial" w:cs="Arial" w:eastAsia="Arial" w:hAnsi="Arial"/>
                <w:sz w:val="14"/>
                <w:szCs w:val="14"/>
                <w:color w:val="auto"/>
              </w:rPr>
              <w:t>181,300</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1.349%</w:t>
            </w:r>
          </w:p>
        </w:tc>
        <w:tc>
          <w:tcPr>
            <w:tcW w:w="2900" w:type="dxa"/>
            <w:vAlign w:val="bottom"/>
          </w:tcPr>
          <w:p>
            <w:pPr>
              <w:jc w:val="right"/>
              <w:spacing w:after="0"/>
              <w:rPr>
                <w:sz w:val="20"/>
                <w:szCs w:val="20"/>
                <w:color w:val="auto"/>
              </w:rPr>
            </w:pPr>
            <w:r>
              <w:rPr>
                <w:rFonts w:ascii="Arial" w:cs="Arial" w:eastAsia="Arial" w:hAnsi="Arial"/>
                <w:sz w:val="14"/>
                <w:szCs w:val="14"/>
                <w:color w:val="auto"/>
              </w:rPr>
              <w:t>49,512</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3.631%</w:t>
            </w:r>
          </w:p>
        </w:tc>
        <w:tc>
          <w:tcPr>
            <w:tcW w:w="2900" w:type="dxa"/>
            <w:vAlign w:val="bottom"/>
          </w:tcPr>
          <w:p>
            <w:pPr>
              <w:jc w:val="right"/>
              <w:spacing w:after="0"/>
              <w:rPr>
                <w:sz w:val="20"/>
                <w:szCs w:val="20"/>
                <w:color w:val="auto"/>
              </w:rPr>
            </w:pPr>
            <w:r>
              <w:rPr>
                <w:rFonts w:ascii="Arial" w:cs="Arial" w:eastAsia="Arial" w:hAnsi="Arial"/>
                <w:sz w:val="14"/>
                <w:szCs w:val="14"/>
                <w:color w:val="auto"/>
              </w:rPr>
              <w:t>61,981</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4.050%</w:t>
            </w:r>
          </w:p>
        </w:tc>
        <w:tc>
          <w:tcPr>
            <w:tcW w:w="2900" w:type="dxa"/>
            <w:vAlign w:val="bottom"/>
          </w:tcPr>
          <w:p>
            <w:pPr>
              <w:jc w:val="right"/>
              <w:spacing w:after="0"/>
              <w:rPr>
                <w:sz w:val="20"/>
                <w:szCs w:val="20"/>
                <w:color w:val="auto"/>
              </w:rPr>
            </w:pPr>
            <w:r>
              <w:rPr>
                <w:rFonts w:ascii="Arial" w:cs="Arial" w:eastAsia="Arial" w:hAnsi="Arial"/>
                <w:sz w:val="14"/>
                <w:szCs w:val="14"/>
                <w:color w:val="auto"/>
              </w:rPr>
              <w:t>192,045</w:t>
            </w:r>
          </w:p>
        </w:tc>
      </w:tr>
      <w:tr>
        <w:trPr>
          <w:trHeight w:val="230"/>
        </w:trPr>
        <w:tc>
          <w:tcPr>
            <w:tcW w:w="3600" w:type="dxa"/>
            <w:vAlign w:val="bottom"/>
          </w:tcPr>
          <w:p>
            <w:pPr>
              <w:spacing w:after="0"/>
              <w:rPr>
                <w:sz w:val="20"/>
                <w:szCs w:val="20"/>
                <w:color w:val="auto"/>
              </w:rPr>
            </w:pPr>
            <w:r>
              <w:rPr>
                <w:rFonts w:ascii="Arial" w:cs="Arial" w:eastAsia="Arial" w:hAnsi="Arial"/>
                <w:sz w:val="14"/>
                <w:szCs w:val="14"/>
                <w:color w:val="auto"/>
              </w:rPr>
              <w:t>PennVest</w:t>
            </w:r>
          </w:p>
        </w:tc>
        <w:tc>
          <w:tcPr>
            <w:tcW w:w="3500" w:type="dxa"/>
            <w:vAlign w:val="bottom"/>
          </w:tcPr>
          <w:p>
            <w:pPr>
              <w:jc w:val="right"/>
              <w:ind w:right="1008"/>
              <w:spacing w:after="0"/>
              <w:rPr>
                <w:sz w:val="20"/>
                <w:szCs w:val="20"/>
                <w:color w:val="auto"/>
              </w:rPr>
            </w:pPr>
            <w:r>
              <w:rPr>
                <w:rFonts w:ascii="Arial" w:cs="Arial" w:eastAsia="Arial" w:hAnsi="Arial"/>
                <w:sz w:val="14"/>
                <w:szCs w:val="14"/>
                <w:color w:val="auto"/>
              </w:rPr>
              <w:t>3.030%</w:t>
            </w:r>
          </w:p>
        </w:tc>
        <w:tc>
          <w:tcPr>
            <w:tcW w:w="2900" w:type="dxa"/>
            <w:vAlign w:val="bottom"/>
          </w:tcPr>
          <w:p>
            <w:pPr>
              <w:jc w:val="right"/>
              <w:spacing w:after="0"/>
              <w:rPr>
                <w:sz w:val="20"/>
                <w:szCs w:val="20"/>
                <w:color w:val="auto"/>
              </w:rPr>
            </w:pPr>
            <w:r>
              <w:rPr>
                <w:rFonts w:ascii="Arial" w:cs="Arial" w:eastAsia="Arial" w:hAnsi="Arial"/>
                <w:sz w:val="14"/>
                <w:szCs w:val="14"/>
                <w:color w:val="auto"/>
              </w:rPr>
              <w:t>209,448</w:t>
            </w:r>
          </w:p>
        </w:tc>
      </w:tr>
    </w:tbl>
    <w:p>
      <w:pPr>
        <w:spacing w:after="0" w:line="18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5.15(a)</w:t>
      </w:r>
    </w:p>
    <w:p>
      <w:pPr>
        <w:spacing w:after="0" w:line="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52070</wp:posOffset>
            </wp:positionV>
            <wp:extent cx="646557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1020" w:top="355" w:right="8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3.460%</w:t>
            </w:r>
          </w:p>
        </w:tc>
        <w:tc>
          <w:tcPr>
            <w:tcW w:w="2900" w:type="dxa"/>
            <w:vAlign w:val="bottom"/>
          </w:tcPr>
          <w:p>
            <w:pPr>
              <w:jc w:val="right"/>
              <w:spacing w:after="0"/>
              <w:rPr>
                <w:sz w:val="20"/>
                <w:szCs w:val="20"/>
                <w:color w:val="auto"/>
              </w:rPr>
            </w:pPr>
            <w:r>
              <w:rPr>
                <w:rFonts w:ascii="Arial" w:cs="Arial" w:eastAsia="Arial" w:hAnsi="Arial"/>
                <w:sz w:val="14"/>
                <w:szCs w:val="14"/>
                <w:color w:val="auto"/>
              </w:rPr>
              <w:t>3,254,761</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3.468%</w:t>
            </w:r>
          </w:p>
        </w:tc>
        <w:tc>
          <w:tcPr>
            <w:tcW w:w="2900" w:type="dxa"/>
            <w:vAlign w:val="bottom"/>
          </w:tcPr>
          <w:p>
            <w:pPr>
              <w:jc w:val="right"/>
              <w:spacing w:after="0"/>
              <w:rPr>
                <w:sz w:val="20"/>
                <w:szCs w:val="20"/>
                <w:color w:val="auto"/>
              </w:rPr>
            </w:pPr>
            <w:r>
              <w:rPr>
                <w:rFonts w:ascii="Arial" w:cs="Arial" w:eastAsia="Arial" w:hAnsi="Arial"/>
                <w:sz w:val="14"/>
                <w:szCs w:val="14"/>
                <w:color w:val="auto"/>
              </w:rPr>
              <w:t>280,910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2.774%</w:t>
            </w:r>
          </w:p>
        </w:tc>
        <w:tc>
          <w:tcPr>
            <w:tcW w:w="2900" w:type="dxa"/>
            <w:vAlign w:val="bottom"/>
          </w:tcPr>
          <w:p>
            <w:pPr>
              <w:jc w:val="right"/>
              <w:spacing w:after="0"/>
              <w:rPr>
                <w:sz w:val="20"/>
                <w:szCs w:val="20"/>
                <w:color w:val="auto"/>
              </w:rPr>
            </w:pPr>
            <w:r>
              <w:rPr>
                <w:rFonts w:ascii="Arial" w:cs="Arial" w:eastAsia="Arial" w:hAnsi="Arial"/>
                <w:sz w:val="14"/>
                <w:szCs w:val="14"/>
                <w:color w:val="auto"/>
              </w:rPr>
              <w:t>1,226,683</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4.047%</w:t>
            </w:r>
          </w:p>
        </w:tc>
        <w:tc>
          <w:tcPr>
            <w:tcW w:w="2900" w:type="dxa"/>
            <w:vAlign w:val="bottom"/>
          </w:tcPr>
          <w:p>
            <w:pPr>
              <w:jc w:val="right"/>
              <w:spacing w:after="0"/>
              <w:rPr>
                <w:sz w:val="20"/>
                <w:szCs w:val="20"/>
                <w:color w:val="auto"/>
              </w:rPr>
            </w:pPr>
            <w:r>
              <w:rPr>
                <w:rFonts w:ascii="Arial" w:cs="Arial" w:eastAsia="Arial" w:hAnsi="Arial"/>
                <w:sz w:val="14"/>
                <w:szCs w:val="14"/>
                <w:color w:val="auto"/>
              </w:rPr>
              <w:t>86,503</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3.790%</w:t>
            </w:r>
          </w:p>
        </w:tc>
        <w:tc>
          <w:tcPr>
            <w:tcW w:w="2900" w:type="dxa"/>
            <w:vAlign w:val="bottom"/>
          </w:tcPr>
          <w:p>
            <w:pPr>
              <w:jc w:val="right"/>
              <w:spacing w:after="0"/>
              <w:rPr>
                <w:sz w:val="20"/>
                <w:szCs w:val="20"/>
                <w:color w:val="auto"/>
              </w:rPr>
            </w:pPr>
            <w:r>
              <w:rPr>
                <w:rFonts w:ascii="Arial" w:cs="Arial" w:eastAsia="Arial" w:hAnsi="Arial"/>
                <w:sz w:val="14"/>
                <w:szCs w:val="14"/>
                <w:color w:val="auto"/>
              </w:rPr>
              <w:t>574,896</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3.810%</w:t>
            </w:r>
          </w:p>
        </w:tc>
        <w:tc>
          <w:tcPr>
            <w:tcW w:w="2900" w:type="dxa"/>
            <w:vAlign w:val="bottom"/>
          </w:tcPr>
          <w:p>
            <w:pPr>
              <w:jc w:val="right"/>
              <w:spacing w:after="0"/>
              <w:rPr>
                <w:sz w:val="20"/>
                <w:szCs w:val="20"/>
                <w:color w:val="auto"/>
              </w:rPr>
            </w:pPr>
            <w:r>
              <w:rPr>
                <w:rFonts w:ascii="Arial" w:cs="Arial" w:eastAsia="Arial" w:hAnsi="Arial"/>
                <w:sz w:val="14"/>
                <w:szCs w:val="14"/>
                <w:color w:val="auto"/>
              </w:rPr>
              <w:t>280,394</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3.430%</w:t>
            </w:r>
          </w:p>
        </w:tc>
        <w:tc>
          <w:tcPr>
            <w:tcW w:w="2900" w:type="dxa"/>
            <w:vAlign w:val="bottom"/>
          </w:tcPr>
          <w:p>
            <w:pPr>
              <w:jc w:val="right"/>
              <w:spacing w:after="0"/>
              <w:rPr>
                <w:sz w:val="20"/>
                <w:szCs w:val="20"/>
                <w:color w:val="auto"/>
              </w:rPr>
            </w:pPr>
            <w:r>
              <w:rPr>
                <w:rFonts w:ascii="Arial" w:cs="Arial" w:eastAsia="Arial" w:hAnsi="Arial"/>
                <w:sz w:val="14"/>
                <w:szCs w:val="14"/>
                <w:color w:val="auto"/>
              </w:rPr>
              <w:t>332,561</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2.774%</w:t>
            </w:r>
          </w:p>
        </w:tc>
        <w:tc>
          <w:tcPr>
            <w:tcW w:w="2900" w:type="dxa"/>
            <w:vAlign w:val="bottom"/>
          </w:tcPr>
          <w:p>
            <w:pPr>
              <w:jc w:val="right"/>
              <w:spacing w:after="0"/>
              <w:rPr>
                <w:sz w:val="20"/>
                <w:szCs w:val="20"/>
                <w:color w:val="auto"/>
              </w:rPr>
            </w:pPr>
            <w:r>
              <w:rPr>
                <w:rFonts w:ascii="Arial" w:cs="Arial" w:eastAsia="Arial" w:hAnsi="Arial"/>
                <w:sz w:val="14"/>
                <w:szCs w:val="14"/>
                <w:color w:val="auto"/>
              </w:rPr>
              <w:t>535,618</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3.470%</w:t>
            </w:r>
          </w:p>
        </w:tc>
        <w:tc>
          <w:tcPr>
            <w:tcW w:w="2900" w:type="dxa"/>
            <w:vAlign w:val="bottom"/>
          </w:tcPr>
          <w:p>
            <w:pPr>
              <w:jc w:val="right"/>
              <w:spacing w:after="0"/>
              <w:rPr>
                <w:sz w:val="20"/>
                <w:szCs w:val="20"/>
                <w:color w:val="auto"/>
              </w:rPr>
            </w:pPr>
            <w:r>
              <w:rPr>
                <w:rFonts w:ascii="Arial" w:cs="Arial" w:eastAsia="Arial" w:hAnsi="Arial"/>
                <w:sz w:val="14"/>
                <w:szCs w:val="14"/>
                <w:color w:val="auto"/>
              </w:rPr>
              <w:t>2,121,018</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3.468%</w:t>
            </w:r>
          </w:p>
        </w:tc>
        <w:tc>
          <w:tcPr>
            <w:tcW w:w="2900" w:type="dxa"/>
            <w:vAlign w:val="bottom"/>
          </w:tcPr>
          <w:p>
            <w:pPr>
              <w:jc w:val="right"/>
              <w:spacing w:after="0"/>
              <w:rPr>
                <w:sz w:val="20"/>
                <w:szCs w:val="20"/>
                <w:color w:val="auto"/>
              </w:rPr>
            </w:pPr>
            <w:r>
              <w:rPr>
                <w:rFonts w:ascii="Arial" w:cs="Arial" w:eastAsia="Arial" w:hAnsi="Arial"/>
                <w:sz w:val="14"/>
                <w:szCs w:val="14"/>
                <w:color w:val="auto"/>
              </w:rPr>
              <w:t>124,438</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3.195%</w:t>
            </w:r>
          </w:p>
        </w:tc>
        <w:tc>
          <w:tcPr>
            <w:tcW w:w="2900" w:type="dxa"/>
            <w:vAlign w:val="bottom"/>
          </w:tcPr>
          <w:p>
            <w:pPr>
              <w:jc w:val="right"/>
              <w:spacing w:after="0"/>
              <w:rPr>
                <w:sz w:val="20"/>
                <w:szCs w:val="20"/>
                <w:color w:val="auto"/>
              </w:rPr>
            </w:pPr>
            <w:r>
              <w:rPr>
                <w:rFonts w:ascii="Arial" w:cs="Arial" w:eastAsia="Arial" w:hAnsi="Arial"/>
                <w:sz w:val="14"/>
                <w:szCs w:val="14"/>
                <w:color w:val="auto"/>
              </w:rPr>
              <w:t>1,104,898</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2.556%</w:t>
            </w:r>
          </w:p>
        </w:tc>
        <w:tc>
          <w:tcPr>
            <w:tcW w:w="2900" w:type="dxa"/>
            <w:vAlign w:val="bottom"/>
          </w:tcPr>
          <w:p>
            <w:pPr>
              <w:jc w:val="right"/>
              <w:spacing w:after="0"/>
              <w:rPr>
                <w:sz w:val="20"/>
                <w:szCs w:val="20"/>
                <w:color w:val="auto"/>
              </w:rPr>
            </w:pPr>
            <w:r>
              <w:rPr>
                <w:rFonts w:ascii="Arial" w:cs="Arial" w:eastAsia="Arial" w:hAnsi="Arial"/>
                <w:sz w:val="14"/>
                <w:szCs w:val="14"/>
                <w:color w:val="auto"/>
              </w:rPr>
              <w:t>565,070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2.554%</w:t>
            </w:r>
          </w:p>
        </w:tc>
        <w:tc>
          <w:tcPr>
            <w:tcW w:w="2900" w:type="dxa"/>
            <w:vAlign w:val="bottom"/>
          </w:tcPr>
          <w:p>
            <w:pPr>
              <w:jc w:val="right"/>
              <w:spacing w:after="0"/>
              <w:rPr>
                <w:sz w:val="20"/>
                <w:szCs w:val="20"/>
                <w:color w:val="auto"/>
              </w:rPr>
            </w:pPr>
            <w:r>
              <w:rPr>
                <w:rFonts w:ascii="Arial" w:cs="Arial" w:eastAsia="Arial" w:hAnsi="Arial"/>
                <w:sz w:val="14"/>
                <w:szCs w:val="14"/>
                <w:color w:val="auto"/>
              </w:rPr>
              <w:t>704,619</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357,494</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3.046%</w:t>
            </w:r>
          </w:p>
        </w:tc>
        <w:tc>
          <w:tcPr>
            <w:tcW w:w="2900" w:type="dxa"/>
            <w:vAlign w:val="bottom"/>
          </w:tcPr>
          <w:p>
            <w:pPr>
              <w:jc w:val="right"/>
              <w:spacing w:after="0"/>
              <w:rPr>
                <w:sz w:val="20"/>
                <w:szCs w:val="20"/>
                <w:color w:val="auto"/>
              </w:rPr>
            </w:pPr>
            <w:r>
              <w:rPr>
                <w:rFonts w:ascii="Arial" w:cs="Arial" w:eastAsia="Arial" w:hAnsi="Arial"/>
                <w:sz w:val="14"/>
                <w:szCs w:val="14"/>
                <w:color w:val="auto"/>
              </w:rPr>
              <w:t>839,103</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952,884</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690,226</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808,932</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3.143%</w:t>
            </w:r>
          </w:p>
        </w:tc>
        <w:tc>
          <w:tcPr>
            <w:tcW w:w="2900" w:type="dxa"/>
            <w:vAlign w:val="bottom"/>
          </w:tcPr>
          <w:p>
            <w:pPr>
              <w:jc w:val="right"/>
              <w:spacing w:after="0"/>
              <w:rPr>
                <w:sz w:val="20"/>
                <w:szCs w:val="20"/>
                <w:color w:val="auto"/>
              </w:rPr>
            </w:pPr>
            <w:r>
              <w:rPr>
                <w:rFonts w:ascii="Arial" w:cs="Arial" w:eastAsia="Arial" w:hAnsi="Arial"/>
                <w:sz w:val="14"/>
                <w:szCs w:val="14"/>
                <w:color w:val="auto"/>
              </w:rPr>
              <w:t>1,338,062</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652,758</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1.000%</w:t>
            </w:r>
          </w:p>
        </w:tc>
        <w:tc>
          <w:tcPr>
            <w:tcW w:w="2900" w:type="dxa"/>
            <w:vAlign w:val="bottom"/>
          </w:tcPr>
          <w:p>
            <w:pPr>
              <w:jc w:val="right"/>
              <w:spacing w:after="0"/>
              <w:rPr>
                <w:sz w:val="20"/>
                <w:szCs w:val="20"/>
                <w:color w:val="auto"/>
              </w:rPr>
            </w:pPr>
            <w:r>
              <w:rPr>
                <w:rFonts w:ascii="Arial" w:cs="Arial" w:eastAsia="Arial" w:hAnsi="Arial"/>
                <w:sz w:val="14"/>
                <w:szCs w:val="14"/>
                <w:color w:val="auto"/>
              </w:rPr>
              <w:t>6,150,623</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3.330%</w:t>
            </w:r>
          </w:p>
        </w:tc>
        <w:tc>
          <w:tcPr>
            <w:tcW w:w="2900" w:type="dxa"/>
            <w:vAlign w:val="bottom"/>
          </w:tcPr>
          <w:p>
            <w:pPr>
              <w:jc w:val="right"/>
              <w:spacing w:after="0"/>
              <w:rPr>
                <w:sz w:val="20"/>
                <w:szCs w:val="20"/>
                <w:color w:val="auto"/>
              </w:rPr>
            </w:pPr>
            <w:r>
              <w:rPr>
                <w:rFonts w:ascii="Arial" w:cs="Arial" w:eastAsia="Arial" w:hAnsi="Arial"/>
                <w:sz w:val="14"/>
                <w:szCs w:val="14"/>
                <w:color w:val="auto"/>
              </w:rPr>
              <w:t>174,896</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2.730%</w:t>
            </w:r>
          </w:p>
        </w:tc>
        <w:tc>
          <w:tcPr>
            <w:tcW w:w="2900" w:type="dxa"/>
            <w:vAlign w:val="bottom"/>
          </w:tcPr>
          <w:p>
            <w:pPr>
              <w:jc w:val="right"/>
              <w:spacing w:after="0"/>
              <w:rPr>
                <w:sz w:val="20"/>
                <w:szCs w:val="20"/>
                <w:color w:val="auto"/>
              </w:rPr>
            </w:pPr>
            <w:r>
              <w:rPr>
                <w:rFonts w:ascii="Arial" w:cs="Arial" w:eastAsia="Arial" w:hAnsi="Arial"/>
                <w:sz w:val="14"/>
                <w:szCs w:val="14"/>
                <w:color w:val="auto"/>
              </w:rPr>
              <w:t>1,607,216</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2.668%</w:t>
            </w:r>
          </w:p>
        </w:tc>
        <w:tc>
          <w:tcPr>
            <w:tcW w:w="2900" w:type="dxa"/>
            <w:vAlign w:val="bottom"/>
          </w:tcPr>
          <w:p>
            <w:pPr>
              <w:jc w:val="right"/>
              <w:spacing w:after="0"/>
              <w:rPr>
                <w:sz w:val="20"/>
                <w:szCs w:val="20"/>
                <w:color w:val="auto"/>
              </w:rPr>
            </w:pPr>
            <w:r>
              <w:rPr>
                <w:rFonts w:ascii="Arial" w:cs="Arial" w:eastAsia="Arial" w:hAnsi="Arial"/>
                <w:sz w:val="14"/>
                <w:szCs w:val="14"/>
                <w:color w:val="auto"/>
              </w:rPr>
              <w:t>836,949</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Pr>
          <w:p>
            <w:pPr>
              <w:jc w:val="right"/>
              <w:spacing w:after="0"/>
              <w:rPr>
                <w:sz w:val="20"/>
                <w:szCs w:val="20"/>
                <w:color w:val="auto"/>
              </w:rPr>
            </w:pPr>
            <w:r>
              <w:rPr>
                <w:rFonts w:ascii="Arial" w:cs="Arial" w:eastAsia="Arial" w:hAnsi="Arial"/>
                <w:sz w:val="14"/>
                <w:szCs w:val="14"/>
                <w:color w:val="auto"/>
              </w:rPr>
              <w:t>767,210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1.000%</w:t>
            </w:r>
          </w:p>
        </w:tc>
        <w:tc>
          <w:tcPr>
            <w:tcW w:w="2900" w:type="dxa"/>
            <w:vAlign w:val="bottom"/>
          </w:tcPr>
          <w:p>
            <w:pPr>
              <w:jc w:val="right"/>
              <w:spacing w:after="0"/>
              <w:rPr>
                <w:sz w:val="20"/>
                <w:szCs w:val="20"/>
                <w:color w:val="auto"/>
              </w:rPr>
            </w:pPr>
            <w:r>
              <w:rPr>
                <w:rFonts w:ascii="Arial" w:cs="Arial" w:eastAsia="Arial" w:hAnsi="Arial"/>
                <w:sz w:val="14"/>
                <w:szCs w:val="14"/>
                <w:color w:val="auto"/>
              </w:rPr>
              <w:t>301,933</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2.774%</w:t>
            </w:r>
          </w:p>
        </w:tc>
        <w:tc>
          <w:tcPr>
            <w:tcW w:w="2900" w:type="dxa"/>
            <w:vAlign w:val="bottom"/>
          </w:tcPr>
          <w:p>
            <w:pPr>
              <w:jc w:val="right"/>
              <w:spacing w:after="0"/>
              <w:rPr>
                <w:sz w:val="20"/>
                <w:szCs w:val="20"/>
                <w:color w:val="auto"/>
              </w:rPr>
            </w:pPr>
            <w:r>
              <w:rPr>
                <w:rFonts w:ascii="Arial" w:cs="Arial" w:eastAsia="Arial" w:hAnsi="Arial"/>
                <w:sz w:val="14"/>
                <w:szCs w:val="14"/>
                <w:color w:val="auto"/>
              </w:rPr>
              <w:t>129,019</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2.774%</w:t>
            </w:r>
          </w:p>
        </w:tc>
        <w:tc>
          <w:tcPr>
            <w:tcW w:w="2900" w:type="dxa"/>
            <w:vAlign w:val="bottom"/>
          </w:tcPr>
          <w:p>
            <w:pPr>
              <w:jc w:val="right"/>
              <w:spacing w:after="0"/>
              <w:rPr>
                <w:sz w:val="20"/>
                <w:szCs w:val="20"/>
                <w:color w:val="auto"/>
              </w:rPr>
            </w:pPr>
            <w:r>
              <w:rPr>
                <w:rFonts w:ascii="Arial" w:cs="Arial" w:eastAsia="Arial" w:hAnsi="Arial"/>
                <w:sz w:val="14"/>
                <w:szCs w:val="14"/>
                <w:color w:val="auto"/>
              </w:rPr>
              <w:t>102,835</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3.052%</w:t>
            </w:r>
          </w:p>
        </w:tc>
        <w:tc>
          <w:tcPr>
            <w:tcW w:w="2900" w:type="dxa"/>
            <w:vAlign w:val="bottom"/>
          </w:tcPr>
          <w:p>
            <w:pPr>
              <w:jc w:val="right"/>
              <w:spacing w:after="0"/>
              <w:rPr>
                <w:sz w:val="20"/>
                <w:szCs w:val="20"/>
                <w:color w:val="auto"/>
              </w:rPr>
            </w:pPr>
            <w:r>
              <w:rPr>
                <w:rFonts w:ascii="Arial" w:cs="Arial" w:eastAsia="Arial" w:hAnsi="Arial"/>
                <w:sz w:val="14"/>
                <w:szCs w:val="14"/>
                <w:color w:val="auto"/>
              </w:rPr>
              <w:t>464,613</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3.468%</w:t>
            </w:r>
          </w:p>
        </w:tc>
        <w:tc>
          <w:tcPr>
            <w:tcW w:w="2900" w:type="dxa"/>
            <w:vAlign w:val="bottom"/>
          </w:tcPr>
          <w:p>
            <w:pPr>
              <w:jc w:val="right"/>
              <w:spacing w:after="0"/>
              <w:rPr>
                <w:sz w:val="20"/>
                <w:szCs w:val="20"/>
                <w:color w:val="auto"/>
              </w:rPr>
            </w:pPr>
            <w:r>
              <w:rPr>
                <w:rFonts w:ascii="Arial" w:cs="Arial" w:eastAsia="Arial" w:hAnsi="Arial"/>
                <w:sz w:val="14"/>
                <w:szCs w:val="14"/>
                <w:color w:val="auto"/>
              </w:rPr>
              <w:t>2,418,633</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2.774%</w:t>
            </w:r>
          </w:p>
        </w:tc>
        <w:tc>
          <w:tcPr>
            <w:tcW w:w="2900" w:type="dxa"/>
            <w:vAlign w:val="bottom"/>
          </w:tcPr>
          <w:p>
            <w:pPr>
              <w:jc w:val="right"/>
              <w:spacing w:after="0"/>
              <w:rPr>
                <w:sz w:val="20"/>
                <w:szCs w:val="20"/>
                <w:color w:val="auto"/>
              </w:rPr>
            </w:pPr>
            <w:r>
              <w:rPr>
                <w:rFonts w:ascii="Arial" w:cs="Arial" w:eastAsia="Arial" w:hAnsi="Arial"/>
                <w:sz w:val="14"/>
                <w:szCs w:val="14"/>
                <w:color w:val="auto"/>
              </w:rPr>
              <w:t>669,500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1.156%</w:t>
            </w:r>
          </w:p>
        </w:tc>
        <w:tc>
          <w:tcPr>
            <w:tcW w:w="2900" w:type="dxa"/>
            <w:vAlign w:val="bottom"/>
          </w:tcPr>
          <w:p>
            <w:pPr>
              <w:jc w:val="right"/>
              <w:spacing w:after="0"/>
              <w:rPr>
                <w:sz w:val="20"/>
                <w:szCs w:val="20"/>
                <w:color w:val="auto"/>
              </w:rPr>
            </w:pPr>
            <w:r>
              <w:rPr>
                <w:rFonts w:ascii="Arial" w:cs="Arial" w:eastAsia="Arial" w:hAnsi="Arial"/>
                <w:sz w:val="14"/>
                <w:szCs w:val="14"/>
                <w:color w:val="auto"/>
              </w:rPr>
              <w:t>188,392</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2.774%</w:t>
            </w:r>
          </w:p>
        </w:tc>
        <w:tc>
          <w:tcPr>
            <w:tcW w:w="2900" w:type="dxa"/>
            <w:vAlign w:val="bottom"/>
          </w:tcPr>
          <w:p>
            <w:pPr>
              <w:jc w:val="right"/>
              <w:spacing w:after="0"/>
              <w:rPr>
                <w:sz w:val="20"/>
                <w:szCs w:val="20"/>
                <w:color w:val="auto"/>
              </w:rPr>
            </w:pPr>
            <w:r>
              <w:rPr>
                <w:rFonts w:ascii="Arial" w:cs="Arial" w:eastAsia="Arial" w:hAnsi="Arial"/>
                <w:sz w:val="14"/>
                <w:szCs w:val="14"/>
                <w:color w:val="auto"/>
              </w:rPr>
              <w:t>928,572</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3.365%</w:t>
            </w:r>
          </w:p>
        </w:tc>
        <w:tc>
          <w:tcPr>
            <w:tcW w:w="2900" w:type="dxa"/>
            <w:vAlign w:val="bottom"/>
          </w:tcPr>
          <w:p>
            <w:pPr>
              <w:jc w:val="right"/>
              <w:spacing w:after="0"/>
              <w:rPr>
                <w:sz w:val="20"/>
                <w:szCs w:val="20"/>
                <w:color w:val="auto"/>
              </w:rPr>
            </w:pPr>
            <w:r>
              <w:rPr>
                <w:rFonts w:ascii="Arial" w:cs="Arial" w:eastAsia="Arial" w:hAnsi="Arial"/>
                <w:sz w:val="14"/>
                <w:szCs w:val="14"/>
                <w:color w:val="auto"/>
              </w:rPr>
              <w:t>1,089,255</w:t>
            </w:r>
          </w:p>
        </w:tc>
      </w:tr>
      <w:tr>
        <w:trPr>
          <w:trHeight w:val="215"/>
        </w:trPr>
        <w:tc>
          <w:tcPr>
            <w:tcW w:w="3240" w:type="dxa"/>
            <w:vAlign w:val="bottom"/>
          </w:tcPr>
          <w:p>
            <w:pPr>
              <w:spacing w:after="0"/>
              <w:rPr>
                <w:sz w:val="20"/>
                <w:szCs w:val="20"/>
                <w:color w:val="auto"/>
              </w:rPr>
            </w:pPr>
            <w:r>
              <w:rPr>
                <w:rFonts w:ascii="Arial" w:cs="Arial" w:eastAsia="Arial" w:hAnsi="Arial"/>
                <w:sz w:val="14"/>
                <w:szCs w:val="14"/>
                <w:color w:val="auto"/>
              </w:rPr>
              <w:t>PennVest</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2.547%</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1,181,617</w:t>
            </w:r>
          </w:p>
        </w:tc>
      </w:tr>
      <w:tr>
        <w:trPr>
          <w:trHeight w:val="454"/>
        </w:trPr>
        <w:tc>
          <w:tcPr>
            <w:tcW w:w="3240" w:type="dxa"/>
            <w:vAlign w:val="bottom"/>
          </w:tcPr>
          <w:p>
            <w:pPr>
              <w:spacing w:after="0"/>
              <w:rPr>
                <w:sz w:val="20"/>
                <w:szCs w:val="20"/>
                <w:color w:val="auto"/>
              </w:rPr>
            </w:pPr>
            <w:r>
              <w:rPr>
                <w:rFonts w:ascii="Arial" w:cs="Arial" w:eastAsia="Arial" w:hAnsi="Arial"/>
                <w:sz w:val="14"/>
                <w:szCs w:val="14"/>
                <w:b w:val="1"/>
                <w:bCs w:val="1"/>
                <w:color w:val="auto"/>
              </w:rPr>
              <w:t>Total PennVest</w:t>
            </w:r>
          </w:p>
        </w:tc>
        <w:tc>
          <w:tcPr>
            <w:tcW w:w="386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b w:val="1"/>
                <w:bCs w:val="1"/>
                <w:color w:val="auto"/>
              </w:rPr>
              <w:t>41,710,914</w:t>
            </w:r>
          </w:p>
        </w:tc>
      </w:tr>
      <w:tr>
        <w:trPr>
          <w:trHeight w:val="459"/>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5.751%</w:t>
            </w:r>
          </w:p>
        </w:tc>
        <w:tc>
          <w:tcPr>
            <w:tcW w:w="2900" w:type="dxa"/>
            <w:vAlign w:val="bottom"/>
          </w:tcPr>
          <w:p>
            <w:pPr>
              <w:jc w:val="right"/>
              <w:spacing w:after="0"/>
              <w:rPr>
                <w:sz w:val="20"/>
                <w:szCs w:val="20"/>
                <w:color w:val="auto"/>
              </w:rPr>
            </w:pPr>
            <w:r>
              <w:rPr>
                <w:rFonts w:ascii="Arial" w:cs="Arial" w:eastAsia="Arial" w:hAnsi="Arial"/>
                <w:sz w:val="14"/>
                <w:szCs w:val="14"/>
                <w:color w:val="auto"/>
              </w:rPr>
              <w:t>15,000,000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5.751%</w:t>
            </w:r>
          </w:p>
        </w:tc>
        <w:tc>
          <w:tcPr>
            <w:tcW w:w="2900" w:type="dxa"/>
            <w:vAlign w:val="bottom"/>
          </w:tcPr>
          <w:p>
            <w:pPr>
              <w:jc w:val="right"/>
              <w:spacing w:after="0"/>
              <w:rPr>
                <w:sz w:val="20"/>
                <w:szCs w:val="20"/>
                <w:color w:val="auto"/>
              </w:rPr>
            </w:pPr>
            <w:r>
              <w:rPr>
                <w:rFonts w:ascii="Arial" w:cs="Arial" w:eastAsia="Arial" w:hAnsi="Arial"/>
                <w:sz w:val="14"/>
                <w:szCs w:val="14"/>
                <w:color w:val="auto"/>
              </w:rPr>
              <w:t>5,000,000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5.98%</w:t>
            </w:r>
          </w:p>
        </w:tc>
        <w:tc>
          <w:tcPr>
            <w:tcW w:w="2900" w:type="dxa"/>
            <w:vAlign w:val="bottom"/>
          </w:tcPr>
          <w:p>
            <w:pPr>
              <w:jc w:val="right"/>
              <w:spacing w:after="0"/>
              <w:rPr>
                <w:sz w:val="20"/>
                <w:szCs w:val="20"/>
                <w:color w:val="auto"/>
              </w:rPr>
            </w:pPr>
            <w:r>
              <w:rPr>
                <w:rFonts w:ascii="Arial" w:cs="Arial" w:eastAsia="Arial" w:hAnsi="Arial"/>
                <w:sz w:val="14"/>
                <w:szCs w:val="14"/>
                <w:color w:val="auto"/>
              </w:rPr>
              <w:t>3,000,000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6.06%</w:t>
            </w:r>
          </w:p>
        </w:tc>
        <w:tc>
          <w:tcPr>
            <w:tcW w:w="2900" w:type="dxa"/>
            <w:vAlign w:val="bottom"/>
          </w:tcPr>
          <w:p>
            <w:pPr>
              <w:jc w:val="right"/>
              <w:spacing w:after="0"/>
              <w:rPr>
                <w:sz w:val="20"/>
                <w:szCs w:val="20"/>
                <w:color w:val="auto"/>
              </w:rPr>
            </w:pPr>
            <w:r>
              <w:rPr>
                <w:rFonts w:ascii="Arial" w:cs="Arial" w:eastAsia="Arial" w:hAnsi="Arial"/>
                <w:sz w:val="14"/>
                <w:szCs w:val="14"/>
                <w:color w:val="auto"/>
              </w:rPr>
              <w:t>15,000,000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6.06%</w:t>
            </w:r>
          </w:p>
        </w:tc>
        <w:tc>
          <w:tcPr>
            <w:tcW w:w="2900" w:type="dxa"/>
            <w:vAlign w:val="bottom"/>
          </w:tcPr>
          <w:p>
            <w:pPr>
              <w:jc w:val="right"/>
              <w:spacing w:after="0"/>
              <w:rPr>
                <w:sz w:val="20"/>
                <w:szCs w:val="20"/>
                <w:color w:val="auto"/>
              </w:rPr>
            </w:pPr>
            <w:r>
              <w:rPr>
                <w:rFonts w:ascii="Arial" w:cs="Arial" w:eastAsia="Arial" w:hAnsi="Arial"/>
                <w:sz w:val="14"/>
                <w:szCs w:val="14"/>
                <w:color w:val="auto"/>
              </w:rPr>
              <w:t>5,000,000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7.72%</w:t>
            </w:r>
          </w:p>
        </w:tc>
        <w:tc>
          <w:tcPr>
            <w:tcW w:w="2900" w:type="dxa"/>
            <w:vAlign w:val="bottom"/>
          </w:tcPr>
          <w:p>
            <w:pPr>
              <w:jc w:val="right"/>
              <w:spacing w:after="0"/>
              <w:rPr>
                <w:sz w:val="20"/>
                <w:szCs w:val="20"/>
                <w:color w:val="auto"/>
              </w:rPr>
            </w:pPr>
            <w:r>
              <w:rPr>
                <w:rFonts w:ascii="Arial" w:cs="Arial" w:eastAsia="Arial" w:hAnsi="Arial"/>
                <w:sz w:val="14"/>
                <w:szCs w:val="14"/>
                <w:color w:val="auto"/>
              </w:rPr>
              <w:t>15,000,000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9.17%</w:t>
            </w:r>
          </w:p>
        </w:tc>
        <w:tc>
          <w:tcPr>
            <w:tcW w:w="2900" w:type="dxa"/>
            <w:vAlign w:val="bottom"/>
          </w:tcPr>
          <w:p>
            <w:pPr>
              <w:jc w:val="right"/>
              <w:spacing w:after="0"/>
              <w:rPr>
                <w:sz w:val="20"/>
                <w:szCs w:val="20"/>
                <w:color w:val="auto"/>
              </w:rPr>
            </w:pPr>
            <w:r>
              <w:rPr>
                <w:rFonts w:ascii="Arial" w:cs="Arial" w:eastAsia="Arial" w:hAnsi="Arial"/>
                <w:sz w:val="14"/>
                <w:szCs w:val="14"/>
                <w:color w:val="auto"/>
              </w:rPr>
              <w:t>1,200,000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9.29%</w:t>
            </w:r>
          </w:p>
        </w:tc>
        <w:tc>
          <w:tcPr>
            <w:tcW w:w="2900" w:type="dxa"/>
            <w:vAlign w:val="bottom"/>
          </w:tcPr>
          <w:p>
            <w:pPr>
              <w:jc w:val="right"/>
              <w:spacing w:after="0"/>
              <w:rPr>
                <w:sz w:val="20"/>
                <w:szCs w:val="20"/>
                <w:color w:val="auto"/>
              </w:rPr>
            </w:pPr>
            <w:r>
              <w:rPr>
                <w:rFonts w:ascii="Arial" w:cs="Arial" w:eastAsia="Arial" w:hAnsi="Arial"/>
                <w:sz w:val="14"/>
                <w:szCs w:val="14"/>
                <w:color w:val="auto"/>
              </w:rPr>
              <w:t>12,000,000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3.79%</w:t>
            </w:r>
          </w:p>
        </w:tc>
        <w:tc>
          <w:tcPr>
            <w:tcW w:w="2900" w:type="dxa"/>
            <w:vAlign w:val="bottom"/>
          </w:tcPr>
          <w:p>
            <w:pPr>
              <w:jc w:val="right"/>
              <w:spacing w:after="0"/>
              <w:rPr>
                <w:sz w:val="20"/>
                <w:szCs w:val="20"/>
                <w:color w:val="auto"/>
              </w:rPr>
            </w:pPr>
            <w:r>
              <w:rPr>
                <w:rFonts w:ascii="Arial" w:cs="Arial" w:eastAsia="Arial" w:hAnsi="Arial"/>
                <w:sz w:val="14"/>
                <w:szCs w:val="14"/>
                <w:color w:val="auto"/>
              </w:rPr>
              <w:t>40,000,000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3.80%</w:t>
            </w:r>
          </w:p>
        </w:tc>
        <w:tc>
          <w:tcPr>
            <w:tcW w:w="290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3.85%</w:t>
            </w:r>
          </w:p>
        </w:tc>
        <w:tc>
          <w:tcPr>
            <w:tcW w:w="290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3.94%</w:t>
            </w:r>
          </w:p>
        </w:tc>
        <w:tc>
          <w:tcPr>
            <w:tcW w:w="2900" w:type="dxa"/>
            <w:vAlign w:val="bottom"/>
          </w:tcPr>
          <w:p>
            <w:pPr>
              <w:jc w:val="right"/>
              <w:spacing w:after="0"/>
              <w:rPr>
                <w:sz w:val="20"/>
                <w:szCs w:val="20"/>
                <w:color w:val="auto"/>
              </w:rPr>
            </w:pPr>
            <w:r>
              <w:rPr>
                <w:rFonts w:ascii="Arial" w:cs="Arial" w:eastAsia="Arial" w:hAnsi="Arial"/>
                <w:sz w:val="14"/>
                <w:szCs w:val="14"/>
                <w:color w:val="auto"/>
              </w:rPr>
              <w:t>25,000,000</w:t>
            </w:r>
          </w:p>
        </w:tc>
      </w:tr>
      <w:tr>
        <w:trPr>
          <w:trHeight w:val="230"/>
        </w:trPr>
        <w:tc>
          <w:tcPr>
            <w:tcW w:w="3240" w:type="dxa"/>
            <w:vAlign w:val="bottom"/>
          </w:tcPr>
          <w:p>
            <w:pPr>
              <w:spacing w:after="0"/>
              <w:rPr>
                <w:sz w:val="20"/>
                <w:szCs w:val="20"/>
                <w:color w:val="auto"/>
              </w:rPr>
            </w:pPr>
            <w:r>
              <w:rPr>
                <w:rFonts w:ascii="Arial" w:cs="Arial" w:eastAsia="Arial" w:hAnsi="Arial"/>
                <w:sz w:val="14"/>
                <w:szCs w:val="14"/>
                <w:color w:val="auto"/>
              </w:rPr>
              <w:t>FMB</w:t>
            </w:r>
          </w:p>
        </w:tc>
        <w:tc>
          <w:tcPr>
            <w:tcW w:w="3860" w:type="dxa"/>
            <w:vAlign w:val="bottom"/>
          </w:tcPr>
          <w:p>
            <w:pPr>
              <w:jc w:val="right"/>
              <w:ind w:right="1008"/>
              <w:spacing w:after="0"/>
              <w:rPr>
                <w:sz w:val="20"/>
                <w:szCs w:val="20"/>
                <w:color w:val="auto"/>
              </w:rPr>
            </w:pPr>
            <w:r>
              <w:rPr>
                <w:rFonts w:ascii="Arial" w:cs="Arial" w:eastAsia="Arial" w:hAnsi="Arial"/>
                <w:sz w:val="14"/>
                <w:szCs w:val="14"/>
                <w:color w:val="auto"/>
              </w:rPr>
              <w:t>4.61%</w:t>
            </w:r>
          </w:p>
        </w:tc>
        <w:tc>
          <w:tcPr>
            <w:tcW w:w="2900" w:type="dxa"/>
            <w:vAlign w:val="bottom"/>
          </w:tcPr>
          <w:p>
            <w:pPr>
              <w:jc w:val="right"/>
              <w:spacing w:after="0"/>
              <w:rPr>
                <w:sz w:val="20"/>
                <w:szCs w:val="20"/>
                <w:color w:val="auto"/>
              </w:rPr>
            </w:pPr>
            <w:r>
              <w:rPr>
                <w:rFonts w:ascii="Arial" w:cs="Arial" w:eastAsia="Arial" w:hAnsi="Arial"/>
                <w:sz w:val="14"/>
                <w:szCs w:val="14"/>
                <w:color w:val="auto"/>
              </w:rPr>
              <w:t>25,000,000</w:t>
            </w:r>
          </w:p>
        </w:tc>
      </w:tr>
    </w:tbl>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5.15(a)-2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63500</wp:posOffset>
            </wp:positionV>
            <wp:extent cx="646557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1020" w:top="688" w:right="8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4.62%</w:t>
            </w:r>
          </w:p>
        </w:tc>
        <w:tc>
          <w:tcPr>
            <w:tcW w:w="1040" w:type="dxa"/>
            <w:vAlign w:val="bottom"/>
          </w:tcPr>
          <w:p>
            <w:pPr>
              <w:spacing w:after="0"/>
              <w:rPr>
                <w:sz w:val="15"/>
                <w:szCs w:val="15"/>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3.64%</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4.01%</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4.06%</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13,000,000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4.11%</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12,000,000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3.77%</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65,000,000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3.82%</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3.85%</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4.16%</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60,000,000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4.18%</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4.20%</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3.85%</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3.95%</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60,000,000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3.65%</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3.69%</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40,000,000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4.04%</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40,000,000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4.06%</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40,000,000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4.06%</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35,000,000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4.07%</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4.09%</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3.99%</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4.04%</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4.09%</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65,000,000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4.44%</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65,000,000</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Pr>
          <w:p>
            <w:pPr>
              <w:jc w:val="right"/>
              <w:spacing w:after="0"/>
              <w:rPr>
                <w:sz w:val="20"/>
                <w:szCs w:val="20"/>
                <w:color w:val="auto"/>
              </w:rPr>
            </w:pPr>
            <w:r>
              <w:rPr>
                <w:rFonts w:ascii="Arial" w:cs="Arial" w:eastAsia="Arial" w:hAnsi="Arial"/>
                <w:sz w:val="14"/>
                <w:szCs w:val="14"/>
                <w:color w:val="auto"/>
              </w:rPr>
              <w:t>4.49%</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30,000,000</w:t>
            </w:r>
          </w:p>
        </w:tc>
      </w:tr>
      <w:tr>
        <w:trPr>
          <w:trHeight w:val="215"/>
        </w:trPr>
        <w:tc>
          <w:tcPr>
            <w:tcW w:w="3640" w:type="dxa"/>
            <w:vAlign w:val="bottom"/>
          </w:tcPr>
          <w:p>
            <w:pPr>
              <w:spacing w:after="0"/>
              <w:rPr>
                <w:sz w:val="20"/>
                <w:szCs w:val="20"/>
                <w:color w:val="auto"/>
              </w:rPr>
            </w:pPr>
            <w:r>
              <w:rPr>
                <w:rFonts w:ascii="Arial" w:cs="Arial" w:eastAsia="Arial" w:hAnsi="Arial"/>
                <w:sz w:val="14"/>
                <w:szCs w:val="14"/>
                <w:color w:val="auto"/>
              </w:rPr>
              <w:t>FMB</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040" w:type="dxa"/>
            <w:vAlign w:val="bottom"/>
          </w:tcPr>
          <w:p>
            <w:pPr>
              <w:spacing w:after="0"/>
              <w:rPr>
                <w:sz w:val="18"/>
                <w:szCs w:val="18"/>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30,000,000</w:t>
            </w:r>
          </w:p>
        </w:tc>
      </w:tr>
      <w:tr>
        <w:trPr>
          <w:trHeight w:val="454"/>
        </w:trPr>
        <w:tc>
          <w:tcPr>
            <w:tcW w:w="3640" w:type="dxa"/>
            <w:vAlign w:val="bottom"/>
          </w:tcPr>
          <w:p>
            <w:pPr>
              <w:spacing w:after="0"/>
              <w:rPr>
                <w:sz w:val="20"/>
                <w:szCs w:val="20"/>
                <w:color w:val="auto"/>
              </w:rPr>
            </w:pPr>
            <w:r>
              <w:rPr>
                <w:rFonts w:ascii="Arial" w:cs="Arial" w:eastAsia="Arial" w:hAnsi="Arial"/>
                <w:sz w:val="14"/>
                <w:szCs w:val="14"/>
                <w:b w:val="1"/>
                <w:bCs w:val="1"/>
                <w:color w:val="auto"/>
              </w:rPr>
              <w:t>Total First Mortgage Bonds</w:t>
            </w:r>
          </w:p>
        </w:tc>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b w:val="1"/>
                <w:bCs w:val="1"/>
                <w:color w:val="auto"/>
              </w:rPr>
              <w:t>1,016,200,000</w:t>
            </w:r>
          </w:p>
        </w:tc>
      </w:tr>
      <w:tr>
        <w:trPr>
          <w:trHeight w:val="689"/>
        </w:trPr>
        <w:tc>
          <w:tcPr>
            <w:tcW w:w="3640" w:type="dxa"/>
            <w:vAlign w:val="bottom"/>
          </w:tcPr>
          <w:p>
            <w:pPr>
              <w:spacing w:after="0"/>
              <w:rPr>
                <w:sz w:val="20"/>
                <w:szCs w:val="20"/>
                <w:color w:val="auto"/>
              </w:rPr>
            </w:pPr>
            <w:r>
              <w:rPr>
                <w:rFonts w:ascii="Arial" w:cs="Arial" w:eastAsia="Arial" w:hAnsi="Arial"/>
                <w:sz w:val="14"/>
                <w:szCs w:val="14"/>
                <w:color w:val="auto"/>
              </w:rPr>
              <w:t>PennVest - Aqua PA WW</w:t>
            </w:r>
          </w:p>
        </w:tc>
        <w:tc>
          <w:tcPr>
            <w:tcW w:w="2420" w:type="dxa"/>
            <w:vAlign w:val="bottom"/>
          </w:tcPr>
          <w:p>
            <w:pPr>
              <w:jc w:val="right"/>
              <w:spacing w:after="0"/>
              <w:rPr>
                <w:sz w:val="20"/>
                <w:szCs w:val="20"/>
                <w:color w:val="auto"/>
              </w:rPr>
            </w:pPr>
            <w:r>
              <w:rPr>
                <w:rFonts w:ascii="Arial" w:cs="Arial" w:eastAsia="Arial" w:hAnsi="Arial"/>
                <w:sz w:val="14"/>
                <w:szCs w:val="14"/>
                <w:color w:val="auto"/>
              </w:rPr>
              <w:t>1.00%</w:t>
            </w:r>
          </w:p>
        </w:tc>
        <w:tc>
          <w:tcPr>
            <w:tcW w:w="10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29,529</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PennVest - Aqua PA WW</w:t>
            </w:r>
          </w:p>
        </w:tc>
        <w:tc>
          <w:tcPr>
            <w:tcW w:w="2420" w:type="dxa"/>
            <w:vAlign w:val="bottom"/>
          </w:tcPr>
          <w:p>
            <w:pPr>
              <w:jc w:val="right"/>
              <w:spacing w:after="0"/>
              <w:rPr>
                <w:sz w:val="20"/>
                <w:szCs w:val="20"/>
                <w:color w:val="auto"/>
              </w:rPr>
            </w:pPr>
            <w:r>
              <w:rPr>
                <w:rFonts w:ascii="Arial" w:cs="Arial" w:eastAsia="Arial" w:hAnsi="Arial"/>
                <w:sz w:val="14"/>
                <w:szCs w:val="14"/>
                <w:color w:val="auto"/>
              </w:rPr>
              <w:t>1.16%</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676,983</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PennVest - Aqua PA WW</w:t>
            </w:r>
          </w:p>
        </w:tc>
        <w:tc>
          <w:tcPr>
            <w:tcW w:w="2420" w:type="dxa"/>
            <w:vAlign w:val="bottom"/>
          </w:tcPr>
          <w:p>
            <w:pPr>
              <w:jc w:val="right"/>
              <w:spacing w:after="0"/>
              <w:rPr>
                <w:sz w:val="20"/>
                <w:szCs w:val="20"/>
                <w:color w:val="auto"/>
              </w:rPr>
            </w:pPr>
            <w:r>
              <w:rPr>
                <w:rFonts w:ascii="Arial" w:cs="Arial" w:eastAsia="Arial" w:hAnsi="Arial"/>
                <w:sz w:val="14"/>
                <w:szCs w:val="14"/>
                <w:color w:val="auto"/>
              </w:rPr>
              <w:t>1.00%</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538,142</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PennVest - Aqua PA WW</w:t>
            </w:r>
          </w:p>
        </w:tc>
        <w:tc>
          <w:tcPr>
            <w:tcW w:w="2420" w:type="dxa"/>
            <w:vAlign w:val="bottom"/>
          </w:tcPr>
          <w:p>
            <w:pPr>
              <w:jc w:val="right"/>
              <w:spacing w:after="0"/>
              <w:rPr>
                <w:sz w:val="20"/>
                <w:szCs w:val="20"/>
                <w:color w:val="auto"/>
              </w:rPr>
            </w:pPr>
            <w:r>
              <w:rPr>
                <w:rFonts w:ascii="Arial" w:cs="Arial" w:eastAsia="Arial" w:hAnsi="Arial"/>
                <w:sz w:val="14"/>
                <w:szCs w:val="14"/>
                <w:color w:val="auto"/>
              </w:rPr>
              <w:t>1.00%</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103,099</w:t>
            </w:r>
          </w:p>
        </w:tc>
      </w:tr>
      <w:tr>
        <w:trPr>
          <w:trHeight w:val="230"/>
        </w:trPr>
        <w:tc>
          <w:tcPr>
            <w:tcW w:w="3640" w:type="dxa"/>
            <w:vAlign w:val="bottom"/>
          </w:tcPr>
          <w:p>
            <w:pPr>
              <w:spacing w:after="0"/>
              <w:rPr>
                <w:sz w:val="20"/>
                <w:szCs w:val="20"/>
                <w:color w:val="auto"/>
              </w:rPr>
            </w:pPr>
            <w:r>
              <w:rPr>
                <w:rFonts w:ascii="Arial" w:cs="Arial" w:eastAsia="Arial" w:hAnsi="Arial"/>
                <w:sz w:val="14"/>
                <w:szCs w:val="14"/>
                <w:color w:val="auto"/>
              </w:rPr>
              <w:t>PennVest - Aqua PA WW</w:t>
            </w:r>
          </w:p>
        </w:tc>
        <w:tc>
          <w:tcPr>
            <w:tcW w:w="2420" w:type="dxa"/>
            <w:vAlign w:val="bottom"/>
          </w:tcPr>
          <w:p>
            <w:pPr>
              <w:jc w:val="right"/>
              <w:spacing w:after="0"/>
              <w:rPr>
                <w:sz w:val="20"/>
                <w:szCs w:val="20"/>
                <w:color w:val="auto"/>
              </w:rPr>
            </w:pPr>
            <w:r>
              <w:rPr>
                <w:rFonts w:ascii="Arial" w:cs="Arial" w:eastAsia="Arial" w:hAnsi="Arial"/>
                <w:sz w:val="14"/>
                <w:szCs w:val="14"/>
                <w:color w:val="auto"/>
              </w:rPr>
              <w:t>1.35%</w:t>
            </w:r>
          </w:p>
        </w:tc>
        <w:tc>
          <w:tcPr>
            <w:tcW w:w="1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4"/>
                <w:szCs w:val="14"/>
                <w:color w:val="auto"/>
              </w:rPr>
              <w:t>36,573</w:t>
            </w:r>
          </w:p>
        </w:tc>
      </w:tr>
      <w:tr>
        <w:trPr>
          <w:trHeight w:val="215"/>
        </w:trPr>
        <w:tc>
          <w:tcPr>
            <w:tcW w:w="3640" w:type="dxa"/>
            <w:vAlign w:val="bottom"/>
          </w:tcPr>
          <w:p>
            <w:pPr>
              <w:spacing w:after="0"/>
              <w:rPr>
                <w:sz w:val="20"/>
                <w:szCs w:val="20"/>
                <w:color w:val="auto"/>
              </w:rPr>
            </w:pPr>
            <w:r>
              <w:rPr>
                <w:rFonts w:ascii="Arial" w:cs="Arial" w:eastAsia="Arial" w:hAnsi="Arial"/>
                <w:sz w:val="14"/>
                <w:szCs w:val="14"/>
                <w:color w:val="auto"/>
              </w:rPr>
              <w:t>PennVest - Aqua PA WW</w:t>
            </w:r>
          </w:p>
        </w:tc>
        <w:tc>
          <w:tcPr>
            <w:tcW w:w="2420" w:type="dxa"/>
            <w:vAlign w:val="bottom"/>
          </w:tcPr>
          <w:p>
            <w:pPr>
              <w:jc w:val="right"/>
              <w:spacing w:after="0"/>
              <w:rPr>
                <w:sz w:val="20"/>
                <w:szCs w:val="20"/>
                <w:color w:val="auto"/>
              </w:rPr>
            </w:pPr>
            <w:r>
              <w:rPr>
                <w:rFonts w:ascii="Arial" w:cs="Arial" w:eastAsia="Arial" w:hAnsi="Arial"/>
                <w:sz w:val="14"/>
                <w:szCs w:val="14"/>
                <w:color w:val="auto"/>
              </w:rPr>
              <w:t>2.77%</w:t>
            </w:r>
          </w:p>
        </w:tc>
        <w:tc>
          <w:tcPr>
            <w:tcW w:w="1040" w:type="dxa"/>
            <w:vAlign w:val="bottom"/>
          </w:tcPr>
          <w:p>
            <w:pPr>
              <w:spacing w:after="0"/>
              <w:rPr>
                <w:sz w:val="18"/>
                <w:szCs w:val="18"/>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155,119</w:t>
            </w:r>
          </w:p>
        </w:tc>
      </w:tr>
      <w:tr>
        <w:trPr>
          <w:trHeight w:val="454"/>
        </w:trPr>
        <w:tc>
          <w:tcPr>
            <w:tcW w:w="3640" w:type="dxa"/>
            <w:vAlign w:val="bottom"/>
          </w:tcPr>
          <w:p>
            <w:pPr>
              <w:spacing w:after="0"/>
              <w:rPr>
                <w:sz w:val="20"/>
                <w:szCs w:val="20"/>
                <w:color w:val="auto"/>
              </w:rPr>
            </w:pPr>
            <w:r>
              <w:rPr>
                <w:rFonts w:ascii="Arial" w:cs="Arial" w:eastAsia="Arial" w:hAnsi="Arial"/>
                <w:sz w:val="14"/>
                <w:szCs w:val="14"/>
                <w:b w:val="1"/>
                <w:bCs w:val="1"/>
                <w:color w:val="auto"/>
              </w:rPr>
              <w:t>Total PennVest LWWW</w:t>
            </w:r>
          </w:p>
        </w:tc>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b w:val="1"/>
                <w:bCs w:val="1"/>
                <w:color w:val="auto"/>
              </w:rPr>
              <w:t>1,539,445</w:t>
            </w:r>
          </w:p>
        </w:tc>
      </w:tr>
    </w:tbl>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tcPr>
          <w:p>
            <w:pPr>
              <w:spacing w:after="0"/>
              <w:rPr>
                <w:sz w:val="20"/>
                <w:szCs w:val="20"/>
                <w:color w:val="auto"/>
              </w:rPr>
            </w:pPr>
            <w:r>
              <w:rPr>
                <w:rFonts w:ascii="Arial" w:cs="Arial" w:eastAsia="Arial" w:hAnsi="Arial"/>
                <w:sz w:val="14"/>
                <w:szCs w:val="14"/>
                <w:b w:val="1"/>
                <w:bCs w:val="1"/>
                <w:color w:val="auto"/>
              </w:rPr>
              <w:t>Total Long Term Debt</w:t>
            </w:r>
          </w:p>
        </w:tc>
        <w:tc>
          <w:tcPr>
            <w:tcW w:w="2900" w:type="dxa"/>
            <w:vAlign w:val="bottom"/>
            <w:tcBorders>
              <w:bottom w:val="single" w:sz="8" w:color="auto"/>
            </w:tcBorders>
          </w:tcPr>
          <w:p>
            <w:pPr>
              <w:jc w:val="right"/>
              <w:ind w:right="1768"/>
              <w:spacing w:after="0"/>
              <w:rPr>
                <w:sz w:val="20"/>
                <w:szCs w:val="20"/>
                <w:color w:val="auto"/>
              </w:rPr>
            </w:pPr>
            <w:r>
              <w:rPr>
                <w:rFonts w:ascii="Arial" w:cs="Arial" w:eastAsia="Arial" w:hAnsi="Arial"/>
                <w:sz w:val="14"/>
                <w:szCs w:val="14"/>
                <w:b w:val="1"/>
                <w:bCs w:val="1"/>
                <w:color w:val="auto"/>
              </w:rPr>
              <w:t>$ 1,486,288,985</w:t>
            </w:r>
          </w:p>
        </w:tc>
      </w:tr>
      <w:tr>
        <w:trPr>
          <w:trHeight w:val="446"/>
        </w:trPr>
        <w:tc>
          <w:tcPr>
            <w:tcW w:w="7100" w:type="dxa"/>
            <w:vAlign w:val="bottom"/>
          </w:tcPr>
          <w:p>
            <w:pPr>
              <w:spacing w:after="0"/>
              <w:rPr>
                <w:sz w:val="20"/>
                <w:szCs w:val="20"/>
                <w:color w:val="auto"/>
              </w:rPr>
            </w:pPr>
            <w:r>
              <w:rPr>
                <w:rFonts w:ascii="Arial" w:cs="Arial" w:eastAsia="Arial" w:hAnsi="Arial"/>
                <w:sz w:val="14"/>
                <w:szCs w:val="14"/>
                <w:b w:val="1"/>
                <w:bCs w:val="1"/>
                <w:color w:val="auto"/>
              </w:rPr>
              <w:t>PNC Revolver</w:t>
            </w:r>
          </w:p>
        </w:tc>
        <w:tc>
          <w:tcPr>
            <w:tcW w:w="2900" w:type="dxa"/>
            <w:vAlign w:val="bottom"/>
            <w:tcBorders>
              <w:bottom w:val="single" w:sz="8" w:color="auto"/>
            </w:tcBorders>
          </w:tcPr>
          <w:p>
            <w:pPr>
              <w:jc w:val="right"/>
              <w:ind w:right="1768"/>
              <w:spacing w:after="0"/>
              <w:rPr>
                <w:sz w:val="20"/>
                <w:szCs w:val="20"/>
                <w:color w:val="auto"/>
              </w:rPr>
            </w:pPr>
            <w:r>
              <w:rPr>
                <w:rFonts w:ascii="Arial" w:cs="Arial" w:eastAsia="Arial" w:hAnsi="Arial"/>
                <w:sz w:val="14"/>
                <w:szCs w:val="14"/>
                <w:b w:val="1"/>
                <w:bCs w:val="1"/>
                <w:color w:val="auto"/>
              </w:rPr>
              <w:t>32,563,367</w:t>
            </w:r>
          </w:p>
        </w:tc>
      </w:tr>
      <w:tr>
        <w:trPr>
          <w:trHeight w:val="433"/>
        </w:trPr>
        <w:tc>
          <w:tcPr>
            <w:tcW w:w="7100" w:type="dxa"/>
            <w:vAlign w:val="bottom"/>
          </w:tcPr>
          <w:p>
            <w:pPr>
              <w:spacing w:after="0"/>
              <w:rPr>
                <w:sz w:val="20"/>
                <w:szCs w:val="20"/>
                <w:color w:val="auto"/>
              </w:rPr>
            </w:pPr>
            <w:r>
              <w:rPr>
                <w:rFonts w:ascii="Arial" w:cs="Arial" w:eastAsia="Arial" w:hAnsi="Arial"/>
                <w:sz w:val="14"/>
                <w:szCs w:val="14"/>
                <w:b w:val="1"/>
                <w:bCs w:val="1"/>
                <w:color w:val="auto"/>
              </w:rPr>
              <w:t>Total Debt Aqua Pennsylvania</w:t>
            </w:r>
          </w:p>
        </w:tc>
        <w:tc>
          <w:tcPr>
            <w:tcW w:w="2900" w:type="dxa"/>
            <w:vAlign w:val="bottom"/>
            <w:tcBorders>
              <w:bottom w:val="single" w:sz="8" w:color="auto"/>
            </w:tcBorders>
          </w:tcPr>
          <w:p>
            <w:pPr>
              <w:jc w:val="right"/>
              <w:ind w:right="1768"/>
              <w:spacing w:after="0"/>
              <w:rPr>
                <w:sz w:val="20"/>
                <w:szCs w:val="20"/>
                <w:color w:val="auto"/>
              </w:rPr>
            </w:pPr>
            <w:r>
              <w:rPr>
                <w:rFonts w:ascii="Arial" w:cs="Arial" w:eastAsia="Arial" w:hAnsi="Arial"/>
                <w:sz w:val="14"/>
                <w:szCs w:val="14"/>
                <w:b w:val="1"/>
                <w:bCs w:val="1"/>
                <w:color w:val="auto"/>
              </w:rPr>
              <w:t>$ 1,518,852,352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5.15(a)-3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63500</wp:posOffset>
            </wp:positionV>
            <wp:extent cx="646557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1020" w:top="688" w:right="879" w:bottom="1440" w:gutter="0" w:footer="0" w:header="0"/>
        </w:sectPr>
      </w:pPr>
    </w:p>
    <w:bookmarkStart w:id="91" w:name="page92"/>
    <w:bookmarkEnd w:id="91"/>
    <w:p>
      <w:pPr>
        <w:jc w:val="center"/>
        <w:ind w:right="-17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CHEDULE</w:t>
      </w:r>
      <w:r>
        <w:rPr>
          <w:rFonts w:ascii="Arial" w:cs="Arial" w:eastAsia="Arial" w:hAnsi="Arial"/>
          <w:sz w:val="22"/>
          <w:szCs w:val="22"/>
          <w:b w:val="1"/>
          <w:bCs w:val="1"/>
          <w:color w:val="auto"/>
        </w:rPr>
        <w:t xml:space="preserve"> 5.15(b)</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 xml:space="preserve">. </w:t>
      </w:r>
      <w:r>
        <w:rPr>
          <w:rFonts w:ascii="Arial" w:cs="Arial" w:eastAsia="Arial" w:hAnsi="Arial"/>
          <w:sz w:val="18"/>
          <w:szCs w:val="18"/>
          <w:b w:val="1"/>
          <w:bCs w:val="1"/>
          <w:color w:val="auto"/>
        </w:rPr>
        <w:t>AND</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UBSIDIARIES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EBT</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SSUANCE</w:t>
      </w:r>
      <w:r>
        <w:rPr>
          <w:rFonts w:ascii="Arial" w:cs="Arial" w:eastAsia="Arial" w:hAnsi="Arial"/>
          <w:sz w:val="22"/>
          <w:szCs w:val="22"/>
          <w:b w:val="1"/>
          <w:bCs w:val="1"/>
          <w:color w:val="auto"/>
        </w:rPr>
        <w:t xml:space="preserve"> L</w:t>
      </w:r>
      <w:r>
        <w:rPr>
          <w:rFonts w:ascii="Arial" w:cs="Arial" w:eastAsia="Arial" w:hAnsi="Arial"/>
          <w:sz w:val="18"/>
          <w:szCs w:val="18"/>
          <w:b w:val="1"/>
          <w:bCs w:val="1"/>
          <w:color w:val="auto"/>
        </w:rPr>
        <w:t>IMITATIONS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Indenture of Mortgage dated as of January 1, 1941 of Aqua Pennsylvania, Inc. as Supplemented and Amended</w:t>
      </w:r>
    </w:p>
    <w:p>
      <w:pPr>
        <w:spacing w:after="0" w:line="214"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$100 million Amended and Restated Credit Agreement among Aqua Pennsylvania, Inc. and PNC Bank, National Association as Agent dated as of November 15, 2018, as amended</w:t>
      </w:r>
    </w:p>
    <w:p>
      <w:pPr>
        <w:spacing w:after="0" w:line="159" w:lineRule="exact"/>
        <w:rPr>
          <w:sz w:val="20"/>
          <w:szCs w:val="20"/>
          <w:color w:val="auto"/>
        </w:rPr>
      </w:pPr>
    </w:p>
    <w:p>
      <w:pPr>
        <w:ind w:right="2580"/>
        <w:spacing w:after="0" w:line="474" w:lineRule="auto"/>
        <w:rPr>
          <w:sz w:val="20"/>
          <w:szCs w:val="20"/>
          <w:color w:val="auto"/>
        </w:rPr>
      </w:pPr>
      <w:r>
        <w:rPr>
          <w:rFonts w:ascii="Arial" w:cs="Arial" w:eastAsia="Arial" w:hAnsi="Arial"/>
          <w:sz w:val="19"/>
          <w:szCs w:val="19"/>
          <w:color w:val="auto"/>
        </w:rPr>
        <w:t>Aqua Pennsylvania, Inc. $40,000,000 5.95% Senior Notes dated March 31, 2006 Aqua Pennsylvania, Inc. $10,927,000 5.64% Senior Notes dated September 29, 2006</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September 28, 2017, as amended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May 4, 2018,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5.15(b)</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52070</wp:posOffset>
            </wp:positionV>
            <wp:extent cx="646557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20"/>
          </w:cols>
          <w:pgMar w:left="900" w:top="342" w:right="107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55</w:t>
      </w:r>
      <w:r>
        <w:rPr>
          <w:rFonts w:ascii="Arial" w:cs="Arial" w:eastAsia="Arial" w:hAnsi="Arial"/>
          <w:sz w:val="18"/>
          <w:szCs w:val="18"/>
          <w:b w:val="1"/>
          <w:bCs w:val="1"/>
          <w:color w:val="auto"/>
        </w:rPr>
        <w:t>TH</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UPPLEMENT</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EE</w:t>
      </w:r>
      <w:r>
        <w:rPr>
          <w:rFonts w:ascii="Arial" w:cs="Arial" w:eastAsia="Arial" w:hAnsi="Arial"/>
          <w:sz w:val="22"/>
          <w:szCs w:val="22"/>
          <w:color w:val="auto"/>
        </w:rPr>
        <w:t xml:space="preserve"> A</w:t>
      </w:r>
      <w:r>
        <w:rPr>
          <w:rFonts w:ascii="Arial" w:cs="Arial" w:eastAsia="Arial" w:hAnsi="Arial"/>
          <w:sz w:val="18"/>
          <w:szCs w:val="18"/>
          <w:color w:val="auto"/>
        </w:rPr>
        <w:t>TTACHED</w:t>
      </w:r>
      <w:r>
        <w:rPr>
          <w:rFonts w:ascii="Arial" w:cs="Arial" w:eastAsia="Arial" w:hAnsi="Arial"/>
          <w:sz w:val="22"/>
          <w:szCs w:val="22"/>
          <w:color w:val="auto"/>
        </w:rPr>
        <w:t xml:space="preserve"> F</w:t>
      </w:r>
      <w:r>
        <w:rPr>
          <w:rFonts w:ascii="Arial" w:cs="Arial" w:eastAsia="Arial" w:hAnsi="Arial"/>
          <w:sz w:val="18"/>
          <w:szCs w:val="18"/>
          <w:color w:val="auto"/>
        </w:rPr>
        <w:t>IFTY</w:t>
      </w:r>
      <w:r>
        <w:rPr>
          <w:rFonts w:ascii="Arial" w:cs="Arial" w:eastAsia="Arial" w:hAnsi="Arial"/>
          <w:sz w:val="22"/>
          <w:szCs w:val="22"/>
          <w:color w:val="auto"/>
        </w:rPr>
        <w:t>-F</w:t>
      </w:r>
      <w:r>
        <w:rPr>
          <w:rFonts w:ascii="Arial" w:cs="Arial" w:eastAsia="Arial" w:hAnsi="Arial"/>
          <w:sz w:val="18"/>
          <w:szCs w:val="18"/>
          <w:color w:val="auto"/>
        </w:rPr>
        <w:t>IFTH</w:t>
      </w:r>
      <w:r>
        <w:rPr>
          <w:rFonts w:ascii="Arial" w:cs="Arial" w:eastAsia="Arial" w:hAnsi="Arial"/>
          <w:sz w:val="22"/>
          <w:szCs w:val="22"/>
          <w:color w:val="auto"/>
        </w:rPr>
        <w:t xml:space="preserve"> S</w:t>
      </w:r>
      <w:r>
        <w:rPr>
          <w:rFonts w:ascii="Arial" w:cs="Arial" w:eastAsia="Arial" w:hAnsi="Arial"/>
          <w:sz w:val="18"/>
          <w:szCs w:val="18"/>
          <w:color w:val="auto"/>
        </w:rPr>
        <w:t>UPPLEMENTAL</w:t>
      </w:r>
      <w:r>
        <w:rPr>
          <w:rFonts w:ascii="Arial" w:cs="Arial" w:eastAsia="Arial" w:hAnsi="Arial"/>
          <w:sz w:val="22"/>
          <w:szCs w:val="22"/>
          <w:color w:val="auto"/>
        </w:rPr>
        <w:t xml:space="preserve"> I</w:t>
      </w:r>
      <w:r>
        <w:rPr>
          <w:rFonts w:ascii="Arial" w:cs="Arial" w:eastAsia="Arial" w:hAnsi="Arial"/>
          <w:sz w:val="18"/>
          <w:szCs w:val="18"/>
          <w:color w:val="auto"/>
        </w:rPr>
        <w:t>NDENTURE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A</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52070</wp:posOffset>
            </wp:positionV>
            <wp:extent cx="646557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56</w:t>
      </w:r>
      <w:r>
        <w:rPr>
          <w:rFonts w:ascii="Arial" w:cs="Arial" w:eastAsia="Arial" w:hAnsi="Arial"/>
          <w:sz w:val="18"/>
          <w:szCs w:val="18"/>
          <w:b w:val="1"/>
          <w:bCs w:val="1"/>
          <w:color w:val="auto"/>
        </w:rPr>
        <w:t>TH</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UPPLEMENT</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EE</w:t>
      </w:r>
      <w:r>
        <w:rPr>
          <w:rFonts w:ascii="Arial" w:cs="Arial" w:eastAsia="Arial" w:hAnsi="Arial"/>
          <w:sz w:val="22"/>
          <w:szCs w:val="22"/>
          <w:color w:val="auto"/>
        </w:rPr>
        <w:t xml:space="preserve"> A</w:t>
      </w:r>
      <w:r>
        <w:rPr>
          <w:rFonts w:ascii="Arial" w:cs="Arial" w:eastAsia="Arial" w:hAnsi="Arial"/>
          <w:sz w:val="18"/>
          <w:szCs w:val="18"/>
          <w:color w:val="auto"/>
        </w:rPr>
        <w:t>TTACHED</w:t>
      </w:r>
      <w:r>
        <w:rPr>
          <w:rFonts w:ascii="Arial" w:cs="Arial" w:eastAsia="Arial" w:hAnsi="Arial"/>
          <w:sz w:val="22"/>
          <w:szCs w:val="22"/>
          <w:color w:val="auto"/>
        </w:rPr>
        <w:t xml:space="preserve"> F</w:t>
      </w:r>
      <w:r>
        <w:rPr>
          <w:rFonts w:ascii="Arial" w:cs="Arial" w:eastAsia="Arial" w:hAnsi="Arial"/>
          <w:sz w:val="18"/>
          <w:szCs w:val="18"/>
          <w:color w:val="auto"/>
        </w:rPr>
        <w:t>IFTY</w:t>
      </w:r>
      <w:r>
        <w:rPr>
          <w:rFonts w:ascii="Arial" w:cs="Arial" w:eastAsia="Arial" w:hAnsi="Arial"/>
          <w:sz w:val="22"/>
          <w:szCs w:val="22"/>
          <w:color w:val="auto"/>
        </w:rPr>
        <w:t>-S</w:t>
      </w:r>
      <w:r>
        <w:rPr>
          <w:rFonts w:ascii="Arial" w:cs="Arial" w:eastAsia="Arial" w:hAnsi="Arial"/>
          <w:sz w:val="18"/>
          <w:szCs w:val="18"/>
          <w:color w:val="auto"/>
        </w:rPr>
        <w:t>IXTH</w:t>
      </w:r>
      <w:r>
        <w:rPr>
          <w:rFonts w:ascii="Arial" w:cs="Arial" w:eastAsia="Arial" w:hAnsi="Arial"/>
          <w:sz w:val="22"/>
          <w:szCs w:val="22"/>
          <w:color w:val="auto"/>
        </w:rPr>
        <w:t xml:space="preserve"> S</w:t>
      </w:r>
      <w:r>
        <w:rPr>
          <w:rFonts w:ascii="Arial" w:cs="Arial" w:eastAsia="Arial" w:hAnsi="Arial"/>
          <w:sz w:val="18"/>
          <w:szCs w:val="18"/>
          <w:color w:val="auto"/>
        </w:rPr>
        <w:t>UPPLEMENTAL</w:t>
      </w:r>
      <w:r>
        <w:rPr>
          <w:rFonts w:ascii="Arial" w:cs="Arial" w:eastAsia="Arial" w:hAnsi="Arial"/>
          <w:sz w:val="22"/>
          <w:szCs w:val="22"/>
          <w:color w:val="auto"/>
        </w:rPr>
        <w:t xml:space="preserve"> I</w:t>
      </w:r>
      <w:r>
        <w:rPr>
          <w:rFonts w:ascii="Arial" w:cs="Arial" w:eastAsia="Arial" w:hAnsi="Arial"/>
          <w:sz w:val="18"/>
          <w:szCs w:val="18"/>
          <w:color w:val="auto"/>
        </w:rPr>
        <w:t>NDENTURE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B</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52070</wp:posOffset>
            </wp:positionV>
            <wp:extent cx="646557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8"/>
          <w:szCs w:val="18"/>
          <w:b w:val="1"/>
          <w:bCs w:val="1"/>
          <w:color w:val="auto"/>
        </w:rPr>
        <w:t>PINION OF</w:t>
      </w:r>
      <w:r>
        <w:rPr>
          <w:rFonts w:ascii="Arial" w:cs="Arial" w:eastAsia="Arial" w:hAnsi="Arial"/>
          <w:sz w:val="22"/>
          <w:szCs w:val="22"/>
          <w:b w:val="1"/>
          <w:bCs w:val="1"/>
          <w:color w:val="auto"/>
        </w:rPr>
        <w:t xml:space="preserve"> G</w:t>
      </w:r>
      <w:r>
        <w:rPr>
          <w:rFonts w:ascii="Arial" w:cs="Arial" w:eastAsia="Arial" w:hAnsi="Arial"/>
          <w:sz w:val="18"/>
          <w:szCs w:val="18"/>
          <w:b w:val="1"/>
          <w:bCs w:val="1"/>
          <w:color w:val="auto"/>
        </w:rPr>
        <w:t>ENERAL</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OUNSEL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 THE </w:t>
      </w:r>
      <w:r>
        <w:rPr>
          <w:rFonts w:ascii="Arial" w:cs="Arial" w:eastAsia="Arial" w:hAnsi="Arial"/>
          <w:sz w:val="21"/>
          <w:szCs w:val="21"/>
          <w:b w:val="1"/>
          <w:bCs w:val="1"/>
          <w:color w:val="auto"/>
        </w:rPr>
        <w:t>C</w:t>
      </w:r>
      <w:r>
        <w:rPr>
          <w:rFonts w:ascii="Arial" w:cs="Arial" w:eastAsia="Arial" w:hAnsi="Arial"/>
          <w:sz w:val="18"/>
          <w:szCs w:val="18"/>
          <w:b w:val="1"/>
          <w:bCs w:val="1"/>
          <w:color w:val="auto"/>
        </w:rPr>
        <w:t>OMPANY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EE</w:t>
      </w:r>
      <w:r>
        <w:rPr>
          <w:rFonts w:ascii="Arial" w:cs="Arial" w:eastAsia="Arial" w:hAnsi="Arial"/>
          <w:sz w:val="22"/>
          <w:szCs w:val="22"/>
          <w:color w:val="auto"/>
        </w:rPr>
        <w:t xml:space="preserve"> A</w:t>
      </w:r>
      <w:r>
        <w:rPr>
          <w:rFonts w:ascii="Arial" w:cs="Arial" w:eastAsia="Arial" w:hAnsi="Arial"/>
          <w:sz w:val="18"/>
          <w:szCs w:val="18"/>
          <w:color w:val="auto"/>
        </w:rPr>
        <w:t>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4.4(a)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52070</wp:posOffset>
            </wp:positionV>
            <wp:extent cx="646557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8"/>
          <w:szCs w:val="18"/>
          <w:b w:val="1"/>
          <w:bCs w:val="1"/>
          <w:color w:val="auto"/>
        </w:rPr>
        <w:t>PINION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PECIAL</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OUNSEL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 THE </w:t>
      </w:r>
      <w:r>
        <w:rPr>
          <w:rFonts w:ascii="Arial" w:cs="Arial" w:eastAsia="Arial" w:hAnsi="Arial"/>
          <w:sz w:val="21"/>
          <w:szCs w:val="21"/>
          <w:b w:val="1"/>
          <w:bCs w:val="1"/>
          <w:color w:val="auto"/>
        </w:rPr>
        <w:t>C</w:t>
      </w:r>
      <w:r>
        <w:rPr>
          <w:rFonts w:ascii="Arial" w:cs="Arial" w:eastAsia="Arial" w:hAnsi="Arial"/>
          <w:sz w:val="18"/>
          <w:szCs w:val="18"/>
          <w:b w:val="1"/>
          <w:bCs w:val="1"/>
          <w:color w:val="auto"/>
        </w:rPr>
        <w:t>OMPANY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EE</w:t>
      </w:r>
      <w:r>
        <w:rPr>
          <w:rFonts w:ascii="Arial" w:cs="Arial" w:eastAsia="Arial" w:hAnsi="Arial"/>
          <w:sz w:val="22"/>
          <w:szCs w:val="22"/>
          <w:color w:val="auto"/>
        </w:rPr>
        <w:t xml:space="preserve"> A</w:t>
      </w:r>
      <w:r>
        <w:rPr>
          <w:rFonts w:ascii="Arial" w:cs="Arial" w:eastAsia="Arial" w:hAnsi="Arial"/>
          <w:sz w:val="18"/>
          <w:szCs w:val="18"/>
          <w:color w:val="auto"/>
        </w:rPr>
        <w:t>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4.4(b)</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43180</wp:posOffset>
            </wp:positionV>
            <wp:extent cx="646557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8"/>
          <w:szCs w:val="18"/>
          <w:b w:val="1"/>
          <w:bCs w:val="1"/>
          <w:color w:val="auto"/>
        </w:rPr>
        <w:t>PINION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PECIAL</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OUNSEL</w:t>
      </w:r>
    </w:p>
    <w:p>
      <w:pPr>
        <w:sectPr>
          <w:pgSz w:w="11900" w:h="16838" w:orient="portrait"/>
          <w:cols w:equalWidth="0" w:num="1">
            <w:col w:w="9019"/>
          </w:cols>
          <w:pgMar w:left="1440" w:top="666" w:right="1440"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 THE </w:t>
      </w:r>
      <w:r>
        <w:rPr>
          <w:rFonts w:ascii="Arial" w:cs="Arial" w:eastAsia="Arial" w:hAnsi="Arial"/>
          <w:sz w:val="21"/>
          <w:szCs w:val="21"/>
          <w:b w:val="1"/>
          <w:bCs w:val="1"/>
          <w:color w:val="auto"/>
        </w:rPr>
        <w:t>P</w:t>
      </w:r>
      <w:r>
        <w:rPr>
          <w:rFonts w:ascii="Arial" w:cs="Arial" w:eastAsia="Arial" w:hAnsi="Arial"/>
          <w:sz w:val="18"/>
          <w:szCs w:val="18"/>
          <w:b w:val="1"/>
          <w:bCs w:val="1"/>
          <w:color w:val="auto"/>
        </w:rPr>
        <w:t>URCHASERS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w:t>
      </w:r>
      <w:r>
        <w:rPr>
          <w:rFonts w:ascii="Arial" w:cs="Arial" w:eastAsia="Arial" w:hAnsi="Arial"/>
          <w:sz w:val="17"/>
          <w:szCs w:val="17"/>
          <w:color w:val="auto"/>
        </w:rPr>
        <w:t>ELIVERED TO</w:t>
      </w:r>
      <w:r>
        <w:rPr>
          <w:rFonts w:ascii="Arial" w:cs="Arial" w:eastAsia="Arial" w:hAnsi="Arial"/>
          <w:sz w:val="21"/>
          <w:szCs w:val="21"/>
          <w:color w:val="auto"/>
        </w:rPr>
        <w:t xml:space="preserve"> P</w:t>
      </w:r>
      <w:r>
        <w:rPr>
          <w:rFonts w:ascii="Arial" w:cs="Arial" w:eastAsia="Arial" w:hAnsi="Arial"/>
          <w:sz w:val="17"/>
          <w:szCs w:val="17"/>
          <w:color w:val="auto"/>
        </w:rPr>
        <w:t>URCHASERS</w:t>
      </w:r>
      <w:r>
        <w:rPr>
          <w:rFonts w:ascii="Arial" w:cs="Arial" w:eastAsia="Arial" w:hAnsi="Arial"/>
          <w:sz w:val="21"/>
          <w:szCs w:val="21"/>
          <w:color w:val="auto"/>
        </w:rPr>
        <w:t xml:space="preserve"> O</w:t>
      </w:r>
      <w:r>
        <w:rPr>
          <w:rFonts w:ascii="Arial" w:cs="Arial" w:eastAsia="Arial" w:hAnsi="Arial"/>
          <w:sz w:val="17"/>
          <w:szCs w:val="17"/>
          <w:color w:val="auto"/>
        </w:rPr>
        <w:t>NLY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4.4(c)</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43180</wp:posOffset>
            </wp:positionV>
            <wp:extent cx="646557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2"/>
          <w:szCs w:val="22"/>
          <w:color w:val="auto"/>
        </w:rPr>
        <w:t>[F</w:t>
      </w:r>
      <w:r>
        <w:rPr>
          <w:rFonts w:ascii="Arial" w:cs="Arial" w:eastAsia="Arial" w:hAnsi="Arial"/>
          <w:sz w:val="18"/>
          <w:szCs w:val="18"/>
          <w:color w:val="auto"/>
        </w:rPr>
        <w:t>ORM OF</w:t>
      </w:r>
      <w:r>
        <w:rPr>
          <w:rFonts w:ascii="Arial" w:cs="Arial" w:eastAsia="Arial" w:hAnsi="Arial"/>
          <w:sz w:val="22"/>
          <w:szCs w:val="22"/>
          <w:color w:val="auto"/>
        </w:rPr>
        <w: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T</w:t>
      </w:r>
      <w:r>
        <w:rPr>
          <w:rFonts w:ascii="Arial" w:cs="Arial" w:eastAsia="Arial" w:hAnsi="Arial"/>
          <w:sz w:val="18"/>
          <w:szCs w:val="18"/>
          <w:b w:val="1"/>
          <w:bCs w:val="1"/>
          <w:color w:val="auto"/>
        </w:rPr>
        <w:t>AX</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OMPLIANCE</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ERTIFICATE</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Reference is hereby made to the Bond Purchase Agreement dated as of May 31, 2019 (as amended, supplemented or otherwise modified from time to time, the </w:t>
      </w:r>
      <w:r>
        <w:rPr>
          <w:rFonts w:ascii="Arial" w:cs="Arial" w:eastAsia="Arial" w:hAnsi="Arial"/>
          <w:sz w:val="22"/>
          <w:szCs w:val="22"/>
          <w:i w:val="1"/>
          <w:iCs w:val="1"/>
          <w:color w:val="auto"/>
        </w:rPr>
        <w:t>“Bond Purchase Agreement”</w:t>
      </w:r>
      <w:r>
        <w:rPr>
          <w:rFonts w:ascii="Arial" w:cs="Arial" w:eastAsia="Arial" w:hAnsi="Arial"/>
          <w:sz w:val="22"/>
          <w:szCs w:val="22"/>
          <w:color w:val="auto"/>
        </w:rPr>
        <w:t xml:space="preserve">), among Aqua Pennsylvania, Inc., a corporation organized under the laws of the Commonwealth of Pennsylvania (the </w:t>
      </w:r>
      <w:r>
        <w:rPr>
          <w:rFonts w:ascii="Arial" w:cs="Arial" w:eastAsia="Arial" w:hAnsi="Arial"/>
          <w:sz w:val="22"/>
          <w:szCs w:val="22"/>
          <w:i w:val="1"/>
          <w:iCs w:val="1"/>
          <w:color w:val="auto"/>
        </w:rPr>
        <w:t>“Company”</w:t>
      </w:r>
      <w:r>
        <w:rPr>
          <w:rFonts w:ascii="Arial" w:cs="Arial" w:eastAsia="Arial" w:hAnsi="Arial"/>
          <w:sz w:val="22"/>
          <w:szCs w:val="22"/>
          <w:color w:val="auto"/>
        </w:rPr>
        <w:t>) and the Purchasers that are signatories thereto.</w:t>
      </w:r>
    </w:p>
    <w:p>
      <w:pPr>
        <w:spacing w:after="0" w:line="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Unless otherwise defined herein, capitalized terms defined in the Bond Purchase Agreement and used herein have the meanings given to them in the Bond Purchase Agreement.</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Pursuant to the provisions of Section 12.4 (Tax Withholding) of the Bond Purchase Agreement, the undersigned hereby certifies that:</w:t>
      </w:r>
    </w:p>
    <w:p>
      <w:pPr>
        <w:spacing w:after="0" w:line="65" w:lineRule="exact"/>
        <w:rPr>
          <w:sz w:val="20"/>
          <w:szCs w:val="20"/>
          <w:color w:val="auto"/>
        </w:rPr>
      </w:pPr>
    </w:p>
    <w:p>
      <w:pPr>
        <w:ind w:left="1780" w:hanging="487"/>
        <w:spacing w:after="0"/>
        <w:tabs>
          <w:tab w:leader="none" w:pos="178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it is the sole record and beneficial owner of the Bonds in respect of which it is providing this</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certificate;</w:t>
      </w:r>
    </w:p>
    <w:p>
      <w:pPr>
        <w:spacing w:after="0" w:line="80" w:lineRule="exact"/>
        <w:rPr>
          <w:rFonts w:ascii="Arial" w:cs="Arial" w:eastAsia="Arial" w:hAnsi="Arial"/>
          <w:sz w:val="19"/>
          <w:szCs w:val="19"/>
          <w:color w:val="auto"/>
        </w:rPr>
      </w:pPr>
    </w:p>
    <w:p>
      <w:pPr>
        <w:ind w:left="1780" w:hanging="487"/>
        <w:spacing w:after="0"/>
        <w:tabs>
          <w:tab w:leader="none" w:pos="17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it is not a bank within the meaning of Section 881(c)(3)(A) of the Code;</w:t>
      </w:r>
    </w:p>
    <w:p>
      <w:pPr>
        <w:spacing w:after="0" w:line="98" w:lineRule="exact"/>
        <w:rPr>
          <w:rFonts w:ascii="Arial" w:cs="Arial" w:eastAsia="Arial" w:hAnsi="Arial"/>
          <w:sz w:val="22"/>
          <w:szCs w:val="22"/>
          <w:color w:val="auto"/>
        </w:rPr>
      </w:pPr>
    </w:p>
    <w:p>
      <w:pPr>
        <w:ind w:left="1880" w:hanging="587"/>
        <w:spacing w:after="0"/>
        <w:tabs>
          <w:tab w:leader="none" w:pos="188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it is not a ten percent shareholder of the Issuer within the meaning of Section 871(h)(3)(B) of</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the Code; and</w:t>
      </w:r>
    </w:p>
    <w:p>
      <w:pPr>
        <w:spacing w:after="0" w:line="80" w:lineRule="exact"/>
        <w:rPr>
          <w:rFonts w:ascii="Arial" w:cs="Arial" w:eastAsia="Arial" w:hAnsi="Arial"/>
          <w:sz w:val="19"/>
          <w:szCs w:val="19"/>
          <w:color w:val="auto"/>
        </w:rPr>
      </w:pPr>
    </w:p>
    <w:p>
      <w:pPr>
        <w:ind w:left="1860" w:hanging="567"/>
        <w:spacing w:after="0"/>
        <w:tabs>
          <w:tab w:leader="none" w:pos="18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it is not a controlled foreign corporation related to the Issuer as described in Section 881(c)(3)</w:t>
      </w:r>
    </w:p>
    <w:p>
      <w:pPr>
        <w:spacing w:after="0" w:line="42" w:lineRule="exact"/>
        <w:rPr>
          <w:rFonts w:ascii="Arial" w:cs="Arial" w:eastAsia="Arial" w:hAnsi="Arial"/>
          <w:sz w:val="19"/>
          <w:szCs w:val="19"/>
          <w:color w:val="auto"/>
        </w:rPr>
      </w:pPr>
    </w:p>
    <w:p>
      <w:pPr>
        <w:ind w:left="980" w:hanging="335"/>
        <w:spacing w:after="0"/>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of the Code.</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undersigned has furnished the Issuer with a certificate of its non-U.S. Person status on IRS W-8BEN-E.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___________________________________</w:t>
      </w:r>
    </w:p>
    <w:p>
      <w:pPr>
        <w:ind w:left="780"/>
        <w:spacing w:after="0" w:line="238" w:lineRule="auto"/>
        <w:rPr>
          <w:sz w:val="20"/>
          <w:szCs w:val="20"/>
          <w:color w:val="auto"/>
        </w:rPr>
      </w:pPr>
      <w:r>
        <w:rPr>
          <w:rFonts w:ascii="Arial" w:cs="Arial" w:eastAsia="Arial" w:hAnsi="Arial"/>
          <w:sz w:val="22"/>
          <w:szCs w:val="22"/>
          <w:color w:val="auto"/>
        </w:rPr>
        <w:t>Name:</w:t>
      </w:r>
    </w:p>
    <w:p>
      <w:pPr>
        <w:ind w:left="7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 ________ __, 20[__]</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XHIBIT</w:t>
      </w:r>
      <w:r>
        <w:rPr>
          <w:rFonts w:ascii="Arial" w:cs="Arial" w:eastAsia="Arial" w:hAnsi="Arial"/>
          <w:sz w:val="22"/>
          <w:szCs w:val="22"/>
          <w:color w:val="auto"/>
        </w:rPr>
        <w:t xml:space="preserve"> 12.4</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646557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61" w:right="89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color w:val="auto"/>
        </w:rPr>
        <w:t>Exhibit 31.1</w:t>
      </w:r>
    </w:p>
    <w:p>
      <w:pPr>
        <w:spacing w:after="0" w:line="122" w:lineRule="exact"/>
        <w:rPr>
          <w:sz w:val="20"/>
          <w:szCs w:val="20"/>
          <w:color w:val="auto"/>
        </w:rPr>
      </w:pPr>
    </w:p>
    <w:p>
      <w:pPr>
        <w:ind w:left="20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207" w:lineRule="auto"/>
        <w:tabs>
          <w:tab w:leader="none" w:pos="324"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140" w:hanging="320"/>
        <w:spacing w:after="0" w:line="197" w:lineRule="auto"/>
        <w:tabs>
          <w:tab w:leader="none" w:pos="644" w:val="left"/>
        </w:tabs>
        <w:numPr>
          <w:ilvl w:val="1"/>
          <w:numId w:val="4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40" w:hanging="320"/>
        <w:spacing w:after="0" w:line="246" w:lineRule="auto"/>
        <w:tabs>
          <w:tab w:leader="none" w:pos="644"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240" w:hanging="320"/>
        <w:spacing w:after="0" w:line="197" w:lineRule="auto"/>
        <w:tabs>
          <w:tab w:leader="none" w:pos="644" w:val="left"/>
        </w:tabs>
        <w:numPr>
          <w:ilvl w:val="1"/>
          <w:numId w:val="4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4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180" w:hanging="324"/>
        <w:spacing w:after="0" w:line="197" w:lineRule="auto"/>
        <w:tabs>
          <w:tab w:leader="none" w:pos="324"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0" w:lineRule="auto"/>
        <w:tabs>
          <w:tab w:leader="none" w:pos="644"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81" w:right="9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207" w:lineRule="auto"/>
        <w:tabs>
          <w:tab w:leader="none" w:pos="32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0" w:hanging="320"/>
        <w:spacing w:after="0" w:line="197" w:lineRule="auto"/>
        <w:tabs>
          <w:tab w:leader="none" w:pos="6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100" w:hanging="320"/>
        <w:spacing w:after="0" w:line="246" w:lineRule="auto"/>
        <w:tabs>
          <w:tab w:leader="none" w:pos="6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300" w:hanging="320"/>
        <w:spacing w:after="0" w:line="197" w:lineRule="auto"/>
        <w:tabs>
          <w:tab w:leader="none" w:pos="6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240" w:hanging="324"/>
        <w:spacing w:after="0" w:line="197" w:lineRule="auto"/>
        <w:tabs>
          <w:tab w:leader="none" w:pos="32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0" w:lineRule="auto"/>
        <w:tabs>
          <w:tab w:leader="none" w:pos="6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26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June 30, 2019 of Aqua America,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8" w:right="9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4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June 30, 2019 of Aqua America,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4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1"/>
    </w:lvl>
  </w:abstractNum>
  <w:abstractNum w:abstractNumId="2">
    <w:nsid w:val="8EDBDAB"/>
    <w:multiLevelType w:val="hybridMultilevel"/>
    <w:lvl w:ilvl="0">
      <w:lvlJc w:val="left"/>
      <w:lvlText w:val="(%1)"/>
      <w:numFmt w:val="lowerLetter"/>
      <w:start w:val="2"/>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lowerRoman"/>
      <w:start w:val="4"/>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3"/>
    </w:lvl>
  </w:abstractNum>
  <w:abstractNum w:abstractNumId="7">
    <w:nsid w:val="54E49EB4"/>
    <w:multiLevelType w:val="hybridMultilevel"/>
    <w:lvl w:ilvl="0">
      <w:lvlJc w:val="left"/>
      <w:lvlText w:val="(%1)"/>
      <w:numFmt w:val="lowerLetter"/>
      <w:start w:val="2"/>
    </w:lvl>
  </w:abstractNum>
  <w:abstractNum w:abstractNumId="8">
    <w:nsid w:val="71F32454"/>
    <w:multiLevelType w:val="hybridMultilevel"/>
    <w:lvl w:ilvl="0">
      <w:lvlJc w:val="left"/>
      <w:lvlText w:val="(%1)"/>
      <w:numFmt w:val="lowerLetter"/>
      <w:start w:val="2"/>
    </w:lvl>
  </w:abstractNum>
  <w:abstractNum w:abstractNumId="9">
    <w:nsid w:val="2CA88611"/>
    <w:multiLevelType w:val="hybridMultilevel"/>
    <w:lvl w:ilvl="0">
      <w:lvlJc w:val="left"/>
      <w:lvlText w:val="(%1)"/>
      <w:numFmt w:val="lowerLetter"/>
      <w:start w:val="2"/>
    </w:lvl>
  </w:abstractNum>
  <w:abstractNum w:abstractNumId="10">
    <w:nsid w:val="836C40E"/>
    <w:multiLevelType w:val="hybridMultilevel"/>
    <w:lvl w:ilvl="0">
      <w:lvlJc w:val="left"/>
      <w:lvlText w:val="(%1)"/>
      <w:numFmt w:val="lowerLetter"/>
      <w:start w:val="2"/>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2"/>
    </w:lvl>
  </w:abstractNum>
  <w:abstractNum w:abstractNumId="13">
    <w:nsid w:val="8138641"/>
    <w:multiLevelType w:val="hybridMultilevel"/>
    <w:lvl w:ilvl="0">
      <w:lvlJc w:val="left"/>
      <w:lvlText w:val="(%1)"/>
      <w:numFmt w:val="lowerLetter"/>
      <w:start w:val="2"/>
    </w:lvl>
  </w:abstractNum>
  <w:abstractNum w:abstractNumId="14">
    <w:nsid w:val="1E7FF521"/>
    <w:multiLevelType w:val="hybridMultilevel"/>
    <w:lvl w:ilvl="0">
      <w:lvlJc w:val="left"/>
      <w:lvlText w:val="(%1)"/>
      <w:numFmt w:val="lowerLetter"/>
      <w:start w:val="3"/>
    </w:lvl>
  </w:abstractNum>
  <w:abstractNum w:abstractNumId="15">
    <w:nsid w:val="7C3DBD3D"/>
    <w:multiLevelType w:val="hybridMultilevel"/>
    <w:lvl w:ilvl="0">
      <w:lvlJc w:val="left"/>
      <w:lvlText w:val="(%1)"/>
      <w:numFmt w:val="lowerLetter"/>
      <w:start w:val="2"/>
    </w:lvl>
  </w:abstractNum>
  <w:abstractNum w:abstractNumId="16">
    <w:nsid w:val="737B8DDC"/>
    <w:multiLevelType w:val="hybridMultilevel"/>
    <w:lvl w:ilvl="0">
      <w:lvlJc w:val="left"/>
      <w:lvlText w:val="(%1)"/>
      <w:numFmt w:val="lowerLetter"/>
      <w:start w:val="2"/>
    </w:lvl>
    <w:lvl w:ilvl="1">
      <w:lvlJc w:val="left"/>
      <w:lvlText w:val="(%2)"/>
      <w:numFmt w:val="lowerRoman"/>
      <w:start w:val="1"/>
    </w:lvl>
  </w:abstractNum>
  <w:abstractNum w:abstractNumId="17">
    <w:nsid w:val="6CEAF087"/>
    <w:multiLevelType w:val="hybridMultilevel"/>
    <w:lvl w:ilvl="0">
      <w:lvlJc w:val="left"/>
      <w:lvlText w:val="(%1)"/>
      <w:numFmt w:val="lowerLetter"/>
      <w:start w:val="4"/>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lvl w:ilvl="1">
      <w:lvlJc w:val="left"/>
      <w:lvlText w:val="(%2)"/>
      <w:numFmt w:val="lowerLetter"/>
      <w:start w:val="2"/>
    </w:lvl>
  </w:abstractNum>
  <w:abstractNum w:abstractNumId="21">
    <w:nsid w:val="614FD4A1"/>
    <w:multiLevelType w:val="hybridMultilevel"/>
    <w:lvl w:ilvl="0">
      <w:lvlJc w:val="left"/>
      <w:lvlText w:val="(%1)"/>
      <w:numFmt w:val="lowerLetter"/>
      <w:start w:val="35"/>
    </w:lvl>
    <w:lvl w:ilvl="1">
      <w:lvlJc w:val="left"/>
      <w:lvlText w:val="(%2)"/>
      <w:numFmt w:val="lowerLetter"/>
      <w:start w:val="5"/>
    </w:lvl>
  </w:abstractNum>
  <w:abstractNum w:abstractNumId="22">
    <w:nsid w:val="419AC241"/>
    <w:multiLevelType w:val="hybridMultilevel"/>
    <w:lvl w:ilvl="0">
      <w:lvlJc w:val="left"/>
      <w:lvlText w:val="(%1)"/>
      <w:numFmt w:val="lowerLetter"/>
      <w:start w:val="9"/>
    </w:lvl>
    <w:lvl w:ilvl="1">
      <w:lvlJc w:val="left"/>
      <w:lvlText w:val="(%2)"/>
      <w:numFmt w:val="lowerLetter"/>
      <w:start w:val="6"/>
    </w:lvl>
  </w:abstractNum>
  <w:abstractNum w:abstractNumId="23">
    <w:nsid w:val="5577F8E1"/>
    <w:multiLevelType w:val="hybridMultilevel"/>
    <w:lvl w:ilvl="0">
      <w:lvlJc w:val="left"/>
      <w:lvlText w:val="(%1)"/>
      <w:numFmt w:val="lowerLetter"/>
      <w:start w:val="7"/>
    </w:lvl>
  </w:abstractNum>
  <w:abstractNum w:abstractNumId="24">
    <w:nsid w:val="440BADFC"/>
    <w:multiLevelType w:val="hybridMultilevel"/>
    <w:lvl w:ilvl="0">
      <w:lvlJc w:val="left"/>
      <w:lvlText w:val="(%1)"/>
      <w:numFmt w:val="lowerLetter"/>
      <w:start w:val="1"/>
    </w:lvl>
    <w:lvl w:ilvl="1">
      <w:lvlJc w:val="left"/>
      <w:lvlText w:val="(%2)"/>
      <w:numFmt w:val="lowerRoman"/>
      <w:start w:val="1"/>
    </w:lvl>
  </w:abstractNum>
  <w:abstractNum w:abstractNumId="25">
    <w:nsid w:val="5072367"/>
    <w:multiLevelType w:val="hybridMultilevel"/>
    <w:lvl w:ilvl="0">
      <w:lvlJc w:val="left"/>
      <w:lvlText w:val="(%1)"/>
      <w:numFmt w:val="lowerLetter"/>
      <w:start w:val="2"/>
    </w:lvl>
    <w:lvl w:ilvl="1">
      <w:lvlJc w:val="left"/>
      <w:lvlText w:val="(%2)"/>
      <w:numFmt w:val="lowerLetter"/>
      <w:start w:val="9"/>
    </w:lvl>
  </w:abstractNum>
  <w:abstractNum w:abstractNumId="26">
    <w:nsid w:val="3804823E"/>
    <w:multiLevelType w:val="hybridMultilevel"/>
    <w:lvl w:ilvl="0">
      <w:lvlJc w:val="left"/>
      <w:lvlText w:val="(%1)"/>
      <w:numFmt w:val="lowerRoman"/>
      <w:start w:val="2"/>
    </w:lvl>
  </w:abstractNum>
  <w:abstractNum w:abstractNumId="27">
    <w:nsid w:val="77465F01"/>
    <w:multiLevelType w:val="hybridMultilevel"/>
    <w:lvl w:ilvl="0">
      <w:lvlJc w:val="left"/>
      <w:lvlText w:val="(%1)"/>
      <w:numFmt w:val="lowerLetter"/>
      <w:start w:val="3"/>
    </w:lvl>
    <w:lvl w:ilvl="1">
      <w:lvlJc w:val="left"/>
      <w:lvlText w:val="(%2)"/>
      <w:numFmt w:val="lowerLetter"/>
      <w:start w:val="9"/>
    </w:lvl>
  </w:abstractNum>
  <w:abstractNum w:abstractNumId="28">
    <w:nsid w:val="7724C67E"/>
    <w:multiLevelType w:val="hybridMultilevel"/>
    <w:lvl w:ilvl="0">
      <w:lvlJc w:val="left"/>
      <w:lvlText w:val="%1"/>
      <w:numFmt w:val="lowerLetter"/>
      <w:start w:val="1"/>
    </w:lvl>
    <w:lvl w:ilvl="1">
      <w:lvlJc w:val="left"/>
      <w:lvlText w:val="(%2)"/>
      <w:numFmt w:val="lowerRoman"/>
      <w:start w:val="2"/>
    </w:lvl>
  </w:abstractNum>
  <w:abstractNum w:abstractNumId="29">
    <w:nsid w:val="5C482A97"/>
    <w:multiLevelType w:val="hybridMultilevel"/>
    <w:lvl w:ilvl="0">
      <w:lvlJc w:val="left"/>
      <w:lvlText w:val="(%1)"/>
      <w:numFmt w:val="lowerLetter"/>
      <w:start w:val="6"/>
    </w:lvl>
    <w:lvl w:ilvl="1">
      <w:lvlJc w:val="left"/>
      <w:lvlText w:val="%2"/>
      <w:numFmt w:val="lowerRoman"/>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Roman"/>
      <w:start w:val="2"/>
    </w:lvl>
  </w:abstractNum>
  <w:abstractNum w:abstractNumId="34">
    <w:nsid w:val="580BD78F"/>
    <w:multiLevelType w:val="hybridMultilevel"/>
    <w:lvl w:ilvl="0">
      <w:lvlJc w:val="left"/>
      <w:lvlText w:val="(%1)"/>
      <w:numFmt w:val="lowerRoman"/>
      <w:start w:val="1"/>
    </w:lvl>
  </w:abstractNum>
  <w:abstractNum w:abstractNumId="35">
    <w:nsid w:val="153EA438"/>
    <w:multiLevelType w:val="hybridMultilevel"/>
    <w:lvl w:ilvl="0">
      <w:lvlJc w:val="left"/>
      <w:lvlText w:val="(%1)"/>
      <w:numFmt w:val="lowerLetter"/>
      <w:start w:val="2"/>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1"/>
    </w:lvl>
    <w:lvl w:ilvl="1">
      <w:lvlJc w:val="left"/>
      <w:lvlText w:val="(%2)"/>
      <w:numFmt w:val="lowerRoman"/>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upperLetter"/>
      <w:start w:val="1"/>
    </w:lvl>
    <w:lvl w:ilvl="1">
      <w:lvlJc w:val="left"/>
      <w:lvlText w:val="(%2)"/>
      <w:numFmt w:val="lowerRoman"/>
      <w:start w:val="1"/>
    </w:lvl>
  </w:abstractNum>
  <w:abstractNum w:abstractNumId="41">
    <w:nsid w:val="725A06FB"/>
    <w:multiLevelType w:val="hybridMultilevel"/>
    <w:lvl w:ilvl="0">
      <w:lvlJc w:val="left"/>
      <w:lvlText w:val="(%1)"/>
      <w:numFmt w:val="upperLetter"/>
      <w:start w:val="3"/>
    </w:lvl>
    <w:lvl w:ilvl="1">
      <w:lvlJc w:val="left"/>
      <w:lvlText w:val="%2"/>
      <w:numFmt w:val="lowerRoman"/>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68" Type="http://schemas.openxmlformats.org/officeDocument/2006/relationships/hyperlink" Target="http://www.sec.gov/Archives/edgar/data/78128/000155278119000189/e19232_ex1-1.htm" TargetMode="External"/><Relationship Id="rId69" Type="http://schemas.openxmlformats.org/officeDocument/2006/relationships/hyperlink" Target="http://www.sec.gov/Archives/edgar/data/78128/000155278119000189/e19232_ex1-2.htm" TargetMode="External"/><Relationship Id="rId70" Type="http://schemas.openxmlformats.org/officeDocument/2006/relationships/hyperlink" Target="http://www.sec.gov/Archives/edgar/data/78128/000155278119000214/e19253_ex1-1.htm" TargetMode="External"/><Relationship Id="rId71" Type="http://schemas.openxmlformats.org/officeDocument/2006/relationships/hyperlink" Target="http://www.sec.gov/Archives/edgar/data/78128/000155278119000189/e19232_ex4-1.htm" TargetMode="External"/><Relationship Id="rId72" Type="http://schemas.openxmlformats.org/officeDocument/2006/relationships/hyperlink" Target="http://www.sec.gov/Archives/edgar/data/78128/000155278119000189/e19232_ex4-4.htm" TargetMode="External"/><Relationship Id="rId73" Type="http://schemas.openxmlformats.org/officeDocument/2006/relationships/hyperlink" Target="http://www.sec.gov/Archives/edgar/data/78128/000155278119000189/e19232_ex4-5.htm" TargetMode="External"/><Relationship Id="rId74" Type="http://schemas.openxmlformats.org/officeDocument/2006/relationships/hyperlink" Target="http://www.sec.gov/Archives/edgar/data/78128/000155278119000189/e19232_ex4-6.htm" TargetMode="External"/><Relationship Id="rId75" Type="http://schemas.openxmlformats.org/officeDocument/2006/relationships/hyperlink" Target="http://www.sec.gov/Archives/edgar/data/78128/000155278119000214/e19253_ex4-3.htm" TargetMode="External"/><Relationship Id="rId82" Type="http://schemas.openxmlformats.org/officeDocument/2006/relationships/hyperlink" Target="http://www.sec.gov/Archives/edgar/data/78128/000155278119000127/e19169_ex10-1.htm" TargetMode="External"/><Relationship Id="rId83" Type="http://schemas.openxmlformats.org/officeDocument/2006/relationships/hyperlink" Target="http://www.sec.gov/Archives/edgar/data/78128/000155278119000224/i1927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2019-12-28T07:09:39Z</dcterms:created>
  <dcterms:modified xsi:type="dcterms:W3CDTF">2019-12-28T07:09:39Z</dcterms:modified>
</cp:coreProperties>
</file>